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57" w:right="-227" w:hanging="0"/>
        <w:jc w:val="center"/>
        <w:rPr>
          <w:rFonts w:ascii="Arial" w:hAnsi="Arial" w:cs="Arial"/>
          <w:b/>
          <w:b/>
          <w:bCs/>
          <w:sz w:val="23"/>
          <w:szCs w:val="23"/>
        </w:rPr>
      </w:pPr>
      <w:r>
        <w:rPr>
          <w:rFonts w:cs="Arial" w:ascii="Arial" w:hAnsi="Arial"/>
          <w:b/>
          <w:bCs/>
          <w:sz w:val="23"/>
          <w:szCs w:val="23"/>
        </w:rPr>
        <w:t>LISTA DE CONCEPTOS – ARISTÓTELES</w:t>
      </w:r>
    </w:p>
    <w:p>
      <w:pPr>
        <w:pStyle w:val="ListParagraph"/>
        <w:numPr>
          <w:ilvl w:val="0"/>
          <w:numId w:val="1"/>
        </w:numPr>
        <w:ind w:left="-57" w:right="-227" w:hanging="360"/>
        <w:jc w:val="both"/>
        <w:rPr>
          <w:rFonts w:ascii="Arial" w:hAnsi="Arial" w:cs="Arial"/>
          <w:sz w:val="23"/>
          <w:szCs w:val="23"/>
        </w:rPr>
      </w:pPr>
      <w:r>
        <w:rPr>
          <w:rFonts w:cs="Arial" w:ascii="Arial" w:hAnsi="Arial"/>
          <w:b/>
          <w:bCs/>
          <w:sz w:val="23"/>
          <w:szCs w:val="23"/>
        </w:rPr>
        <w:t>Ontoloxía e analoxía do ser</w:t>
      </w:r>
      <w:r>
        <w:rPr>
          <w:rFonts w:cs="Arial" w:ascii="Arial" w:hAnsi="Arial"/>
          <w:sz w:val="23"/>
          <w:szCs w:val="23"/>
        </w:rPr>
        <w:t>: significa teoría sobre o ser, sobre o que hai, sobre a realidade. Para Aristóteles, unha análise detallada do termo «ser» permítenos descubrir que non é un termo unívoco, como pretendían Parménides e Platón, senón análogo, isto é, que se aplica a cousas diferentes cun sentido semellante (análogo) pero non exactamente igual (unívoco). A analoxía do ser significa que o ser dise de moitas maneiras (segundo a categoría de cantidade, calidade, tempo, espazo, etc.), e esas maneiras son as categorías</w:t>
      </w:r>
    </w:p>
    <w:p>
      <w:pPr>
        <w:pStyle w:val="ListParagraph"/>
        <w:numPr>
          <w:ilvl w:val="0"/>
          <w:numId w:val="1"/>
        </w:numPr>
        <w:ind w:left="-57" w:right="-227" w:hanging="360"/>
        <w:jc w:val="both"/>
        <w:rPr>
          <w:rFonts w:ascii="Arial" w:hAnsi="Arial" w:cs="Arial"/>
          <w:sz w:val="23"/>
          <w:szCs w:val="23"/>
        </w:rPr>
      </w:pPr>
      <w:r>
        <w:rPr>
          <w:rFonts w:cs="Arial" w:ascii="Arial" w:hAnsi="Arial"/>
          <w:b/>
          <w:bCs/>
          <w:sz w:val="23"/>
          <w:szCs w:val="23"/>
        </w:rPr>
        <w:t>Substancia</w:t>
      </w:r>
      <w:r>
        <w:rPr>
          <w:rFonts w:cs="Arial" w:ascii="Arial" w:hAnsi="Arial"/>
          <w:sz w:val="23"/>
          <w:szCs w:val="23"/>
        </w:rPr>
        <w:t>: Para Aristóteles, a substancia é aquilo que existe por si mesmo, é o fundamento da realidade e o suxeito que soporta os accidentes (propiedades). Distínguese entre a substancia primeira, que é o individuo concreto como, por exemplo, o meu tío Pepe ou o castaño que está ao lado da miña casa; e a substancia segunda, que é a esencia ou a especie á que pertence devandito individuo, como “home” ou “planta”.</w:t>
      </w:r>
    </w:p>
    <w:p>
      <w:pPr>
        <w:pStyle w:val="ListParagraph"/>
        <w:numPr>
          <w:ilvl w:val="0"/>
          <w:numId w:val="1"/>
        </w:numPr>
        <w:ind w:left="-57" w:right="-227" w:hanging="360"/>
        <w:jc w:val="both"/>
        <w:rPr>
          <w:rFonts w:ascii="Arial" w:hAnsi="Arial" w:cs="Arial"/>
          <w:sz w:val="23"/>
          <w:szCs w:val="23"/>
        </w:rPr>
      </w:pPr>
      <w:r>
        <w:rPr>
          <w:rFonts w:cs="Arial" w:ascii="Arial" w:hAnsi="Arial"/>
          <w:b/>
          <w:bCs/>
          <w:sz w:val="23"/>
          <w:szCs w:val="23"/>
        </w:rPr>
        <w:t>Hilemorfismo</w:t>
      </w:r>
      <w:r>
        <w:rPr>
          <w:rFonts w:cs="Arial" w:ascii="Arial" w:hAnsi="Arial"/>
          <w:sz w:val="23"/>
          <w:szCs w:val="23"/>
        </w:rPr>
        <w:t>: O hilemorfismo é a teoría filosófica de Aristóteles que sostén que todo ser (ou substancia) está composto por dous principios esenciais e inseparables: a materia, que é do que está feito ese ser, a súa potencialidade; e a forma, aquilo que determina e actualiza a materia, a súa esencia e o que fai que sexa o que é. A palabra provén do grego “</w:t>
      </w:r>
      <w:r>
        <w:rPr>
          <w:rFonts w:cs="Arial" w:ascii="Arial" w:hAnsi="Arial"/>
          <w:i/>
          <w:iCs/>
          <w:sz w:val="23"/>
          <w:szCs w:val="23"/>
        </w:rPr>
        <w:t>hýle</w:t>
      </w:r>
      <w:r>
        <w:rPr>
          <w:rFonts w:cs="Arial" w:ascii="Arial" w:hAnsi="Arial"/>
          <w:sz w:val="23"/>
          <w:szCs w:val="23"/>
        </w:rPr>
        <w:t>” (materia) e “</w:t>
      </w:r>
      <w:r>
        <w:rPr>
          <w:rFonts w:cs="Arial" w:ascii="Arial" w:hAnsi="Arial"/>
          <w:i/>
          <w:iCs/>
          <w:sz w:val="23"/>
          <w:szCs w:val="23"/>
        </w:rPr>
        <w:t>morphé</w:t>
      </w:r>
      <w:r>
        <w:rPr>
          <w:rFonts w:cs="Arial" w:ascii="Arial" w:hAnsi="Arial"/>
          <w:sz w:val="23"/>
          <w:szCs w:val="23"/>
        </w:rPr>
        <w:t>” (forma).</w:t>
      </w:r>
    </w:p>
    <w:p>
      <w:pPr>
        <w:pStyle w:val="ListParagraph"/>
        <w:numPr>
          <w:ilvl w:val="0"/>
          <w:numId w:val="1"/>
        </w:numPr>
        <w:ind w:left="-57" w:right="-227" w:hanging="360"/>
        <w:jc w:val="both"/>
        <w:rPr>
          <w:rFonts w:ascii="Arial" w:hAnsi="Arial" w:cs="Arial"/>
          <w:sz w:val="23"/>
          <w:szCs w:val="23"/>
        </w:rPr>
      </w:pPr>
      <w:r>
        <w:rPr>
          <w:rFonts w:cs="Arial" w:ascii="Arial" w:hAnsi="Arial"/>
          <w:b/>
          <w:bCs/>
          <w:sz w:val="23"/>
          <w:szCs w:val="23"/>
        </w:rPr>
        <w:t>Acto e potencia</w:t>
      </w:r>
      <w:r>
        <w:rPr>
          <w:rFonts w:cs="Arial" w:ascii="Arial" w:hAnsi="Arial"/>
          <w:sz w:val="23"/>
          <w:szCs w:val="23"/>
        </w:rPr>
        <w:t>: Para Aristóteles, acto e potencia son dous modos de ser: o acto (</w:t>
      </w:r>
      <w:r>
        <w:rPr>
          <w:rFonts w:cs="Arial" w:ascii="Arial" w:hAnsi="Arial"/>
          <w:i/>
          <w:iCs/>
          <w:sz w:val="23"/>
          <w:szCs w:val="23"/>
        </w:rPr>
        <w:t>enérgeia</w:t>
      </w:r>
      <w:r>
        <w:rPr>
          <w:rFonts w:cs="Arial" w:ascii="Arial" w:hAnsi="Arial"/>
          <w:sz w:val="23"/>
          <w:szCs w:val="23"/>
        </w:rPr>
        <w:t>) é a realización plena dunha cousa, o que un ser xa é (en presente) e a súa perfección actual, mentres que a potencia (</w:t>
      </w:r>
      <w:r>
        <w:rPr>
          <w:rFonts w:cs="Arial" w:ascii="Arial" w:hAnsi="Arial"/>
          <w:i/>
          <w:iCs/>
          <w:sz w:val="23"/>
          <w:szCs w:val="23"/>
        </w:rPr>
        <w:t>dýnamis</w:t>
      </w:r>
      <w:r>
        <w:rPr>
          <w:rFonts w:cs="Arial" w:ascii="Arial" w:hAnsi="Arial"/>
          <w:sz w:val="23"/>
          <w:szCs w:val="23"/>
        </w:rPr>
        <w:t>) é a capacidade ou posibilidade de chegar a ser algo diferente no futuro. O cambio (movemento) é o paso da potencia ao acto, é dicir, a actualización dunha capacidade ou posibilidade.</w:t>
      </w:r>
    </w:p>
    <w:p>
      <w:pPr>
        <w:pStyle w:val="ListParagraph"/>
        <w:numPr>
          <w:ilvl w:val="0"/>
          <w:numId w:val="1"/>
        </w:numPr>
        <w:ind w:left="-57" w:right="-227" w:hanging="360"/>
        <w:jc w:val="both"/>
        <w:rPr>
          <w:rFonts w:ascii="Arial" w:hAnsi="Arial" w:cs="Arial"/>
          <w:sz w:val="23"/>
          <w:szCs w:val="23"/>
        </w:rPr>
      </w:pPr>
      <w:r>
        <w:rPr>
          <w:rFonts w:cs="Arial" w:ascii="Arial" w:hAnsi="Arial"/>
          <w:b/>
          <w:bCs/>
          <w:sz w:val="23"/>
          <w:szCs w:val="23"/>
        </w:rPr>
        <w:t>Teleoloxía</w:t>
      </w:r>
      <w:r>
        <w:rPr>
          <w:rFonts w:cs="Arial" w:ascii="Arial" w:hAnsi="Arial"/>
          <w:sz w:val="23"/>
          <w:szCs w:val="23"/>
        </w:rPr>
        <w:t>: A teleoloxía para Aristóteles é a doutrina que estuda e explica todo ser e proceso en función do seu fin (</w:t>
      </w:r>
      <w:r>
        <w:rPr>
          <w:rFonts w:cs="Arial" w:ascii="Arial" w:hAnsi="Arial"/>
          <w:i/>
          <w:iCs/>
          <w:sz w:val="23"/>
          <w:szCs w:val="23"/>
        </w:rPr>
        <w:t>telos</w:t>
      </w:r>
      <w:r>
        <w:rPr>
          <w:rFonts w:cs="Arial" w:ascii="Arial" w:hAnsi="Arial"/>
          <w:sz w:val="23"/>
          <w:szCs w:val="23"/>
        </w:rPr>
        <w:t>), ou propósito último. Para el, toda a natureza opera seguindo un propósito interno, onde cada cousa tende a desenvolver todas as súas potencialidades para alcanzar o seu estado ideal ou a súa finalidade propia, o cal se observa na súa ética, que identifica o ben supremo coa felicidade, o fin último da vida humana.</w:t>
      </w:r>
    </w:p>
    <w:p>
      <w:pPr>
        <w:pStyle w:val="ListParagraph"/>
        <w:numPr>
          <w:ilvl w:val="0"/>
          <w:numId w:val="1"/>
        </w:numPr>
        <w:ind w:left="-57" w:right="-227" w:hanging="360"/>
        <w:jc w:val="both"/>
        <w:rPr>
          <w:rFonts w:ascii="Arial" w:hAnsi="Arial" w:cs="Arial"/>
          <w:sz w:val="23"/>
          <w:szCs w:val="23"/>
        </w:rPr>
      </w:pPr>
      <w:r>
        <w:rPr>
          <w:rFonts w:cs="Arial" w:ascii="Arial" w:hAnsi="Arial"/>
          <w:b/>
          <w:bCs/>
          <w:sz w:val="23"/>
          <w:szCs w:val="23"/>
        </w:rPr>
        <w:t>Primeiro Motor Inmóbil</w:t>
      </w:r>
      <w:r>
        <w:rPr>
          <w:rFonts w:cs="Arial" w:ascii="Arial" w:hAnsi="Arial"/>
          <w:sz w:val="23"/>
          <w:szCs w:val="23"/>
        </w:rPr>
        <w:t>: O Primeiro Motor Inmóbil é un concepto aristotélico que define á causa primeira e eterna do movemento do universo, que á súa vez non é movida por nada máis. Descríbese como un ser perfecto, acto puro (sen potencialidade), inmaterial e que se contempla a si mesmo, movendo o mundo como o obxecto amado move ao amante, é dicir, como un obxecto de desexo e finalidade (causa final).</w:t>
      </w:r>
    </w:p>
    <w:p>
      <w:pPr>
        <w:pStyle w:val="ListParagraph"/>
        <w:numPr>
          <w:ilvl w:val="0"/>
          <w:numId w:val="1"/>
        </w:numPr>
        <w:ind w:left="-57" w:right="-227" w:hanging="360"/>
        <w:jc w:val="both"/>
        <w:rPr>
          <w:rFonts w:ascii="Arial" w:hAnsi="Arial" w:cs="Arial"/>
          <w:sz w:val="23"/>
          <w:szCs w:val="23"/>
        </w:rPr>
      </w:pPr>
      <w:r>
        <w:rPr>
          <w:rFonts w:cs="Arial" w:ascii="Arial" w:hAnsi="Arial"/>
          <w:b/>
          <w:bCs/>
          <w:sz w:val="23"/>
          <w:szCs w:val="23"/>
        </w:rPr>
        <w:t>A ética eudemonista</w:t>
      </w:r>
      <w:r>
        <w:rPr>
          <w:rFonts w:cs="Arial" w:ascii="Arial" w:hAnsi="Arial"/>
          <w:sz w:val="23"/>
          <w:szCs w:val="23"/>
        </w:rPr>
        <w:t>: A ética eudemonista de Aristóteles define a felicidade (</w:t>
      </w:r>
      <w:r>
        <w:rPr>
          <w:rFonts w:cs="Arial" w:ascii="Arial" w:hAnsi="Arial"/>
          <w:i/>
          <w:iCs/>
          <w:sz w:val="23"/>
          <w:szCs w:val="23"/>
        </w:rPr>
        <w:t>eudaimonía</w:t>
      </w:r>
      <w:r>
        <w:rPr>
          <w:rFonts w:cs="Arial" w:ascii="Arial" w:hAnsi="Arial"/>
          <w:sz w:val="23"/>
          <w:szCs w:val="23"/>
        </w:rPr>
        <w:t>) como o ben supremo e o fin último da vida humana, alcanzable a través do cultivo da virtude (o xusto medio) e o exercicio da razón. Non é un estado emocional pasaxeiro, senón unha vida virtuosa e en constante actividade, especialmente a actividade intelectual, considerada a función máis propia e elevada do ser humano. A felicidade é a vida contemplativa (a do “</w:t>
      </w:r>
      <w:r>
        <w:rPr>
          <w:rFonts w:cs="Arial" w:ascii="Arial" w:hAnsi="Arial"/>
          <w:i/>
          <w:iCs/>
          <w:sz w:val="23"/>
          <w:szCs w:val="23"/>
        </w:rPr>
        <w:t>biostheoretikós</w:t>
      </w:r>
      <w:r>
        <w:rPr>
          <w:rFonts w:cs="Arial" w:ascii="Arial" w:hAnsi="Arial"/>
          <w:sz w:val="23"/>
          <w:szCs w:val="23"/>
        </w:rPr>
        <w:t>”).</w:t>
      </w:r>
    </w:p>
    <w:p>
      <w:pPr>
        <w:pStyle w:val="ListParagraph"/>
        <w:numPr>
          <w:ilvl w:val="0"/>
          <w:numId w:val="1"/>
        </w:numPr>
        <w:ind w:left="-57" w:right="-227" w:hanging="360"/>
        <w:jc w:val="both"/>
        <w:rPr>
          <w:rFonts w:ascii="Arial" w:hAnsi="Arial" w:cs="Arial"/>
          <w:sz w:val="23"/>
          <w:szCs w:val="23"/>
        </w:rPr>
      </w:pPr>
      <w:r>
        <w:rPr>
          <w:rFonts w:cs="Arial" w:ascii="Arial" w:hAnsi="Arial"/>
          <w:b/>
          <w:bCs/>
          <w:sz w:val="23"/>
          <w:szCs w:val="23"/>
        </w:rPr>
        <w:t>Virtudes dianoéticas e éticas</w:t>
      </w:r>
      <w:r>
        <w:rPr>
          <w:rFonts w:cs="Arial" w:ascii="Arial" w:hAnsi="Arial"/>
          <w:sz w:val="23"/>
          <w:szCs w:val="23"/>
        </w:rPr>
        <w:t>: Para Aristóteles, a virtude dianoética é a excelencia intelectual da alma racional, perfeccionada polo ensino, a experiencia e o tempo, que se traduce en capacidades como a ciencia, a prudencia e a sabedoría. En contraste, a virtude ética é a excelencia do carácter moral, adquirida a través do hábito (costume) e a práctica repetida, que consiste en achar o termo medio entre dous extremos, como a valentía entre a covardía e a temeridade</w:t>
      </w:r>
    </w:p>
    <w:p>
      <w:pPr>
        <w:pStyle w:val="ListParagraph"/>
        <w:numPr>
          <w:ilvl w:val="0"/>
          <w:numId w:val="1"/>
        </w:numPr>
        <w:ind w:left="-57" w:right="-227" w:hanging="360"/>
        <w:jc w:val="both"/>
        <w:rPr>
          <w:rFonts w:ascii="Arial" w:hAnsi="Arial" w:cs="Arial"/>
          <w:sz w:val="23"/>
          <w:szCs w:val="23"/>
        </w:rPr>
      </w:pPr>
      <w:r>
        <w:rPr>
          <w:rFonts w:cs="Arial" w:ascii="Arial" w:hAnsi="Arial"/>
          <w:b/>
          <w:bCs/>
          <w:sz w:val="23"/>
          <w:szCs w:val="23"/>
        </w:rPr>
        <w:t>Goberno xusto:</w:t>
      </w:r>
      <w:r>
        <w:rPr>
          <w:rFonts w:cs="Arial" w:ascii="Arial" w:hAnsi="Arial"/>
          <w:sz w:val="23"/>
          <w:szCs w:val="23"/>
        </w:rPr>
        <w:t xml:space="preserve"> Para Aristóteles, un goberno xusto fundaméntase no ben común e é un equilibrio entre formas de goberno, resultando na </w:t>
      </w:r>
      <w:r>
        <w:rPr>
          <w:rFonts w:cs="Arial" w:ascii="Arial" w:hAnsi="Arial"/>
          <w:i/>
          <w:iCs/>
          <w:sz w:val="23"/>
          <w:szCs w:val="23"/>
        </w:rPr>
        <w:t>politeia</w:t>
      </w:r>
      <w:r>
        <w:rPr>
          <w:rFonts w:cs="Arial" w:ascii="Arial" w:hAnsi="Arial"/>
          <w:sz w:val="23"/>
          <w:szCs w:val="23"/>
        </w:rPr>
        <w:t xml:space="preserve"> ou goberno constitucional (república). Este goberno mixto integra elementos da democracia e a aristocracia para asegurar a participación dos virtuosos e evitar os excesos da demagoxia e a tiranía da maioría, promovendo unha estrutura estable e equitativa. Un goberno xusto é aquel que, a través dun sistema constitucional mixto e unha sólida clase media, promove o ben común e a virtude, distribuíndo a autoridade e os beneficios de maneira equitativa entre os cidadáns (xustiza distributiva).</w:t>
      </w:r>
    </w:p>
    <w:p>
      <w:pPr>
        <w:pStyle w:val="ListParagraph"/>
        <w:numPr>
          <w:ilvl w:val="0"/>
          <w:numId w:val="1"/>
        </w:numPr>
        <w:ind w:left="-57" w:right="-227" w:hanging="360"/>
        <w:jc w:val="both"/>
        <w:rPr>
          <w:rFonts w:ascii="Arial" w:hAnsi="Arial" w:cs="Arial"/>
          <w:sz w:val="23"/>
          <w:szCs w:val="23"/>
        </w:rPr>
      </w:pPr>
      <w:r>
        <w:rPr>
          <w:rFonts w:cs="Arial" w:ascii="Arial" w:hAnsi="Arial"/>
          <w:b/>
          <w:bCs/>
          <w:sz w:val="23"/>
          <w:szCs w:val="23"/>
        </w:rPr>
        <w:t>Goberno inxusto</w:t>
      </w:r>
      <w:r>
        <w:rPr>
          <w:rFonts w:cs="Arial" w:ascii="Arial" w:hAnsi="Arial"/>
          <w:sz w:val="23"/>
          <w:szCs w:val="23"/>
        </w:rPr>
        <w:t xml:space="preserve">: Para Aristóteles, un goberno é inxusto cando se desvía das formas xustas de goberno —monarquía, aristocracia e república ou </w:t>
      </w:r>
      <w:r>
        <w:rPr>
          <w:rFonts w:cs="Arial" w:ascii="Arial" w:hAnsi="Arial"/>
          <w:i/>
          <w:iCs/>
          <w:sz w:val="23"/>
          <w:szCs w:val="23"/>
        </w:rPr>
        <w:t>politeia</w:t>
      </w:r>
      <w:r>
        <w:rPr>
          <w:rFonts w:cs="Arial" w:ascii="Arial" w:hAnsi="Arial"/>
          <w:sz w:val="23"/>
          <w:szCs w:val="23"/>
        </w:rPr>
        <w:t>— e os seus gobernantes antepoñen o seu propio interese particular ao do ben común de todos os cidadáns. As formas inxustas son a tiranía (dexeneración da monarquía), a oligarquía (interese dos ricos) e a demagoxia (interese da maioría pobre ou "o demos").</w:t>
      </w:r>
    </w:p>
    <w:p>
      <w:pPr>
        <w:pStyle w:val="Normal"/>
        <w:ind w:left="-57" w:right="-227" w:hanging="0"/>
        <w:rPr>
          <w:rFonts w:ascii="Arial" w:hAnsi="Arial" w:cs="Arial"/>
          <w:sz w:val="23"/>
          <w:szCs w:val="23"/>
        </w:rPr>
      </w:pPr>
      <w:r>
        <w:rPr>
          <w:rFonts w:cs="Arial" w:ascii="Arial" w:hAnsi="Arial"/>
          <w:sz w:val="23"/>
          <w:szCs w:val="23"/>
        </w:rPr>
      </w:r>
      <w:r>
        <w:br w:type="page"/>
      </w:r>
    </w:p>
    <w:p>
      <w:pPr>
        <w:pStyle w:val="Normal"/>
        <w:ind w:left="-57" w:right="-227" w:hanging="0"/>
        <w:jc w:val="center"/>
        <w:rPr>
          <w:rFonts w:ascii="Arial" w:hAnsi="Arial" w:cs="Arial"/>
          <w:b/>
          <w:b/>
          <w:bCs/>
          <w:sz w:val="23"/>
          <w:szCs w:val="23"/>
        </w:rPr>
      </w:pPr>
      <w:r>
        <w:rPr>
          <w:rFonts w:cs="Arial" w:ascii="Arial" w:hAnsi="Arial"/>
          <w:b/>
          <w:bCs/>
          <w:sz w:val="23"/>
          <w:szCs w:val="23"/>
        </w:rPr>
        <w:t>LISTA DE CONCEPTOS DE HUME, ILUSTRACIÓN E LÍMITES DO COÑECEMENTO EN KANT</w:t>
      </w:r>
    </w:p>
    <w:p>
      <w:pPr>
        <w:pStyle w:val="ListParagraph"/>
        <w:numPr>
          <w:ilvl w:val="0"/>
          <w:numId w:val="2"/>
        </w:numPr>
        <w:ind w:left="-57" w:right="-227" w:hanging="360"/>
        <w:jc w:val="both"/>
        <w:rPr>
          <w:rFonts w:ascii="Arial" w:hAnsi="Arial" w:cs="Arial"/>
          <w:sz w:val="23"/>
          <w:szCs w:val="23"/>
        </w:rPr>
      </w:pPr>
      <w:r>
        <w:rPr>
          <w:rFonts w:cs="Arial" w:ascii="Arial" w:hAnsi="Arial"/>
          <w:b/>
          <w:bCs/>
          <w:sz w:val="23"/>
          <w:szCs w:val="23"/>
        </w:rPr>
        <w:t>Cuestión de feito</w:t>
      </w:r>
      <w:r>
        <w:rPr>
          <w:rFonts w:cs="Arial" w:ascii="Arial" w:hAnsi="Arial"/>
          <w:sz w:val="23"/>
          <w:szCs w:val="23"/>
        </w:rPr>
        <w:t>: As “cuestións de feito” (</w:t>
      </w:r>
      <w:r>
        <w:rPr>
          <w:rFonts w:cs="Arial" w:ascii="Arial" w:hAnsi="Arial"/>
          <w:i/>
          <w:iCs/>
          <w:sz w:val="23"/>
          <w:szCs w:val="23"/>
        </w:rPr>
        <w:t>matter of fact</w:t>
      </w:r>
      <w:r>
        <w:rPr>
          <w:rFonts w:cs="Arial" w:ascii="Arial" w:hAnsi="Arial"/>
          <w:sz w:val="23"/>
          <w:szCs w:val="23"/>
        </w:rPr>
        <w:t xml:space="preserve">) para David Hume son proposicións sobre a existencia de cousas que se basean na experiencia e a observación, en contraste coas “relacións de ideas”, que son verdades lóxicas ou matemáticas demostrables pola razón. O coñecemento dos feitos obtense mediante a experiencia e por indución, non é a </w:t>
      </w:r>
      <w:r>
        <w:rPr>
          <w:rFonts w:cs="Arial" w:ascii="Arial" w:hAnsi="Arial"/>
          <w:i/>
          <w:iCs/>
          <w:sz w:val="23"/>
          <w:szCs w:val="23"/>
        </w:rPr>
        <w:t>priori</w:t>
      </w:r>
      <w:r>
        <w:rPr>
          <w:rFonts w:cs="Arial" w:ascii="Arial" w:hAnsi="Arial"/>
          <w:sz w:val="23"/>
          <w:szCs w:val="23"/>
        </w:rPr>
        <w:t xml:space="preserve"> (anterior á experiencia) senón a </w:t>
      </w:r>
      <w:r>
        <w:rPr>
          <w:rFonts w:cs="Arial" w:ascii="Arial" w:hAnsi="Arial"/>
          <w:i/>
          <w:iCs/>
          <w:sz w:val="23"/>
          <w:szCs w:val="23"/>
        </w:rPr>
        <w:t>posteriori</w:t>
      </w:r>
      <w:r>
        <w:rPr>
          <w:rFonts w:cs="Arial" w:ascii="Arial" w:hAnsi="Arial"/>
          <w:sz w:val="23"/>
          <w:szCs w:val="23"/>
        </w:rPr>
        <w:t xml:space="preserve"> (corrobórase empiricamente na experiencia), e fundaméntase en relacións causa-efecto formadas polo costume e o hábito. Por exemplo, “o sol sairá mañá” ou “o cristal é perigoso”, son unha cuestión de feito que se basea na experiencia e o costume, pero é concebible que non suceda, son proposicións continxentes. Polo tanto, o tipo de coñecemento que aportan as cuestións de feito é un coñecemento probable e non universal nin necesario.</w:t>
      </w:r>
    </w:p>
    <w:p>
      <w:pPr>
        <w:pStyle w:val="ListParagraph"/>
        <w:numPr>
          <w:ilvl w:val="0"/>
          <w:numId w:val="2"/>
        </w:numPr>
        <w:ind w:left="-57" w:right="-227" w:hanging="360"/>
        <w:jc w:val="both"/>
        <w:rPr>
          <w:rFonts w:ascii="Arial" w:hAnsi="Arial" w:cs="Arial"/>
          <w:sz w:val="23"/>
          <w:szCs w:val="23"/>
        </w:rPr>
      </w:pPr>
      <w:r>
        <w:rPr>
          <w:rFonts w:cs="Arial" w:ascii="Arial" w:hAnsi="Arial"/>
          <w:b/>
          <w:bCs/>
          <w:sz w:val="23"/>
          <w:szCs w:val="23"/>
        </w:rPr>
        <w:t>Relacións de ideas</w:t>
      </w:r>
      <w:r>
        <w:rPr>
          <w:rFonts w:cs="Arial" w:ascii="Arial" w:hAnsi="Arial"/>
          <w:sz w:val="23"/>
          <w:szCs w:val="23"/>
        </w:rPr>
        <w:t xml:space="preserve">: As “relacións de ideas” de David Hume refírense a enunciados ou proposicións cuxa verdade se coñece polo simple exame das ideas que os componen, isto é, por dedución, sen necesidade de recorrer á experiencia do mundo. Este tipo de coñecemento é propio das ciencias formais como a matemática e a lóxica, e as súas verdades son necesarias, universais e analíticas, é dicir, a negación dunha verdade de relación de ideas implica unha contradición. A súa verdade é </w:t>
      </w:r>
      <w:r>
        <w:rPr>
          <w:rFonts w:cs="Arial" w:ascii="Arial" w:hAnsi="Arial"/>
          <w:i/>
          <w:iCs/>
          <w:sz w:val="23"/>
          <w:szCs w:val="23"/>
        </w:rPr>
        <w:t>a priori</w:t>
      </w:r>
      <w:r>
        <w:rPr>
          <w:rFonts w:cs="Arial" w:ascii="Arial" w:hAnsi="Arial"/>
          <w:sz w:val="23"/>
          <w:szCs w:val="23"/>
        </w:rPr>
        <w:t>, son necesarias e baséanse no principio de non contradición. Por exemplo, as proposicións matemáticas como “8 x 10 = 80” ou lóxicas como "Todas as illas están rodeadas de auga".</w:t>
      </w:r>
    </w:p>
    <w:p>
      <w:pPr>
        <w:pStyle w:val="ListParagraph"/>
        <w:numPr>
          <w:ilvl w:val="0"/>
          <w:numId w:val="2"/>
        </w:numPr>
        <w:ind w:left="-57" w:right="-227" w:hanging="360"/>
        <w:jc w:val="both"/>
        <w:rPr>
          <w:rFonts w:ascii="Arial" w:hAnsi="Arial" w:cs="Arial"/>
          <w:sz w:val="23"/>
          <w:szCs w:val="23"/>
        </w:rPr>
      </w:pPr>
      <w:r>
        <w:rPr>
          <w:rFonts w:cs="Arial" w:ascii="Arial" w:hAnsi="Arial"/>
          <w:b/>
          <w:bCs/>
          <w:sz w:val="23"/>
          <w:szCs w:val="23"/>
        </w:rPr>
        <w:t>Crítica á idea de substancia</w:t>
      </w:r>
      <w:r>
        <w:rPr>
          <w:rFonts w:cs="Arial" w:ascii="Arial" w:hAnsi="Arial"/>
          <w:sz w:val="23"/>
          <w:szCs w:val="23"/>
        </w:rPr>
        <w:t>: Para Hume, unha substancia non é unha entidade real e independente, senón unha colección de ideas simples unidas pola imaxinación e ás que lles asignamos un nome particular para referirnos a elas. No seu empirismo radical, argumenta que non temos ningunha impresión sensible dunha substancia como tal, só das súas calidades, polo que a idea de substancia é unha “ficción” ou unha “ilusión”, unha convención lingüística para describir conxuntos coherentes de percepcións, como no caso dunha mesa. Esta crítica esténdese a conceptos como o “eu” ou “alma”, que para Hume é simplemente un “feixe de percepcións” en constante cambio, e non unha substancia permanente e distinta dos seus pensamentos (como para os racionalistas).</w:t>
      </w:r>
    </w:p>
    <w:p>
      <w:pPr>
        <w:pStyle w:val="ListParagraph"/>
        <w:numPr>
          <w:ilvl w:val="0"/>
          <w:numId w:val="2"/>
        </w:numPr>
        <w:ind w:left="-57" w:right="-227" w:hanging="360"/>
        <w:jc w:val="both"/>
        <w:rPr>
          <w:rFonts w:ascii="Arial" w:hAnsi="Arial" w:cs="Arial"/>
          <w:sz w:val="23"/>
          <w:szCs w:val="23"/>
        </w:rPr>
      </w:pPr>
      <w:r>
        <w:rPr>
          <w:rFonts w:cs="Arial" w:ascii="Arial" w:hAnsi="Arial"/>
          <w:b/>
          <w:bCs/>
          <w:sz w:val="23"/>
          <w:szCs w:val="23"/>
        </w:rPr>
        <w:t>Crítica á idea de causalidade</w:t>
      </w:r>
      <w:r>
        <w:rPr>
          <w:rFonts w:cs="Arial" w:ascii="Arial" w:hAnsi="Arial"/>
          <w:sz w:val="23"/>
          <w:szCs w:val="23"/>
        </w:rPr>
        <w:t>: Para David Hume, a causalidade non é unha conexión necesaria e universal que podamos observar ou demostrar racionalmente, senón unha crenza probable baseada no costume e o hábito. Segundo o seu empirismo radical, non percibimos “poderes” nin “nexos necesarios” na realidade, senón a sucesión constante e contigua de fenómenos. A mente, habituada a estas repeticións (pola memoria), produce unha asociación de ideas que xera a crenza na relación causa-efecto, facendo que un fenómeno convértase en proba do outro. Esta postura critica a idea de que a razón poida coñecer relacións causais máis aló da experiencia, cuestionando así os fundamentos da metafísica.</w:t>
      </w:r>
    </w:p>
    <w:p>
      <w:pPr>
        <w:pStyle w:val="ListParagraph"/>
        <w:numPr>
          <w:ilvl w:val="0"/>
          <w:numId w:val="2"/>
        </w:numPr>
        <w:ind w:left="-57" w:right="-227" w:hanging="360"/>
        <w:jc w:val="both"/>
        <w:rPr>
          <w:rFonts w:ascii="Arial" w:hAnsi="Arial" w:cs="Arial"/>
          <w:sz w:val="23"/>
          <w:szCs w:val="23"/>
        </w:rPr>
      </w:pPr>
      <w:r>
        <w:rPr>
          <w:rFonts w:cs="Arial" w:ascii="Arial" w:hAnsi="Arial"/>
          <w:b/>
          <w:bCs/>
          <w:sz w:val="23"/>
          <w:szCs w:val="23"/>
        </w:rPr>
        <w:t>Ilustración</w:t>
      </w:r>
      <w:r>
        <w:rPr>
          <w:rFonts w:cs="Arial" w:ascii="Arial" w:hAnsi="Arial"/>
          <w:sz w:val="23"/>
          <w:szCs w:val="23"/>
        </w:rPr>
        <w:t>: Para Immanuel Kant, a Ilustración é a emancipación do ser humano da súa “minoría de idade”, é dicir, da incapacidade para servirse da súa propia razón sen a guía doutros, motivada pola preguiza ou a covardía. A ilustración é, polo tanto, a emancipación do ser humano que acha a “maioría de idade”, isto é, a capacidade da razón para liberarse das limitacións impostas polo poder político, a relixión, os prexuízos ou as inclinacións persoais. Ao estenderse a capacidade da razón a todos os ámbitos do saber e á vida pública, a Ilustración contribúe ao progreso moral e político da humanidade. É o proceso polo cal a humanidade sae desta condición de dependencia intelectual e asume a responsabilidade de pensar por si mesma, tendo como lema a frase latina “</w:t>
      </w:r>
      <w:r>
        <w:rPr>
          <w:rFonts w:cs="Arial" w:ascii="Arial" w:hAnsi="Arial"/>
          <w:i/>
          <w:iCs/>
          <w:sz w:val="23"/>
          <w:szCs w:val="23"/>
        </w:rPr>
        <w:t>Sapere aude</w:t>
      </w:r>
      <w:r>
        <w:rPr>
          <w:rFonts w:cs="Arial" w:ascii="Arial" w:hAnsi="Arial"/>
          <w:sz w:val="23"/>
          <w:szCs w:val="23"/>
        </w:rPr>
        <w:t>”, que significa: “Atrévete a saber!”.</w:t>
      </w:r>
    </w:p>
    <w:p>
      <w:pPr>
        <w:pStyle w:val="ListParagraph"/>
        <w:numPr>
          <w:ilvl w:val="0"/>
          <w:numId w:val="2"/>
        </w:numPr>
        <w:ind w:left="-57" w:right="-227" w:hanging="360"/>
        <w:jc w:val="both"/>
        <w:rPr>
          <w:rFonts w:ascii="Arial" w:hAnsi="Arial" w:cs="Arial"/>
          <w:sz w:val="23"/>
          <w:szCs w:val="23"/>
        </w:rPr>
      </w:pPr>
      <w:r>
        <w:rPr>
          <w:rFonts w:cs="Arial" w:ascii="Arial" w:hAnsi="Arial"/>
          <w:b/>
          <w:bCs/>
          <w:sz w:val="23"/>
          <w:szCs w:val="23"/>
        </w:rPr>
        <w:t>Suxeito trascendental</w:t>
      </w:r>
      <w:r>
        <w:rPr>
          <w:rFonts w:cs="Arial" w:ascii="Arial" w:hAnsi="Arial"/>
          <w:sz w:val="23"/>
          <w:szCs w:val="23"/>
        </w:rPr>
        <w:t xml:space="preserve">: Na filosofía de Kant, o suxeito transcendental é a estrutura </w:t>
      </w:r>
      <w:r>
        <w:rPr>
          <w:rFonts w:cs="Arial" w:ascii="Arial" w:hAnsi="Arial"/>
          <w:i/>
          <w:iCs/>
          <w:sz w:val="23"/>
          <w:szCs w:val="23"/>
        </w:rPr>
        <w:t>a priori</w:t>
      </w:r>
      <w:r>
        <w:rPr>
          <w:rFonts w:cs="Arial" w:ascii="Arial" w:hAnsi="Arial"/>
          <w:sz w:val="23"/>
          <w:szCs w:val="23"/>
        </w:rPr>
        <w:t xml:space="preserve"> do eu (o “eu pensó”) que fai posible todo coñecemento e experiencia posible ao “imponer” as súas formas innatas como o espazo, o tempo e as categorías ao material sensible. Non se trata do “eu empírico” ou psicolóxico, senón da condición de posibilidade universal e inmutable da subxectividade que unifica e dá sentido ás nosas percepcións para constituír o obxecto de coñecemento. O suxeito transcendental, a pesar do seu poder constitutivo, non pode coñecer a “cousa en si” (a realidade independente da experiencia, i. e., Deus, alma e mundo), senón só os “fenómenos” tal como se lle presentan.</w:t>
      </w:r>
    </w:p>
    <w:p>
      <w:pPr>
        <w:pStyle w:val="ListParagraph"/>
        <w:numPr>
          <w:ilvl w:val="0"/>
          <w:numId w:val="2"/>
        </w:numPr>
        <w:ind w:left="-57" w:right="-227" w:hanging="360"/>
        <w:jc w:val="both"/>
        <w:rPr>
          <w:rFonts w:ascii="Arial" w:hAnsi="Arial" w:cs="Arial"/>
          <w:sz w:val="23"/>
          <w:szCs w:val="23"/>
        </w:rPr>
      </w:pPr>
      <w:r>
        <w:rPr>
          <w:rFonts w:cs="Arial" w:ascii="Arial" w:hAnsi="Arial"/>
          <w:b/>
          <w:bCs/>
          <w:sz w:val="23"/>
          <w:szCs w:val="23"/>
        </w:rPr>
        <w:t>Noúmeno</w:t>
      </w:r>
      <w:r>
        <w:rPr>
          <w:rFonts w:cs="Arial" w:ascii="Arial" w:hAnsi="Arial"/>
          <w:sz w:val="23"/>
          <w:szCs w:val="23"/>
        </w:rPr>
        <w:t>: Para Kant, o noúmeno é a “cousa en si”, a realidade tal como é independentemente da nosa experiencia e percepción. Oponse ao fenómeno, que é o obxecto tal e como se nos aparece e que coñecemos a través dos nosos sentidos e do entendemento. O noúmeno é unha realidade incognoscible e inabordable para o ser humano, xa que só podemos acceder aos fenómenos, que son as manifestacións patentes desas cousas en si. A pesar de ser incognoscibles, os conceptos nouménicos, como as ideas puras da razón: Deus, inmortalidade da alma e liberdade, teñen unha utilidade práctica e regulativa. Serven para delimitar o uso lexítimo do coñecemento teórico e para guiar a procura da unidade no coñecemento empírico.</w:t>
      </w:r>
    </w:p>
    <w:p>
      <w:pPr>
        <w:pStyle w:val="ListParagraph"/>
        <w:numPr>
          <w:ilvl w:val="0"/>
          <w:numId w:val="2"/>
        </w:numPr>
        <w:ind w:left="-57" w:right="-227" w:hanging="360"/>
        <w:jc w:val="both"/>
        <w:rPr>
          <w:rFonts w:ascii="Arial" w:hAnsi="Arial" w:cs="Arial"/>
          <w:sz w:val="23"/>
          <w:szCs w:val="23"/>
        </w:rPr>
      </w:pPr>
      <w:r>
        <w:rPr>
          <w:rFonts w:cs="Arial" w:ascii="Arial" w:hAnsi="Arial"/>
          <w:b/>
          <w:bCs/>
          <w:sz w:val="23"/>
          <w:szCs w:val="23"/>
        </w:rPr>
        <w:t>Crítica á Metafísica tradicional</w:t>
      </w:r>
      <w:r>
        <w:rPr>
          <w:rFonts w:cs="Arial" w:ascii="Arial" w:hAnsi="Arial"/>
          <w:sz w:val="23"/>
          <w:szCs w:val="23"/>
        </w:rPr>
        <w:t>: Para Kant, a metafísica é tanto o “coroamento da razón humana” como unha disciplina crítica que debe revisar os seus propios límites, enfocándose nas condicións de posibilidade do noso coñecemento en lugar de pretender coñecer o nouménico (a cousa-en-si). A diferenza da ciencia, que progresa, a metafísica tradicional fracasa ao tentar obter coñecemento teórico de obxectos inalcanzables como Deus, a alma ou o mundo como un todo, o que Kant denomina uso “teórico” da razón e da metafísica. Con todo, Kant propón un uso “práctico” das ideas metafísicas (Deus, liberdade e inmortalidade da alma) que, sen dar certeza teórica, orientan a nosa acción moral e xustifican un ámbito de realidade máis aló da ciencia.</w:t>
      </w:r>
      <w:r>
        <w:br w:type="page"/>
      </w:r>
    </w:p>
    <w:p>
      <w:pPr>
        <w:pStyle w:val="ListParagraph"/>
        <w:ind w:left="-57" w:right="-227" w:hanging="0"/>
        <w:jc w:val="center"/>
        <w:rPr>
          <w:rFonts w:ascii="Arial" w:hAnsi="Arial" w:cs="Arial"/>
          <w:b/>
          <w:b/>
          <w:bCs/>
          <w:sz w:val="23"/>
          <w:szCs w:val="23"/>
        </w:rPr>
      </w:pPr>
      <w:r>
        <w:rPr>
          <w:rFonts w:cs="Arial" w:ascii="Arial" w:hAnsi="Arial"/>
          <w:b/>
          <w:bCs/>
          <w:sz w:val="23"/>
          <w:szCs w:val="23"/>
        </w:rPr>
        <w:t>LISTA DE CONCEPTOS DE ORTEGA Y GASSET E DE MARÍA ZAMBRANO</w:t>
      </w:r>
    </w:p>
    <w:p>
      <w:pPr>
        <w:pStyle w:val="ListParagraph"/>
        <w:ind w:left="420" w:right="-227" w:hanging="0"/>
        <w:jc w:val="both"/>
        <w:rPr>
          <w:rFonts w:ascii="Arial" w:hAnsi="Arial" w:cs="Arial"/>
          <w:sz w:val="23"/>
          <w:szCs w:val="23"/>
        </w:rPr>
      </w:pPr>
      <w:r>
        <w:rPr>
          <w:rFonts w:cs="Arial" w:ascii="Arial" w:hAnsi="Arial"/>
          <w:sz w:val="23"/>
          <w:szCs w:val="23"/>
        </w:rPr>
      </w:r>
    </w:p>
    <w:p>
      <w:pPr>
        <w:pStyle w:val="ListParagraph"/>
        <w:numPr>
          <w:ilvl w:val="0"/>
          <w:numId w:val="3"/>
        </w:numPr>
        <w:ind w:left="-420" w:right="-227" w:hanging="360"/>
        <w:jc w:val="both"/>
        <w:rPr>
          <w:rFonts w:ascii="Arial" w:hAnsi="Arial" w:cs="Arial"/>
          <w:sz w:val="23"/>
          <w:szCs w:val="23"/>
        </w:rPr>
      </w:pPr>
      <w:r>
        <w:rPr>
          <w:rFonts w:cs="Arial" w:ascii="Arial" w:hAnsi="Arial"/>
          <w:b/>
          <w:bCs/>
          <w:sz w:val="23"/>
          <w:szCs w:val="23"/>
        </w:rPr>
        <w:t>Razón vital</w:t>
      </w:r>
      <w:r>
        <w:rPr>
          <w:rFonts w:cs="Arial" w:ascii="Arial" w:hAnsi="Arial"/>
          <w:sz w:val="23"/>
          <w:szCs w:val="23"/>
        </w:rPr>
        <w:t xml:space="preserve">: A razón vital de José Ortega e Gasset é un tipo de racionalidade que integra as esixencias da vida e do proxecto vital, recoñecendo a primacía desta sobre o pensamento abstracto e substituíndo ao </w:t>
      </w:r>
      <w:r>
        <w:rPr>
          <w:rFonts w:cs="Arial" w:ascii="Arial" w:hAnsi="Arial"/>
          <w:i/>
          <w:iCs/>
          <w:sz w:val="23"/>
          <w:szCs w:val="23"/>
        </w:rPr>
        <w:t>cogito</w:t>
      </w:r>
      <w:r>
        <w:rPr>
          <w:rFonts w:cs="Arial" w:ascii="Arial" w:hAnsi="Arial"/>
          <w:sz w:val="23"/>
          <w:szCs w:val="23"/>
        </w:rPr>
        <w:t xml:space="preserve"> cartesiano e á “razón pura” kantiana. Esta razón é esencialmente histórica, xa que a vida humana non ten unha natureza fixa, senón que é un proxecto que se constrúe no tempo a través da elección e a acción dentro de circunstancias específicas, e está intrinsecamente ligada á convivencia social. A razón vital non é un pensamento universal e abstracto, senón que se constitúe nunha circunstancia particular, é dicir, é unha razón que opera nun “mundo-circunstancia”.</w:t>
      </w:r>
    </w:p>
    <w:p>
      <w:pPr>
        <w:pStyle w:val="ListParagraph"/>
        <w:numPr>
          <w:ilvl w:val="0"/>
          <w:numId w:val="3"/>
        </w:numPr>
        <w:ind w:left="-420" w:right="-227" w:hanging="360"/>
        <w:jc w:val="both"/>
        <w:rPr>
          <w:rFonts w:ascii="Arial" w:hAnsi="Arial" w:cs="Arial"/>
          <w:sz w:val="23"/>
          <w:szCs w:val="23"/>
        </w:rPr>
      </w:pPr>
      <w:r>
        <w:rPr>
          <w:rFonts w:cs="Arial" w:ascii="Arial" w:hAnsi="Arial"/>
          <w:b/>
          <w:bCs/>
          <w:sz w:val="23"/>
          <w:szCs w:val="23"/>
        </w:rPr>
        <w:t>“</w:t>
      </w:r>
      <w:r>
        <w:rPr>
          <w:rFonts w:cs="Arial" w:ascii="Arial" w:hAnsi="Arial"/>
          <w:b/>
          <w:bCs/>
          <w:sz w:val="23"/>
          <w:szCs w:val="23"/>
        </w:rPr>
        <w:t>Eu son eu e as miñas circunstancias”:</w:t>
      </w:r>
      <w:r>
        <w:rPr>
          <w:rFonts w:cs="Arial" w:ascii="Arial" w:hAnsi="Arial"/>
          <w:sz w:val="23"/>
          <w:szCs w:val="23"/>
        </w:rPr>
        <w:t xml:space="preserve"> Para Ortega, vivir implica elixir entre innumerables posibilidades utilizando a nosa liberdade, sendo cada persoa o autor e protagonista da súa propia vida. Pero, a vontade de propósito e decisión atópase limitada pola circunstancia. A circunstancia é o que non son eu, a realidade que me rodea: os outros, as cousas, as ideas e crenzas, etc. É inseparable do meu “Eu”. Di Ortega  en </w:t>
      </w:r>
      <w:r>
        <w:rPr>
          <w:rFonts w:cs="Arial" w:ascii="Arial" w:hAnsi="Arial"/>
          <w:i/>
          <w:iCs/>
          <w:sz w:val="23"/>
          <w:szCs w:val="23"/>
        </w:rPr>
        <w:t>Meditaciones del Quijote</w:t>
      </w:r>
      <w:r>
        <w:rPr>
          <w:rFonts w:cs="Arial" w:ascii="Arial" w:hAnsi="Arial"/>
          <w:sz w:val="23"/>
          <w:szCs w:val="23"/>
        </w:rPr>
        <w:t xml:space="preserve"> (1914): “Eu son eu e as miñas circunstancias”, e, “se non as salvo a elas non me salvo a min”. En todos os acontecementos que compoñen o vivir, o eu vivinte dáse conta de estar interactuando realmente coas cousas. A circunstancia é, pois, todo aquilo que intervén na vida de cada ser humano, e que este utiliza para facerse a si mesmo. Inclúe tanto o tempo pasado como o futuro, pero ambos unicamente teñen sentido e realidade en canto se fan presentes.</w:t>
      </w:r>
    </w:p>
    <w:p>
      <w:pPr>
        <w:pStyle w:val="ListParagraph"/>
        <w:numPr>
          <w:ilvl w:val="0"/>
          <w:numId w:val="3"/>
        </w:numPr>
        <w:ind w:left="-420" w:right="-227" w:hanging="360"/>
        <w:jc w:val="both"/>
        <w:rPr>
          <w:rFonts w:ascii="Arial" w:hAnsi="Arial" w:cs="Arial"/>
          <w:sz w:val="23"/>
          <w:szCs w:val="23"/>
        </w:rPr>
      </w:pPr>
      <w:r>
        <w:rPr>
          <w:rFonts w:cs="Arial" w:ascii="Arial" w:hAnsi="Arial"/>
          <w:b/>
          <w:bCs/>
          <w:sz w:val="23"/>
          <w:szCs w:val="23"/>
        </w:rPr>
        <w:t>Ideas e crenzas:</w:t>
      </w:r>
      <w:r>
        <w:rPr>
          <w:rFonts w:cs="Arial" w:ascii="Arial" w:hAnsi="Arial"/>
          <w:sz w:val="23"/>
          <w:szCs w:val="23"/>
        </w:rPr>
        <w:t xml:space="preserve"> Para Ortega, as ideas son pensamentos que construímos e dos que somos conscientes, mentres que as crenzas son pensamentos asumidos que apenas cuestionamos e que guían a nosa vida. Esta herdanza inclúe tanto acertos como erros, que forman a nosa “conciencia histórica”, un coñecemento do pasado que nos orienta na vida e do cal debemos aprender. Ortega distingue entre as meras “ideas”, que temos e podemos cuestionar, e as “crenzas” sobre as que se basea o noso vivir, coas que contamos en todo o que facemos e no que nos pasa. Vivimos sostidos polas crenzas que constitúen o noso mundo; identificámonos con elas ata tal punto que son os presupostos incuestionados e incuestionables do noso vivir. Elas constitúen “campos pragmáticos” que dan sentido a todos os acontecementos da nosa vida.</w:t>
      </w:r>
    </w:p>
    <w:p>
      <w:pPr>
        <w:pStyle w:val="ListParagraph"/>
        <w:numPr>
          <w:ilvl w:val="0"/>
          <w:numId w:val="3"/>
        </w:numPr>
        <w:ind w:left="-420" w:right="-227" w:hanging="360"/>
        <w:jc w:val="both"/>
        <w:rPr>
          <w:rFonts w:ascii="Arial" w:hAnsi="Arial" w:cs="Arial"/>
          <w:sz w:val="23"/>
          <w:szCs w:val="23"/>
        </w:rPr>
      </w:pPr>
      <w:r>
        <w:rPr>
          <w:rFonts w:cs="Arial" w:ascii="Arial" w:hAnsi="Arial"/>
          <w:b/>
          <w:bCs/>
          <w:sz w:val="23"/>
          <w:szCs w:val="23"/>
        </w:rPr>
        <w:t>Xeración</w:t>
      </w:r>
      <w:r>
        <w:rPr>
          <w:rFonts w:cs="Arial" w:ascii="Arial" w:hAnsi="Arial"/>
          <w:sz w:val="23"/>
          <w:szCs w:val="23"/>
        </w:rPr>
        <w:t>: Segundo Ortega, os protagonistas do devir histórico son as “xeracións”. Cada xeración componse de elites e masas, e inclúe todo tipo de profesións, cidadáns e clases. Nos anos vinte Ortega experimentou o dominio das masas nos espazos públicos, a deserción da elite intelectual e o triunfo dos movementos de masas no bolchevismo e o fascismo. Pensou que o ascenso das masas (totalitarismo) e a súa rebelión xeralizada contra a excelencia era o fenómeno máis significativo das sociedades occidentais no primeiro terzo do século XX. O dinamismo procede das elites; a masa é inerte, súmase aos proxectos das elites e déixase levar. A unha xeración pertencen os individuos nacidos entre os cinco anos anteriores e os cinco anos posteriores á data de nacemento. As xeracións, a súa vez, sucédense en intervalos duns quince anos. Nun presente histórico conviven tres xeracións. A xoven, que está comezando a abrirse paso no medio profesional e que non atopa as circunstancias do mundo ao seu gusto, nin ten poder de decisión para cambialas ao seu modo. A madura, que domina no medio profesional e que vive as súas propias circunstancias. A vella, que perdeu a súa influencia no medio profesional e que vive nun mundo pasado. Pensemos na xeración do 98 (Baroja, Azorín, Maeztu), logo na do 14 (Ortega, Ayala, Azaña, Marañón) e, posteriormente, na do 27 (Salinas, Lorca, Cernuda, Alberti, Guillén) na historia da literatura en España que vai de finais do s. XIX a comezos do XX.</w:t>
      </w:r>
    </w:p>
    <w:p>
      <w:pPr>
        <w:pStyle w:val="ListParagraph"/>
        <w:numPr>
          <w:ilvl w:val="0"/>
          <w:numId w:val="3"/>
        </w:numPr>
        <w:ind w:left="-420" w:right="-227" w:hanging="360"/>
        <w:jc w:val="both"/>
        <w:rPr>
          <w:rFonts w:ascii="Arial" w:hAnsi="Arial" w:cs="Arial"/>
          <w:sz w:val="23"/>
          <w:szCs w:val="23"/>
        </w:rPr>
      </w:pPr>
      <w:r>
        <w:rPr>
          <w:rFonts w:cs="Arial" w:ascii="Arial" w:hAnsi="Arial"/>
          <w:b/>
          <w:bCs/>
          <w:sz w:val="23"/>
          <w:szCs w:val="23"/>
        </w:rPr>
        <w:t>Razón poética</w:t>
      </w:r>
      <w:r>
        <w:rPr>
          <w:rFonts w:cs="Arial" w:ascii="Arial" w:hAnsi="Arial"/>
          <w:sz w:val="23"/>
          <w:szCs w:val="23"/>
        </w:rPr>
        <w:t>: Zambrano ensaiou unha razón poética que non é dedución, nin argumentación, senón un reflexionar e discorrer que chega ata a orixe emocional e pulsional das vivencias persoais, mobilizándoo ata depositalo nun discurso denso que dá sentido ás palabras clave da existencia. Esta razón poética convirte o delirio na busca pletórica de sentido; é unha razón que discorre co ser temporal, múltiple e cambiante da existencia, coñece con certeza o destino último do seu ser finito (a nada) e experimenta a angustia como estado de ánimo fundamental. Pero non se abandona á desesperación, senón que encontra na esperanza a súa pulsión salvadora fronte ao nihilismo. Esta razón, que ten momentos de luz búscase nas beiras da poesía, non reduce a comprensión á linguaxe, senón que remite a unha experiencia estética e mística. Dende 1955 o discurso de Zambrano experimenta a aspiración á mística, probablemente como resultado da aproximación do seu pensamento ao divino, do seu intento de descifrar o sentido do ser oculto.</w:t>
      </w:r>
    </w:p>
    <w:p>
      <w:pPr>
        <w:pStyle w:val="ListParagraph"/>
        <w:numPr>
          <w:ilvl w:val="0"/>
          <w:numId w:val="3"/>
        </w:numPr>
        <w:ind w:left="-420" w:right="-227" w:hanging="360"/>
        <w:jc w:val="both"/>
        <w:rPr>
          <w:rFonts w:ascii="Arial" w:hAnsi="Arial" w:cs="Arial"/>
          <w:sz w:val="23"/>
          <w:szCs w:val="23"/>
        </w:rPr>
      </w:pPr>
      <w:r>
        <w:rPr>
          <w:rFonts w:cs="Arial" w:ascii="Arial" w:hAnsi="Arial"/>
          <w:b/>
          <w:bCs/>
          <w:sz w:val="23"/>
          <w:szCs w:val="23"/>
        </w:rPr>
        <w:t>Aurora</w:t>
      </w:r>
      <w:r>
        <w:rPr>
          <w:rFonts w:cs="Arial" w:ascii="Arial" w:hAnsi="Arial"/>
          <w:sz w:val="23"/>
          <w:szCs w:val="23"/>
        </w:rPr>
        <w:t xml:space="preserve">: Para Zambrano a “aurora” é unha metáfora do orixinal e da iluminación, da presencia tranquilizadora e da esperanza de quen a desexa. A diferenza da luz cegadora da razón, a aurora é unha luz humilde e non soberbia, que se desvela pouco a pouco, reconciliándose coa vida e coa realidade. Zambrano refírese á conciencia auroral como unha conciencia aberta, atenta á totalidade e á riqueza oculta, que se acerca á orixe e á iluminación dunha realidade profunda. A aurora é fértil, non morre, dá luz á vida mesma, é “a fonte da fonte”, como afirma no seu escrito </w:t>
      </w:r>
      <w:r>
        <w:rPr>
          <w:rFonts w:cs="Arial" w:ascii="Arial" w:hAnsi="Arial"/>
          <w:i/>
          <w:iCs/>
          <w:sz w:val="23"/>
          <w:szCs w:val="23"/>
        </w:rPr>
        <w:t>De la Aurora</w:t>
      </w:r>
      <w:r>
        <w:rPr>
          <w:rFonts w:cs="Arial" w:ascii="Arial" w:hAnsi="Arial"/>
          <w:sz w:val="23"/>
          <w:szCs w:val="23"/>
        </w:rPr>
        <w:t>.</w:t>
      </w:r>
    </w:p>
    <w:p>
      <w:pPr>
        <w:pStyle w:val="ListParagraph"/>
        <w:numPr>
          <w:ilvl w:val="0"/>
          <w:numId w:val="3"/>
        </w:numPr>
        <w:spacing w:before="0" w:after="160"/>
        <w:ind w:left="-420" w:right="-227" w:hanging="360"/>
        <w:contextualSpacing/>
        <w:jc w:val="both"/>
        <w:rPr>
          <w:rFonts w:ascii="Arial" w:hAnsi="Arial" w:cs="Arial"/>
          <w:sz w:val="23"/>
          <w:szCs w:val="23"/>
        </w:rPr>
      </w:pPr>
      <w:r>
        <w:rPr>
          <w:rFonts w:cs="Arial" w:ascii="Arial" w:hAnsi="Arial"/>
          <w:b/>
          <w:bCs/>
          <w:sz w:val="23"/>
          <w:szCs w:val="23"/>
        </w:rPr>
        <w:t>O exilio</w:t>
      </w:r>
      <w:r>
        <w:rPr>
          <w:rFonts w:cs="Arial" w:ascii="Arial" w:hAnsi="Arial"/>
          <w:sz w:val="23"/>
          <w:szCs w:val="23"/>
        </w:rPr>
        <w:t>: Falar do exilio de María Zambrano é falar dunha vida que é todo un exilio; dun exilio que é toda unha vida. Corenta anos morando en distintos países e cidades como Caribe, México, América, Habana, Roma e París. Retardando o regreso, teméndoo, se cadra, por imposible, pola certeza de que ela se converteu, xa para sempre, nun ser errante e que naquela condición, tan absolutamente humana, ningún regreso a vai quitar de enriba dun sopro. Zambrano lembra o día, ata a hora mesma, na que ten que deixar España para sumarse ao destino compartido con moitos outros que, como ela, soñaron que unha República en España fose posible. Tampouco esta vez como un sopro, senón como un estalido en toda a súa persoa, chega ao exilio definitivo aquel 28 de xaneiro de 1939, ás dúas e vinte da tarde. Todo queda rexistrado nun dos cadernos que leva consigo para non esquecer acontecementos fundamentais como aquel. Para ela, a razón poética ofrece respostas distintas ás tradicionais, sendo unha facultade se que complementa e diferenza da razón vital de Ortega e da razón pura de Kant. É unha razón que conecta ao individuo co real no medio do seu profundo sentimento de desarraigamento e exilio vital.</w:t>
      </w:r>
    </w:p>
    <w:sectPr>
      <w:type w:val="nextPage"/>
      <w:pgSz w:w="11906" w:h="16838"/>
      <w:pgMar w:left="1701" w:right="1701"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303" w:hanging="360"/>
      </w:pPr>
    </w:lvl>
    <w:lvl w:ilvl="1">
      <w:start w:val="1"/>
      <w:numFmt w:val="lowerLetter"/>
      <w:lvlText w:val="%2."/>
      <w:lvlJc w:val="left"/>
      <w:pPr>
        <w:tabs>
          <w:tab w:val="num" w:pos="0"/>
        </w:tabs>
        <w:ind w:left="1023" w:hanging="360"/>
      </w:pPr>
    </w:lvl>
    <w:lvl w:ilvl="2">
      <w:start w:val="1"/>
      <w:numFmt w:val="lowerRoman"/>
      <w:lvlText w:val="%3."/>
      <w:lvlJc w:val="right"/>
      <w:pPr>
        <w:tabs>
          <w:tab w:val="num" w:pos="0"/>
        </w:tabs>
        <w:ind w:left="1743" w:hanging="180"/>
      </w:pPr>
    </w:lvl>
    <w:lvl w:ilvl="3">
      <w:start w:val="1"/>
      <w:numFmt w:val="decimal"/>
      <w:lvlText w:val="%4."/>
      <w:lvlJc w:val="left"/>
      <w:pPr>
        <w:tabs>
          <w:tab w:val="num" w:pos="0"/>
        </w:tabs>
        <w:ind w:left="2463" w:hanging="360"/>
      </w:pPr>
    </w:lvl>
    <w:lvl w:ilvl="4">
      <w:start w:val="1"/>
      <w:numFmt w:val="lowerLetter"/>
      <w:lvlText w:val="%5."/>
      <w:lvlJc w:val="left"/>
      <w:pPr>
        <w:tabs>
          <w:tab w:val="num" w:pos="0"/>
        </w:tabs>
        <w:ind w:left="3183" w:hanging="360"/>
      </w:pPr>
    </w:lvl>
    <w:lvl w:ilvl="5">
      <w:start w:val="1"/>
      <w:numFmt w:val="lowerRoman"/>
      <w:lvlText w:val="%6."/>
      <w:lvlJc w:val="right"/>
      <w:pPr>
        <w:tabs>
          <w:tab w:val="num" w:pos="0"/>
        </w:tabs>
        <w:ind w:left="3903" w:hanging="180"/>
      </w:pPr>
    </w:lvl>
    <w:lvl w:ilvl="6">
      <w:start w:val="1"/>
      <w:numFmt w:val="decimal"/>
      <w:lvlText w:val="%7."/>
      <w:lvlJc w:val="left"/>
      <w:pPr>
        <w:tabs>
          <w:tab w:val="num" w:pos="0"/>
        </w:tabs>
        <w:ind w:left="4623" w:hanging="360"/>
      </w:pPr>
    </w:lvl>
    <w:lvl w:ilvl="7">
      <w:start w:val="1"/>
      <w:numFmt w:val="lowerLetter"/>
      <w:lvlText w:val="%8."/>
      <w:lvlJc w:val="left"/>
      <w:pPr>
        <w:tabs>
          <w:tab w:val="num" w:pos="0"/>
        </w:tabs>
        <w:ind w:left="5343" w:hanging="360"/>
      </w:pPr>
    </w:lvl>
    <w:lvl w:ilvl="8">
      <w:start w:val="1"/>
      <w:numFmt w:val="lowerRoman"/>
      <w:lvlText w:val="%9."/>
      <w:lvlJc w:val="right"/>
      <w:pPr>
        <w:tabs>
          <w:tab w:val="num" w:pos="0"/>
        </w:tabs>
        <w:ind w:left="6063" w:hanging="18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
  <w:hyphenationZone w:val="425"/>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s-E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17e31"/>
    <w:pPr>
      <w:widowControl/>
      <w:suppressAutoHyphens w:val="true"/>
      <w:bidi w:val="0"/>
      <w:spacing w:lineRule="auto" w:line="276" w:before="0" w:after="160"/>
      <w:jc w:val="left"/>
    </w:pPr>
    <w:rPr>
      <w:rFonts w:ascii="Aptos" w:hAnsi="Aptos" w:eastAsia="Aptos" w:cs="" w:asciiTheme="minorHAnsi" w:cstheme="minorBidi" w:eastAsiaTheme="minorHAnsi" w:hAnsiTheme="minorHAnsi"/>
      <w:color w:val="auto"/>
      <w:kern w:val="2"/>
      <w:sz w:val="24"/>
      <w:szCs w:val="24"/>
      <w:lang w:val="es-ES" w:eastAsia="en-US" w:bidi="ar-SA"/>
    </w:rPr>
  </w:style>
  <w:style w:type="paragraph" w:styleId="Ttulo1" w:customStyle="1">
    <w:name w:val="Heading 1"/>
    <w:basedOn w:val="Normal"/>
    <w:next w:val="Normal"/>
    <w:link w:val="Ttulo1Car"/>
    <w:uiPriority w:val="9"/>
    <w:qFormat/>
    <w:rsid w:val="00fa5f72"/>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Ttulo2" w:customStyle="1">
    <w:name w:val="Heading 2"/>
    <w:basedOn w:val="Normal"/>
    <w:next w:val="Normal"/>
    <w:link w:val="Ttulo2Car"/>
    <w:uiPriority w:val="9"/>
    <w:semiHidden/>
    <w:unhideWhenUsed/>
    <w:qFormat/>
    <w:rsid w:val="00fa5f72"/>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Ttulo3" w:customStyle="1">
    <w:name w:val="Heading 3"/>
    <w:basedOn w:val="Normal"/>
    <w:next w:val="Normal"/>
    <w:link w:val="Ttulo3Car"/>
    <w:uiPriority w:val="9"/>
    <w:semiHidden/>
    <w:unhideWhenUsed/>
    <w:qFormat/>
    <w:rsid w:val="00fa5f72"/>
    <w:pPr>
      <w:keepNext w:val="true"/>
      <w:keepLines/>
      <w:spacing w:before="160" w:after="80"/>
      <w:outlineLvl w:val="2"/>
    </w:pPr>
    <w:rPr>
      <w:rFonts w:eastAsia="" w:cs="" w:cstheme="majorBidi" w:eastAsiaTheme="majorEastAsia"/>
      <w:color w:val="0F4761" w:themeColor="accent1" w:themeShade="bf"/>
      <w:sz w:val="28"/>
      <w:szCs w:val="28"/>
    </w:rPr>
  </w:style>
  <w:style w:type="paragraph" w:styleId="Ttulo4" w:customStyle="1">
    <w:name w:val="Heading 4"/>
    <w:basedOn w:val="Normal"/>
    <w:next w:val="Normal"/>
    <w:link w:val="Ttulo4Car"/>
    <w:uiPriority w:val="9"/>
    <w:semiHidden/>
    <w:unhideWhenUsed/>
    <w:qFormat/>
    <w:rsid w:val="00fa5f72"/>
    <w:pPr>
      <w:keepNext w:val="true"/>
      <w:keepLines/>
      <w:spacing w:before="80" w:after="40"/>
      <w:outlineLvl w:val="3"/>
    </w:pPr>
    <w:rPr>
      <w:rFonts w:eastAsia="" w:cs="" w:cstheme="majorBidi" w:eastAsiaTheme="majorEastAsia"/>
      <w:i/>
      <w:iCs/>
      <w:color w:val="0F4761" w:themeColor="accent1" w:themeShade="bf"/>
    </w:rPr>
  </w:style>
  <w:style w:type="paragraph" w:styleId="Ttulo5" w:customStyle="1">
    <w:name w:val="Heading 5"/>
    <w:basedOn w:val="Normal"/>
    <w:next w:val="Normal"/>
    <w:link w:val="Ttulo5Car"/>
    <w:uiPriority w:val="9"/>
    <w:semiHidden/>
    <w:unhideWhenUsed/>
    <w:qFormat/>
    <w:rsid w:val="00fa5f72"/>
    <w:pPr>
      <w:keepNext w:val="true"/>
      <w:keepLines/>
      <w:spacing w:before="80" w:after="40"/>
      <w:outlineLvl w:val="4"/>
    </w:pPr>
    <w:rPr>
      <w:rFonts w:eastAsia="" w:cs="" w:cstheme="majorBidi" w:eastAsiaTheme="majorEastAsia"/>
      <w:color w:val="0F4761" w:themeColor="accent1" w:themeShade="bf"/>
    </w:rPr>
  </w:style>
  <w:style w:type="paragraph" w:styleId="Ttulo6" w:customStyle="1">
    <w:name w:val="Heading 6"/>
    <w:basedOn w:val="Normal"/>
    <w:next w:val="Normal"/>
    <w:link w:val="Ttulo6Car"/>
    <w:uiPriority w:val="9"/>
    <w:semiHidden/>
    <w:unhideWhenUsed/>
    <w:qFormat/>
    <w:rsid w:val="00fa5f72"/>
    <w:pPr>
      <w:keepNext w:val="true"/>
      <w:keepLines/>
      <w:spacing w:before="40" w:after="0"/>
      <w:outlineLvl w:val="5"/>
    </w:pPr>
    <w:rPr>
      <w:rFonts w:eastAsia="" w:cs="" w:cstheme="majorBidi" w:eastAsiaTheme="majorEastAsia"/>
      <w:i/>
      <w:iCs/>
      <w:color w:val="595959" w:themeColor="text1" w:themeTint="a6"/>
    </w:rPr>
  </w:style>
  <w:style w:type="paragraph" w:styleId="Ttulo7" w:customStyle="1">
    <w:name w:val="Heading 7"/>
    <w:basedOn w:val="Normal"/>
    <w:next w:val="Normal"/>
    <w:link w:val="Ttulo7Car"/>
    <w:uiPriority w:val="9"/>
    <w:semiHidden/>
    <w:unhideWhenUsed/>
    <w:qFormat/>
    <w:rsid w:val="00fa5f72"/>
    <w:pPr>
      <w:keepNext w:val="true"/>
      <w:keepLines/>
      <w:spacing w:before="40" w:after="0"/>
      <w:outlineLvl w:val="6"/>
    </w:pPr>
    <w:rPr>
      <w:rFonts w:eastAsia="" w:cs="" w:cstheme="majorBidi" w:eastAsiaTheme="majorEastAsia"/>
      <w:color w:val="595959" w:themeColor="text1" w:themeTint="a6"/>
    </w:rPr>
  </w:style>
  <w:style w:type="paragraph" w:styleId="Ttulo8" w:customStyle="1">
    <w:name w:val="Heading 8"/>
    <w:basedOn w:val="Normal"/>
    <w:next w:val="Normal"/>
    <w:link w:val="Ttulo8Car"/>
    <w:uiPriority w:val="9"/>
    <w:semiHidden/>
    <w:unhideWhenUsed/>
    <w:qFormat/>
    <w:rsid w:val="00fa5f72"/>
    <w:pPr>
      <w:keepNext w:val="true"/>
      <w:keepLines/>
      <w:spacing w:before="0" w:after="0"/>
      <w:outlineLvl w:val="7"/>
    </w:pPr>
    <w:rPr>
      <w:rFonts w:eastAsia="" w:cs="" w:cstheme="majorBidi" w:eastAsiaTheme="majorEastAsia"/>
      <w:i/>
      <w:iCs/>
      <w:color w:val="272727" w:themeColor="text1" w:themeTint="d8"/>
    </w:rPr>
  </w:style>
  <w:style w:type="paragraph" w:styleId="Ttulo9" w:customStyle="1">
    <w:name w:val="Heading 9"/>
    <w:basedOn w:val="Normal"/>
    <w:next w:val="Normal"/>
    <w:link w:val="Ttulo9Car"/>
    <w:uiPriority w:val="9"/>
    <w:semiHidden/>
    <w:unhideWhenUsed/>
    <w:qFormat/>
    <w:rsid w:val="00fa5f72"/>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Ttulo1Car" w:customStyle="1">
    <w:name w:val="Título 1 Car"/>
    <w:basedOn w:val="DefaultParagraphFont"/>
    <w:link w:val="Heading1"/>
    <w:uiPriority w:val="9"/>
    <w:qFormat/>
    <w:rsid w:val="00fa5f72"/>
    <w:rPr>
      <w:rFonts w:ascii="Aptos Display" w:hAnsi="Aptos Display" w:eastAsia="" w:cs="" w:asciiTheme="majorHAnsi" w:cstheme="majorBidi" w:eastAsiaTheme="majorEastAsia" w:hAnsiTheme="majorHAnsi"/>
      <w:color w:val="0F4761" w:themeColor="accent1" w:themeShade="bf"/>
      <w:sz w:val="40"/>
      <w:szCs w:val="40"/>
    </w:rPr>
  </w:style>
  <w:style w:type="character" w:styleId="Ttulo2Car" w:customStyle="1">
    <w:name w:val="Título 2 Car"/>
    <w:basedOn w:val="DefaultParagraphFont"/>
    <w:link w:val="Heading2"/>
    <w:uiPriority w:val="9"/>
    <w:semiHidden/>
    <w:qFormat/>
    <w:rsid w:val="00fa5f72"/>
    <w:rPr>
      <w:rFonts w:ascii="Aptos Display" w:hAnsi="Aptos Display" w:eastAsia="" w:cs="" w:asciiTheme="majorHAnsi" w:cstheme="majorBidi" w:eastAsiaTheme="majorEastAsia" w:hAnsiTheme="majorHAnsi"/>
      <w:color w:val="0F4761" w:themeColor="accent1" w:themeShade="bf"/>
      <w:sz w:val="32"/>
      <w:szCs w:val="32"/>
    </w:rPr>
  </w:style>
  <w:style w:type="character" w:styleId="Ttulo3Car" w:customStyle="1">
    <w:name w:val="Título 3 Car"/>
    <w:basedOn w:val="DefaultParagraphFont"/>
    <w:link w:val="Heading3"/>
    <w:uiPriority w:val="9"/>
    <w:semiHidden/>
    <w:qFormat/>
    <w:rsid w:val="00fa5f72"/>
    <w:rPr>
      <w:rFonts w:eastAsia="" w:cs="" w:cstheme="majorBidi" w:eastAsiaTheme="majorEastAsia"/>
      <w:color w:val="0F4761" w:themeColor="accent1" w:themeShade="bf"/>
      <w:sz w:val="28"/>
      <w:szCs w:val="28"/>
    </w:rPr>
  </w:style>
  <w:style w:type="character" w:styleId="Ttulo4Car" w:customStyle="1">
    <w:name w:val="Título 4 Car"/>
    <w:basedOn w:val="DefaultParagraphFont"/>
    <w:link w:val="Heading4"/>
    <w:uiPriority w:val="9"/>
    <w:semiHidden/>
    <w:qFormat/>
    <w:rsid w:val="00fa5f72"/>
    <w:rPr>
      <w:rFonts w:eastAsia="" w:cs="" w:cstheme="majorBidi" w:eastAsiaTheme="majorEastAsia"/>
      <w:i/>
      <w:iCs/>
      <w:color w:val="0F4761" w:themeColor="accent1" w:themeShade="bf"/>
    </w:rPr>
  </w:style>
  <w:style w:type="character" w:styleId="Ttulo5Car" w:customStyle="1">
    <w:name w:val="Título 5 Car"/>
    <w:basedOn w:val="DefaultParagraphFont"/>
    <w:link w:val="Heading5"/>
    <w:uiPriority w:val="9"/>
    <w:semiHidden/>
    <w:qFormat/>
    <w:rsid w:val="00fa5f72"/>
    <w:rPr>
      <w:rFonts w:eastAsia="" w:cs="" w:cstheme="majorBidi" w:eastAsiaTheme="majorEastAsia"/>
      <w:color w:val="0F4761" w:themeColor="accent1" w:themeShade="bf"/>
    </w:rPr>
  </w:style>
  <w:style w:type="character" w:styleId="Ttulo6Car" w:customStyle="1">
    <w:name w:val="Título 6 Car"/>
    <w:basedOn w:val="DefaultParagraphFont"/>
    <w:link w:val="Heading6"/>
    <w:uiPriority w:val="9"/>
    <w:semiHidden/>
    <w:qFormat/>
    <w:rsid w:val="00fa5f72"/>
    <w:rPr>
      <w:rFonts w:eastAsia="" w:cs="" w:cstheme="majorBidi" w:eastAsiaTheme="majorEastAsia"/>
      <w:i/>
      <w:iCs/>
      <w:color w:val="595959" w:themeColor="text1" w:themeTint="a6"/>
    </w:rPr>
  </w:style>
  <w:style w:type="character" w:styleId="Ttulo7Car" w:customStyle="1">
    <w:name w:val="Título 7 Car"/>
    <w:basedOn w:val="DefaultParagraphFont"/>
    <w:link w:val="Heading7"/>
    <w:uiPriority w:val="9"/>
    <w:semiHidden/>
    <w:qFormat/>
    <w:rsid w:val="00fa5f72"/>
    <w:rPr>
      <w:rFonts w:eastAsia="" w:cs="" w:cstheme="majorBidi" w:eastAsiaTheme="majorEastAsia"/>
      <w:color w:val="595959" w:themeColor="text1" w:themeTint="a6"/>
    </w:rPr>
  </w:style>
  <w:style w:type="character" w:styleId="Ttulo8Car" w:customStyle="1">
    <w:name w:val="Título 8 Car"/>
    <w:basedOn w:val="DefaultParagraphFont"/>
    <w:link w:val="Heading8"/>
    <w:uiPriority w:val="9"/>
    <w:semiHidden/>
    <w:qFormat/>
    <w:rsid w:val="00fa5f72"/>
    <w:rPr>
      <w:rFonts w:eastAsia="" w:cs="" w:cstheme="majorBidi" w:eastAsiaTheme="majorEastAsia"/>
      <w:i/>
      <w:iCs/>
      <w:color w:val="272727" w:themeColor="text1" w:themeTint="d8"/>
    </w:rPr>
  </w:style>
  <w:style w:type="character" w:styleId="Ttulo9Car" w:customStyle="1">
    <w:name w:val="Título 9 Car"/>
    <w:basedOn w:val="DefaultParagraphFont"/>
    <w:link w:val="Heading9"/>
    <w:uiPriority w:val="9"/>
    <w:semiHidden/>
    <w:qFormat/>
    <w:rsid w:val="00fa5f72"/>
    <w:rPr>
      <w:rFonts w:eastAsia="" w:cs="" w:cstheme="majorBidi" w:eastAsiaTheme="majorEastAsia"/>
      <w:color w:val="272727" w:themeColor="text1" w:themeTint="d8"/>
    </w:rPr>
  </w:style>
  <w:style w:type="character" w:styleId="TtuloCar" w:customStyle="1">
    <w:name w:val="Título Car"/>
    <w:basedOn w:val="DefaultParagraphFont"/>
    <w:link w:val="Ttulo"/>
    <w:uiPriority w:val="10"/>
    <w:qFormat/>
    <w:rsid w:val="00fa5f72"/>
    <w:rPr>
      <w:rFonts w:ascii="Aptos Display" w:hAnsi="Aptos Display" w:eastAsia="" w:cs="" w:asciiTheme="majorHAnsi" w:cstheme="majorBidi" w:eastAsiaTheme="majorEastAsia" w:hAnsiTheme="majorHAnsi"/>
      <w:spacing w:val="-10"/>
      <w:kern w:val="2"/>
      <w:sz w:val="56"/>
      <w:szCs w:val="56"/>
    </w:rPr>
  </w:style>
  <w:style w:type="character" w:styleId="SubttuloCar" w:customStyle="1">
    <w:name w:val="Subtítulo Car"/>
    <w:basedOn w:val="DefaultParagraphFont"/>
    <w:link w:val="Subttulo"/>
    <w:uiPriority w:val="11"/>
    <w:qFormat/>
    <w:rsid w:val="00fa5f72"/>
    <w:rPr>
      <w:rFonts w:eastAsia="" w:cs="" w:cstheme="majorBidi" w:eastAsiaTheme="majorEastAsia"/>
      <w:color w:val="595959" w:themeColor="text1" w:themeTint="a6"/>
      <w:spacing w:val="15"/>
      <w:sz w:val="28"/>
      <w:szCs w:val="28"/>
    </w:rPr>
  </w:style>
  <w:style w:type="character" w:styleId="CitaCar" w:customStyle="1">
    <w:name w:val="Cita Car"/>
    <w:basedOn w:val="DefaultParagraphFont"/>
    <w:link w:val="Cita"/>
    <w:uiPriority w:val="29"/>
    <w:qFormat/>
    <w:rsid w:val="00fa5f72"/>
    <w:rPr>
      <w:i/>
      <w:iCs/>
      <w:color w:val="404040" w:themeColor="text1" w:themeTint="bf"/>
    </w:rPr>
  </w:style>
  <w:style w:type="character" w:styleId="IntenseEmphasis">
    <w:name w:val="Intense Emphasis"/>
    <w:basedOn w:val="DefaultParagraphFont"/>
    <w:uiPriority w:val="21"/>
    <w:qFormat/>
    <w:rsid w:val="00fa5f72"/>
    <w:rPr>
      <w:i/>
      <w:iCs/>
      <w:color w:val="0F4761" w:themeColor="accent1" w:themeShade="bf"/>
    </w:rPr>
  </w:style>
  <w:style w:type="character" w:styleId="CitadestacadaCar" w:customStyle="1">
    <w:name w:val="Cita destacada Car"/>
    <w:basedOn w:val="DefaultParagraphFont"/>
    <w:link w:val="Citadestacada"/>
    <w:uiPriority w:val="30"/>
    <w:qFormat/>
    <w:rsid w:val="00fa5f72"/>
    <w:rPr>
      <w:i/>
      <w:iCs/>
      <w:color w:val="0F4761" w:themeColor="accent1" w:themeShade="bf"/>
    </w:rPr>
  </w:style>
  <w:style w:type="character" w:styleId="IntenseReference">
    <w:name w:val="Intense Reference"/>
    <w:basedOn w:val="DefaultParagraphFont"/>
    <w:uiPriority w:val="32"/>
    <w:qFormat/>
    <w:rsid w:val="00fa5f72"/>
    <w:rPr>
      <w:b/>
      <w:bCs/>
      <w:smallCaps/>
      <w:color w:val="0F4761" w:themeColor="accent1" w:themeShade="bf"/>
      <w:spacing w:val="5"/>
    </w:rPr>
  </w:style>
  <w:style w:type="character" w:styleId="Ligazndainternet" w:customStyle="1">
    <w:name w:val="Ligazón da internet"/>
    <w:basedOn w:val="DefaultParagraphFont"/>
    <w:uiPriority w:val="99"/>
    <w:unhideWhenUsed/>
    <w:qFormat/>
    <w:rsid w:val="00254a5b"/>
    <w:rPr>
      <w:color w:val="467886" w:themeColor="hyperlink"/>
      <w:u w:val="single"/>
    </w:rPr>
  </w:style>
  <w:style w:type="character" w:styleId="UnresolvedMention" w:customStyle="1">
    <w:name w:val="Unresolved Mention"/>
    <w:basedOn w:val="DefaultParagraphFont"/>
    <w:uiPriority w:val="99"/>
    <w:semiHidden/>
    <w:unhideWhenUsed/>
    <w:qFormat/>
    <w:rsid w:val="00254a5b"/>
    <w:rPr>
      <w:color w:val="605E5C"/>
      <w:shd w:fill="E1DFDD" w:val="clear"/>
    </w:rPr>
  </w:style>
  <w:style w:type="paragraph" w:styleId="Ttulo">
    <w:name w:val="Título"/>
    <w:basedOn w:val="Normal"/>
    <w:next w:val="Cuerpodetexto"/>
    <w:qFormat/>
    <w:pPr>
      <w:keepNext w:val="true"/>
      <w:spacing w:before="240" w:after="120"/>
    </w:pPr>
    <w:rPr>
      <w:rFonts w:ascii="Liberation Sans" w:hAnsi="Liberation Sans" w:eastAsia="DejaVu Sans" w:cs="FreeSans"/>
      <w:sz w:val="28"/>
      <w:szCs w:val="28"/>
    </w:rPr>
  </w:style>
  <w:style w:type="paragraph" w:styleId="Cuerpodetexto">
    <w:name w:val="Body Text"/>
    <w:basedOn w:val="Normal"/>
    <w:rsid w:val="00517e31"/>
    <w:pPr>
      <w:spacing w:before="0" w:after="140"/>
    </w:pPr>
    <w:rPr/>
  </w:style>
  <w:style w:type="paragraph" w:styleId="Lista">
    <w:name w:val="List"/>
    <w:basedOn w:val="Cuerpodetexto"/>
    <w:rsid w:val="00517e31"/>
    <w:pPr/>
    <w:rPr>
      <w:rFonts w:cs="FreeSans"/>
    </w:rPr>
  </w:style>
  <w:style w:type="paragraph" w:styleId="Leyenda" w:customStyle="1">
    <w:name w:val="Caption"/>
    <w:basedOn w:val="Normal"/>
    <w:qFormat/>
    <w:rsid w:val="00517e31"/>
    <w:pPr>
      <w:suppressLineNumbers/>
      <w:spacing w:before="120" w:after="120"/>
    </w:pPr>
    <w:rPr>
      <w:rFonts w:cs="FreeSans"/>
      <w:i/>
      <w:iCs/>
    </w:rPr>
  </w:style>
  <w:style w:type="paragraph" w:styleId="Ndice" w:customStyle="1">
    <w:name w:val="Índice"/>
    <w:basedOn w:val="Normal"/>
    <w:qFormat/>
    <w:rsid w:val="00517e31"/>
    <w:pPr>
      <w:suppressLineNumbers/>
    </w:pPr>
    <w:rPr>
      <w:rFonts w:cs="FreeSans"/>
    </w:rPr>
  </w:style>
  <w:style w:type="paragraph" w:styleId="Ttulogeneral">
    <w:name w:val="Title"/>
    <w:basedOn w:val="Normal"/>
    <w:next w:val="Cuerpodetexto"/>
    <w:link w:val="TtuloCar"/>
    <w:uiPriority w:val="10"/>
    <w:qFormat/>
    <w:rsid w:val="00fa5f72"/>
    <w:pPr>
      <w:spacing w:lineRule="auto" w:line="240" w:before="0" w:after="80"/>
      <w:contextualSpacing/>
    </w:pPr>
    <w:rPr>
      <w:rFonts w:ascii="Aptos Display" w:hAnsi="Aptos Display" w:eastAsia="" w:cs="" w:asciiTheme="majorHAnsi" w:cstheme="majorBidi" w:eastAsiaTheme="majorEastAsia" w:hAnsiTheme="majorHAnsi"/>
      <w:spacing w:val="-10"/>
      <w:sz w:val="56"/>
      <w:szCs w:val="56"/>
    </w:rPr>
  </w:style>
  <w:style w:type="paragraph" w:styleId="Subttulo">
    <w:name w:val="Subtitle"/>
    <w:basedOn w:val="Normal"/>
    <w:next w:val="Normal"/>
    <w:link w:val="SubttuloCar"/>
    <w:uiPriority w:val="11"/>
    <w:qFormat/>
    <w:rsid w:val="00fa5f72"/>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aCar"/>
    <w:uiPriority w:val="29"/>
    <w:qFormat/>
    <w:rsid w:val="00fa5f72"/>
    <w:pPr>
      <w:spacing w:before="160" w:after="160"/>
      <w:jc w:val="center"/>
    </w:pPr>
    <w:rPr>
      <w:i/>
      <w:iCs/>
      <w:color w:val="404040" w:themeColor="text1" w:themeTint="bf"/>
    </w:rPr>
  </w:style>
  <w:style w:type="paragraph" w:styleId="ListParagraph">
    <w:name w:val="List Paragraph"/>
    <w:basedOn w:val="Normal"/>
    <w:uiPriority w:val="34"/>
    <w:qFormat/>
    <w:rsid w:val="00fa5f72"/>
    <w:pPr>
      <w:spacing w:before="0" w:after="160"/>
      <w:ind w:left="720" w:hanging="0"/>
      <w:contextualSpacing/>
    </w:pPr>
    <w:rPr/>
  </w:style>
  <w:style w:type="paragraph" w:styleId="IntenseQuote">
    <w:name w:val="Intense Quote"/>
    <w:basedOn w:val="Normal"/>
    <w:next w:val="Normal"/>
    <w:link w:val="CitadestacadaCar"/>
    <w:uiPriority w:val="30"/>
    <w:qFormat/>
    <w:rsid w:val="00fa5f72"/>
    <w:pPr>
      <w:pBdr>
        <w:top w:val="single" w:sz="4" w:space="10" w:color="0F4761"/>
        <w:bottom w:val="single" w:sz="4" w:space="10" w:color="0F4761"/>
      </w:pBdr>
      <w:spacing w:before="360" w:after="360"/>
      <w:ind w:left="864" w:right="864" w:hanging="0"/>
      <w:jc w:val="center"/>
    </w:pPr>
    <w:rPr>
      <w:i/>
      <w:iCs/>
      <w:color w:val="0F4761" w:themeColor="accent1" w:themeShade="bf"/>
    </w:rPr>
  </w:style>
  <w:style w:type="numbering" w:styleId="NoList" w:default="1">
    <w:name w:val="No List"/>
    <w:uiPriority w:val="99"/>
    <w:semiHidden/>
    <w:unhideWhenUsed/>
    <w:qFormat/>
  </w:style>
  <w:style w:type="table" w:default="1" w:styleId="Tabla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8EF34-77CE-48E1-AF3B-169C85CE2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LibreOffice/7.1.2.2$Windows_X86_64 LibreOffice_project/8a45595d069ef5570103caea1b71cc9d82b2aae4</Application>
  <AppVersion>15.0000</AppVersion>
  <Pages>3</Pages>
  <Words>2878</Words>
  <Characters>14530</Characters>
  <CharactersWithSpaces>17357</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2026-03-24T16:54:00Z</dcterms:created>
  <dc:creator>Olalla BL</dc:creator>
  <dc:description/>
  <dc:language>gl-ES</dc:language>
  <cp:lastModifiedBy>Usuario</cp:lastModifiedBy>
  <dcterms:modified xsi:type="dcterms:W3CDTF">2026-03-24T16:54:00Z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