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3E" w:rsidRDefault="00A9518A">
      <w:pPr>
        <w:shd w:val="clear" w:color="auto" w:fill="8EB4E3"/>
        <w:spacing w:after="302" w:line="236" w:lineRule="auto"/>
        <w:ind w:left="0" w:firstLine="0"/>
        <w:jc w:val="center"/>
      </w:pPr>
      <w:r>
        <w:rPr>
          <w:sz w:val="86"/>
        </w:rPr>
        <w:t>4. SINTAGMA PREPOSICIONAL (</w:t>
      </w:r>
      <w:proofErr w:type="spellStart"/>
      <w:r>
        <w:rPr>
          <w:sz w:val="86"/>
        </w:rPr>
        <w:t>SPrep</w:t>
      </w:r>
      <w:proofErr w:type="spellEnd"/>
      <w:r>
        <w:rPr>
          <w:sz w:val="86"/>
        </w:rPr>
        <w:t>) E + T</w:t>
      </w:r>
    </w:p>
    <w:p w:rsidR="00997D3E" w:rsidRDefault="00A9518A">
      <w:pPr>
        <w:numPr>
          <w:ilvl w:val="0"/>
          <w:numId w:val="1"/>
        </w:numPr>
        <w:ind w:right="806" w:hanging="540"/>
      </w:pPr>
      <w:r>
        <w:t xml:space="preserve">El </w:t>
      </w:r>
      <w:r>
        <w:rPr>
          <w:color w:val="FF0000"/>
        </w:rPr>
        <w:t xml:space="preserve">enlace </w:t>
      </w:r>
      <w:r>
        <w:t>es una preposición: “</w:t>
      </w:r>
      <w:r>
        <w:rPr>
          <w:u w:val="single" w:color="000000"/>
        </w:rPr>
        <w:t xml:space="preserve">por </w:t>
      </w:r>
      <w:r>
        <w:t>la lluvia”.</w:t>
      </w:r>
    </w:p>
    <w:p w:rsidR="00997D3E" w:rsidRDefault="00A9518A">
      <w:pPr>
        <w:numPr>
          <w:ilvl w:val="0"/>
          <w:numId w:val="1"/>
        </w:numPr>
        <w:ind w:right="806" w:hanging="540"/>
      </w:pPr>
      <w:r>
        <w:t xml:space="preserve">El </w:t>
      </w:r>
      <w:r>
        <w:rPr>
          <w:color w:val="FF0000"/>
        </w:rPr>
        <w:t xml:space="preserve">término </w:t>
      </w:r>
      <w:r>
        <w:t xml:space="preserve">es casi siempre un sintagma nominal (“por </w:t>
      </w:r>
      <w:r>
        <w:rPr>
          <w:u w:val="single" w:color="000000"/>
        </w:rPr>
        <w:t>la</w:t>
      </w:r>
      <w:r>
        <w:t xml:space="preserve"> </w:t>
      </w:r>
      <w:r>
        <w:rPr>
          <w:u w:val="single" w:color="000000"/>
        </w:rPr>
        <w:t>lluvia</w:t>
      </w:r>
      <w:r>
        <w:t xml:space="preserve">”). Sin embargo, también podría ser un sintagma adjetival (“[así] de </w:t>
      </w:r>
      <w:r>
        <w:rPr>
          <w:u w:val="single" w:color="000000"/>
        </w:rPr>
        <w:t>fácil</w:t>
      </w:r>
      <w:r>
        <w:t xml:space="preserve">”) o adverbial (“[salí] de </w:t>
      </w:r>
      <w:r>
        <w:rPr>
          <w:u w:val="single" w:color="000000"/>
        </w:rPr>
        <w:t>allí</w:t>
      </w:r>
      <w:r>
        <w:t>”).</w:t>
      </w:r>
    </w:p>
    <w:p w:rsidR="00997D3E" w:rsidRDefault="00A9518A" w:rsidP="00974738">
      <w:pPr>
        <w:numPr>
          <w:ilvl w:val="0"/>
          <w:numId w:val="1"/>
        </w:numPr>
        <w:ind w:right="806" w:hanging="540"/>
      </w:pPr>
      <w:r>
        <w:t>El sintagma preposicional siempr</w:t>
      </w:r>
      <w:r w:rsidR="00974738">
        <w:t>e va a depender de otra palabra</w:t>
      </w:r>
      <w:bookmarkStart w:id="0" w:name="_GoBack"/>
      <w:bookmarkEnd w:id="0"/>
      <w:r>
        <w:t xml:space="preserve">, por lo que será CN, </w:t>
      </w:r>
      <w:proofErr w:type="spellStart"/>
      <w:r>
        <w:t>CAdj</w:t>
      </w:r>
      <w:proofErr w:type="spellEnd"/>
      <w:r>
        <w:t xml:space="preserve">, </w:t>
      </w:r>
      <w:proofErr w:type="spellStart"/>
      <w:r>
        <w:t>CAdv</w:t>
      </w:r>
      <w:proofErr w:type="spellEnd"/>
      <w:r>
        <w:t xml:space="preserve"> o CV.</w:t>
      </w:r>
    </w:p>
    <w:sectPr w:rsidR="00997D3E">
      <w:pgSz w:w="14400" w:h="10800" w:orient="landscape"/>
      <w:pgMar w:top="1440" w:right="585" w:bottom="1440" w:left="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05F89"/>
    <w:multiLevelType w:val="hybridMultilevel"/>
    <w:tmpl w:val="A432B4DA"/>
    <w:lvl w:ilvl="0" w:tplc="A634849C">
      <w:start w:val="1"/>
      <w:numFmt w:val="bullet"/>
      <w:lvlText w:val="•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3D05D4C">
      <w:start w:val="1"/>
      <w:numFmt w:val="bullet"/>
      <w:lvlText w:val="o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F92FABE">
      <w:start w:val="1"/>
      <w:numFmt w:val="bullet"/>
      <w:lvlText w:val="▪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D0DE712A">
      <w:start w:val="1"/>
      <w:numFmt w:val="bullet"/>
      <w:lvlText w:val="•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F40273D0">
      <w:start w:val="1"/>
      <w:numFmt w:val="bullet"/>
      <w:lvlText w:val="o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EC46D28">
      <w:start w:val="1"/>
      <w:numFmt w:val="bullet"/>
      <w:lvlText w:val="▪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21EA8B40">
      <w:start w:val="1"/>
      <w:numFmt w:val="bullet"/>
      <w:lvlText w:val="•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83F8365C">
      <w:start w:val="1"/>
      <w:numFmt w:val="bullet"/>
      <w:lvlText w:val="o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6EE712E">
      <w:start w:val="1"/>
      <w:numFmt w:val="bullet"/>
      <w:lvlText w:val="▪"/>
      <w:lvlJc w:val="left"/>
      <w:pPr>
        <w:ind w:left="7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3E"/>
    <w:rsid w:val="00974738"/>
    <w:rsid w:val="00997D3E"/>
    <w:rsid w:val="00A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E87CB-7C41-4712-B355-C44CDE5D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29" w:line="243" w:lineRule="auto"/>
      <w:ind w:left="1598" w:hanging="550"/>
      <w:jc w:val="both"/>
    </w:pPr>
    <w:rPr>
      <w:rFonts w:ascii="Calibri" w:eastAsia="Calibri" w:hAnsi="Calibri" w:cs="Calibri"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8: LITERATURA VANGUARDISTA. LA GENERACIÓN DEL 27</dc:title>
  <dc:subject/>
  <dc:creator>Berta Fortes Belloc</dc:creator>
  <cp:keywords/>
  <cp:lastModifiedBy>Usuario</cp:lastModifiedBy>
  <cp:revision>3</cp:revision>
  <dcterms:created xsi:type="dcterms:W3CDTF">2022-01-10T15:20:00Z</dcterms:created>
  <dcterms:modified xsi:type="dcterms:W3CDTF">2022-01-13T11:05:00Z</dcterms:modified>
</cp:coreProperties>
</file>