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90A45" w14:textId="1F4A045F" w:rsidR="00153ED9" w:rsidRPr="00820F7E" w:rsidRDefault="00153ED9" w:rsidP="00153ED9">
      <w:pPr>
        <w:spacing w:before="240" w:after="240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EE44DA">
        <w:rPr>
          <w:rFonts w:cstheme="minorHAnsi"/>
          <w:noProof/>
          <w:sz w:val="32"/>
          <w:szCs w:val="32"/>
          <w:lang w:eastAsia="es-ES"/>
        </w:rPr>
        <w:drawing>
          <wp:anchor distT="0" distB="0" distL="114300" distR="114300" simplePos="0" relativeHeight="251658240" behindDoc="0" locked="0" layoutInCell="1" allowOverlap="1" wp14:anchorId="5B403FD5" wp14:editId="30E4D4E1">
            <wp:simplePos x="0" y="0"/>
            <wp:positionH relativeFrom="margin">
              <wp:posOffset>3540125</wp:posOffset>
            </wp:positionH>
            <wp:positionV relativeFrom="paragraph">
              <wp:posOffset>421640</wp:posOffset>
            </wp:positionV>
            <wp:extent cx="2838450" cy="28384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4DA" w:rsidRPr="00EE44DA">
        <w:rPr>
          <w:rFonts w:cstheme="minorHAnsi"/>
          <w:b/>
          <w:sz w:val="32"/>
          <w:szCs w:val="32"/>
        </w:rPr>
        <w:t xml:space="preserve">1.- </w:t>
      </w:r>
      <w:r w:rsidRPr="00820F7E">
        <w:rPr>
          <w:rFonts w:cstheme="minorHAnsi"/>
          <w:b/>
          <w:sz w:val="24"/>
          <w:szCs w:val="24"/>
        </w:rPr>
        <w:t xml:space="preserve">En el hospital en el que trabajáis como </w:t>
      </w:r>
      <w:proofErr w:type="spellStart"/>
      <w:r w:rsidRPr="00820F7E">
        <w:rPr>
          <w:rFonts w:cstheme="minorHAnsi"/>
          <w:b/>
          <w:sz w:val="24"/>
          <w:szCs w:val="24"/>
        </w:rPr>
        <w:t>TCAEs</w:t>
      </w:r>
      <w:proofErr w:type="spellEnd"/>
      <w:r w:rsidRPr="00820F7E">
        <w:rPr>
          <w:rFonts w:cstheme="minorHAnsi"/>
          <w:b/>
          <w:sz w:val="24"/>
          <w:szCs w:val="24"/>
        </w:rPr>
        <w:t>, se utilizan carros con compartimentos individuales para hacer el reparto de la medicación.</w:t>
      </w:r>
    </w:p>
    <w:p w14:paraId="524BB755" w14:textId="137B7D84" w:rsidR="00153ED9" w:rsidRPr="00820F7E" w:rsidRDefault="00153ED9" w:rsidP="00EE44DA">
      <w:pPr>
        <w:spacing w:before="240" w:after="240"/>
        <w:rPr>
          <w:rFonts w:cstheme="minorHAnsi"/>
          <w:b/>
          <w:sz w:val="24"/>
          <w:szCs w:val="24"/>
        </w:rPr>
      </w:pPr>
      <w:r w:rsidRPr="00820F7E">
        <w:rPr>
          <w:rFonts w:cstheme="minorHAnsi"/>
          <w:b/>
          <w:sz w:val="24"/>
          <w:szCs w:val="24"/>
        </w:rPr>
        <w:t>Estos carros de medicación se preparan entre una técnico en cuidados auxiliares de enfermería y una enfermera en cada turno, que luego son también quienes los distribuyen a los pacientes, a los que se los dejan en la mesilla, si pueden tomar la medicación de forma autónoma, o se los ayudan a aplicar, en función de las características de cada uno: si están o no conscientes, según su nivel de comprensión, su autonomía, su posibilidad de colaboración en general, etc.</w:t>
      </w:r>
    </w:p>
    <w:p w14:paraId="3DC50F8C" w14:textId="6448E937" w:rsidR="00153ED9" w:rsidRPr="00820F7E" w:rsidRDefault="00153ED9" w:rsidP="00EE44DA">
      <w:pPr>
        <w:spacing w:before="240" w:after="240"/>
        <w:jc w:val="both"/>
        <w:rPr>
          <w:rFonts w:cstheme="minorHAnsi"/>
          <w:sz w:val="24"/>
          <w:szCs w:val="24"/>
        </w:rPr>
      </w:pPr>
      <w:r w:rsidRPr="00820F7E">
        <w:rPr>
          <w:rFonts w:cstheme="minorHAnsi"/>
          <w:b/>
          <w:sz w:val="24"/>
          <w:szCs w:val="24"/>
        </w:rPr>
        <w:t>Hoy han preparado las siguientes formas farmacéuticas:</w:t>
      </w:r>
      <w:r w:rsidR="00820F7E" w:rsidRPr="00820F7E">
        <w:rPr>
          <w:rFonts w:cstheme="minorHAnsi"/>
          <w:sz w:val="24"/>
          <w:szCs w:val="24"/>
        </w:rPr>
        <w:t xml:space="preserve"> Fármaco inyectable subcutáneo, geles, Jarabes, soluciones orales, pastillas, linimentos, comprimidos, inyectables para la vía intramuscular, Pastilla para absorción sublingual, vacunas líquidas, ungüentos, parches </w:t>
      </w:r>
      <w:proofErr w:type="spellStart"/>
      <w:r w:rsidR="00820F7E" w:rsidRPr="00820F7E">
        <w:rPr>
          <w:rFonts w:cstheme="minorHAnsi"/>
          <w:sz w:val="24"/>
          <w:szCs w:val="24"/>
        </w:rPr>
        <w:t>transdérmicos</w:t>
      </w:r>
      <w:proofErr w:type="spellEnd"/>
      <w:r w:rsidR="00820F7E" w:rsidRPr="00820F7E">
        <w:rPr>
          <w:rFonts w:cstheme="minorHAnsi"/>
          <w:sz w:val="24"/>
          <w:szCs w:val="24"/>
        </w:rPr>
        <w:t xml:space="preserve">, colirios, gotas </w:t>
      </w:r>
      <w:proofErr w:type="spellStart"/>
      <w:r w:rsidR="00820F7E" w:rsidRPr="00820F7E">
        <w:rPr>
          <w:rFonts w:cstheme="minorHAnsi"/>
          <w:sz w:val="24"/>
          <w:szCs w:val="24"/>
        </w:rPr>
        <w:t>óticas</w:t>
      </w:r>
      <w:proofErr w:type="spellEnd"/>
      <w:r w:rsidR="00820F7E" w:rsidRPr="00820F7E">
        <w:rPr>
          <w:rFonts w:cstheme="minorHAnsi"/>
          <w:sz w:val="24"/>
          <w:szCs w:val="24"/>
        </w:rPr>
        <w:t>, pomada oftálmica, supositorios, inhaladores, anestésico local para punción intradérmica, cremas, fármacos intravenosos, sueros, cápsulas, Instilaciones nasales de gotas, óvulos vaginales.</w:t>
      </w:r>
    </w:p>
    <w:p w14:paraId="04F11E39" w14:textId="0C759469" w:rsidR="00820F7E" w:rsidRPr="00820F7E" w:rsidRDefault="00820F7E" w:rsidP="00EE44DA">
      <w:pPr>
        <w:pStyle w:val="Prrafodelista"/>
        <w:numPr>
          <w:ilvl w:val="0"/>
          <w:numId w:val="11"/>
        </w:numPr>
        <w:spacing w:before="240" w:after="240"/>
        <w:ind w:left="426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820F7E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Clasifica las formas farmacéuticas en función de la vía de administración.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65"/>
        <w:gridCol w:w="4355"/>
      </w:tblGrid>
      <w:tr w:rsidR="00820F7E" w:rsidRPr="00EE44DA" w14:paraId="0FEC45F3" w14:textId="77777777" w:rsidTr="00EE44DA">
        <w:trPr>
          <w:trHeight w:val="333"/>
          <w:jc w:val="center"/>
        </w:trPr>
        <w:tc>
          <w:tcPr>
            <w:tcW w:w="4395" w:type="dxa"/>
          </w:tcPr>
          <w:p w14:paraId="315137DF" w14:textId="77777777" w:rsidR="00820F7E" w:rsidRPr="00EE44DA" w:rsidRDefault="00820F7E" w:rsidP="00EE44DA">
            <w:pPr>
              <w:pStyle w:val="Sinespaciado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EE44DA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Vía de administración</w:t>
            </w:r>
          </w:p>
        </w:tc>
        <w:tc>
          <w:tcPr>
            <w:tcW w:w="4388" w:type="dxa"/>
          </w:tcPr>
          <w:p w14:paraId="13D93C55" w14:textId="77777777" w:rsidR="00820F7E" w:rsidRPr="00EE44DA" w:rsidRDefault="00820F7E" w:rsidP="00EE44DA">
            <w:pPr>
              <w:pStyle w:val="Sinespaciado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EE44DA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Forma farmacéutica</w:t>
            </w:r>
          </w:p>
        </w:tc>
      </w:tr>
      <w:tr w:rsidR="00820F7E" w:rsidRPr="00EE44DA" w14:paraId="5E1A9B68" w14:textId="77777777" w:rsidTr="00EE44DA">
        <w:trPr>
          <w:jc w:val="center"/>
        </w:trPr>
        <w:tc>
          <w:tcPr>
            <w:tcW w:w="4395" w:type="dxa"/>
          </w:tcPr>
          <w:p w14:paraId="7644302C" w14:textId="39760599" w:rsidR="00820F7E" w:rsidRPr="00EE44DA" w:rsidRDefault="00820F7E" w:rsidP="00EE44DA">
            <w:pPr>
              <w:pStyle w:val="Sinespaciado"/>
              <w:rPr>
                <w:rFonts w:asciiTheme="minorHAnsi" w:eastAsiaTheme="minorHAnsi" w:hAnsiTheme="minorHAnsi" w:cstheme="minorHAnsi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388" w:type="dxa"/>
          </w:tcPr>
          <w:p w14:paraId="30F91154" w14:textId="385895C2" w:rsidR="00820F7E" w:rsidRPr="00EE44DA" w:rsidRDefault="00820F7E" w:rsidP="00EE44DA">
            <w:pPr>
              <w:pStyle w:val="Sinespaciado"/>
              <w:rPr>
                <w:rFonts w:asciiTheme="minorHAnsi" w:eastAsiaTheme="minorHAnsi" w:hAnsiTheme="minorHAnsi" w:cstheme="minorHAnsi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</w:tbl>
    <w:p w14:paraId="79D851FA" w14:textId="77777777" w:rsidR="00820F7E" w:rsidRPr="00820F7E" w:rsidRDefault="00820F7E" w:rsidP="00EE44DA">
      <w:pPr>
        <w:pStyle w:val="Prrafodelista"/>
        <w:numPr>
          <w:ilvl w:val="0"/>
          <w:numId w:val="11"/>
        </w:numPr>
        <w:spacing w:before="240" w:after="240"/>
        <w:ind w:left="426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820F7E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¿Cuáles son las vías de administración más rápidas? ¿a qué se debe esta mayor rapidez?</w:t>
      </w:r>
    </w:p>
    <w:p w14:paraId="1EBBA4DD" w14:textId="1274CDFB" w:rsidR="00820F7E" w:rsidRPr="00820F7E" w:rsidRDefault="00820F7E" w:rsidP="00EE44DA">
      <w:pPr>
        <w:pStyle w:val="Prrafodelista"/>
        <w:numPr>
          <w:ilvl w:val="0"/>
          <w:numId w:val="11"/>
        </w:numPr>
        <w:spacing w:before="240" w:after="240"/>
        <w:ind w:left="426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S</w:t>
      </w:r>
      <w:r w:rsidRPr="00820F7E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egún el proceso LADME, ¿cuáles son las fases o procesos que sigue la evolución de cualquier fármaco, desde su entrada en el organismo, hasta su eliminación?</w:t>
      </w:r>
    </w:p>
    <w:p w14:paraId="4E163DF2" w14:textId="5A52BC7B" w:rsidR="00820F7E" w:rsidRPr="00EE44DA" w:rsidRDefault="00820F7E" w:rsidP="00EE44DA">
      <w:pPr>
        <w:pStyle w:val="Prrafodelista"/>
        <w:numPr>
          <w:ilvl w:val="0"/>
          <w:numId w:val="11"/>
        </w:numPr>
        <w:spacing w:before="240" w:after="240"/>
        <w:ind w:left="426"/>
        <w:rPr>
          <w:rFonts w:cstheme="minorHAnsi"/>
          <w:b/>
          <w:sz w:val="24"/>
          <w:szCs w:val="24"/>
        </w:rPr>
      </w:pPr>
      <w:r w:rsidRPr="00EE44DA">
        <w:rPr>
          <w:rFonts w:cstheme="minorHAnsi"/>
          <w:b/>
          <w:sz w:val="24"/>
          <w:szCs w:val="24"/>
        </w:rPr>
        <w:t>¿Hay algunas normas que deban aplicarse siempre en la administración de medicamentos?</w:t>
      </w:r>
    </w:p>
    <w:p w14:paraId="52D32598" w14:textId="325141E9" w:rsidR="00820F7E" w:rsidRPr="00EE44DA" w:rsidRDefault="00820F7E" w:rsidP="00EE44DA">
      <w:pPr>
        <w:pStyle w:val="Prrafodelista"/>
        <w:numPr>
          <w:ilvl w:val="0"/>
          <w:numId w:val="11"/>
        </w:numPr>
        <w:spacing w:before="240" w:after="240"/>
        <w:ind w:left="426"/>
        <w:rPr>
          <w:rFonts w:cstheme="minorHAnsi"/>
          <w:b/>
          <w:sz w:val="24"/>
          <w:szCs w:val="24"/>
        </w:rPr>
      </w:pPr>
      <w:r w:rsidRPr="00EE44DA">
        <w:rPr>
          <w:rFonts w:cstheme="minorHAnsi"/>
          <w:b/>
          <w:sz w:val="24"/>
          <w:szCs w:val="24"/>
        </w:rPr>
        <w:t>De las formas farmacéuticas referidas, ¿cuáles debe administrar la enfermera? ¿Cuáles puede administrar el TCAE?</w:t>
      </w:r>
    </w:p>
    <w:p w14:paraId="42BC0A27" w14:textId="08BCFF51" w:rsidR="00820F7E" w:rsidRPr="00EE44DA" w:rsidRDefault="00820F7E" w:rsidP="00EE44DA">
      <w:pPr>
        <w:pStyle w:val="Prrafodelista"/>
        <w:numPr>
          <w:ilvl w:val="0"/>
          <w:numId w:val="11"/>
        </w:numPr>
        <w:spacing w:before="240" w:after="240"/>
        <w:ind w:left="426"/>
        <w:rPr>
          <w:rFonts w:cstheme="minorHAnsi"/>
          <w:b/>
          <w:sz w:val="24"/>
          <w:szCs w:val="24"/>
        </w:rPr>
      </w:pPr>
      <w:r w:rsidRPr="00EE44DA">
        <w:rPr>
          <w:rFonts w:cstheme="minorHAnsi"/>
          <w:b/>
          <w:sz w:val="24"/>
          <w:szCs w:val="24"/>
        </w:rPr>
        <w:t>¿Qué documento de la historia clínica es imprescindible para preparar la medicación?</w:t>
      </w:r>
    </w:p>
    <w:p w14:paraId="648CB463" w14:textId="77777777" w:rsidR="00820F7E" w:rsidRPr="00820F7E" w:rsidRDefault="00820F7E" w:rsidP="00AB2EE7">
      <w:pPr>
        <w:pStyle w:val="TIT2"/>
        <w:spacing w:before="120"/>
        <w:rPr>
          <w:rStyle w:val="ng-directive"/>
          <w:rFonts w:asciiTheme="minorHAnsi" w:hAnsiTheme="minorHAnsi" w:cstheme="minorHAnsi"/>
          <w:b w:val="0"/>
          <w:color w:val="auto"/>
          <w:sz w:val="24"/>
          <w:szCs w:val="24"/>
          <w:lang w:val="es-ES"/>
        </w:rPr>
      </w:pPr>
    </w:p>
    <w:p w14:paraId="5200E4DB" w14:textId="5AB18606" w:rsidR="00AB2EE7" w:rsidRPr="00545A6D" w:rsidRDefault="00545A6D" w:rsidP="00AB2EE7">
      <w:pPr>
        <w:pStyle w:val="TIT2"/>
        <w:spacing w:before="120"/>
        <w:rPr>
          <w:rStyle w:val="ng-directive"/>
          <w:rFonts w:asciiTheme="minorHAnsi" w:hAnsiTheme="minorHAnsi" w:cstheme="minorHAnsi"/>
          <w:bCs w:val="0"/>
          <w:color w:val="auto"/>
          <w:sz w:val="24"/>
          <w:szCs w:val="24"/>
          <w:lang w:val="es-ES"/>
        </w:rPr>
      </w:pPr>
      <w:r w:rsidRPr="00EE44DA">
        <w:rPr>
          <w:rStyle w:val="ng-directive"/>
          <w:rFonts w:asciiTheme="minorHAnsi" w:hAnsiTheme="minorHAnsi" w:cstheme="minorHAnsi"/>
          <w:bCs w:val="0"/>
          <w:color w:val="auto"/>
          <w:sz w:val="32"/>
          <w:szCs w:val="32"/>
          <w:lang w:val="es-ES"/>
        </w:rPr>
        <w:t xml:space="preserve">2.- </w:t>
      </w:r>
      <w:r w:rsidR="00AB2EE7" w:rsidRPr="00545A6D">
        <w:rPr>
          <w:rStyle w:val="ng-directive"/>
          <w:rFonts w:asciiTheme="minorHAnsi" w:hAnsiTheme="minorHAnsi" w:cstheme="minorHAnsi"/>
          <w:bCs w:val="0"/>
          <w:color w:val="auto"/>
          <w:sz w:val="24"/>
          <w:szCs w:val="24"/>
          <w:lang w:val="es-ES"/>
        </w:rPr>
        <w:t>El TCAE tiene competencia para administrar determinados medicamentos y, por tanto, debe conocer y comprender una serie de conceptos básicos relacionados con los medicamentos que son importantes para el correcto desarrollo de su actividad profesional.</w:t>
      </w:r>
    </w:p>
    <w:p w14:paraId="07589A13" w14:textId="4F3A9DA8" w:rsidR="00AB2EE7" w:rsidRPr="00820F7E" w:rsidRDefault="00545A6D" w:rsidP="00EE44DA">
      <w:pPr>
        <w:pStyle w:val="TIT2"/>
        <w:numPr>
          <w:ilvl w:val="0"/>
          <w:numId w:val="12"/>
        </w:numPr>
        <w:spacing w:before="120"/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</w:pPr>
      <w:r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lastRenderedPageBreak/>
        <w:t>Define</w:t>
      </w:r>
      <w:r w:rsidR="00AB2EE7" w:rsidRPr="00820F7E"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 xml:space="preserve"> los siguientes términos farmacológicos</w:t>
      </w:r>
      <w:r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 xml:space="preserve"> (ayúdate de internet si lo crees necesario):</w:t>
      </w:r>
    </w:p>
    <w:p w14:paraId="6D1B8FAF" w14:textId="77777777" w:rsidR="00AB2EE7" w:rsidRPr="00820F7E" w:rsidRDefault="00AB2EE7" w:rsidP="00AB2EE7">
      <w:pPr>
        <w:pStyle w:val="TIT2"/>
        <w:numPr>
          <w:ilvl w:val="1"/>
          <w:numId w:val="4"/>
        </w:numPr>
        <w:spacing w:before="120"/>
        <w:rPr>
          <w:rStyle w:val="ng-directive"/>
          <w:rFonts w:asciiTheme="minorHAnsi" w:hAnsiTheme="minorHAnsi" w:cstheme="minorHAnsi"/>
          <w:b w:val="0"/>
          <w:color w:val="auto"/>
          <w:sz w:val="24"/>
          <w:szCs w:val="24"/>
          <w:lang w:val="es-ES"/>
        </w:rPr>
      </w:pPr>
      <w:r w:rsidRPr="00820F7E"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>Principio activo</w:t>
      </w:r>
    </w:p>
    <w:p w14:paraId="55642309" w14:textId="77777777" w:rsidR="00AB2EE7" w:rsidRPr="00820F7E" w:rsidRDefault="00AB2EE7" w:rsidP="00AB2EE7">
      <w:pPr>
        <w:pStyle w:val="TIT2"/>
        <w:numPr>
          <w:ilvl w:val="1"/>
          <w:numId w:val="4"/>
        </w:numPr>
        <w:spacing w:before="120"/>
        <w:rPr>
          <w:rStyle w:val="ng-directive"/>
          <w:rFonts w:asciiTheme="minorHAnsi" w:hAnsiTheme="minorHAnsi" w:cstheme="minorHAnsi"/>
          <w:b w:val="0"/>
          <w:color w:val="auto"/>
          <w:sz w:val="24"/>
          <w:szCs w:val="24"/>
          <w:lang w:val="es-ES"/>
        </w:rPr>
      </w:pPr>
      <w:r w:rsidRPr="00820F7E"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>Excipiente</w:t>
      </w:r>
    </w:p>
    <w:p w14:paraId="7DA0F0D9" w14:textId="77777777" w:rsidR="00AB2EE7" w:rsidRPr="00820F7E" w:rsidRDefault="00AB2EE7" w:rsidP="00AB2EE7">
      <w:pPr>
        <w:pStyle w:val="TIT2"/>
        <w:numPr>
          <w:ilvl w:val="1"/>
          <w:numId w:val="4"/>
        </w:numPr>
        <w:spacing w:before="120"/>
        <w:rPr>
          <w:rStyle w:val="ng-directive"/>
          <w:rFonts w:asciiTheme="minorHAnsi" w:hAnsiTheme="minorHAnsi" w:cstheme="minorHAnsi"/>
          <w:b w:val="0"/>
          <w:color w:val="auto"/>
          <w:sz w:val="24"/>
          <w:szCs w:val="24"/>
          <w:lang w:val="es-ES"/>
        </w:rPr>
      </w:pPr>
      <w:r w:rsidRPr="00820F7E"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>Biodisponibilidad</w:t>
      </w:r>
    </w:p>
    <w:p w14:paraId="2244BA35" w14:textId="77777777" w:rsidR="00AB2EE7" w:rsidRPr="00820F7E" w:rsidRDefault="00AB2EE7" w:rsidP="00AB2EE7">
      <w:pPr>
        <w:pStyle w:val="TIT2"/>
        <w:numPr>
          <w:ilvl w:val="1"/>
          <w:numId w:val="4"/>
        </w:numPr>
        <w:spacing w:before="120"/>
        <w:rPr>
          <w:rStyle w:val="ng-directive"/>
          <w:rFonts w:asciiTheme="minorHAnsi" w:hAnsiTheme="minorHAnsi" w:cstheme="minorHAnsi"/>
          <w:b w:val="0"/>
          <w:color w:val="auto"/>
          <w:sz w:val="24"/>
          <w:szCs w:val="24"/>
          <w:lang w:val="es-ES"/>
        </w:rPr>
      </w:pPr>
      <w:r w:rsidRPr="00820F7E"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>Forma farmacéutica</w:t>
      </w:r>
    </w:p>
    <w:p w14:paraId="6F1FE065" w14:textId="77777777" w:rsidR="00AB2EE7" w:rsidRPr="00820F7E" w:rsidRDefault="00AB2EE7" w:rsidP="00AB2EE7">
      <w:pPr>
        <w:pStyle w:val="TIT2"/>
        <w:numPr>
          <w:ilvl w:val="1"/>
          <w:numId w:val="4"/>
        </w:numPr>
        <w:spacing w:before="120"/>
        <w:rPr>
          <w:rStyle w:val="ng-directive"/>
          <w:rFonts w:asciiTheme="minorHAnsi" w:hAnsiTheme="minorHAnsi" w:cstheme="minorHAnsi"/>
          <w:b w:val="0"/>
          <w:color w:val="auto"/>
          <w:sz w:val="24"/>
          <w:szCs w:val="24"/>
          <w:lang w:val="es-ES"/>
        </w:rPr>
      </w:pPr>
      <w:r w:rsidRPr="00820F7E"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>Dosis</w:t>
      </w:r>
    </w:p>
    <w:p w14:paraId="34F06AC5" w14:textId="41241F35" w:rsidR="00AB2EE7" w:rsidRPr="00820F7E" w:rsidRDefault="00AB2EE7" w:rsidP="00AB2EE7">
      <w:pPr>
        <w:pStyle w:val="TIT2"/>
        <w:numPr>
          <w:ilvl w:val="1"/>
          <w:numId w:val="4"/>
        </w:numPr>
        <w:spacing w:before="120"/>
        <w:rPr>
          <w:rStyle w:val="ng-directive"/>
          <w:rFonts w:asciiTheme="minorHAnsi" w:hAnsiTheme="minorHAnsi" w:cstheme="minorHAnsi"/>
          <w:b w:val="0"/>
          <w:color w:val="auto"/>
          <w:sz w:val="24"/>
          <w:szCs w:val="24"/>
          <w:lang w:val="es-ES"/>
        </w:rPr>
      </w:pPr>
      <w:r w:rsidRPr="00820F7E"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>Posología</w:t>
      </w:r>
    </w:p>
    <w:p w14:paraId="587D3237" w14:textId="754606AD" w:rsidR="00AB2EE7" w:rsidRPr="00820F7E" w:rsidRDefault="00AB2EE7" w:rsidP="00EE44DA">
      <w:pPr>
        <w:pStyle w:val="TIT2"/>
        <w:numPr>
          <w:ilvl w:val="0"/>
          <w:numId w:val="12"/>
        </w:numPr>
        <w:spacing w:before="120"/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</w:pPr>
      <w:r w:rsidRPr="00820F7E"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 xml:space="preserve">Revisa la caja de </w:t>
      </w:r>
      <w:r w:rsidR="002200D4"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 xml:space="preserve">este </w:t>
      </w:r>
      <w:r w:rsidRPr="00820F7E"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>medicamento</w:t>
      </w:r>
      <w:r w:rsidR="002200D4"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 xml:space="preserve"> e indica qué significan los símbolos y siglas que se indican con las flechas.</w:t>
      </w:r>
      <w:r w:rsidRPr="00820F7E"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 xml:space="preserve"> </w:t>
      </w:r>
    </w:p>
    <w:p w14:paraId="6D1854CD" w14:textId="1F5855F8" w:rsidR="00545A6D" w:rsidRDefault="00EE44DA" w:rsidP="00545A6D">
      <w:pPr>
        <w:pStyle w:val="TIT2"/>
        <w:spacing w:before="120"/>
        <w:rPr>
          <w:rStyle w:val="ng-directive"/>
          <w:rFonts w:asciiTheme="minorHAnsi" w:hAnsiTheme="minorHAnsi" w:cstheme="minorHAnsi"/>
          <w:b w:val="0"/>
          <w:color w:val="auto"/>
          <w:sz w:val="24"/>
          <w:szCs w:val="24"/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69017069" wp14:editId="068FEF44">
            <wp:simplePos x="0" y="0"/>
            <wp:positionH relativeFrom="column">
              <wp:posOffset>882015</wp:posOffset>
            </wp:positionH>
            <wp:positionV relativeFrom="paragraph">
              <wp:posOffset>22860</wp:posOffset>
            </wp:positionV>
            <wp:extent cx="3323590" cy="2265680"/>
            <wp:effectExtent l="0" t="0" r="0" b="1270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59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79710" w14:textId="5FE1FC57" w:rsidR="000F499A" w:rsidRDefault="000F499A" w:rsidP="00545A6D">
      <w:pPr>
        <w:pStyle w:val="TIT2"/>
        <w:spacing w:before="120"/>
        <w:rPr>
          <w:rStyle w:val="ng-directive"/>
          <w:rFonts w:asciiTheme="minorHAnsi" w:hAnsiTheme="minorHAnsi" w:cstheme="minorHAnsi"/>
          <w:b w:val="0"/>
          <w:color w:val="auto"/>
          <w:sz w:val="24"/>
          <w:szCs w:val="24"/>
          <w:lang w:val="es-ES"/>
        </w:rPr>
      </w:pPr>
    </w:p>
    <w:p w14:paraId="4AFE652F" w14:textId="54C186AC" w:rsidR="000F499A" w:rsidRDefault="000F499A" w:rsidP="00545A6D">
      <w:pPr>
        <w:pStyle w:val="TIT2"/>
        <w:spacing w:before="120"/>
        <w:rPr>
          <w:rStyle w:val="ng-directive"/>
          <w:rFonts w:asciiTheme="minorHAnsi" w:hAnsiTheme="minorHAnsi" w:cstheme="minorHAnsi"/>
          <w:b w:val="0"/>
          <w:color w:val="auto"/>
          <w:sz w:val="24"/>
          <w:szCs w:val="24"/>
          <w:lang w:val="es-ES"/>
        </w:rPr>
      </w:pPr>
    </w:p>
    <w:p w14:paraId="71C9AC9A" w14:textId="794FEADF" w:rsidR="000F499A" w:rsidRDefault="000F499A" w:rsidP="00545A6D">
      <w:pPr>
        <w:pStyle w:val="TIT2"/>
        <w:spacing w:before="120"/>
        <w:rPr>
          <w:rStyle w:val="ng-directive"/>
          <w:rFonts w:asciiTheme="minorHAnsi" w:hAnsiTheme="minorHAnsi" w:cstheme="minorHAnsi"/>
          <w:b w:val="0"/>
          <w:color w:val="auto"/>
          <w:sz w:val="24"/>
          <w:szCs w:val="24"/>
          <w:lang w:val="es-ES"/>
        </w:rPr>
      </w:pPr>
    </w:p>
    <w:p w14:paraId="09F26B1F" w14:textId="3AA5976F" w:rsidR="002200D4" w:rsidRDefault="002200D4" w:rsidP="00545A6D">
      <w:pPr>
        <w:pStyle w:val="TIT2"/>
        <w:spacing w:before="120"/>
        <w:rPr>
          <w:rStyle w:val="ng-directive"/>
          <w:rFonts w:asciiTheme="minorHAnsi" w:hAnsiTheme="minorHAnsi" w:cstheme="minorHAnsi"/>
          <w:b w:val="0"/>
          <w:color w:val="auto"/>
          <w:sz w:val="24"/>
          <w:szCs w:val="24"/>
          <w:lang w:val="es-ES"/>
        </w:rPr>
      </w:pPr>
    </w:p>
    <w:p w14:paraId="7DAF6168" w14:textId="1E0A7DC0" w:rsidR="002200D4" w:rsidRDefault="002200D4" w:rsidP="00545A6D">
      <w:pPr>
        <w:pStyle w:val="TIT2"/>
        <w:spacing w:before="120"/>
        <w:rPr>
          <w:rStyle w:val="ng-directive"/>
          <w:rFonts w:asciiTheme="minorHAnsi" w:hAnsiTheme="minorHAnsi" w:cstheme="minorHAnsi"/>
          <w:b w:val="0"/>
          <w:color w:val="auto"/>
          <w:sz w:val="24"/>
          <w:szCs w:val="24"/>
          <w:lang w:val="es-ES"/>
        </w:rPr>
      </w:pPr>
    </w:p>
    <w:p w14:paraId="1386F230" w14:textId="77777777" w:rsidR="002200D4" w:rsidRDefault="002200D4" w:rsidP="00545A6D">
      <w:pPr>
        <w:pStyle w:val="TIT2"/>
        <w:spacing w:before="120"/>
        <w:rPr>
          <w:rStyle w:val="ng-directive"/>
          <w:rFonts w:asciiTheme="minorHAnsi" w:hAnsiTheme="minorHAnsi" w:cstheme="minorHAnsi"/>
          <w:b w:val="0"/>
          <w:color w:val="auto"/>
          <w:sz w:val="24"/>
          <w:szCs w:val="24"/>
          <w:lang w:val="es-ES"/>
        </w:rPr>
      </w:pPr>
    </w:p>
    <w:p w14:paraId="68D2FAE9" w14:textId="5218233C" w:rsidR="002200D4" w:rsidRDefault="002200D4" w:rsidP="00545A6D">
      <w:pPr>
        <w:pStyle w:val="TIT2"/>
        <w:spacing w:before="120"/>
        <w:rPr>
          <w:rStyle w:val="ng-directive"/>
          <w:rFonts w:asciiTheme="minorHAnsi" w:hAnsiTheme="minorHAnsi" w:cstheme="minorHAnsi"/>
          <w:b w:val="0"/>
          <w:color w:val="auto"/>
          <w:sz w:val="24"/>
          <w:szCs w:val="24"/>
          <w:lang w:val="es-ES"/>
        </w:rPr>
      </w:pPr>
    </w:p>
    <w:p w14:paraId="030C8A25" w14:textId="131C5CA6" w:rsidR="002200D4" w:rsidRDefault="002200D4" w:rsidP="00545A6D">
      <w:pPr>
        <w:pStyle w:val="TIT2"/>
        <w:spacing w:before="120"/>
        <w:rPr>
          <w:rStyle w:val="ng-directive"/>
          <w:rFonts w:asciiTheme="minorHAnsi" w:hAnsiTheme="minorHAnsi" w:cstheme="minorHAnsi"/>
          <w:b w:val="0"/>
          <w:color w:val="auto"/>
          <w:sz w:val="24"/>
          <w:szCs w:val="24"/>
          <w:lang w:val="es-ES"/>
        </w:rPr>
      </w:pPr>
    </w:p>
    <w:p w14:paraId="421B106B" w14:textId="2351A79F" w:rsidR="002200D4" w:rsidRDefault="002200D4" w:rsidP="00545A6D">
      <w:pPr>
        <w:pStyle w:val="TIT2"/>
        <w:spacing w:before="120"/>
        <w:rPr>
          <w:rStyle w:val="ng-directive"/>
          <w:rFonts w:asciiTheme="minorHAnsi" w:hAnsiTheme="minorHAnsi" w:cstheme="minorHAnsi"/>
          <w:b w:val="0"/>
          <w:color w:val="auto"/>
          <w:sz w:val="24"/>
          <w:szCs w:val="24"/>
          <w:lang w:val="es-ES"/>
        </w:rPr>
      </w:pPr>
    </w:p>
    <w:p w14:paraId="305307AB" w14:textId="0CF70E32" w:rsidR="00AB2EE7" w:rsidRPr="00545A6D" w:rsidRDefault="00545A6D" w:rsidP="00545A6D">
      <w:pPr>
        <w:pStyle w:val="TIT2"/>
        <w:spacing w:before="120"/>
        <w:rPr>
          <w:rStyle w:val="ng-directive"/>
          <w:rFonts w:asciiTheme="minorHAnsi" w:hAnsiTheme="minorHAnsi" w:cstheme="minorHAnsi"/>
          <w:bCs w:val="0"/>
          <w:color w:val="auto"/>
          <w:sz w:val="24"/>
          <w:szCs w:val="24"/>
          <w:lang w:val="es-ES"/>
        </w:rPr>
      </w:pPr>
      <w:r w:rsidRPr="00EE44DA">
        <w:rPr>
          <w:rStyle w:val="ng-directive"/>
          <w:rFonts w:asciiTheme="minorHAnsi" w:hAnsiTheme="minorHAnsi" w:cstheme="minorHAnsi"/>
          <w:bCs w:val="0"/>
          <w:color w:val="auto"/>
          <w:sz w:val="32"/>
          <w:szCs w:val="32"/>
          <w:lang w:val="es-ES"/>
        </w:rPr>
        <w:t>3</w:t>
      </w:r>
      <w:r w:rsidRPr="00EE44DA">
        <w:rPr>
          <w:rStyle w:val="ng-directive"/>
          <w:rFonts w:asciiTheme="minorHAnsi" w:hAnsiTheme="minorHAnsi" w:cstheme="minorHAnsi"/>
          <w:bCs w:val="0"/>
          <w:color w:val="auto"/>
          <w:sz w:val="24"/>
          <w:szCs w:val="24"/>
          <w:lang w:val="es-ES"/>
        </w:rPr>
        <w:t xml:space="preserve">.- </w:t>
      </w:r>
      <w:r w:rsidR="00AB2EE7" w:rsidRPr="00EE44DA">
        <w:rPr>
          <w:rStyle w:val="ng-directive"/>
          <w:rFonts w:asciiTheme="minorHAnsi" w:hAnsiTheme="minorHAnsi" w:cstheme="minorHAnsi"/>
          <w:bCs w:val="0"/>
          <w:color w:val="auto"/>
          <w:sz w:val="24"/>
          <w:szCs w:val="24"/>
          <w:lang w:val="es-ES"/>
        </w:rPr>
        <w:t>Completa</w:t>
      </w:r>
      <w:r w:rsidR="00AB2EE7" w:rsidRPr="00545A6D">
        <w:rPr>
          <w:rStyle w:val="ng-directive"/>
          <w:rFonts w:asciiTheme="minorHAnsi" w:hAnsiTheme="minorHAnsi" w:cstheme="minorHAnsi"/>
          <w:bCs w:val="0"/>
          <w:color w:val="auto"/>
          <w:sz w:val="24"/>
          <w:szCs w:val="24"/>
          <w:lang w:val="es-ES"/>
        </w:rPr>
        <w:t xml:space="preserve"> la siguiente tabla indicando el tipo de medicamento que corresponde a cada una de las definiciones: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6035"/>
        <w:gridCol w:w="2464"/>
      </w:tblGrid>
      <w:tr w:rsidR="00AB2EE7" w:rsidRPr="00820F7E" w14:paraId="513A66F5" w14:textId="77777777" w:rsidTr="00545A6D">
        <w:tc>
          <w:tcPr>
            <w:tcW w:w="6035" w:type="dxa"/>
          </w:tcPr>
          <w:p w14:paraId="7B188837" w14:textId="77777777" w:rsidR="00AB2EE7" w:rsidRPr="00820F7E" w:rsidRDefault="00AB2EE7" w:rsidP="00155125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color w:val="auto"/>
                <w:sz w:val="24"/>
                <w:szCs w:val="24"/>
                <w:lang w:val="es-ES"/>
              </w:rPr>
            </w:pPr>
            <w:r w:rsidRPr="00820F7E">
              <w:rPr>
                <w:rStyle w:val="ng-directive"/>
                <w:rFonts w:asciiTheme="minorHAnsi" w:hAnsiTheme="minorHAnsi" w:cstheme="minorHAnsi"/>
                <w:color w:val="auto"/>
                <w:sz w:val="24"/>
                <w:szCs w:val="24"/>
                <w:lang w:val="es-ES"/>
              </w:rPr>
              <w:t>Definición</w:t>
            </w:r>
          </w:p>
        </w:tc>
        <w:tc>
          <w:tcPr>
            <w:tcW w:w="2464" w:type="dxa"/>
          </w:tcPr>
          <w:p w14:paraId="772E95EC" w14:textId="77777777" w:rsidR="00AB2EE7" w:rsidRPr="00820F7E" w:rsidRDefault="00AB2EE7" w:rsidP="00155125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color w:val="auto"/>
                <w:sz w:val="24"/>
                <w:szCs w:val="24"/>
                <w:lang w:val="es-ES"/>
              </w:rPr>
            </w:pPr>
            <w:r w:rsidRPr="00820F7E">
              <w:rPr>
                <w:rStyle w:val="ng-directive"/>
                <w:rFonts w:asciiTheme="minorHAnsi" w:hAnsiTheme="minorHAnsi" w:cstheme="minorHAnsi"/>
                <w:color w:val="auto"/>
                <w:sz w:val="24"/>
                <w:szCs w:val="24"/>
                <w:lang w:val="es-ES"/>
              </w:rPr>
              <w:t>Fármacos</w:t>
            </w:r>
          </w:p>
        </w:tc>
      </w:tr>
      <w:tr w:rsidR="00545A6D" w:rsidRPr="00820F7E" w14:paraId="4E2F5F4B" w14:textId="77777777" w:rsidTr="00545A6D">
        <w:tc>
          <w:tcPr>
            <w:tcW w:w="6035" w:type="dxa"/>
          </w:tcPr>
          <w:p w14:paraId="488CB851" w14:textId="0E4DA141" w:rsidR="00545A6D" w:rsidRPr="00820F7E" w:rsidRDefault="00545A6D" w:rsidP="00545A6D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</w:pPr>
            <w:r w:rsidRPr="00820F7E"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  <w:t>Fármacos que disminuyen o eliminan el vómito</w:t>
            </w:r>
          </w:p>
        </w:tc>
        <w:tc>
          <w:tcPr>
            <w:tcW w:w="2464" w:type="dxa"/>
          </w:tcPr>
          <w:p w14:paraId="5987EA2B" w14:textId="1AE6CAA3" w:rsidR="00545A6D" w:rsidRPr="00820F7E" w:rsidRDefault="00545A6D" w:rsidP="00545A6D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FF0000"/>
                <w:sz w:val="24"/>
                <w:szCs w:val="24"/>
                <w:lang w:val="es-ES"/>
              </w:rPr>
            </w:pPr>
          </w:p>
        </w:tc>
      </w:tr>
      <w:tr w:rsidR="00AB2EE7" w:rsidRPr="00820F7E" w14:paraId="42D27F2A" w14:textId="77777777" w:rsidTr="00545A6D">
        <w:tc>
          <w:tcPr>
            <w:tcW w:w="6035" w:type="dxa"/>
          </w:tcPr>
          <w:p w14:paraId="0A679AC3" w14:textId="77777777" w:rsidR="00AB2EE7" w:rsidRPr="00820F7E" w:rsidRDefault="00AB2EE7" w:rsidP="00155125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</w:pPr>
            <w:r w:rsidRPr="00820F7E"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  <w:t>Fármacos que estimulan las acciones del Sistema Nervioso Simpático</w:t>
            </w:r>
          </w:p>
        </w:tc>
        <w:tc>
          <w:tcPr>
            <w:tcW w:w="2464" w:type="dxa"/>
          </w:tcPr>
          <w:p w14:paraId="43A8EE80" w14:textId="22F883E4" w:rsidR="00AB2EE7" w:rsidRPr="00820F7E" w:rsidRDefault="00AB2EE7" w:rsidP="00155125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FF0000"/>
                <w:sz w:val="24"/>
                <w:szCs w:val="24"/>
                <w:lang w:val="es-ES"/>
              </w:rPr>
            </w:pPr>
          </w:p>
        </w:tc>
      </w:tr>
      <w:tr w:rsidR="00545A6D" w:rsidRPr="00820F7E" w14:paraId="70FA1D87" w14:textId="77777777" w:rsidTr="00545A6D">
        <w:tc>
          <w:tcPr>
            <w:tcW w:w="6035" w:type="dxa"/>
          </w:tcPr>
          <w:p w14:paraId="20653FDB" w14:textId="25E4B8CE" w:rsidR="00545A6D" w:rsidRPr="00820F7E" w:rsidRDefault="00545A6D" w:rsidP="00545A6D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</w:pPr>
            <w:r w:rsidRPr="00820F7E"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  <w:t>Fármacos que aumentan o disminuyen los niveles de glucosa en sangre.</w:t>
            </w:r>
          </w:p>
        </w:tc>
        <w:tc>
          <w:tcPr>
            <w:tcW w:w="2464" w:type="dxa"/>
          </w:tcPr>
          <w:p w14:paraId="674F86FA" w14:textId="32E88FE8" w:rsidR="00545A6D" w:rsidRPr="00820F7E" w:rsidRDefault="00545A6D" w:rsidP="00545A6D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FF0000"/>
                <w:sz w:val="24"/>
                <w:szCs w:val="24"/>
                <w:lang w:val="es-ES"/>
              </w:rPr>
            </w:pPr>
          </w:p>
        </w:tc>
      </w:tr>
      <w:tr w:rsidR="00AB2EE7" w:rsidRPr="00820F7E" w14:paraId="7A25102E" w14:textId="77777777" w:rsidTr="00545A6D">
        <w:tc>
          <w:tcPr>
            <w:tcW w:w="6035" w:type="dxa"/>
          </w:tcPr>
          <w:p w14:paraId="464BB5C9" w14:textId="77777777" w:rsidR="00AB2EE7" w:rsidRPr="00820F7E" w:rsidRDefault="00AB2EE7" w:rsidP="00155125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</w:pPr>
            <w:r w:rsidRPr="00820F7E"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  <w:t>Fármacos que aumentan la actividad cardiaca</w:t>
            </w:r>
          </w:p>
        </w:tc>
        <w:tc>
          <w:tcPr>
            <w:tcW w:w="2464" w:type="dxa"/>
          </w:tcPr>
          <w:p w14:paraId="6189AFAB" w14:textId="1EE57519" w:rsidR="00AB2EE7" w:rsidRPr="00820F7E" w:rsidRDefault="00AB2EE7" w:rsidP="00155125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FF0000"/>
                <w:sz w:val="24"/>
                <w:szCs w:val="24"/>
                <w:lang w:val="es-ES"/>
              </w:rPr>
            </w:pPr>
          </w:p>
        </w:tc>
      </w:tr>
      <w:tr w:rsidR="00AB2EE7" w:rsidRPr="00820F7E" w14:paraId="6F9D0511" w14:textId="77777777" w:rsidTr="00545A6D">
        <w:tc>
          <w:tcPr>
            <w:tcW w:w="6035" w:type="dxa"/>
          </w:tcPr>
          <w:p w14:paraId="7AEAA57A" w14:textId="430FE779" w:rsidR="00AB2EE7" w:rsidRPr="00820F7E" w:rsidRDefault="00545A6D" w:rsidP="00155125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</w:pPr>
            <w:r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  <w:t>Fármacos que impiden o frenan la degeneración de las articulaciones</w:t>
            </w:r>
          </w:p>
        </w:tc>
        <w:tc>
          <w:tcPr>
            <w:tcW w:w="2464" w:type="dxa"/>
          </w:tcPr>
          <w:p w14:paraId="16DB2166" w14:textId="63CA144D" w:rsidR="00AB2EE7" w:rsidRPr="00820F7E" w:rsidRDefault="00AB2EE7" w:rsidP="00155125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FF0000"/>
                <w:sz w:val="24"/>
                <w:szCs w:val="24"/>
                <w:lang w:val="es-ES"/>
              </w:rPr>
            </w:pPr>
          </w:p>
        </w:tc>
      </w:tr>
      <w:tr w:rsidR="00AB2EE7" w:rsidRPr="00820F7E" w14:paraId="2E309A8F" w14:textId="77777777" w:rsidTr="00545A6D">
        <w:tc>
          <w:tcPr>
            <w:tcW w:w="6035" w:type="dxa"/>
          </w:tcPr>
          <w:p w14:paraId="75D85429" w14:textId="77777777" w:rsidR="00AB2EE7" w:rsidRPr="00820F7E" w:rsidRDefault="00AB2EE7" w:rsidP="00155125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</w:pPr>
            <w:r w:rsidRPr="00820F7E"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  <w:t>Fármacos que fluidifican las secreciones de las vías respiratorias y ayudan a su eliminación.</w:t>
            </w:r>
          </w:p>
        </w:tc>
        <w:tc>
          <w:tcPr>
            <w:tcW w:w="2464" w:type="dxa"/>
          </w:tcPr>
          <w:p w14:paraId="072193D2" w14:textId="5A79AE1B" w:rsidR="00AB2EE7" w:rsidRPr="00820F7E" w:rsidRDefault="00AB2EE7" w:rsidP="00155125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FF0000"/>
                <w:sz w:val="24"/>
                <w:szCs w:val="24"/>
                <w:lang w:val="es-ES"/>
              </w:rPr>
            </w:pPr>
          </w:p>
        </w:tc>
      </w:tr>
      <w:tr w:rsidR="00545A6D" w:rsidRPr="00820F7E" w14:paraId="1A320F92" w14:textId="77777777" w:rsidTr="00545A6D">
        <w:tc>
          <w:tcPr>
            <w:tcW w:w="6035" w:type="dxa"/>
          </w:tcPr>
          <w:p w14:paraId="6BB5EF71" w14:textId="64DB8F51" w:rsidR="00545A6D" w:rsidRPr="00820F7E" w:rsidRDefault="00545A6D" w:rsidP="00155125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</w:pPr>
            <w:r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  <w:t>Fármacos que producen efectos antiinflamatorios e inmunodepresores</w:t>
            </w:r>
          </w:p>
        </w:tc>
        <w:tc>
          <w:tcPr>
            <w:tcW w:w="2464" w:type="dxa"/>
          </w:tcPr>
          <w:p w14:paraId="3DAFBEA8" w14:textId="09191D60" w:rsidR="00545A6D" w:rsidRPr="00820F7E" w:rsidRDefault="00545A6D" w:rsidP="00155125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FF0000"/>
                <w:sz w:val="24"/>
                <w:szCs w:val="24"/>
                <w:lang w:val="es-ES"/>
              </w:rPr>
            </w:pPr>
          </w:p>
        </w:tc>
      </w:tr>
      <w:tr w:rsidR="00AB2EE7" w:rsidRPr="00820F7E" w14:paraId="2E55CE84" w14:textId="77777777" w:rsidTr="00545A6D">
        <w:tc>
          <w:tcPr>
            <w:tcW w:w="6035" w:type="dxa"/>
          </w:tcPr>
          <w:p w14:paraId="19A62D6E" w14:textId="77777777" w:rsidR="00AB2EE7" w:rsidRPr="00820F7E" w:rsidRDefault="00AB2EE7" w:rsidP="00155125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</w:pPr>
            <w:r w:rsidRPr="00820F7E"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  <w:lastRenderedPageBreak/>
              <w:t>Fármacos que relajan las paredes bronquiales y facilitan la respiración.</w:t>
            </w:r>
          </w:p>
        </w:tc>
        <w:tc>
          <w:tcPr>
            <w:tcW w:w="2464" w:type="dxa"/>
          </w:tcPr>
          <w:p w14:paraId="17298165" w14:textId="23889E01" w:rsidR="00AB2EE7" w:rsidRPr="00820F7E" w:rsidRDefault="00AB2EE7" w:rsidP="00155125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FF0000"/>
                <w:sz w:val="24"/>
                <w:szCs w:val="24"/>
                <w:lang w:val="es-ES"/>
              </w:rPr>
            </w:pPr>
          </w:p>
        </w:tc>
      </w:tr>
      <w:tr w:rsidR="00545A6D" w:rsidRPr="00820F7E" w14:paraId="4230B350" w14:textId="77777777" w:rsidTr="00545A6D">
        <w:tc>
          <w:tcPr>
            <w:tcW w:w="6035" w:type="dxa"/>
          </w:tcPr>
          <w:p w14:paraId="0F3314AC" w14:textId="7BEA1158" w:rsidR="00545A6D" w:rsidRPr="00820F7E" w:rsidRDefault="00545A6D" w:rsidP="00545A6D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</w:pPr>
            <w:r w:rsidRPr="00820F7E"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  <w:t>Fármacos que alargan el tiempo de coagulación sanguínea.</w:t>
            </w:r>
          </w:p>
        </w:tc>
        <w:tc>
          <w:tcPr>
            <w:tcW w:w="2464" w:type="dxa"/>
          </w:tcPr>
          <w:p w14:paraId="35ACD33E" w14:textId="4B2253B2" w:rsidR="00545A6D" w:rsidRPr="00820F7E" w:rsidRDefault="00545A6D" w:rsidP="00545A6D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FF0000"/>
                <w:sz w:val="24"/>
                <w:szCs w:val="24"/>
                <w:lang w:val="es-ES"/>
              </w:rPr>
            </w:pPr>
          </w:p>
        </w:tc>
      </w:tr>
      <w:tr w:rsidR="00545A6D" w:rsidRPr="00820F7E" w14:paraId="1612AD74" w14:textId="77777777" w:rsidTr="00545A6D">
        <w:tc>
          <w:tcPr>
            <w:tcW w:w="6035" w:type="dxa"/>
          </w:tcPr>
          <w:p w14:paraId="2CE07B17" w14:textId="0C591915" w:rsidR="00545A6D" w:rsidRPr="00820F7E" w:rsidRDefault="00545A6D" w:rsidP="00545A6D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</w:pPr>
            <w:r w:rsidRPr="00820F7E"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  <w:t>Fármacos que calman o disminuyen la tos</w:t>
            </w:r>
          </w:p>
        </w:tc>
        <w:tc>
          <w:tcPr>
            <w:tcW w:w="2464" w:type="dxa"/>
          </w:tcPr>
          <w:p w14:paraId="3ADEF2BA" w14:textId="7EF1AA81" w:rsidR="00545A6D" w:rsidRPr="00820F7E" w:rsidRDefault="00545A6D" w:rsidP="00545A6D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FF0000"/>
                <w:sz w:val="24"/>
                <w:szCs w:val="24"/>
                <w:lang w:val="es-ES"/>
              </w:rPr>
            </w:pPr>
          </w:p>
        </w:tc>
      </w:tr>
      <w:tr w:rsidR="00AB2EE7" w:rsidRPr="00820F7E" w14:paraId="29B16FD3" w14:textId="77777777" w:rsidTr="00545A6D">
        <w:tc>
          <w:tcPr>
            <w:tcW w:w="6035" w:type="dxa"/>
          </w:tcPr>
          <w:p w14:paraId="6594F37C" w14:textId="77777777" w:rsidR="00AB2EE7" w:rsidRPr="00820F7E" w:rsidRDefault="00AB2EE7" w:rsidP="00155125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</w:pPr>
            <w:r w:rsidRPr="00820F7E"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  <w:t>Fármacos que aumentan la motilidad intestinal y facilitan la evacuación.</w:t>
            </w:r>
          </w:p>
        </w:tc>
        <w:tc>
          <w:tcPr>
            <w:tcW w:w="2464" w:type="dxa"/>
          </w:tcPr>
          <w:p w14:paraId="1E4DCCAB" w14:textId="182704B6" w:rsidR="00AB2EE7" w:rsidRPr="00820F7E" w:rsidRDefault="00AB2EE7" w:rsidP="00155125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FF0000"/>
                <w:sz w:val="24"/>
                <w:szCs w:val="24"/>
                <w:lang w:val="es-ES"/>
              </w:rPr>
            </w:pPr>
          </w:p>
        </w:tc>
      </w:tr>
      <w:tr w:rsidR="00AB2EE7" w:rsidRPr="00820F7E" w14:paraId="76D3E232" w14:textId="77777777" w:rsidTr="00545A6D">
        <w:tc>
          <w:tcPr>
            <w:tcW w:w="6035" w:type="dxa"/>
          </w:tcPr>
          <w:p w14:paraId="171BB1DE" w14:textId="77777777" w:rsidR="00AB2EE7" w:rsidRPr="00820F7E" w:rsidRDefault="00AB2EE7" w:rsidP="00155125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</w:pPr>
            <w:r w:rsidRPr="00820F7E"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  <w:t>Fármacos que previenen la formación de gases en el tubo digestivo y facilitan su expulsión.</w:t>
            </w:r>
          </w:p>
        </w:tc>
        <w:tc>
          <w:tcPr>
            <w:tcW w:w="2464" w:type="dxa"/>
          </w:tcPr>
          <w:p w14:paraId="1C835EAD" w14:textId="2BEC78AF" w:rsidR="00AB2EE7" w:rsidRPr="00820F7E" w:rsidRDefault="00AB2EE7" w:rsidP="00155125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FF0000"/>
                <w:sz w:val="24"/>
                <w:szCs w:val="24"/>
                <w:lang w:val="es-ES"/>
              </w:rPr>
            </w:pPr>
          </w:p>
        </w:tc>
      </w:tr>
      <w:tr w:rsidR="00545A6D" w:rsidRPr="00820F7E" w14:paraId="40943E64" w14:textId="77777777" w:rsidTr="00545A6D">
        <w:tc>
          <w:tcPr>
            <w:tcW w:w="6035" w:type="dxa"/>
          </w:tcPr>
          <w:p w14:paraId="39997FB7" w14:textId="0EA4347D" w:rsidR="00545A6D" w:rsidRPr="00820F7E" w:rsidRDefault="00545A6D" w:rsidP="00545A6D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</w:pPr>
            <w:r w:rsidRPr="00820F7E"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  <w:t>Fármacos que actúan sobre el SNC y producen analgesia, pérdida de consciencia y relajación muscular</w:t>
            </w:r>
          </w:p>
        </w:tc>
        <w:tc>
          <w:tcPr>
            <w:tcW w:w="2464" w:type="dxa"/>
          </w:tcPr>
          <w:p w14:paraId="50C56A85" w14:textId="29DE9EC1" w:rsidR="00545A6D" w:rsidRPr="00820F7E" w:rsidRDefault="00545A6D" w:rsidP="00545A6D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FF0000"/>
                <w:sz w:val="24"/>
                <w:szCs w:val="24"/>
                <w:lang w:val="es-ES"/>
              </w:rPr>
            </w:pPr>
          </w:p>
        </w:tc>
      </w:tr>
      <w:tr w:rsidR="00AB2EE7" w:rsidRPr="00820F7E" w14:paraId="6C2CBE8B" w14:textId="77777777" w:rsidTr="00545A6D">
        <w:tc>
          <w:tcPr>
            <w:tcW w:w="6035" w:type="dxa"/>
          </w:tcPr>
          <w:p w14:paraId="122A6683" w14:textId="77777777" w:rsidR="00AB2EE7" w:rsidRPr="00820F7E" w:rsidRDefault="00AB2EE7" w:rsidP="00155125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</w:pPr>
            <w:r w:rsidRPr="00820F7E"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  <w:t>Fármacos que inhiben el crecimiento de los hongos o producen su muerte.</w:t>
            </w:r>
          </w:p>
        </w:tc>
        <w:tc>
          <w:tcPr>
            <w:tcW w:w="2464" w:type="dxa"/>
          </w:tcPr>
          <w:p w14:paraId="7FAB5D71" w14:textId="5C7D0909" w:rsidR="00AB2EE7" w:rsidRPr="00820F7E" w:rsidRDefault="00AB2EE7" w:rsidP="00155125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FF0000"/>
                <w:sz w:val="24"/>
                <w:szCs w:val="24"/>
                <w:lang w:val="es-ES"/>
              </w:rPr>
            </w:pPr>
          </w:p>
        </w:tc>
      </w:tr>
      <w:tr w:rsidR="00545A6D" w:rsidRPr="00820F7E" w14:paraId="4FE637AA" w14:textId="77777777" w:rsidTr="00545A6D">
        <w:tc>
          <w:tcPr>
            <w:tcW w:w="6035" w:type="dxa"/>
          </w:tcPr>
          <w:p w14:paraId="0B96DC80" w14:textId="6940B8DC" w:rsidR="00545A6D" w:rsidRPr="00820F7E" w:rsidRDefault="00545A6D" w:rsidP="00545A6D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</w:pPr>
            <w:r>
              <w:rPr>
                <w:rStyle w:val="ng-directive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s-ES"/>
              </w:rPr>
              <w:t>Fármacos que bloquean la actividad motriz y producen relajación muscular</w:t>
            </w:r>
          </w:p>
        </w:tc>
        <w:tc>
          <w:tcPr>
            <w:tcW w:w="2464" w:type="dxa"/>
          </w:tcPr>
          <w:p w14:paraId="3595D3AC" w14:textId="43D07D94" w:rsidR="00545A6D" w:rsidRPr="00820F7E" w:rsidRDefault="00545A6D" w:rsidP="00545A6D">
            <w:pPr>
              <w:pStyle w:val="TIT2"/>
              <w:spacing w:before="120"/>
              <w:rPr>
                <w:rStyle w:val="ng-directive"/>
                <w:rFonts w:asciiTheme="minorHAnsi" w:hAnsiTheme="minorHAnsi" w:cstheme="minorHAnsi"/>
                <w:b w:val="0"/>
                <w:color w:val="FF0000"/>
                <w:sz w:val="24"/>
                <w:szCs w:val="24"/>
                <w:lang w:val="es-ES"/>
              </w:rPr>
            </w:pPr>
          </w:p>
        </w:tc>
      </w:tr>
    </w:tbl>
    <w:p w14:paraId="6E5680CA" w14:textId="63DA5166" w:rsidR="00D42FE6" w:rsidRPr="00820F7E" w:rsidRDefault="00D42FE6">
      <w:pPr>
        <w:rPr>
          <w:rFonts w:cstheme="minorHAnsi"/>
          <w:sz w:val="24"/>
          <w:szCs w:val="24"/>
        </w:rPr>
      </w:pPr>
    </w:p>
    <w:p w14:paraId="248D5729" w14:textId="6B9AC1FD" w:rsidR="00AB2EE7" w:rsidRPr="00820F7E" w:rsidRDefault="00EC35D8" w:rsidP="00AB2EE7">
      <w:pPr>
        <w:pStyle w:val="TIT2"/>
        <w:spacing w:before="120"/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</w:pPr>
      <w:r w:rsidRPr="00EE44DA">
        <w:rPr>
          <w:rStyle w:val="ng-directive"/>
          <w:rFonts w:asciiTheme="minorHAnsi" w:hAnsiTheme="minorHAnsi" w:cstheme="minorHAnsi"/>
          <w:color w:val="auto"/>
          <w:sz w:val="32"/>
          <w:szCs w:val="32"/>
          <w:lang w:val="es-ES"/>
        </w:rPr>
        <w:t>4.-</w:t>
      </w:r>
      <w:r w:rsidR="00AB2EE7" w:rsidRPr="00EE44DA"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>Jorge</w:t>
      </w:r>
      <w:r w:rsidR="00AB2EE7" w:rsidRPr="00820F7E"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 xml:space="preserve"> es un paciente que acaba de ingresar en la Unidad de Medicina Interna de un hospital para ser tratado de un problema renal. El médico le pide a la enfermera que le canalice una vía para administrarle sueroterapia mediante perfusión endovenosa. </w:t>
      </w:r>
    </w:p>
    <w:p w14:paraId="5D5575C4" w14:textId="77777777" w:rsidR="00AB2EE7" w:rsidRPr="00820F7E" w:rsidRDefault="00AB2EE7" w:rsidP="00AB2EE7">
      <w:pPr>
        <w:pStyle w:val="TIT2"/>
        <w:spacing w:before="120"/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</w:pPr>
      <w:r w:rsidRPr="00820F7E"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>Las órdenes médicas indican la siguiente pauta de administración:</w:t>
      </w:r>
    </w:p>
    <w:p w14:paraId="3293D10C" w14:textId="77777777" w:rsidR="00AB2EE7" w:rsidRPr="00820F7E" w:rsidRDefault="00AB2EE7" w:rsidP="00AB2EE7">
      <w:pPr>
        <w:pStyle w:val="TIT2"/>
        <w:numPr>
          <w:ilvl w:val="0"/>
          <w:numId w:val="2"/>
        </w:numPr>
        <w:spacing w:before="120"/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</w:pPr>
      <w:r w:rsidRPr="00820F7E"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 xml:space="preserve">A las 8h: 1 ampolla de Furosemida 20mg/2ml, en 500 ml de suero fisiológico, a pasar durante 4 horas con un sistema de </w:t>
      </w:r>
      <w:proofErr w:type="spellStart"/>
      <w:r w:rsidRPr="00820F7E"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>macrogoteo</w:t>
      </w:r>
      <w:proofErr w:type="spellEnd"/>
      <w:r w:rsidRPr="00820F7E"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>.</w:t>
      </w:r>
    </w:p>
    <w:p w14:paraId="5FCAA397" w14:textId="77777777" w:rsidR="00AB2EE7" w:rsidRPr="00820F7E" w:rsidRDefault="00AB2EE7" w:rsidP="00EE44DA">
      <w:pPr>
        <w:pStyle w:val="TIT2"/>
        <w:numPr>
          <w:ilvl w:val="0"/>
          <w:numId w:val="13"/>
        </w:numPr>
        <w:spacing w:before="120"/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</w:pPr>
      <w:r w:rsidRPr="00820F7E"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>¿Quién es el profesional responsable de preparar y administrar la medicación intravenosa?</w:t>
      </w:r>
    </w:p>
    <w:p w14:paraId="2D68F3DB" w14:textId="77777777" w:rsidR="00AB2EE7" w:rsidRPr="00820F7E" w:rsidRDefault="00AB2EE7" w:rsidP="00EE44DA">
      <w:pPr>
        <w:pStyle w:val="TIT2"/>
        <w:numPr>
          <w:ilvl w:val="0"/>
          <w:numId w:val="13"/>
        </w:numPr>
        <w:spacing w:before="120"/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</w:pPr>
      <w:r w:rsidRPr="00820F7E"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>¿Qué zonas de punción son las más utilizadas para canalizar una vía venosa de corta duración?</w:t>
      </w:r>
    </w:p>
    <w:p w14:paraId="31590AEF" w14:textId="77777777" w:rsidR="00AB2EE7" w:rsidRPr="00820F7E" w:rsidRDefault="00AB2EE7" w:rsidP="00EE44DA">
      <w:pPr>
        <w:pStyle w:val="TIT2"/>
        <w:numPr>
          <w:ilvl w:val="0"/>
          <w:numId w:val="13"/>
        </w:numPr>
        <w:spacing w:before="120"/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</w:pPr>
      <w:r w:rsidRPr="00820F7E"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>¿Qué tipo de solución es el suero fisiológico? ¿y la furosemida?</w:t>
      </w:r>
    </w:p>
    <w:p w14:paraId="272F9DDD" w14:textId="77777777" w:rsidR="00AB2EE7" w:rsidRPr="00820F7E" w:rsidRDefault="00AB2EE7" w:rsidP="00EE44DA">
      <w:pPr>
        <w:pStyle w:val="TIT2"/>
        <w:numPr>
          <w:ilvl w:val="0"/>
          <w:numId w:val="13"/>
        </w:numPr>
        <w:spacing w:before="120"/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</w:pPr>
      <w:r w:rsidRPr="00820F7E"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>¿Qué sistemas se pueden utilizar para controlar la velocidad de perfusión cuando se quiere administrar un volumen determinado de forma continua en un período de tiempo?</w:t>
      </w:r>
    </w:p>
    <w:p w14:paraId="5659B9ED" w14:textId="66DAF59E" w:rsidR="00AB2EE7" w:rsidRPr="00820F7E" w:rsidRDefault="00AB2EE7" w:rsidP="00EE44DA">
      <w:pPr>
        <w:pStyle w:val="TIT2"/>
        <w:numPr>
          <w:ilvl w:val="0"/>
          <w:numId w:val="13"/>
        </w:numPr>
        <w:spacing w:before="120"/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</w:pPr>
      <w:r w:rsidRPr="00820F7E"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 xml:space="preserve">La enfermera es la encargada de calcular la </w:t>
      </w:r>
      <w:proofErr w:type="spellStart"/>
      <w:r w:rsidRPr="00820F7E"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>velovidad</w:t>
      </w:r>
      <w:proofErr w:type="spellEnd"/>
      <w:r w:rsidRPr="00820F7E"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 xml:space="preserve"> de perfusión. ¿A qué velocidad se debe poner a perfusión endovenosa para pasar un volumen de 500 ml en 4 horas con un sistema de </w:t>
      </w:r>
      <w:proofErr w:type="spellStart"/>
      <w:r w:rsidRPr="00820F7E"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>macrogoteo</w:t>
      </w:r>
      <w:proofErr w:type="spellEnd"/>
      <w:proofErr w:type="gramStart"/>
      <w:r w:rsidRPr="00820F7E"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>?</w:t>
      </w:r>
      <w:r w:rsidR="00C05C56"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>.</w:t>
      </w:r>
      <w:proofErr w:type="gramEnd"/>
      <w:r w:rsidR="00C05C56">
        <w:rPr>
          <w:rStyle w:val="ng-directive"/>
          <w:rFonts w:asciiTheme="minorHAnsi" w:hAnsiTheme="minorHAnsi" w:cstheme="minorHAnsi"/>
          <w:color w:val="auto"/>
          <w:sz w:val="24"/>
          <w:szCs w:val="24"/>
          <w:lang w:val="es-ES"/>
        </w:rPr>
        <w:t xml:space="preserve">  ¿Cuántos ml/hora deben pasar en una bomba de perfusión?</w:t>
      </w:r>
    </w:p>
    <w:p w14:paraId="2DDBF70C" w14:textId="77777777" w:rsidR="00AB2EE7" w:rsidRPr="00820F7E" w:rsidRDefault="00AB2EE7" w:rsidP="00EE44DA">
      <w:pPr>
        <w:pStyle w:val="TIT2"/>
        <w:numPr>
          <w:ilvl w:val="0"/>
          <w:numId w:val="13"/>
        </w:numPr>
        <w:spacing w:before="120"/>
        <w:rPr>
          <w:rFonts w:asciiTheme="minorHAnsi" w:hAnsiTheme="minorHAnsi" w:cstheme="minorHAnsi"/>
          <w:color w:val="auto"/>
          <w:sz w:val="24"/>
          <w:szCs w:val="24"/>
          <w:lang w:val="es-ES"/>
        </w:rPr>
      </w:pPr>
      <w:r w:rsidRPr="00EE44DA">
        <w:rPr>
          <w:rFonts w:asciiTheme="minorHAnsi" w:hAnsiTheme="minorHAnsi" w:cstheme="minorHAnsi"/>
          <w:color w:val="auto"/>
          <w:sz w:val="24"/>
          <w:szCs w:val="24"/>
          <w:lang w:val="es-ES"/>
        </w:rPr>
        <w:t xml:space="preserve">¿Qué aspectos debe controlar el TCAE respecto a los cuidados de la </w:t>
      </w:r>
      <w:proofErr w:type="spellStart"/>
      <w:r w:rsidRPr="00EE44DA">
        <w:rPr>
          <w:rFonts w:asciiTheme="minorHAnsi" w:hAnsiTheme="minorHAnsi" w:cstheme="minorHAnsi"/>
          <w:color w:val="auto"/>
          <w:sz w:val="24"/>
          <w:szCs w:val="24"/>
          <w:lang w:val="es-ES"/>
        </w:rPr>
        <w:t>venoclisis</w:t>
      </w:r>
      <w:proofErr w:type="spellEnd"/>
      <w:r w:rsidRPr="00EE44DA">
        <w:rPr>
          <w:rFonts w:asciiTheme="minorHAnsi" w:hAnsiTheme="minorHAnsi" w:cstheme="minorHAnsi"/>
          <w:color w:val="auto"/>
          <w:sz w:val="24"/>
          <w:szCs w:val="24"/>
          <w:lang w:val="es-ES"/>
        </w:rPr>
        <w:t xml:space="preserve"> de Jorge?</w:t>
      </w:r>
    </w:p>
    <w:sectPr w:rsidR="00AB2EE7" w:rsidRPr="00820F7E" w:rsidSect="00EE44DA">
      <w:headerReference w:type="default" r:id="rId10"/>
      <w:footerReference w:type="default" r:id="rId11"/>
      <w:pgSz w:w="11906" w:h="16838"/>
      <w:pgMar w:top="426" w:right="1701" w:bottom="993" w:left="1701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5462C" w14:textId="77777777" w:rsidR="00585598" w:rsidRDefault="00585598" w:rsidP="00EE44DA">
      <w:pPr>
        <w:spacing w:after="0" w:line="240" w:lineRule="auto"/>
      </w:pPr>
      <w:r>
        <w:separator/>
      </w:r>
    </w:p>
  </w:endnote>
  <w:endnote w:type="continuationSeparator" w:id="0">
    <w:p w14:paraId="46CE6D1E" w14:textId="77777777" w:rsidR="00585598" w:rsidRDefault="00585598" w:rsidP="00EE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RA Sans 1.0">
    <w:altName w:val="Calibri"/>
    <w:panose1 w:val="00000000000000000000"/>
    <w:charset w:val="00"/>
    <w:family w:val="modern"/>
    <w:notTrueType/>
    <w:pitch w:val="variable"/>
    <w:sig w:usb0="80000003" w:usb1="00000048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896536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CCFCA2" w14:textId="0B24F43D" w:rsidR="00EE44DA" w:rsidRPr="00EE44DA" w:rsidRDefault="00EE44DA">
            <w:pPr>
              <w:pStyle w:val="Piedepgina"/>
              <w:jc w:val="right"/>
              <w:rPr>
                <w:sz w:val="20"/>
                <w:szCs w:val="20"/>
              </w:rPr>
            </w:pPr>
            <w:r w:rsidRPr="00EE44DA">
              <w:rPr>
                <w:sz w:val="20"/>
                <w:szCs w:val="20"/>
              </w:rPr>
              <w:t xml:space="preserve">Página </w:t>
            </w:r>
            <w:r w:rsidRPr="00EE44DA">
              <w:rPr>
                <w:b/>
                <w:bCs/>
              </w:rPr>
              <w:fldChar w:fldCharType="begin"/>
            </w:r>
            <w:r w:rsidRPr="00EE44DA">
              <w:rPr>
                <w:b/>
                <w:bCs/>
                <w:sz w:val="20"/>
                <w:szCs w:val="20"/>
              </w:rPr>
              <w:instrText>PAGE</w:instrText>
            </w:r>
            <w:r w:rsidRPr="00EE44DA">
              <w:rPr>
                <w:b/>
                <w:bCs/>
              </w:rPr>
              <w:fldChar w:fldCharType="separate"/>
            </w:r>
            <w:r w:rsidR="000B3FCB">
              <w:rPr>
                <w:b/>
                <w:bCs/>
                <w:noProof/>
                <w:sz w:val="20"/>
                <w:szCs w:val="20"/>
              </w:rPr>
              <w:t>1</w:t>
            </w:r>
            <w:r w:rsidRPr="00EE44DA">
              <w:rPr>
                <w:b/>
                <w:bCs/>
              </w:rPr>
              <w:fldChar w:fldCharType="end"/>
            </w:r>
            <w:r w:rsidRPr="00EE44DA">
              <w:rPr>
                <w:sz w:val="20"/>
                <w:szCs w:val="20"/>
              </w:rPr>
              <w:t xml:space="preserve"> de </w:t>
            </w:r>
            <w:r w:rsidRPr="00EE44DA">
              <w:rPr>
                <w:b/>
                <w:bCs/>
              </w:rPr>
              <w:fldChar w:fldCharType="begin"/>
            </w:r>
            <w:r w:rsidRPr="00EE44DA">
              <w:rPr>
                <w:b/>
                <w:bCs/>
                <w:sz w:val="20"/>
                <w:szCs w:val="20"/>
              </w:rPr>
              <w:instrText>NUMPAGES</w:instrText>
            </w:r>
            <w:r w:rsidRPr="00EE44DA">
              <w:rPr>
                <w:b/>
                <w:bCs/>
              </w:rPr>
              <w:fldChar w:fldCharType="separate"/>
            </w:r>
            <w:r w:rsidR="000B3FCB">
              <w:rPr>
                <w:b/>
                <w:bCs/>
                <w:noProof/>
                <w:sz w:val="20"/>
                <w:szCs w:val="20"/>
              </w:rPr>
              <w:t>3</w:t>
            </w:r>
            <w:r w:rsidRPr="00EE44DA">
              <w:rPr>
                <w:b/>
                <w:bCs/>
              </w:rPr>
              <w:fldChar w:fldCharType="end"/>
            </w:r>
          </w:p>
        </w:sdtContent>
      </w:sdt>
    </w:sdtContent>
  </w:sdt>
  <w:p w14:paraId="632C9D88" w14:textId="77777777" w:rsidR="00EE44DA" w:rsidRDefault="00EE44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DA99B" w14:textId="77777777" w:rsidR="00585598" w:rsidRDefault="00585598" w:rsidP="00EE44DA">
      <w:pPr>
        <w:spacing w:after="0" w:line="240" w:lineRule="auto"/>
      </w:pPr>
      <w:r>
        <w:separator/>
      </w:r>
    </w:p>
  </w:footnote>
  <w:footnote w:type="continuationSeparator" w:id="0">
    <w:p w14:paraId="3CF2D1AE" w14:textId="77777777" w:rsidR="00585598" w:rsidRDefault="00585598" w:rsidP="00EE4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E5967" w14:textId="6A6F0B4F" w:rsidR="00EE44DA" w:rsidRPr="00EE44DA" w:rsidRDefault="00EE44DA" w:rsidP="00EE44DA">
    <w:pPr>
      <w:pStyle w:val="Encabezado"/>
      <w:jc w:val="right"/>
      <w:rPr>
        <w:b/>
        <w:bCs/>
        <w:sz w:val="32"/>
        <w:szCs w:val="32"/>
      </w:rPr>
    </w:pPr>
    <w:r w:rsidRPr="00EE44DA">
      <w:rPr>
        <w:b/>
        <w:bCs/>
        <w:sz w:val="32"/>
        <w:szCs w:val="32"/>
      </w:rPr>
      <w:t>ACTIVIDADES UD 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246"/>
    <w:multiLevelType w:val="hybridMultilevel"/>
    <w:tmpl w:val="A230BED0"/>
    <w:lvl w:ilvl="0" w:tplc="CDA0F7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101BE"/>
    <w:multiLevelType w:val="hybridMultilevel"/>
    <w:tmpl w:val="0930B17C"/>
    <w:lvl w:ilvl="0" w:tplc="7BD87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57FFC"/>
    <w:multiLevelType w:val="hybridMultilevel"/>
    <w:tmpl w:val="92D8E93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7E0AC238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2E3D7C"/>
    <w:multiLevelType w:val="hybridMultilevel"/>
    <w:tmpl w:val="E31656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E0279"/>
    <w:multiLevelType w:val="hybridMultilevel"/>
    <w:tmpl w:val="881C2D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05A39"/>
    <w:multiLevelType w:val="hybridMultilevel"/>
    <w:tmpl w:val="35486D46"/>
    <w:lvl w:ilvl="0" w:tplc="CEF2C4C6">
      <w:start w:val="8"/>
      <w:numFmt w:val="bullet"/>
      <w:lvlText w:val="•"/>
      <w:lvlJc w:val="left"/>
      <w:pPr>
        <w:ind w:left="644" w:hanging="360"/>
      </w:pPr>
      <w:rPr>
        <w:rFonts w:ascii="Verdana" w:eastAsiaTheme="minorHAnsi" w:hAnsi="Verdana" w:cs="Symbol" w:hint="default"/>
      </w:rPr>
    </w:lvl>
    <w:lvl w:ilvl="1" w:tplc="2D1027C8">
      <w:start w:val="8"/>
      <w:numFmt w:val="bullet"/>
      <w:lvlText w:val="-"/>
      <w:lvlJc w:val="left"/>
      <w:pPr>
        <w:ind w:left="1364" w:hanging="360"/>
      </w:pPr>
      <w:rPr>
        <w:rFonts w:ascii="Verdana" w:eastAsiaTheme="minorHAnsi" w:hAnsi="Verdana" w:cs="Helvetica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2FF6E56"/>
    <w:multiLevelType w:val="hybridMultilevel"/>
    <w:tmpl w:val="39CCDAFA"/>
    <w:lvl w:ilvl="0" w:tplc="5EC05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BA84E2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D0354"/>
    <w:multiLevelType w:val="hybridMultilevel"/>
    <w:tmpl w:val="E17CEFF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0AC238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1E550B"/>
    <w:multiLevelType w:val="hybridMultilevel"/>
    <w:tmpl w:val="E52A3E0A"/>
    <w:lvl w:ilvl="0" w:tplc="6E6207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CA00CA"/>
    <w:multiLevelType w:val="hybridMultilevel"/>
    <w:tmpl w:val="C5EA1C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63DF1"/>
    <w:multiLevelType w:val="hybridMultilevel"/>
    <w:tmpl w:val="0ADAAC6C"/>
    <w:lvl w:ilvl="0" w:tplc="1F02F2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16175"/>
    <w:multiLevelType w:val="hybridMultilevel"/>
    <w:tmpl w:val="0E4E0E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AC6B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BE007FC"/>
    <w:multiLevelType w:val="hybridMultilevel"/>
    <w:tmpl w:val="0C6616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12"/>
  </w:num>
  <w:num w:numId="7">
    <w:abstractNumId w:val="0"/>
  </w:num>
  <w:num w:numId="8">
    <w:abstractNumId w:val="1"/>
  </w:num>
  <w:num w:numId="9">
    <w:abstractNumId w:val="5"/>
  </w:num>
  <w:num w:numId="10">
    <w:abstractNumId w:val="11"/>
  </w:num>
  <w:num w:numId="11">
    <w:abstractNumId w:val="3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6C"/>
    <w:rsid w:val="000B3FCB"/>
    <w:rsid w:val="000B622D"/>
    <w:rsid w:val="000F499A"/>
    <w:rsid w:val="00153ED9"/>
    <w:rsid w:val="002200D4"/>
    <w:rsid w:val="00545A6D"/>
    <w:rsid w:val="00585598"/>
    <w:rsid w:val="00820F7E"/>
    <w:rsid w:val="0097606C"/>
    <w:rsid w:val="00A35F53"/>
    <w:rsid w:val="00AA6E38"/>
    <w:rsid w:val="00AB2EE7"/>
    <w:rsid w:val="00B05F82"/>
    <w:rsid w:val="00C05C56"/>
    <w:rsid w:val="00D42FE6"/>
    <w:rsid w:val="00EC35D8"/>
    <w:rsid w:val="00E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71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qFormat/>
    <w:rsid w:val="00820F7E"/>
    <w:pPr>
      <w:keepNext/>
      <w:spacing w:before="240" w:after="120" w:line="360" w:lineRule="exact"/>
      <w:outlineLvl w:val="0"/>
    </w:pPr>
    <w:rPr>
      <w:rFonts w:ascii="SRA Sans 1.0" w:eastAsia="Times New Roman" w:hAnsi="SRA Sans 1.0" w:cs="Arial"/>
      <w:b/>
      <w:bCs/>
      <w:kern w:val="32"/>
      <w:sz w:val="36"/>
      <w:szCs w:val="36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g-directive">
    <w:name w:val="ng-directive"/>
    <w:basedOn w:val="Fuentedeprrafopredeter"/>
    <w:rsid w:val="00AB2EE7"/>
  </w:style>
  <w:style w:type="paragraph" w:customStyle="1" w:styleId="TIT2">
    <w:name w:val="_TIT2"/>
    <w:basedOn w:val="Normal"/>
    <w:qFormat/>
    <w:rsid w:val="00AB2EE7"/>
    <w:pPr>
      <w:tabs>
        <w:tab w:val="left" w:pos="426"/>
      </w:tabs>
      <w:spacing w:before="280" w:after="120" w:line="240" w:lineRule="auto"/>
      <w:jc w:val="both"/>
    </w:pPr>
    <w:rPr>
      <w:rFonts w:ascii="Verdana" w:eastAsia="Times New Roman" w:hAnsi="Verdana" w:cs="Times New Roman"/>
      <w:b/>
      <w:bCs/>
      <w:color w:val="808080" w:themeColor="background1" w:themeShade="80"/>
      <w:sz w:val="36"/>
      <w:szCs w:val="36"/>
      <w:lang w:val="en-US" w:eastAsia="es-ES"/>
    </w:rPr>
  </w:style>
  <w:style w:type="table" w:styleId="Tablaconcuadrcula">
    <w:name w:val="Table Grid"/>
    <w:basedOn w:val="Tablanormal"/>
    <w:rsid w:val="00AB2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0F7E"/>
    <w:pPr>
      <w:spacing w:after="120" w:line="240" w:lineRule="auto"/>
      <w:ind w:left="708"/>
      <w:jc w:val="both"/>
    </w:pPr>
    <w:rPr>
      <w:rFonts w:ascii="SRA Sans 1.0" w:eastAsia="Times New Roman" w:hAnsi="SRA Sans 1.0" w:cs="Times New Roman"/>
      <w:sz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820F7E"/>
    <w:rPr>
      <w:rFonts w:ascii="SRA Sans 1.0" w:eastAsia="Times New Roman" w:hAnsi="SRA Sans 1.0" w:cs="Arial"/>
      <w:b/>
      <w:bCs/>
      <w:kern w:val="32"/>
      <w:sz w:val="36"/>
      <w:szCs w:val="36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44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44DA"/>
  </w:style>
  <w:style w:type="paragraph" w:styleId="Piedepgina">
    <w:name w:val="footer"/>
    <w:basedOn w:val="Normal"/>
    <w:link w:val="PiedepginaCar"/>
    <w:uiPriority w:val="99"/>
    <w:unhideWhenUsed/>
    <w:rsid w:val="00EE44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4DA"/>
  </w:style>
  <w:style w:type="paragraph" w:styleId="Sinespaciado">
    <w:name w:val="No Spacing"/>
    <w:uiPriority w:val="1"/>
    <w:qFormat/>
    <w:rsid w:val="00EE44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qFormat/>
    <w:rsid w:val="00820F7E"/>
    <w:pPr>
      <w:keepNext/>
      <w:spacing w:before="240" w:after="120" w:line="360" w:lineRule="exact"/>
      <w:outlineLvl w:val="0"/>
    </w:pPr>
    <w:rPr>
      <w:rFonts w:ascii="SRA Sans 1.0" w:eastAsia="Times New Roman" w:hAnsi="SRA Sans 1.0" w:cs="Arial"/>
      <w:b/>
      <w:bCs/>
      <w:kern w:val="32"/>
      <w:sz w:val="36"/>
      <w:szCs w:val="36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g-directive">
    <w:name w:val="ng-directive"/>
    <w:basedOn w:val="Fuentedeprrafopredeter"/>
    <w:rsid w:val="00AB2EE7"/>
  </w:style>
  <w:style w:type="paragraph" w:customStyle="1" w:styleId="TIT2">
    <w:name w:val="_TIT2"/>
    <w:basedOn w:val="Normal"/>
    <w:qFormat/>
    <w:rsid w:val="00AB2EE7"/>
    <w:pPr>
      <w:tabs>
        <w:tab w:val="left" w:pos="426"/>
      </w:tabs>
      <w:spacing w:before="280" w:after="120" w:line="240" w:lineRule="auto"/>
      <w:jc w:val="both"/>
    </w:pPr>
    <w:rPr>
      <w:rFonts w:ascii="Verdana" w:eastAsia="Times New Roman" w:hAnsi="Verdana" w:cs="Times New Roman"/>
      <w:b/>
      <w:bCs/>
      <w:color w:val="808080" w:themeColor="background1" w:themeShade="80"/>
      <w:sz w:val="36"/>
      <w:szCs w:val="36"/>
      <w:lang w:val="en-US" w:eastAsia="es-ES"/>
    </w:rPr>
  </w:style>
  <w:style w:type="table" w:styleId="Tablaconcuadrcula">
    <w:name w:val="Table Grid"/>
    <w:basedOn w:val="Tablanormal"/>
    <w:rsid w:val="00AB2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0F7E"/>
    <w:pPr>
      <w:spacing w:after="120" w:line="240" w:lineRule="auto"/>
      <w:ind w:left="708"/>
      <w:jc w:val="both"/>
    </w:pPr>
    <w:rPr>
      <w:rFonts w:ascii="SRA Sans 1.0" w:eastAsia="Times New Roman" w:hAnsi="SRA Sans 1.0" w:cs="Times New Roman"/>
      <w:sz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820F7E"/>
    <w:rPr>
      <w:rFonts w:ascii="SRA Sans 1.0" w:eastAsia="Times New Roman" w:hAnsi="SRA Sans 1.0" w:cs="Arial"/>
      <w:b/>
      <w:bCs/>
      <w:kern w:val="32"/>
      <w:sz w:val="36"/>
      <w:szCs w:val="36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44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44DA"/>
  </w:style>
  <w:style w:type="paragraph" w:styleId="Piedepgina">
    <w:name w:val="footer"/>
    <w:basedOn w:val="Normal"/>
    <w:link w:val="PiedepginaCar"/>
    <w:uiPriority w:val="99"/>
    <w:unhideWhenUsed/>
    <w:rsid w:val="00EE44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4DA"/>
  </w:style>
  <w:style w:type="paragraph" w:styleId="Sinespaciado">
    <w:name w:val="No Spacing"/>
    <w:uiPriority w:val="1"/>
    <w:qFormat/>
    <w:rsid w:val="00EE44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VARELA REGUERA</dc:creator>
  <cp:lastModifiedBy>María Lourido Fuertes</cp:lastModifiedBy>
  <cp:revision>2</cp:revision>
  <cp:lastPrinted>2023-05-01T14:31:00Z</cp:lastPrinted>
  <dcterms:created xsi:type="dcterms:W3CDTF">2023-05-05T07:44:00Z</dcterms:created>
  <dcterms:modified xsi:type="dcterms:W3CDTF">2023-05-05T07:44:00Z</dcterms:modified>
</cp:coreProperties>
</file>