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91E3" w14:textId="495B5BA4" w:rsidR="004F5620" w:rsidRPr="00CF1B34" w:rsidRDefault="004F5620" w:rsidP="002D574A">
      <w:pPr>
        <w:jc w:val="both"/>
        <w:rPr>
          <w:rFonts w:ascii="Arial" w:hAnsi="Arial" w:cs="Arial"/>
          <w:sz w:val="22"/>
          <w:szCs w:val="22"/>
          <w:lang w:val="es-ES_tradnl"/>
        </w:rPr>
      </w:pPr>
    </w:p>
    <w:p w14:paraId="50D779A5" w14:textId="256C765E" w:rsidR="001E0728" w:rsidRPr="00CF1B34" w:rsidRDefault="001E0728" w:rsidP="0005621A">
      <w:pPr>
        <w:jc w:val="both"/>
        <w:rPr>
          <w:rFonts w:ascii="Arial" w:hAnsi="Arial" w:cs="Arial"/>
          <w:color w:val="C00000"/>
          <w:sz w:val="40"/>
          <w:szCs w:val="40"/>
          <w:lang w:val="es-ES_tradnl"/>
        </w:rPr>
      </w:pPr>
      <w:r w:rsidRPr="00CF1B34">
        <w:rPr>
          <w:rFonts w:ascii="Arial" w:hAnsi="Arial" w:cs="Arial"/>
          <w:color w:val="C00000"/>
          <w:sz w:val="40"/>
          <w:szCs w:val="40"/>
          <w:lang w:val="es-ES_tradnl"/>
        </w:rPr>
        <w:t xml:space="preserve">GLOSARIO </w:t>
      </w:r>
      <w:r w:rsidR="008A6622" w:rsidRPr="00CF1B34">
        <w:rPr>
          <w:rFonts w:ascii="Arial" w:hAnsi="Arial" w:cs="Arial"/>
          <w:color w:val="C00000"/>
          <w:sz w:val="40"/>
          <w:szCs w:val="40"/>
          <w:lang w:val="es-ES_tradnl"/>
        </w:rPr>
        <w:t xml:space="preserve">ECONÓMICO Y </w:t>
      </w:r>
      <w:r w:rsidRPr="00CF1B34">
        <w:rPr>
          <w:rFonts w:ascii="Arial" w:hAnsi="Arial" w:cs="Arial"/>
          <w:color w:val="C00000"/>
          <w:sz w:val="40"/>
          <w:szCs w:val="40"/>
          <w:lang w:val="es-ES_tradnl"/>
        </w:rPr>
        <w:t>FINANCIERO</w:t>
      </w:r>
    </w:p>
    <w:p w14:paraId="6087EDEE" w14:textId="59BFAA30" w:rsidR="001E0728" w:rsidRPr="00CF1B34" w:rsidRDefault="001E0728" w:rsidP="0005621A">
      <w:pPr>
        <w:jc w:val="both"/>
        <w:rPr>
          <w:rFonts w:ascii="Arial" w:hAnsi="Arial" w:cs="Arial"/>
          <w:sz w:val="22"/>
          <w:szCs w:val="22"/>
          <w:lang w:val="es-ES_tradnl"/>
        </w:rPr>
      </w:pPr>
    </w:p>
    <w:p w14:paraId="28F0CE67" w14:textId="562AC0B8" w:rsidR="001E0728" w:rsidRPr="00CF1B34" w:rsidRDefault="001E0728" w:rsidP="0005621A">
      <w:pPr>
        <w:jc w:val="both"/>
        <w:rPr>
          <w:rFonts w:ascii="Arial" w:hAnsi="Arial" w:cs="Arial"/>
          <w:color w:val="1F3864" w:themeColor="accent1" w:themeShade="80"/>
          <w:sz w:val="32"/>
          <w:szCs w:val="32"/>
          <w:lang w:val="es-ES_tradnl"/>
        </w:rPr>
      </w:pPr>
      <w:r w:rsidRPr="00CF1B34">
        <w:rPr>
          <w:rFonts w:ascii="Arial" w:hAnsi="Arial" w:cs="Arial"/>
          <w:sz w:val="32"/>
          <w:szCs w:val="32"/>
          <w:lang w:val="es-ES_tradnl"/>
        </w:rPr>
        <w:t>A</w:t>
      </w:r>
    </w:p>
    <w:p w14:paraId="1CB7E722" w14:textId="17B72644" w:rsidR="001E0728" w:rsidRPr="00CF1B34" w:rsidRDefault="001E0728" w:rsidP="0005621A">
      <w:pPr>
        <w:jc w:val="both"/>
        <w:rPr>
          <w:rFonts w:ascii="Arial" w:hAnsi="Arial" w:cs="Arial"/>
          <w:sz w:val="22"/>
          <w:szCs w:val="22"/>
          <w:lang w:val="es-ES_tradnl"/>
        </w:rPr>
      </w:pPr>
    </w:p>
    <w:p w14:paraId="6843B360" w14:textId="6D7A63E5" w:rsidR="000E2D5A" w:rsidRPr="00CF1B34" w:rsidRDefault="000E2D5A" w:rsidP="0005621A">
      <w:pPr>
        <w:jc w:val="both"/>
        <w:rPr>
          <w:rFonts w:ascii="Arial" w:hAnsi="Arial" w:cs="Arial"/>
          <w:color w:val="2F5496" w:themeColor="accent1" w:themeShade="BF"/>
          <w:sz w:val="22"/>
          <w:szCs w:val="22"/>
          <w:lang w:val="es-ES_tradnl"/>
        </w:rPr>
      </w:pPr>
    </w:p>
    <w:p w14:paraId="0B57495F" w14:textId="105400C0" w:rsidR="00586E62" w:rsidRPr="00CF1B34" w:rsidRDefault="002A0AB1"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AAA</w:t>
      </w:r>
    </w:p>
    <w:p w14:paraId="0C13BAF1" w14:textId="1A6D2EBA" w:rsidR="002A0AB1" w:rsidRPr="00CF1B34" w:rsidRDefault="002A0AB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Máxima clasificación que otorgan las agencias de rating a una emisión de renta fija, lo que indica una elevadísima solvencia, tanto para pagar intereses como para devolver el capital que se pidió prestado a los inversores</w:t>
      </w:r>
      <w:r w:rsidR="00C82B5B" w:rsidRPr="00CF1B34">
        <w:rPr>
          <w:rFonts w:ascii="Arial" w:hAnsi="Arial" w:cs="Arial"/>
          <w:color w:val="000000" w:themeColor="text1"/>
          <w:sz w:val="22"/>
          <w:szCs w:val="22"/>
          <w:lang w:val="es-ES_tradnl"/>
        </w:rPr>
        <w:t>.</w:t>
      </w:r>
    </w:p>
    <w:p w14:paraId="01AD88D1" w14:textId="26E58510" w:rsidR="002A0AB1" w:rsidRPr="00CF1B34" w:rsidRDefault="002A0AB1"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Abrir a corto</w:t>
      </w:r>
    </w:p>
    <w:p w14:paraId="36A19A93" w14:textId="09F51682" w:rsidR="00D72960" w:rsidRPr="00CF1B34" w:rsidRDefault="002A0AB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Cuando se da la orden de vender</w:t>
      </w:r>
      <w:r w:rsidR="00D72960" w:rsidRPr="00CF1B34">
        <w:rPr>
          <w:rFonts w:ascii="Arial" w:hAnsi="Arial" w:cs="Arial"/>
          <w:sz w:val="22"/>
          <w:szCs w:val="22"/>
          <w:lang w:val="es-ES_tradnl"/>
        </w:rPr>
        <w:t xml:space="preserve"> para ir en tendencia bajista</w:t>
      </w:r>
      <w:r w:rsidR="00C82B5B" w:rsidRPr="00CF1B34">
        <w:rPr>
          <w:rFonts w:ascii="Arial" w:hAnsi="Arial" w:cs="Arial"/>
          <w:sz w:val="22"/>
          <w:szCs w:val="22"/>
          <w:lang w:val="es-ES_tradnl"/>
        </w:rPr>
        <w:t>.</w:t>
      </w:r>
    </w:p>
    <w:p w14:paraId="6840073D" w14:textId="11C99102" w:rsidR="000E2D5A" w:rsidRPr="00CF1B34" w:rsidRDefault="00D72960"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Abrir desembolsada</w:t>
      </w:r>
    </w:p>
    <w:p w14:paraId="418EA3EF" w14:textId="3E52CFA7" w:rsidR="00D72960" w:rsidRPr="00CF1B34" w:rsidRDefault="00D7296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Acción cuyo nominal ha sido satisfecho en su totalidad por el inversor</w:t>
      </w:r>
      <w:r w:rsidR="00C82B5B" w:rsidRPr="00CF1B34">
        <w:rPr>
          <w:rFonts w:ascii="Arial" w:hAnsi="Arial" w:cs="Arial"/>
          <w:sz w:val="22"/>
          <w:szCs w:val="22"/>
          <w:lang w:val="es-ES_tradnl"/>
        </w:rPr>
        <w:t>.</w:t>
      </w:r>
    </w:p>
    <w:p w14:paraId="6A1CF799" w14:textId="7BACFD38" w:rsidR="002A0AB1" w:rsidRPr="00CF1B34" w:rsidRDefault="00D72960"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Abrir un largo</w:t>
      </w:r>
    </w:p>
    <w:p w14:paraId="4DB5FB54" w14:textId="1A620B28" w:rsidR="00D72960" w:rsidRPr="00CF1B34" w:rsidRDefault="00D7296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Cuando se da la orden de comprar para ir en la tendencia alcista</w:t>
      </w:r>
      <w:r w:rsidR="00C82B5B" w:rsidRPr="00CF1B34">
        <w:rPr>
          <w:rFonts w:ascii="Arial" w:hAnsi="Arial" w:cs="Arial"/>
          <w:sz w:val="22"/>
          <w:szCs w:val="22"/>
          <w:lang w:val="es-ES_tradnl"/>
        </w:rPr>
        <w:t>.</w:t>
      </w:r>
    </w:p>
    <w:p w14:paraId="58CAF013" w14:textId="5BC261BF" w:rsidR="00D72960" w:rsidRPr="00CF1B34" w:rsidRDefault="00C82B5B"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Absorción gastos de explotación</w:t>
      </w:r>
    </w:p>
    <w:p w14:paraId="1851D7E3" w14:textId="1209AAD0" w:rsidR="00C82B5B" w:rsidRPr="00CF1B34" w:rsidRDefault="00C82B5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Gastos de explotación respecto al margen operacional.</w:t>
      </w:r>
    </w:p>
    <w:p w14:paraId="6E15B966" w14:textId="7777777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 la par</w:t>
      </w:r>
    </w:p>
    <w:p w14:paraId="52767F88" w14:textId="5D3B4265"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Un título</w:t>
      </w:r>
      <w:r w:rsidR="00D72960" w:rsidRPr="00CF1B34">
        <w:rPr>
          <w:rFonts w:ascii="Arial" w:hAnsi="Arial" w:cs="Arial"/>
          <w:color w:val="212529"/>
          <w:sz w:val="22"/>
          <w:szCs w:val="22"/>
          <w:lang w:val="es-ES_tradnl"/>
        </w:rPr>
        <w:t xml:space="preserve"> cuyo nominal ha sido satisfecho en su totalidad</w:t>
      </w:r>
      <w:r w:rsidRPr="00CF1B34">
        <w:rPr>
          <w:rFonts w:ascii="Arial" w:hAnsi="Arial" w:cs="Arial"/>
          <w:color w:val="212529"/>
          <w:sz w:val="22"/>
          <w:szCs w:val="22"/>
          <w:lang w:val="es-ES_tradnl"/>
        </w:rPr>
        <w:t xml:space="preserve"> emite o negocia a la par cuando el precio efectivo coincide con su valor nominal. </w:t>
      </w:r>
      <w:hyperlink r:id="rId8" w:tgtFrame="_self" w:history="1">
        <w:r w:rsidRPr="00CF1B34">
          <w:rPr>
            <w:rFonts w:ascii="Arial" w:hAnsi="Arial" w:cs="Arial"/>
            <w:b/>
            <w:bCs/>
            <w:color w:val="1F3864" w:themeColor="accent1" w:themeShade="80"/>
            <w:sz w:val="22"/>
            <w:szCs w:val="22"/>
            <w:u w:val="single"/>
            <w:lang w:val="es-ES_tradnl"/>
          </w:rPr>
          <w:t>Ver Valor nominal</w:t>
        </w:r>
      </w:hyperlink>
      <w:r w:rsidRPr="00CF1B34">
        <w:rPr>
          <w:rFonts w:ascii="Arial" w:hAnsi="Arial" w:cs="Arial"/>
          <w:color w:val="1F3864" w:themeColor="accent1" w:themeShade="80"/>
          <w:sz w:val="22"/>
          <w:szCs w:val="22"/>
          <w:lang w:val="es-ES_tradnl"/>
        </w:rPr>
        <w:t>.</w:t>
      </w:r>
    </w:p>
    <w:p w14:paraId="27075974" w14:textId="6882939E"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w:t>
      </w:r>
    </w:p>
    <w:p w14:paraId="5FFF70D5" w14:textId="65265DD5"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Valor mobiliario que representa una parte proporcional del capital social de una sociedad anónima. Los tenedores de acciones son por tanto socios propietarios de la sociedad, en proporción a su participación. Las acciones pueden estar representadas por títulos físicos o por anotaciones en cuenta; la representación por anotaciones en cuenta es obligatoria si la sociedad está admitida a cotización en Bolsas de valores. En el apartado de clases de acciones y sus derechos, en la sección del inversor, puede consultar más información.</w:t>
      </w:r>
      <w:r w:rsidR="00C82B5B" w:rsidRPr="00CF1B34">
        <w:rPr>
          <w:rFonts w:ascii="Arial" w:hAnsi="Arial" w:cs="Arial"/>
          <w:color w:val="212529"/>
          <w:sz w:val="22"/>
          <w:szCs w:val="22"/>
          <w:lang w:val="es-ES_tradnl"/>
        </w:rPr>
        <w:t xml:space="preserve"> Una </w:t>
      </w:r>
      <w:r w:rsidR="00C82B5B" w:rsidRPr="00CF1B34">
        <w:rPr>
          <w:rFonts w:ascii="Arial" w:hAnsi="Arial" w:cs="Arial"/>
          <w:b/>
          <w:bCs/>
          <w:color w:val="2F5496" w:themeColor="accent1" w:themeShade="BF"/>
          <w:sz w:val="22"/>
          <w:szCs w:val="22"/>
          <w:lang w:val="es-ES_tradnl"/>
        </w:rPr>
        <w:t>acción a la par</w:t>
      </w:r>
      <w:r w:rsidR="00C82B5B" w:rsidRPr="00CF1B34">
        <w:rPr>
          <w:rFonts w:ascii="Arial" w:hAnsi="Arial" w:cs="Arial"/>
          <w:color w:val="2F5496" w:themeColor="accent1" w:themeShade="BF"/>
          <w:sz w:val="22"/>
          <w:szCs w:val="22"/>
          <w:lang w:val="es-ES_tradnl"/>
        </w:rPr>
        <w:t xml:space="preserve"> </w:t>
      </w:r>
      <w:r w:rsidR="00C82B5B" w:rsidRPr="00CF1B34">
        <w:rPr>
          <w:rFonts w:ascii="Arial" w:hAnsi="Arial" w:cs="Arial"/>
          <w:color w:val="212529"/>
          <w:sz w:val="22"/>
          <w:szCs w:val="22"/>
          <w:lang w:val="es-ES_tradnl"/>
        </w:rPr>
        <w:t xml:space="preserve">es </w:t>
      </w:r>
      <w:r w:rsidR="00BF38B3" w:rsidRPr="00CF1B34">
        <w:rPr>
          <w:rFonts w:ascii="Arial" w:hAnsi="Arial" w:cs="Arial"/>
          <w:color w:val="212529"/>
          <w:sz w:val="22"/>
          <w:szCs w:val="22"/>
          <w:lang w:val="es-ES_tradnl"/>
        </w:rPr>
        <w:t xml:space="preserve">aquella </w:t>
      </w:r>
      <w:r w:rsidR="00C82B5B" w:rsidRPr="00CF1B34">
        <w:rPr>
          <w:rFonts w:ascii="Arial" w:hAnsi="Arial" w:cs="Arial"/>
          <w:color w:val="212529"/>
          <w:sz w:val="22"/>
          <w:szCs w:val="22"/>
          <w:lang w:val="es-ES_tradnl"/>
        </w:rPr>
        <w:t>emitida y ofertada a los inversores por su valor nominal</w:t>
      </w:r>
    </w:p>
    <w:p w14:paraId="65989656" w14:textId="7777777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concertada </w:t>
      </w:r>
    </w:p>
    <w:p w14:paraId="29CC3DDB"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Acuerdo entre dos o más accionistas de una sociedad con el objetivo de ejercer una influencia apreciable sobre la misma. Normalmente, entre las pautas acordadas se encuentra el ejercicio del voto en el mismo sentido en las juntas generales de accionistas.</w:t>
      </w:r>
    </w:p>
    <w:p w14:paraId="18596D62" w14:textId="2C694919" w:rsidR="00C765C8" w:rsidRPr="00CF1B34" w:rsidRDefault="00C765C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con prima</w:t>
      </w:r>
    </w:p>
    <w:p w14:paraId="7B409E91" w14:textId="77777777" w:rsidR="00262240" w:rsidRPr="00CF1B34" w:rsidRDefault="00120EE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Acción que se emite y se pone en circulación en una oferta publica de acciones, por un valor superior al nominal</w:t>
      </w:r>
      <w:r w:rsidR="00262240" w:rsidRPr="00CF1B34">
        <w:rPr>
          <w:rFonts w:ascii="Arial" w:hAnsi="Arial" w:cs="Arial"/>
          <w:color w:val="000000" w:themeColor="text1"/>
          <w:sz w:val="22"/>
          <w:szCs w:val="22"/>
          <w:lang w:val="es-ES_tradnl"/>
        </w:rPr>
        <w:t>.</w:t>
      </w:r>
    </w:p>
    <w:p w14:paraId="423DAFB4" w14:textId="1E44A9E8" w:rsidR="00C765C8" w:rsidRPr="00CF1B34" w:rsidRDefault="00C22C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cotizada</w:t>
      </w:r>
    </w:p>
    <w:p w14:paraId="2C2BD378" w14:textId="77777777" w:rsidR="00262240" w:rsidRPr="00CF1B34" w:rsidRDefault="00120EE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Acción emitida a negociación en los mercados organizados de valores. Esto es las acciones que en nuestro país cotizan en cualquiera</w:t>
      </w:r>
      <w:r w:rsidR="00457454" w:rsidRPr="00CF1B34">
        <w:rPr>
          <w:rFonts w:ascii="Arial" w:hAnsi="Arial" w:cs="Arial"/>
          <w:color w:val="000000" w:themeColor="text1"/>
          <w:sz w:val="22"/>
          <w:szCs w:val="22"/>
          <w:lang w:val="es-ES_tradnl"/>
        </w:rPr>
        <w:t xml:space="preserve"> de los mercados organizados de valores</w:t>
      </w:r>
      <w:r w:rsidR="00262240" w:rsidRPr="00CF1B34">
        <w:rPr>
          <w:rFonts w:ascii="Arial" w:hAnsi="Arial" w:cs="Arial"/>
          <w:color w:val="000000" w:themeColor="text1"/>
          <w:sz w:val="22"/>
          <w:szCs w:val="22"/>
          <w:lang w:val="es-ES_tradnl"/>
        </w:rPr>
        <w:t>.</w:t>
      </w:r>
    </w:p>
    <w:p w14:paraId="1B6DC185" w14:textId="46243462"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de oro </w:t>
      </w:r>
    </w:p>
    <w:p w14:paraId="5CA5BF51" w14:textId="692FE53E"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aquella a la que se atribuyen derechos especiales de voto. Como consecuencia, su propietario puede ejercer un mayor control sobre la vida societaria que el resto de los accionistas. Este término suele utilizarse para hacer referencia a las acciones que conservan los gobiernos después de haber privatizado una empresa; en la práctica les permite conservar cierto control y vetar determinadas decisiones.</w:t>
      </w:r>
      <w:r w:rsidR="00586E62"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El Tribunal de Justicia de la Unión Europea considera que sólo cabría utilizar la acción de oro de manera excepcional, por causas de interés general, y según criterios conocidos de antemano por las empresas.</w:t>
      </w:r>
    </w:p>
    <w:p w14:paraId="609B0047" w14:textId="665F617F" w:rsidR="00CB0F4E" w:rsidRPr="00CF1B34" w:rsidRDefault="00CB0F4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Acción en </w:t>
      </w:r>
      <w:r w:rsidR="008A6622" w:rsidRPr="00CF1B34">
        <w:rPr>
          <w:rFonts w:ascii="Arial" w:hAnsi="Arial" w:cs="Arial"/>
          <w:b/>
          <w:bCs/>
          <w:color w:val="004773"/>
          <w:sz w:val="22"/>
          <w:szCs w:val="22"/>
          <w:lang w:val="es-ES_tradnl"/>
        </w:rPr>
        <w:t xml:space="preserve">tesorería </w:t>
      </w:r>
    </w:p>
    <w:p w14:paraId="4C99D18B" w14:textId="08126A9D" w:rsidR="00CB0F4E" w:rsidRPr="00CF1B34" w:rsidRDefault="00CB0F4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los títulos nominativos de una empresa que no han sido suscritos. En las sociedades anónimas, las acciones en tesorería son aquellas que no </w:t>
      </w:r>
      <w:r w:rsidR="008A6622" w:rsidRPr="00CF1B34">
        <w:rPr>
          <w:rFonts w:ascii="Arial" w:hAnsi="Arial" w:cs="Arial"/>
          <w:color w:val="000000" w:themeColor="text1"/>
          <w:sz w:val="22"/>
          <w:szCs w:val="22"/>
          <w:lang w:val="es-ES_tradnl"/>
        </w:rPr>
        <w:t>están</w:t>
      </w:r>
      <w:r w:rsidRPr="00CF1B34">
        <w:rPr>
          <w:rFonts w:ascii="Arial" w:hAnsi="Arial" w:cs="Arial"/>
          <w:color w:val="000000" w:themeColor="text1"/>
          <w:sz w:val="22"/>
          <w:szCs w:val="22"/>
          <w:lang w:val="es-ES_tradnl"/>
        </w:rPr>
        <w:t xml:space="preserve"> suscritas al momento de su constitución, sino </w:t>
      </w:r>
      <w:proofErr w:type="gramStart"/>
      <w:r w:rsidRPr="00CF1B34">
        <w:rPr>
          <w:rFonts w:ascii="Arial" w:hAnsi="Arial" w:cs="Arial"/>
          <w:color w:val="000000" w:themeColor="text1"/>
          <w:sz w:val="22"/>
          <w:szCs w:val="22"/>
          <w:lang w:val="es-ES_tradnl"/>
        </w:rPr>
        <w:t>que</w:t>
      </w:r>
      <w:proofErr w:type="gramEnd"/>
      <w:r w:rsidRPr="00CF1B34">
        <w:rPr>
          <w:rFonts w:ascii="Arial" w:hAnsi="Arial" w:cs="Arial"/>
          <w:color w:val="000000" w:themeColor="text1"/>
          <w:sz w:val="22"/>
          <w:szCs w:val="22"/>
          <w:lang w:val="es-ES_tradnl"/>
        </w:rPr>
        <w:t xml:space="preserve"> del total del capital social emitido, únicamente se suscribe el m</w:t>
      </w:r>
      <w:r w:rsidR="008A6622"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nimo legal.</w:t>
      </w:r>
    </w:p>
    <w:p w14:paraId="3F166385" w14:textId="19F857C3" w:rsidR="00C22CB1" w:rsidRPr="00CF1B34" w:rsidRDefault="00C22C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ex derecho o ex cupón</w:t>
      </w:r>
    </w:p>
    <w:p w14:paraId="3005CA1A" w14:textId="77777777" w:rsidR="006D6C18" w:rsidRPr="00CF1B34" w:rsidRDefault="0045745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Aquella acción en la que se ha ejercitado el derecho de suscripción preferente o se ha procedido a su venta de manera independiente.</w:t>
      </w:r>
    </w:p>
    <w:p w14:paraId="5DA96283" w14:textId="16701C60"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liberada</w:t>
      </w:r>
      <w:r w:rsidR="000E2D5A" w:rsidRPr="00CF1B34">
        <w:rPr>
          <w:rFonts w:ascii="Arial" w:hAnsi="Arial" w:cs="Arial"/>
          <w:b/>
          <w:bCs/>
          <w:color w:val="004773"/>
          <w:sz w:val="22"/>
          <w:szCs w:val="22"/>
          <w:lang w:val="es-ES_tradnl"/>
        </w:rPr>
        <w:t xml:space="preserve"> o gratuita</w:t>
      </w:r>
    </w:p>
    <w:p w14:paraId="46351E7F"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algunas ampliaciones de capital, la sociedad emite las nuevas acciones con cargo a las reservas disponibles, por lo que los accionistas las adquieren sin tener que realizar ningún desembolso. En ocasiones, se emite una parte con cargo a reservas, y el resto tiene que ser aportado por el accionista; en este caso, las acciones son ´parcialmente liberadas´.</w:t>
      </w:r>
    </w:p>
    <w:p w14:paraId="255A450C" w14:textId="368C192C" w:rsidR="00457454" w:rsidRPr="00CF1B34" w:rsidRDefault="0045745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nueva</w:t>
      </w:r>
    </w:p>
    <w:p w14:paraId="5D80D2B3" w14:textId="77777777" w:rsidR="00262240" w:rsidRPr="00CF1B34" w:rsidRDefault="0045745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acción que resulta de una ampliación de capital. No goza de todos los derechos que tienen las acciones viejas, como es el cobro de dividendos</w:t>
      </w:r>
      <w:r w:rsidR="00262240" w:rsidRPr="00CF1B34">
        <w:rPr>
          <w:rFonts w:ascii="Arial" w:hAnsi="Arial" w:cs="Arial"/>
          <w:color w:val="000000" w:themeColor="text1"/>
          <w:sz w:val="22"/>
          <w:szCs w:val="22"/>
          <w:lang w:val="es-ES_tradnl"/>
        </w:rPr>
        <w:t>.</w:t>
      </w:r>
    </w:p>
    <w:p w14:paraId="68DA628A" w14:textId="03E1C241" w:rsidR="00C22CB1" w:rsidRPr="00CF1B34" w:rsidRDefault="00C22C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Preferente</w:t>
      </w:r>
    </w:p>
    <w:p w14:paraId="0D57BDFF" w14:textId="4553BA0C" w:rsidR="00CB0F4E" w:rsidRPr="00CF1B34" w:rsidRDefault="00CC7B9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Titulo intermedio entre acción y obligación, </w:t>
      </w:r>
      <w:proofErr w:type="gramStart"/>
      <w:r w:rsidRPr="00CF1B34">
        <w:rPr>
          <w:rFonts w:ascii="Arial" w:hAnsi="Arial" w:cs="Arial"/>
          <w:color w:val="000000" w:themeColor="text1"/>
          <w:sz w:val="22"/>
          <w:szCs w:val="22"/>
          <w:lang w:val="es-ES_tradnl"/>
        </w:rPr>
        <w:t>que</w:t>
      </w:r>
      <w:proofErr w:type="gramEnd"/>
      <w:r w:rsidRPr="00CF1B34">
        <w:rPr>
          <w:rFonts w:ascii="Arial" w:hAnsi="Arial" w:cs="Arial"/>
          <w:color w:val="000000" w:themeColor="text1"/>
          <w:sz w:val="22"/>
          <w:szCs w:val="22"/>
          <w:lang w:val="es-ES_tradnl"/>
        </w:rPr>
        <w:t xml:space="preserve"> a diferencia de las acciones ordinarias, tiene una retribución fija, siempre que el emisor logre un beneficio m</w:t>
      </w:r>
      <w:r w:rsidR="008A6622"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nimo. También se denomina acción privilegiada. Ejemplo: participaciones preferentes de diciembre de 1998 con un dividendo del 6,20% anual pagadero trimestralmente, y un nominal de 25€</w:t>
      </w:r>
    </w:p>
    <w:p w14:paraId="7EDFBEFB" w14:textId="20E1D2FF"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Acción privilegiada</w:t>
      </w:r>
    </w:p>
    <w:p w14:paraId="68AEA302" w14:textId="5899562D"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incorpora algún privilegio económico adicional al de las acciones ordinarias (por lo general, un mayor dividendo mediante una participación especial en los beneficios). Este tipo de acciones es poco habitual en el mercado español (no deben confundirse con las participaciones preferentes</w:t>
      </w:r>
      <w:proofErr w:type="gramStart"/>
      <w:r w:rsidRPr="00CF1B34">
        <w:rPr>
          <w:rFonts w:ascii="Arial" w:hAnsi="Arial" w:cs="Arial"/>
          <w:color w:val="212529"/>
          <w:sz w:val="22"/>
          <w:szCs w:val="22"/>
          <w:lang w:val="es-ES_tradnl"/>
        </w:rPr>
        <w:t>).</w:t>
      </w:r>
      <w:r w:rsidR="00CC7B9D" w:rsidRPr="00CF1B34">
        <w:rPr>
          <w:rFonts w:ascii="Arial" w:hAnsi="Arial" w:cs="Arial"/>
          <w:color w:val="212529"/>
          <w:sz w:val="22"/>
          <w:szCs w:val="22"/>
          <w:lang w:val="es-ES_tradnl"/>
        </w:rPr>
        <w:t>Ver</w:t>
      </w:r>
      <w:proofErr w:type="gramEnd"/>
      <w:r w:rsidR="00CC7B9D" w:rsidRPr="00CF1B34">
        <w:rPr>
          <w:rFonts w:ascii="Arial" w:hAnsi="Arial" w:cs="Arial"/>
          <w:color w:val="212529"/>
          <w:sz w:val="22"/>
          <w:szCs w:val="22"/>
          <w:lang w:val="es-ES_tradnl"/>
        </w:rPr>
        <w:t xml:space="preserve"> acción Preferente</w:t>
      </w:r>
    </w:p>
    <w:p w14:paraId="0EB07F70" w14:textId="7777777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rescatable </w:t>
      </w:r>
    </w:p>
    <w:p w14:paraId="24159AE5"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Poco habituales en el mercado español. Son aquellas acciones que pueden ser amortizadas por la sociedad emisora a iniciativa de ésta, de los accionistas o de ambos. En los acuerdos de emisión se fijan las condiciones para el ejercicio del rescate. En el caso de que sólo el emisor tenga el derecho de rescate, éste no podrá ejercitarse sino a partir de los tres años de la emisión de las acciones. Las acciones rescatables deberán ser íntegramente desembolsadas en el momento de la suscripción.</w:t>
      </w:r>
    </w:p>
    <w:p w14:paraId="6BE4074D" w14:textId="7777777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sin voto</w:t>
      </w:r>
    </w:p>
    <w:p w14:paraId="25F8F316"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Acciones que conllevan los mismos derechos que las acciones ordinarias, excepto el de voto en las juntas generales de accionistas. Como contraprestación, se confiere el derecho a un dividendo mínimo, fijo o variable, adicional al distribuido para las ordinarias. Este dividendo mínimo garantizado es preferente (se paga antes que el dividendo ordinario) y acumulativo (si no se pudiera pagar ese año, se pagaría dentro de los cinco siguientes). Posibilitan la captación de fondos propios sin afectar al control de la sociedad. En la práctica no son habituales.</w:t>
      </w:r>
    </w:p>
    <w:p w14:paraId="7C65D4B4" w14:textId="54275E0F" w:rsidR="00C22CB1" w:rsidRPr="00CF1B34" w:rsidRDefault="00C22C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subyacente</w:t>
      </w:r>
    </w:p>
    <w:p w14:paraId="2EF821D7" w14:textId="77777777" w:rsidR="00262240" w:rsidRPr="00CF1B34" w:rsidRDefault="005162C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Acción sobre la que se efect</w:t>
      </w:r>
      <w:r w:rsidR="00262240" w:rsidRPr="00CF1B34">
        <w:rPr>
          <w:rFonts w:ascii="Arial" w:hAnsi="Arial" w:cs="Arial"/>
          <w:color w:val="000000" w:themeColor="text1"/>
          <w:sz w:val="22"/>
          <w:szCs w:val="22"/>
          <w:lang w:val="es-ES_tradnl"/>
        </w:rPr>
        <w:t>ú</w:t>
      </w:r>
      <w:r w:rsidRPr="00CF1B34">
        <w:rPr>
          <w:rFonts w:ascii="Arial" w:hAnsi="Arial" w:cs="Arial"/>
          <w:color w:val="000000" w:themeColor="text1"/>
          <w:sz w:val="22"/>
          <w:szCs w:val="22"/>
          <w:lang w:val="es-ES_tradnl"/>
        </w:rPr>
        <w:t>a la negociación de una opción.</w:t>
      </w:r>
    </w:p>
    <w:p w14:paraId="69AEDDBC" w14:textId="12B1FAF0" w:rsidR="00C22CB1" w:rsidRPr="00CF1B34" w:rsidRDefault="00C22C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Acción vieja</w:t>
      </w:r>
    </w:p>
    <w:p w14:paraId="3C1A74B6" w14:textId="77777777" w:rsidR="00262240" w:rsidRPr="00CF1B34" w:rsidRDefault="0063253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 la acción normal que se negocia en el mercado. El propietario de estas acciones </w:t>
      </w:r>
      <w:r w:rsidR="00C879E9"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tiene derecho a todos lodos los beneficios económicos y con ellas puede adquiri</w:t>
      </w:r>
      <w:r w:rsidR="00C879E9" w:rsidRPr="00CF1B34">
        <w:rPr>
          <w:rFonts w:ascii="Arial" w:hAnsi="Arial" w:cs="Arial"/>
          <w:color w:val="000000" w:themeColor="text1"/>
          <w:sz w:val="22"/>
          <w:szCs w:val="22"/>
          <w:lang w:val="es-ES_tradnl"/>
        </w:rPr>
        <w:t>r</w:t>
      </w:r>
      <w:r w:rsidRPr="00CF1B34">
        <w:rPr>
          <w:rFonts w:ascii="Arial" w:hAnsi="Arial" w:cs="Arial"/>
          <w:color w:val="000000" w:themeColor="text1"/>
          <w:sz w:val="22"/>
          <w:szCs w:val="22"/>
          <w:lang w:val="es-ES_tradnl"/>
        </w:rPr>
        <w:t xml:space="preserve"> acciones nuevas gracias al derecho</w:t>
      </w:r>
      <w:r w:rsidR="00C879E9"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 xml:space="preserve">de suscripción preferente, inherente a estos </w:t>
      </w:r>
      <w:r w:rsidR="00262240" w:rsidRPr="00CF1B34">
        <w:rPr>
          <w:rFonts w:ascii="Arial" w:hAnsi="Arial" w:cs="Arial"/>
          <w:color w:val="000000" w:themeColor="text1"/>
          <w:sz w:val="22"/>
          <w:szCs w:val="22"/>
          <w:lang w:val="es-ES_tradnl"/>
        </w:rPr>
        <w:t xml:space="preserve">títulos. </w:t>
      </w:r>
    </w:p>
    <w:p w14:paraId="5A924BDD" w14:textId="083DCBA5"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Accionista</w:t>
      </w:r>
    </w:p>
    <w:p w14:paraId="397531F4" w14:textId="1F87B6CC"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Persona física o jurídica que tiene acciones de una sociedad, por lo que es propietaria de la misma en un porcentaje proporcional a su participación</w:t>
      </w:r>
      <w:r w:rsidR="00C879E9" w:rsidRPr="00CF1B34">
        <w:rPr>
          <w:rFonts w:ascii="Arial" w:hAnsi="Arial" w:cs="Arial"/>
          <w:color w:val="212529"/>
          <w:sz w:val="22"/>
          <w:szCs w:val="22"/>
          <w:lang w:val="es-ES_tradnl"/>
        </w:rPr>
        <w:t xml:space="preserve"> y como tal responde con este dinero al devenir de la empresa. En caso de quiebra es el ultimo en cobrar ya que no es un acreedor de la compañía, sino que es propietario. Como son sociedades anónimas solo responde con el dividendo y el derecho de suscripción preferente en las ampliaciones de capital. También disfruta del derecho de asistir  las juntas generales de accionista y aprobar o censurar la gestión que hace el equipo directivo</w:t>
      </w:r>
    </w:p>
    <w:p w14:paraId="52A2DDC2" w14:textId="4B74F10F" w:rsidR="00C22CB1" w:rsidRPr="00CF1B34" w:rsidRDefault="00C22C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Accionista mayoritario</w:t>
      </w:r>
    </w:p>
    <w:p w14:paraId="038BEF1B" w14:textId="2DEF7E2E" w:rsidR="000702E4" w:rsidRPr="00CF1B34" w:rsidRDefault="004E2166" w:rsidP="0005621A">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Es aquel que posee el mayor paquete de acciones dentro de una compañía. Se puede ser accionista mayoritario con el 20% de las acciones o cualquier otro porcentaje, no siendo necesario disponer del 51% del capital</w:t>
      </w:r>
    </w:p>
    <w:p w14:paraId="13699B24" w14:textId="21720A04" w:rsidR="00C22CB1" w:rsidRPr="00CF1B34" w:rsidRDefault="00C22C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Accionista minoritario</w:t>
      </w:r>
    </w:p>
    <w:p w14:paraId="28FBEF49" w14:textId="77777777" w:rsidR="00262240" w:rsidRPr="00CF1B34" w:rsidRDefault="007F62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aquellos que no disponen del mayor paquete de acciones de la sociedad donde han invertido</w:t>
      </w:r>
      <w:r w:rsidR="00262240" w:rsidRPr="00CF1B34">
        <w:rPr>
          <w:rFonts w:ascii="Arial" w:hAnsi="Arial" w:cs="Arial"/>
          <w:color w:val="000000" w:themeColor="text1"/>
          <w:sz w:val="22"/>
          <w:szCs w:val="22"/>
          <w:lang w:val="es-ES_tradnl"/>
        </w:rPr>
        <w:t>.</w:t>
      </w:r>
    </w:p>
    <w:p w14:paraId="766D8587" w14:textId="72D99FCE" w:rsidR="00C22CB1" w:rsidRPr="00CF1B34" w:rsidRDefault="00C22C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Aceptación </w:t>
      </w:r>
    </w:p>
    <w:p w14:paraId="60BD7D88" w14:textId="77777777" w:rsidR="00262240" w:rsidRPr="00CF1B34" w:rsidRDefault="009266C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los países anglosajones, letra de cambio que ha sido endosada por un banco, un banco ha dado sus garantías de que se pagara la letra si el comprador no pudiera hacerse cargo. El exportador cuyas letras son aceptadas por un banco de primera clase puede llevarlas al descuento en los mercados financieros</w:t>
      </w:r>
      <w:r w:rsidR="00262240" w:rsidRPr="00CF1B34">
        <w:rPr>
          <w:rFonts w:ascii="Arial" w:hAnsi="Arial" w:cs="Arial"/>
          <w:color w:val="000000" w:themeColor="text1"/>
          <w:sz w:val="22"/>
          <w:szCs w:val="22"/>
          <w:lang w:val="es-ES_tradnl"/>
        </w:rPr>
        <w:t>.</w:t>
      </w:r>
    </w:p>
    <w:p w14:paraId="600A4138" w14:textId="01ACBB51"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Acomodación continua </w:t>
      </w:r>
    </w:p>
    <w:p w14:paraId="4700253B" w14:textId="3B1ABC02" w:rsidR="00996328"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el contexto de la operativa con derivados, se refiere al cálculo diario de las posiciones, deudoras o acreedoras, que resulten en una posición abierta en productos derivados, como consecuencia de las variaciones de precios del activo subyacente. En los mercados organizados de derivados españoles, esta evaluación permanente del riesgo conlleva la obligación de ajustar las fianzas que se mantienen en la cámara de compensación, en la medida en que las fluctuaciones de precios lo hagan necesario.</w:t>
      </w:r>
    </w:p>
    <w:p w14:paraId="3BE3D52B" w14:textId="5771E236" w:rsidR="00CA2A3C" w:rsidRPr="00CF1B34" w:rsidRDefault="00CA2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Acoso laboral</w:t>
      </w:r>
    </w:p>
    <w:p w14:paraId="3233AA4F" w14:textId="3EE0D026" w:rsidR="00CA2A3C" w:rsidRPr="00CF1B34" w:rsidRDefault="00CA2A3C" w:rsidP="00D275FE">
      <w:pPr>
        <w:ind w:left="708"/>
        <w:jc w:val="both"/>
        <w:rPr>
          <w:rFonts w:ascii="Arial" w:hAnsi="Arial" w:cs="Arial"/>
          <w:b/>
          <w:bCs/>
          <w:color w:val="004773"/>
          <w:sz w:val="22"/>
          <w:szCs w:val="22"/>
          <w:lang w:val="es-ES_tradnl"/>
        </w:rPr>
      </w:pPr>
      <w:r w:rsidRPr="00CF1B34">
        <w:rPr>
          <w:rFonts w:ascii="Arial" w:hAnsi="Arial" w:cs="Arial"/>
          <w:b/>
          <w:bCs/>
          <w:color w:val="333333"/>
          <w:sz w:val="22"/>
          <w:szCs w:val="22"/>
          <w:lang w:val="es-ES_tradnl"/>
        </w:rPr>
        <w:t>El</w:t>
      </w:r>
      <w:r w:rsidRPr="00CF1B34">
        <w:rPr>
          <w:rStyle w:val="Textoennegrita"/>
          <w:rFonts w:ascii="Arial" w:hAnsi="Arial" w:cs="Arial"/>
          <w:b w:val="0"/>
          <w:bCs w:val="0"/>
          <w:color w:val="333333"/>
          <w:sz w:val="22"/>
          <w:szCs w:val="22"/>
          <w:lang w:val="es-ES_tradnl"/>
        </w:rPr>
        <w:t xml:space="preserve"> acoso laboral, </w:t>
      </w:r>
      <w:r w:rsidRPr="00CF1B34">
        <w:rPr>
          <w:rFonts w:ascii="Arial" w:hAnsi="Arial" w:cs="Arial"/>
          <w:b/>
          <w:bCs/>
          <w:color w:val="333333"/>
          <w:sz w:val="22"/>
          <w:szCs w:val="22"/>
          <w:lang w:val="es-ES_tradnl"/>
        </w:rPr>
        <w:t>también conocido con el</w:t>
      </w:r>
      <w:r w:rsidRPr="00CF1B34">
        <w:rPr>
          <w:rStyle w:val="Textoennegrita"/>
          <w:rFonts w:ascii="Arial" w:hAnsi="Arial" w:cs="Arial"/>
          <w:b w:val="0"/>
          <w:bCs w:val="0"/>
          <w:color w:val="333333"/>
          <w:sz w:val="22"/>
          <w:szCs w:val="22"/>
          <w:lang w:val="es-ES_tradnl"/>
        </w:rPr>
        <w:t xml:space="preserve"> término en inglés, mobbing, </w:t>
      </w:r>
      <w:r w:rsidRPr="00CF1B34">
        <w:rPr>
          <w:rFonts w:ascii="Arial" w:hAnsi="Arial" w:cs="Arial"/>
          <w:b/>
          <w:bCs/>
          <w:color w:val="333333"/>
          <w:sz w:val="22"/>
          <w:szCs w:val="22"/>
          <w:lang w:val="es-ES_tradnl"/>
        </w:rPr>
        <w:t>es la</w:t>
      </w:r>
      <w:r w:rsidRPr="00CF1B34">
        <w:rPr>
          <w:rStyle w:val="Textoennegrita"/>
          <w:rFonts w:ascii="Arial" w:hAnsi="Arial" w:cs="Arial"/>
          <w:b w:val="0"/>
          <w:bCs w:val="0"/>
          <w:color w:val="333333"/>
          <w:sz w:val="22"/>
          <w:szCs w:val="22"/>
          <w:lang w:val="es-ES_tradnl"/>
        </w:rPr>
        <w:t xml:space="preserve"> acción de </w:t>
      </w:r>
      <w:r w:rsidRPr="00CF1B34">
        <w:rPr>
          <w:rFonts w:ascii="Arial" w:hAnsi="Arial" w:cs="Arial"/>
          <w:b/>
          <w:bCs/>
          <w:color w:val="333333"/>
          <w:sz w:val="22"/>
          <w:szCs w:val="22"/>
          <w:lang w:val="es-ES_tradnl"/>
        </w:rPr>
        <w:t xml:space="preserve">a la persona víctima en sus tareas cotidianas. En estos casos, </w:t>
      </w:r>
      <w:r w:rsidRPr="00CF1B34">
        <w:rPr>
          <w:rStyle w:val="Textoennegrita"/>
          <w:rFonts w:ascii="Arial" w:hAnsi="Arial" w:cs="Arial"/>
          <w:b w:val="0"/>
          <w:bCs w:val="0"/>
          <w:color w:val="333333"/>
          <w:sz w:val="22"/>
          <w:szCs w:val="22"/>
          <w:lang w:val="es-ES_tradnl"/>
        </w:rPr>
        <w:t>una persona recibe violencia psicológica</w:t>
      </w:r>
      <w:r w:rsidRPr="00CF1B34">
        <w:rPr>
          <w:rFonts w:ascii="Arial" w:hAnsi="Arial" w:cs="Arial"/>
          <w:b/>
          <w:bCs/>
          <w:color w:val="333333"/>
          <w:sz w:val="22"/>
          <w:szCs w:val="22"/>
          <w:lang w:val="es-ES_tradnl"/>
        </w:rPr>
        <w:t xml:space="preserve"> por parte de sus compañeros (entre iguales), de sus subalternos (en sentido vertical ascendente) o de sus superiores (en sentido vertical descendente, la cual se conoce como </w:t>
      </w:r>
      <w:r w:rsidRPr="00CF1B34">
        <w:rPr>
          <w:rStyle w:val="Textoennegrita"/>
          <w:rFonts w:ascii="Arial" w:hAnsi="Arial" w:cs="Arial"/>
          <w:b w:val="0"/>
          <w:bCs w:val="0"/>
          <w:color w:val="333333"/>
          <w:sz w:val="22"/>
          <w:szCs w:val="22"/>
          <w:lang w:val="es-ES_tradnl"/>
        </w:rPr>
        <w:t>bossing</w:t>
      </w:r>
      <w:r w:rsidRPr="00CF1B34">
        <w:rPr>
          <w:rFonts w:ascii="Arial" w:hAnsi="Arial" w:cs="Arial"/>
          <w:b/>
          <w:bCs/>
          <w:color w:val="333333"/>
          <w:sz w:val="22"/>
          <w:szCs w:val="22"/>
          <w:lang w:val="es-ES_tradnl"/>
        </w:rPr>
        <w:t>).</w:t>
      </w:r>
    </w:p>
    <w:p w14:paraId="3E3E342C" w14:textId="77777777" w:rsidR="00996328" w:rsidRPr="00CF1B34" w:rsidRDefault="00996328" w:rsidP="00D275FE">
      <w:pPr>
        <w:pStyle w:val="NormalWeb"/>
        <w:shd w:val="clear" w:color="auto" w:fill="FFFFFF"/>
        <w:spacing w:before="0" w:beforeAutospacing="0" w:after="165" w:afterAutospacing="0"/>
        <w:ind w:firstLine="360"/>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Características y modos más comunes del mobbing, entre otros:</w:t>
      </w:r>
    </w:p>
    <w:p w14:paraId="73645B11" w14:textId="77777777" w:rsidR="00996328" w:rsidRPr="00CF1B34" w:rsidRDefault="00996328" w:rsidP="004F7A62">
      <w:pPr>
        <w:numPr>
          <w:ilvl w:val="0"/>
          <w:numId w:val="10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Quitarle áreas de responsabilidad clave</w:t>
      </w:r>
    </w:p>
    <w:p w14:paraId="6C068845" w14:textId="77777777" w:rsidR="00996328" w:rsidRPr="00CF1B34" w:rsidRDefault="00996328" w:rsidP="004F7A62">
      <w:pPr>
        <w:numPr>
          <w:ilvl w:val="0"/>
          <w:numId w:val="10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Tratarle de una manera discriminatoria.</w:t>
      </w:r>
    </w:p>
    <w:p w14:paraId="51A6AAE3" w14:textId="77777777" w:rsidR="00996328" w:rsidRPr="00CF1B34" w:rsidRDefault="00996328" w:rsidP="004F7A62">
      <w:pPr>
        <w:numPr>
          <w:ilvl w:val="0"/>
          <w:numId w:val="10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Ignorarle o excluirle.</w:t>
      </w:r>
    </w:p>
    <w:p w14:paraId="01F6AEFE" w14:textId="77777777" w:rsidR="00996328" w:rsidRPr="00CF1B34" w:rsidRDefault="00996328" w:rsidP="004F7A62">
      <w:pPr>
        <w:numPr>
          <w:ilvl w:val="0"/>
          <w:numId w:val="10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Gritar, avasallar o insultar a la víctima cuando está sola.</w:t>
      </w:r>
    </w:p>
    <w:p w14:paraId="6FA408A8" w14:textId="77777777" w:rsidR="00996328" w:rsidRPr="00CF1B34" w:rsidRDefault="00996328" w:rsidP="004F7A62">
      <w:pPr>
        <w:numPr>
          <w:ilvl w:val="0"/>
          <w:numId w:val="10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Asignarle objetivos o proyectos con plazos que se saben inalcanzables.</w:t>
      </w:r>
    </w:p>
    <w:p w14:paraId="02ED12B1" w14:textId="77777777" w:rsidR="00996328" w:rsidRPr="00CF1B34" w:rsidRDefault="00996328" w:rsidP="004F7A62">
      <w:pPr>
        <w:numPr>
          <w:ilvl w:val="0"/>
          <w:numId w:val="100"/>
        </w:numPr>
        <w:shd w:val="clear" w:color="auto" w:fill="FFFFFF"/>
        <w:spacing w:before="100" w:beforeAutospacing="1" w:after="100" w:afterAutospacing="1"/>
        <w:jc w:val="both"/>
        <w:rPr>
          <w:rFonts w:ascii="Arial" w:hAnsi="Arial" w:cs="Arial"/>
          <w:color w:val="333333"/>
          <w:lang w:val="es-ES_tradnl"/>
        </w:rPr>
      </w:pPr>
      <w:r w:rsidRPr="00CF1B34">
        <w:rPr>
          <w:rFonts w:ascii="Arial" w:hAnsi="Arial" w:cs="Arial"/>
          <w:color w:val="333333"/>
          <w:sz w:val="22"/>
          <w:szCs w:val="22"/>
          <w:lang w:val="es-ES_tradnl"/>
        </w:rPr>
        <w:t>Sobrecargar a la víctima</w:t>
      </w:r>
    </w:p>
    <w:p w14:paraId="1E1BA2B7" w14:textId="5EF85EB3" w:rsidR="00996328" w:rsidRPr="00CF1B34" w:rsidRDefault="009963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Como dato final, </w:t>
      </w:r>
      <w:r w:rsidRPr="00CF1B34">
        <w:rPr>
          <w:rStyle w:val="Textoennegrita"/>
          <w:rFonts w:ascii="Arial" w:hAnsi="Arial" w:cs="Arial"/>
          <w:color w:val="333333"/>
          <w:sz w:val="22"/>
          <w:szCs w:val="22"/>
          <w:shd w:val="clear" w:color="auto" w:fill="FFFFFF"/>
          <w:lang w:val="es-ES_tradnl"/>
        </w:rPr>
        <w:t>las profesiones más afectadas por el mobbing son</w:t>
      </w:r>
      <w:r w:rsidRPr="00CF1B34">
        <w:rPr>
          <w:rFonts w:ascii="Arial" w:hAnsi="Arial" w:cs="Arial"/>
          <w:color w:val="333333"/>
          <w:sz w:val="22"/>
          <w:szCs w:val="22"/>
          <w:shd w:val="clear" w:color="auto" w:fill="FFFFFF"/>
          <w:lang w:val="es-ES_tradnl"/>
        </w:rPr>
        <w:t xml:space="preserve"> la de los </w:t>
      </w:r>
      <w:hyperlink r:id="rId9" w:history="1">
        <w:r w:rsidRPr="00CF1B34">
          <w:rPr>
            <w:rStyle w:val="Hipervnculo"/>
            <w:rFonts w:ascii="Arial" w:hAnsi="Arial" w:cs="Arial"/>
            <w:color w:val="DC143C"/>
            <w:sz w:val="22"/>
            <w:szCs w:val="22"/>
            <w:u w:val="none"/>
            <w:shd w:val="clear" w:color="auto" w:fill="FFFFFF"/>
            <w:lang w:val="es-ES_tradnl"/>
          </w:rPr>
          <w:t>funcionarios</w:t>
        </w:r>
      </w:hyperlink>
      <w:r w:rsidRPr="00CF1B34">
        <w:rPr>
          <w:rFonts w:ascii="Arial" w:hAnsi="Arial" w:cs="Arial"/>
          <w:color w:val="333333"/>
          <w:sz w:val="22"/>
          <w:szCs w:val="22"/>
          <w:shd w:val="clear" w:color="auto" w:fill="FFFFFF"/>
          <w:lang w:val="es-ES_tradnl"/>
        </w:rPr>
        <w:t xml:space="preserve"> y el personal de las administraciones públicas, trabajadores de la enseñanza primaria, media o universitaria, auditores, los trabajadores de la</w:t>
      </w:r>
      <w:r w:rsidR="000E3A10" w:rsidRPr="00CF1B34">
        <w:rPr>
          <w:rFonts w:ascii="Arial" w:hAnsi="Arial" w:cs="Arial"/>
          <w:color w:val="333333"/>
          <w:sz w:val="22"/>
          <w:szCs w:val="22"/>
          <w:shd w:val="clear" w:color="auto" w:fill="FFFFFF"/>
          <w:lang w:val="es-ES_tradnl"/>
        </w:rPr>
        <w:t xml:space="preserve"> </w:t>
      </w:r>
      <w:hyperlink r:id="rId10" w:history="1">
        <w:r w:rsidRPr="00CF1B34">
          <w:rPr>
            <w:rStyle w:val="Hipervnculo"/>
            <w:rFonts w:ascii="Arial" w:hAnsi="Arial" w:cs="Arial"/>
            <w:color w:val="DC143C"/>
            <w:sz w:val="22"/>
            <w:szCs w:val="22"/>
            <w:u w:val="none"/>
            <w:shd w:val="clear" w:color="auto" w:fill="FFFFFF"/>
            <w:lang w:val="es-ES_tradnl"/>
          </w:rPr>
          <w:t>salud</w:t>
        </w:r>
      </w:hyperlink>
      <w:r w:rsidRPr="00CF1B34">
        <w:rPr>
          <w:rFonts w:ascii="Arial" w:hAnsi="Arial" w:cs="Arial"/>
          <w:color w:val="333333"/>
          <w:sz w:val="22"/>
          <w:szCs w:val="22"/>
          <w:shd w:val="clear" w:color="auto" w:fill="FFFFFF"/>
          <w:lang w:val="es-ES_tradnl"/>
        </w:rPr>
        <w:t>, cuidadores de guarderías y escuelas infantiles, personal de hotelería y turismo, y personal de bancos e instituciones financieras.</w:t>
      </w:r>
    </w:p>
    <w:p w14:paraId="1456B13D" w14:textId="7648BF3B"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w:t>
      </w:r>
    </w:p>
    <w:p w14:paraId="5CDA235C" w14:textId="35EF063F"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Es el conjunto de bienes y derechos de una sociedad, es decir, lo que posee más lo que le deben. El activo muestra en qué ha invertido una sociedad, </w:t>
      </w:r>
      <w:r w:rsidRPr="00CF1B34">
        <w:rPr>
          <w:rFonts w:ascii="Arial" w:hAnsi="Arial" w:cs="Arial"/>
          <w:color w:val="212529"/>
          <w:sz w:val="22"/>
          <w:szCs w:val="22"/>
          <w:lang w:val="es-ES_tradnl"/>
        </w:rPr>
        <w:lastRenderedPageBreak/>
        <w:t>mientras que el pasivo informa sobre el origen de los fondos para realizar dichas inversiones. Ver</w:t>
      </w:r>
      <w:r w:rsidR="00262240" w:rsidRPr="00CF1B34">
        <w:rPr>
          <w:rFonts w:ascii="Arial" w:hAnsi="Arial" w:cs="Arial"/>
          <w:color w:val="212529"/>
          <w:sz w:val="22"/>
          <w:szCs w:val="22"/>
          <w:lang w:val="es-ES_tradnl"/>
        </w:rPr>
        <w:t xml:space="preserve"> </w:t>
      </w:r>
      <w:hyperlink r:id="rId11" w:tgtFrame="_self" w:history="1">
        <w:r w:rsidRPr="00CF1B34">
          <w:rPr>
            <w:rFonts w:ascii="Arial" w:hAnsi="Arial" w:cs="Arial"/>
            <w:b/>
            <w:bCs/>
            <w:color w:val="1F3864" w:themeColor="accent1" w:themeShade="80"/>
            <w:sz w:val="22"/>
            <w:szCs w:val="22"/>
            <w:u w:val="single"/>
            <w:lang w:val="es-ES_tradnl"/>
          </w:rPr>
          <w:t>Balance</w:t>
        </w:r>
      </w:hyperlink>
      <w:r w:rsidR="00262240" w:rsidRPr="00CF1B34">
        <w:rPr>
          <w:rFonts w:ascii="Arial" w:hAnsi="Arial" w:cs="Arial"/>
          <w:color w:val="1F3864" w:themeColor="accent1" w:themeShade="80"/>
          <w:sz w:val="22"/>
          <w:szCs w:val="22"/>
          <w:lang w:val="es-ES_tradnl"/>
        </w:rPr>
        <w:t xml:space="preserve"> </w:t>
      </w:r>
      <w:r w:rsidRPr="00CF1B34">
        <w:rPr>
          <w:rFonts w:ascii="Arial" w:hAnsi="Arial" w:cs="Arial"/>
          <w:color w:val="1F3864" w:themeColor="accent1" w:themeShade="80"/>
          <w:sz w:val="22"/>
          <w:szCs w:val="22"/>
          <w:lang w:val="es-ES_tradnl"/>
        </w:rPr>
        <w:t>y</w:t>
      </w:r>
      <w:r w:rsidR="00262240" w:rsidRPr="00CF1B34">
        <w:rPr>
          <w:rFonts w:ascii="Arial" w:hAnsi="Arial" w:cs="Arial"/>
          <w:color w:val="1F3864" w:themeColor="accent1" w:themeShade="80"/>
          <w:sz w:val="22"/>
          <w:szCs w:val="22"/>
          <w:lang w:val="es-ES_tradnl"/>
        </w:rPr>
        <w:t xml:space="preserve"> </w:t>
      </w:r>
      <w:hyperlink r:id="rId12" w:tgtFrame="_self" w:history="1">
        <w:r w:rsidRPr="00CF1B34">
          <w:rPr>
            <w:rFonts w:ascii="Arial" w:hAnsi="Arial" w:cs="Arial"/>
            <w:b/>
            <w:bCs/>
            <w:color w:val="1F3864" w:themeColor="accent1" w:themeShade="80"/>
            <w:sz w:val="22"/>
            <w:szCs w:val="22"/>
            <w:u w:val="single"/>
            <w:lang w:val="es-ES_tradnl"/>
          </w:rPr>
          <w:t>Pasivo</w:t>
        </w:r>
      </w:hyperlink>
      <w:r w:rsidRPr="00CF1B34">
        <w:rPr>
          <w:rFonts w:ascii="Arial" w:hAnsi="Arial" w:cs="Arial"/>
          <w:color w:val="1F3864" w:themeColor="accent1" w:themeShade="80"/>
          <w:sz w:val="22"/>
          <w:szCs w:val="22"/>
          <w:lang w:val="es-ES_tradnl"/>
        </w:rPr>
        <w:t>. </w:t>
      </w:r>
    </w:p>
    <w:p w14:paraId="78B83301" w14:textId="5F2C0C45" w:rsidR="00C22CB1" w:rsidRPr="00CF1B34" w:rsidRDefault="00C22C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amortizable</w:t>
      </w:r>
    </w:p>
    <w:p w14:paraId="75703683" w14:textId="77777777" w:rsidR="00262240" w:rsidRPr="00CF1B34" w:rsidRDefault="009266C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Elementos del activo inmovilizado</w:t>
      </w:r>
      <w:r w:rsidR="00A95539"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cuyo valor disminuye por su uso, deterioro natural, o cualquier causa, excepto por causas exclusivamente monetarias</w:t>
      </w:r>
      <w:r w:rsidR="00262240" w:rsidRPr="00CF1B34">
        <w:rPr>
          <w:rFonts w:ascii="Arial" w:hAnsi="Arial" w:cs="Arial"/>
          <w:color w:val="000000" w:themeColor="text1"/>
          <w:sz w:val="22"/>
          <w:szCs w:val="22"/>
          <w:lang w:val="es-ES_tradnl"/>
        </w:rPr>
        <w:t>.</w:t>
      </w:r>
    </w:p>
    <w:p w14:paraId="378B7516" w14:textId="4A72B2B4"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circulante</w:t>
      </w:r>
    </w:p>
    <w:p w14:paraId="7C179FB6" w14:textId="1BAE00D4"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Bienes y derechos de la empresa que serán vendidos o consumidos a corto plazo, por lo que se transformarán en efectivo dentro del ejercicio económico. Los activos circulantes permiten a las empresas el desarrollo de sus actividades cotidianas.</w:t>
      </w:r>
      <w:r w:rsidR="00550018" w:rsidRPr="00CF1B34">
        <w:rPr>
          <w:rFonts w:ascii="Arial" w:hAnsi="Arial" w:cs="Arial"/>
          <w:color w:val="212529"/>
          <w:sz w:val="22"/>
          <w:szCs w:val="22"/>
          <w:lang w:val="es-ES_tradnl"/>
        </w:rPr>
        <w:t xml:space="preserve"> Normalmente son: caja y similares, deudores, existencias y ajustes por periodificación</w:t>
      </w:r>
    </w:p>
    <w:p w14:paraId="3FF5D9DC" w14:textId="00C56E0F" w:rsidR="00550018" w:rsidRPr="00CF1B34" w:rsidRDefault="0055001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de caja del sistema bancario</w:t>
      </w:r>
    </w:p>
    <w:p w14:paraId="3F363B5A" w14:textId="77777777" w:rsidR="00262240" w:rsidRPr="00CF1B34" w:rsidRDefault="00A9553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Variable instrumental de la política monetaria, constituida por e efectivo en poder del sistema crediticio</w:t>
      </w:r>
      <w:r w:rsidR="005E1DC9" w:rsidRPr="00CF1B34">
        <w:rPr>
          <w:rFonts w:ascii="Arial" w:hAnsi="Arial" w:cs="Arial"/>
          <w:color w:val="000000" w:themeColor="text1"/>
          <w:sz w:val="22"/>
          <w:szCs w:val="22"/>
          <w:lang w:val="es-ES_tradnl"/>
        </w:rPr>
        <w:t xml:space="preserve"> y de los depósitos del sistema bancario en el Banco de España.</w:t>
      </w:r>
    </w:p>
    <w:p w14:paraId="3C2785CB" w14:textId="7B0A866D" w:rsidR="00550018" w:rsidRPr="00CF1B34" w:rsidRDefault="0055001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de renta fija</w:t>
      </w:r>
    </w:p>
    <w:p w14:paraId="49206546" w14:textId="77777777" w:rsidR="00262240" w:rsidRPr="00CF1B34" w:rsidRDefault="00D5457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trata de títulos emitidos por emisores públicos o privados, que garantizan una determinada rentabilidad a lo largo de su vida. En estos casos los mas conocidos son las emisiones de deuda del Tesoro Publico y las emisiones de deuda de empresas privadas, habitualmente conocidos como pagarés u obligaciones de empresa</w:t>
      </w:r>
      <w:r w:rsidR="00262240" w:rsidRPr="00CF1B34">
        <w:rPr>
          <w:rFonts w:ascii="Arial" w:hAnsi="Arial" w:cs="Arial"/>
          <w:color w:val="000000" w:themeColor="text1"/>
          <w:sz w:val="22"/>
          <w:szCs w:val="22"/>
          <w:lang w:val="es-ES_tradnl"/>
        </w:rPr>
        <w:t>.</w:t>
      </w:r>
    </w:p>
    <w:p w14:paraId="2A12BC41" w14:textId="1FEA36A0" w:rsidR="00550018" w:rsidRPr="00CF1B34" w:rsidRDefault="0055001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de renta va</w:t>
      </w:r>
      <w:r w:rsidR="00D9164E" w:rsidRPr="00CF1B34">
        <w:rPr>
          <w:rFonts w:ascii="Arial" w:hAnsi="Arial" w:cs="Arial"/>
          <w:b/>
          <w:bCs/>
          <w:color w:val="004773"/>
          <w:sz w:val="22"/>
          <w:szCs w:val="22"/>
          <w:lang w:val="es-ES_tradnl"/>
        </w:rPr>
        <w:t>r</w:t>
      </w:r>
      <w:r w:rsidRPr="00CF1B34">
        <w:rPr>
          <w:rFonts w:ascii="Arial" w:hAnsi="Arial" w:cs="Arial"/>
          <w:b/>
          <w:bCs/>
          <w:color w:val="004773"/>
          <w:sz w:val="22"/>
          <w:szCs w:val="22"/>
          <w:lang w:val="es-ES_tradnl"/>
        </w:rPr>
        <w:t>iable</w:t>
      </w:r>
    </w:p>
    <w:p w14:paraId="0B807179" w14:textId="77777777" w:rsidR="003E3593" w:rsidRPr="00CF1B34" w:rsidRDefault="00D5457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Se trata de las acciones. A diferencia de los activos de renta fija, en estos no se conoce de antemano la ganancia que se va a obtener, ni siquiera si esta se </w:t>
      </w:r>
      <w:r w:rsidR="003E3593" w:rsidRPr="00CF1B34">
        <w:rPr>
          <w:rFonts w:ascii="Arial" w:hAnsi="Arial" w:cs="Arial"/>
          <w:color w:val="000000" w:themeColor="text1"/>
          <w:sz w:val="22"/>
          <w:szCs w:val="22"/>
          <w:lang w:val="es-ES_tradnl"/>
        </w:rPr>
        <w:t>producirá.</w:t>
      </w:r>
    </w:p>
    <w:p w14:paraId="0CCB0BFD" w14:textId="77777777" w:rsidR="00D9164E" w:rsidRPr="00CF1B34" w:rsidRDefault="00D9164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Activos del mercado monetario </w:t>
      </w:r>
    </w:p>
    <w:p w14:paraId="3156F757" w14:textId="5BD1533B" w:rsidR="000B61DA" w:rsidRPr="00CF1B34" w:rsidRDefault="00D9164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Valores de renta fija que se emiten a corto plazo, es decir, con un plazo inicial de amortización que no suele superar los dieciocho meses. Pertenecen a esta categoría, entre otros valores, las letras del Tesoro o los pagarés de empresa.</w:t>
      </w:r>
    </w:p>
    <w:p w14:paraId="01FE1BD0" w14:textId="642D8BE3" w:rsidR="003E3593" w:rsidRPr="00CF1B34" w:rsidRDefault="003E3593" w:rsidP="0005621A">
      <w:pPr>
        <w:pStyle w:val="Sinespaciado"/>
        <w:jc w:val="both"/>
        <w:rPr>
          <w:rFonts w:ascii="Arial" w:hAnsi="Arial" w:cs="Arial"/>
          <w:b/>
          <w:bCs/>
          <w:color w:val="2F5496" w:themeColor="accent1" w:themeShade="BF"/>
          <w:lang w:val="es-ES_tradnl"/>
        </w:rPr>
      </w:pPr>
      <w:r w:rsidRPr="00CF1B34">
        <w:rPr>
          <w:rFonts w:ascii="Arial" w:hAnsi="Arial" w:cs="Arial"/>
          <w:b/>
          <w:bCs/>
          <w:color w:val="2F5496" w:themeColor="accent1" w:themeShade="BF"/>
          <w:lang w:val="es-ES_tradnl"/>
        </w:rPr>
        <w:t>Activo fijo</w:t>
      </w:r>
    </w:p>
    <w:p w14:paraId="4B99BE7D" w14:textId="77777777" w:rsidR="003E3593" w:rsidRPr="00CF1B34" w:rsidRDefault="003E359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También denominado inmovilizado, está integrado por los bienes y derechos de una empresa que no están destinados a la venta sino a asegurar su funcionamiento y continuidad: terrenos, edificios, maquinaria, patentes, marcas, etc. </w:t>
      </w:r>
    </w:p>
    <w:p w14:paraId="013A025F" w14:textId="53A1D8CA"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financiero</w:t>
      </w:r>
    </w:p>
    <w:p w14:paraId="2979B394" w14:textId="6FB1000C"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Valor que acredita la titularidad de determinados derechos políticos, económicos, etc. Por ejemplo, las acciones o los valores de renta fija</w:t>
      </w:r>
      <w:r w:rsidR="00D9164E" w:rsidRPr="00CF1B34">
        <w:rPr>
          <w:rFonts w:ascii="Arial" w:hAnsi="Arial" w:cs="Arial"/>
          <w:color w:val="212529"/>
          <w:sz w:val="22"/>
          <w:szCs w:val="22"/>
          <w:lang w:val="es-ES_tradnl"/>
        </w:rPr>
        <w:t>, pagarés, bonos…,</w:t>
      </w:r>
      <w:r w:rsidRPr="00CF1B34">
        <w:rPr>
          <w:rFonts w:ascii="Arial" w:hAnsi="Arial" w:cs="Arial"/>
          <w:color w:val="212529"/>
          <w:sz w:val="22"/>
          <w:szCs w:val="22"/>
          <w:lang w:val="es-ES_tradnl"/>
        </w:rPr>
        <w:t xml:space="preserve"> son activos financieros; las sociedades los emiten para financiarse </w:t>
      </w:r>
      <w:r w:rsidRPr="00CF1B34">
        <w:rPr>
          <w:rFonts w:ascii="Arial" w:hAnsi="Arial" w:cs="Arial"/>
          <w:color w:val="212529"/>
          <w:sz w:val="22"/>
          <w:szCs w:val="22"/>
          <w:lang w:val="es-ES_tradnl"/>
        </w:rPr>
        <w:lastRenderedPageBreak/>
        <w:t>obteniendo dinero del público. También el efectivo tiene la consideración de activo financiero. </w:t>
      </w:r>
    </w:p>
    <w:p w14:paraId="2C659EEE" w14:textId="48EA811F" w:rsidR="00D9164E" w:rsidRPr="00CF1B34" w:rsidRDefault="00D9164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intangible</w:t>
      </w:r>
    </w:p>
    <w:p w14:paraId="5EF5EB16" w14:textId="3066AA7E" w:rsidR="006D6C18" w:rsidRPr="00CF1B34" w:rsidRDefault="003F71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elementos inmateriales integrados dentro del activo de una empresa, que se valoran económicamente: concesiones, fondo de comercio, </w:t>
      </w:r>
      <w:r w:rsidR="00D275FE" w:rsidRPr="00CF1B34">
        <w:rPr>
          <w:rFonts w:ascii="Arial" w:hAnsi="Arial" w:cs="Arial"/>
          <w:color w:val="000000" w:themeColor="text1"/>
          <w:sz w:val="22"/>
          <w:szCs w:val="22"/>
          <w:lang w:val="es-ES_tradnl"/>
        </w:rPr>
        <w:t>derecho</w:t>
      </w:r>
      <w:r w:rsidRPr="00CF1B34">
        <w:rPr>
          <w:rFonts w:ascii="Arial" w:hAnsi="Arial" w:cs="Arial"/>
          <w:color w:val="000000" w:themeColor="text1"/>
          <w:sz w:val="22"/>
          <w:szCs w:val="22"/>
          <w:lang w:val="es-ES_tradnl"/>
        </w:rPr>
        <w:t xml:space="preserve"> </w:t>
      </w:r>
      <w:r w:rsidR="00D275FE" w:rsidRPr="00CF1B34">
        <w:rPr>
          <w:rFonts w:ascii="Arial" w:hAnsi="Arial" w:cs="Arial"/>
          <w:color w:val="000000" w:themeColor="text1"/>
          <w:sz w:val="22"/>
          <w:szCs w:val="22"/>
          <w:lang w:val="es-ES_tradnl"/>
        </w:rPr>
        <w:t>y</w:t>
      </w:r>
      <w:r w:rsidRPr="00CF1B34">
        <w:rPr>
          <w:rFonts w:ascii="Arial" w:hAnsi="Arial" w:cs="Arial"/>
          <w:color w:val="000000" w:themeColor="text1"/>
          <w:sz w:val="22"/>
          <w:szCs w:val="22"/>
          <w:lang w:val="es-ES_tradnl"/>
        </w:rPr>
        <w:t xml:space="preserve"> traspaso, etc.</w:t>
      </w:r>
    </w:p>
    <w:p w14:paraId="025B3EE8" w14:textId="71D36828" w:rsidR="00D9164E" w:rsidRPr="00CF1B34" w:rsidRDefault="00D9164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realizable</w:t>
      </w:r>
    </w:p>
    <w:p w14:paraId="092E3D7A" w14:textId="77777777" w:rsidR="006D6C18" w:rsidRPr="00CF1B34" w:rsidRDefault="003F71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Elementos del activo de una empresa, susceptibles de hacerse líquidos en el corto plazo. Lo mas habitual es referirse con este término a todas aquellas deudas que los clientes y los deudores de la empresa mantienen con ella.</w:t>
      </w:r>
    </w:p>
    <w:p w14:paraId="6EC39680" w14:textId="491E2D7A" w:rsidR="00D9164E" w:rsidRPr="00CF1B34" w:rsidRDefault="00D9164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 subyacente</w:t>
      </w:r>
    </w:p>
    <w:p w14:paraId="205CE785" w14:textId="4A233057" w:rsidR="00A6594A" w:rsidRPr="00CF1B34" w:rsidRDefault="00A20B9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los mercados de opciones y futuros financieros se de</w:t>
      </w:r>
      <w:r w:rsidR="00A6594A" w:rsidRPr="00CF1B34">
        <w:rPr>
          <w:rFonts w:ascii="Arial" w:hAnsi="Arial" w:cs="Arial"/>
          <w:color w:val="000000" w:themeColor="text1"/>
          <w:sz w:val="22"/>
          <w:szCs w:val="22"/>
          <w:lang w:val="es-ES_tradnl"/>
        </w:rPr>
        <w:t>n</w:t>
      </w:r>
      <w:r w:rsidRPr="00CF1B34">
        <w:rPr>
          <w:rFonts w:ascii="Arial" w:hAnsi="Arial" w:cs="Arial"/>
          <w:color w:val="000000" w:themeColor="text1"/>
          <w:sz w:val="22"/>
          <w:szCs w:val="22"/>
          <w:lang w:val="es-ES_tradnl"/>
        </w:rPr>
        <w:t>omina as</w:t>
      </w:r>
      <w:r w:rsidR="00F10802"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 xml:space="preserve"> a activo</w:t>
      </w:r>
      <w:r w:rsidR="00A6594A" w:rsidRPr="00CF1B34">
        <w:rPr>
          <w:rFonts w:ascii="Arial" w:hAnsi="Arial" w:cs="Arial"/>
          <w:color w:val="000000" w:themeColor="text1"/>
          <w:sz w:val="22"/>
          <w:szCs w:val="22"/>
          <w:lang w:val="es-ES_tradnl"/>
        </w:rPr>
        <w:t xml:space="preserve">s  </w:t>
      </w:r>
      <w:r w:rsidRPr="00CF1B34">
        <w:rPr>
          <w:rFonts w:ascii="Arial" w:hAnsi="Arial" w:cs="Arial"/>
          <w:color w:val="000000" w:themeColor="text1"/>
          <w:sz w:val="22"/>
          <w:szCs w:val="22"/>
          <w:lang w:val="es-ES_tradnl"/>
        </w:rPr>
        <w:t>financiero, por ejemplo, un índice de acciones</w:t>
      </w:r>
      <w:r w:rsidR="00A6594A" w:rsidRPr="00CF1B34">
        <w:rPr>
          <w:rFonts w:ascii="Arial" w:hAnsi="Arial" w:cs="Arial"/>
          <w:color w:val="000000" w:themeColor="text1"/>
          <w:sz w:val="22"/>
          <w:szCs w:val="22"/>
          <w:lang w:val="es-ES_tradnl"/>
        </w:rPr>
        <w:t xml:space="preserve"> cotizadas o de activos financieros, que es objeto de un contrato normalizado de los negocios en el mercado.</w:t>
      </w:r>
    </w:p>
    <w:p w14:paraId="55A55671" w14:textId="77777777" w:rsidR="00F10802" w:rsidRPr="00CF1B34" w:rsidRDefault="00F10802" w:rsidP="0005621A">
      <w:pPr>
        <w:jc w:val="both"/>
        <w:rPr>
          <w:rFonts w:ascii="Arial" w:hAnsi="Arial" w:cs="Arial"/>
          <w:b/>
          <w:bCs/>
          <w:color w:val="004773"/>
          <w:sz w:val="22"/>
          <w:szCs w:val="22"/>
          <w:lang w:val="es-ES_tradnl"/>
        </w:rPr>
      </w:pPr>
    </w:p>
    <w:p w14:paraId="531DA356" w14:textId="6C034CC7" w:rsidR="00D9164E" w:rsidRPr="00CF1B34" w:rsidRDefault="00D9164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Activos con rendimiento explicito</w:t>
      </w:r>
    </w:p>
    <w:p w14:paraId="2AD6F9BD" w14:textId="77777777" w:rsidR="003E3593" w:rsidRPr="00CF1B34" w:rsidRDefault="00A6594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activos emitidos normalmente con un plazo superior a los dos años y que periódicamente pagan un cupón fijo en la </w:t>
      </w:r>
      <w:r w:rsidR="00262240" w:rsidRPr="00CF1B34">
        <w:rPr>
          <w:rFonts w:ascii="Arial" w:hAnsi="Arial" w:cs="Arial"/>
          <w:color w:val="000000" w:themeColor="text1"/>
          <w:sz w:val="22"/>
          <w:szCs w:val="22"/>
          <w:lang w:val="es-ES_tradnl"/>
        </w:rPr>
        <w:t>emisión</w:t>
      </w:r>
      <w:r w:rsidR="003E3593" w:rsidRPr="00CF1B34">
        <w:rPr>
          <w:rFonts w:ascii="Arial" w:hAnsi="Arial" w:cs="Arial"/>
          <w:color w:val="000000" w:themeColor="text1"/>
          <w:sz w:val="22"/>
          <w:szCs w:val="22"/>
          <w:lang w:val="es-ES_tradnl"/>
        </w:rPr>
        <w:t>.</w:t>
      </w:r>
    </w:p>
    <w:p w14:paraId="64465105" w14:textId="77FFE90B" w:rsidR="00D9164E" w:rsidRPr="00CF1B34" w:rsidRDefault="00D9164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Activos con rendimiento imp</w:t>
      </w:r>
      <w:r w:rsidR="00A6594A" w:rsidRPr="00CF1B34">
        <w:rPr>
          <w:rFonts w:ascii="Arial" w:hAnsi="Arial" w:cs="Arial"/>
          <w:b/>
          <w:bCs/>
          <w:color w:val="004773"/>
          <w:sz w:val="22"/>
          <w:szCs w:val="22"/>
          <w:lang w:val="es-ES_tradnl"/>
        </w:rPr>
        <w:t>lí</w:t>
      </w:r>
      <w:r w:rsidRPr="00CF1B34">
        <w:rPr>
          <w:rFonts w:ascii="Arial" w:hAnsi="Arial" w:cs="Arial"/>
          <w:b/>
          <w:bCs/>
          <w:color w:val="004773"/>
          <w:sz w:val="22"/>
          <w:szCs w:val="22"/>
          <w:lang w:val="es-ES_tradnl"/>
        </w:rPr>
        <w:t>cito</w:t>
      </w:r>
    </w:p>
    <w:p w14:paraId="764E961A" w14:textId="77777777" w:rsidR="003E3593" w:rsidRPr="00CF1B34" w:rsidRDefault="00F37C5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inversor realiza un pago al inicio de la vida del activo y cuando este amortiza recibe la suma de lo desembolsado mas los intereses. Se pueden dividir en letras y pagarés de empresa emitidos al descuento y bonos cupón cero, emitidos de tal forma que llegado el momento de la amortización se percibe la totalidad de los intereses junto</w:t>
      </w:r>
      <w:r w:rsidR="00262240"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con el reembolso principal.</w:t>
      </w:r>
    </w:p>
    <w:p w14:paraId="6FD89E25" w14:textId="7BCFC6F4" w:rsidR="00F10802" w:rsidRPr="00CF1B34" w:rsidRDefault="00F1080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Activos líquidos </w:t>
      </w:r>
    </w:p>
    <w:p w14:paraId="630A5405" w14:textId="77777777" w:rsidR="00F10802" w:rsidRPr="00CF1B34" w:rsidRDefault="00F10802"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La liquidez como característica del activo, se mide por la facilidad y la certeza a la hora de realizar su cambio a líquido. El dinero, es el recurso más líquido que existe. Pero el propio grado de liquidez también se puede medir. Atendiendo a dos condiciones:</w:t>
      </w:r>
    </w:p>
    <w:p w14:paraId="1E462A8C" w14:textId="77777777" w:rsidR="00F10802" w:rsidRPr="00CF1B34" w:rsidRDefault="00F10802" w:rsidP="004F7A62">
      <w:pPr>
        <w:numPr>
          <w:ilvl w:val="0"/>
          <w:numId w:val="8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 facilidad con la que se convierte en líquido a corto plazo, sin pérdidas en su valor</w:t>
      </w:r>
    </w:p>
    <w:p w14:paraId="04DAF177" w14:textId="77777777" w:rsidR="00F10802" w:rsidRPr="00CF1B34" w:rsidRDefault="00F10802" w:rsidP="004F7A62">
      <w:pPr>
        <w:numPr>
          <w:ilvl w:val="0"/>
          <w:numId w:val="8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 incertidumbre o la seguridad de la realización de la operación</w:t>
      </w:r>
    </w:p>
    <w:p w14:paraId="4A84A258" w14:textId="77777777" w:rsidR="00F10802" w:rsidRPr="00CF1B34" w:rsidRDefault="00F1080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Los que tendríamos que destacar en primer lugar, serían los depósitos de ahorro y a plazos, que se ofrecen en todas las instituciones de crédito, ofreciendo una liquidez muy próxima al dinero. Por lo que estarían en segunda posición. Cabe señalar que un activo es más rentable cuanto menor es su liquidez y mayor su riesgo.</w:t>
      </w:r>
    </w:p>
    <w:p w14:paraId="240CE356" w14:textId="36A09435" w:rsidR="00E66FCB" w:rsidRPr="00CF1B34" w:rsidRDefault="00E66FC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Activos opacos</w:t>
      </w:r>
    </w:p>
    <w:p w14:paraId="1EE6F8E9" w14:textId="77777777" w:rsidR="003E3593" w:rsidRPr="00CF1B34" w:rsidRDefault="00F37C5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La característica de estos activos es que las ganancias obtenidas</w:t>
      </w:r>
      <w:r w:rsidR="00771C70" w:rsidRPr="00CF1B34">
        <w:rPr>
          <w:rFonts w:ascii="Arial" w:hAnsi="Arial" w:cs="Arial"/>
          <w:color w:val="000000" w:themeColor="text1"/>
          <w:sz w:val="22"/>
          <w:szCs w:val="22"/>
          <w:lang w:val="es-ES_tradnl"/>
        </w:rPr>
        <w:t xml:space="preserve"> a través de ellos no deben declararse a la Hacienda Pública. En nuestro país ya no existe ninguno de estos activos</w:t>
      </w:r>
      <w:r w:rsidR="003E3593" w:rsidRPr="00CF1B34">
        <w:rPr>
          <w:rFonts w:ascii="Arial" w:hAnsi="Arial" w:cs="Arial"/>
          <w:color w:val="000000" w:themeColor="text1"/>
          <w:sz w:val="22"/>
          <w:szCs w:val="22"/>
          <w:lang w:val="es-ES_tradnl"/>
        </w:rPr>
        <w:t>.</w:t>
      </w:r>
    </w:p>
    <w:p w14:paraId="51C38BAE" w14:textId="56C988BA"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Acumulativo </w:t>
      </w:r>
    </w:p>
    <w:p w14:paraId="0074DE70" w14:textId="1E862F47" w:rsidR="00F13FDB"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Cualidad de determinados derechos de cobro (cupones en valores de renta fija, etc.), que hace posible su percepción futura, en caso de que no puedan pagarse en el momento previsto. Si un derecho de cobro es ´no acumulativo´, significa que, de no recibirse en el ejercicio correspondiente, se pierde la posibilidad de percibirlo.</w:t>
      </w:r>
    </w:p>
    <w:p w14:paraId="4E48B40F" w14:textId="7FF53CF7" w:rsidR="00E66FCB" w:rsidRPr="00CF1B34" w:rsidRDefault="00E66FCB"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ADA</w:t>
      </w:r>
    </w:p>
    <w:p w14:paraId="416468AE" w14:textId="77777777" w:rsidR="003E3593" w:rsidRPr="00CF1B34" w:rsidRDefault="000F23A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Acrónimo de: Asociación para la Defensa del Accionista</w:t>
      </w:r>
      <w:r w:rsidR="003E3593" w:rsidRPr="00CF1B34">
        <w:rPr>
          <w:rFonts w:ascii="Arial" w:hAnsi="Arial" w:cs="Arial"/>
          <w:color w:val="2F5496" w:themeColor="accent1" w:themeShade="BF"/>
          <w:sz w:val="22"/>
          <w:szCs w:val="22"/>
          <w:lang w:val="es-ES_tradnl"/>
        </w:rPr>
        <w:t>.</w:t>
      </w:r>
    </w:p>
    <w:p w14:paraId="23356111" w14:textId="7D034299" w:rsidR="00E66FCB" w:rsidRPr="00CF1B34" w:rsidRDefault="00E66FCB"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ADR</w:t>
      </w:r>
      <w:r w:rsidR="006D6C18" w:rsidRPr="00CF1B34">
        <w:rPr>
          <w:rFonts w:ascii="Arial" w:hAnsi="Arial" w:cs="Arial"/>
          <w:b/>
          <w:bCs/>
          <w:color w:val="2F5496" w:themeColor="accent1" w:themeShade="BF"/>
          <w:sz w:val="22"/>
          <w:szCs w:val="22"/>
          <w:lang w:val="es-ES_tradnl"/>
        </w:rPr>
        <w:t>s (American Depositary Receipts)</w:t>
      </w:r>
    </w:p>
    <w:p w14:paraId="7AA71118" w14:textId="77777777" w:rsidR="001D3D3C" w:rsidRPr="00CF1B34" w:rsidRDefault="000F23A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Formula usual de representación de los valores en las operaciones de compraventa en las Bolsa de Estados. Unidos.  </w:t>
      </w:r>
      <w:proofErr w:type="gramStart"/>
      <w:r w:rsidRPr="00CF1B34">
        <w:rPr>
          <w:rFonts w:ascii="Arial" w:hAnsi="Arial" w:cs="Arial"/>
          <w:color w:val="000000" w:themeColor="text1"/>
          <w:sz w:val="22"/>
          <w:szCs w:val="22"/>
          <w:lang w:val="es-ES_tradnl"/>
        </w:rPr>
        <w:t>Ejemplo :</w:t>
      </w:r>
      <w:proofErr w:type="gramEnd"/>
      <w:r w:rsidRPr="00CF1B34">
        <w:rPr>
          <w:rFonts w:ascii="Arial" w:hAnsi="Arial" w:cs="Arial"/>
          <w:color w:val="000000" w:themeColor="text1"/>
          <w:sz w:val="22"/>
          <w:szCs w:val="22"/>
          <w:lang w:val="es-ES_tradnl"/>
        </w:rPr>
        <w:t xml:space="preserve"> un ADR de Telefónica equivale a tres acciones.</w:t>
      </w:r>
      <w:r w:rsidR="006D6C18" w:rsidRPr="00CF1B34">
        <w:rPr>
          <w:rFonts w:ascii="Arial" w:hAnsi="Arial" w:cs="Arial"/>
          <w:color w:val="000000" w:themeColor="text1"/>
          <w:sz w:val="22"/>
          <w:szCs w:val="22"/>
          <w:lang w:val="es-ES_tradnl"/>
        </w:rPr>
        <w:t xml:space="preserve"> Fueron creados por Morgan Bank en 1927 con el fin de incentivar la colocación de títulos extranjeros en Estados Unidos. Cuando la negociación se va a realizar en dicho país se constituyen ADRs, y cuando se pretende su </w:t>
      </w:r>
      <w:r w:rsidR="00C65EB7" w:rsidRPr="00CF1B34">
        <w:rPr>
          <w:rFonts w:ascii="Arial" w:hAnsi="Arial" w:cs="Arial"/>
          <w:color w:val="000000" w:themeColor="text1"/>
          <w:sz w:val="22"/>
          <w:szCs w:val="22"/>
          <w:lang w:val="es-ES_tradnl"/>
        </w:rPr>
        <w:t>transacción fuera de los Estados Unidos, se establecen programas de Global Depositary Receipts (GDR)</w:t>
      </w:r>
      <w:r w:rsidR="001D3D3C" w:rsidRPr="00CF1B34">
        <w:rPr>
          <w:rFonts w:ascii="Arial" w:hAnsi="Arial" w:cs="Arial"/>
          <w:color w:val="000000" w:themeColor="text1"/>
          <w:sz w:val="22"/>
          <w:szCs w:val="22"/>
          <w:lang w:val="es-ES_tradnl"/>
        </w:rPr>
        <w:t>.</w:t>
      </w:r>
    </w:p>
    <w:p w14:paraId="04372D2B" w14:textId="73AE28F8" w:rsidR="00F13FDB" w:rsidRPr="00CF1B34" w:rsidRDefault="00F13FDB"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Adeudo en cuenta</w:t>
      </w:r>
    </w:p>
    <w:p w14:paraId="31AE7046" w14:textId="77777777" w:rsidR="00FD7E12" w:rsidRPr="00CF1B34" w:rsidRDefault="00F13FD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Un </w:t>
      </w:r>
      <w:r w:rsidRPr="00CF1B34">
        <w:rPr>
          <w:rFonts w:ascii="Arial" w:hAnsi="Arial" w:cs="Arial"/>
          <w:b/>
          <w:bCs/>
          <w:color w:val="191B1C"/>
          <w:sz w:val="22"/>
          <w:szCs w:val="22"/>
          <w:lang w:val="es-ES_tradnl"/>
        </w:rPr>
        <w:t>adeudo en cuenta</w:t>
      </w:r>
      <w:r w:rsidRPr="00CF1B34">
        <w:rPr>
          <w:rFonts w:ascii="Arial" w:hAnsi="Arial" w:cs="Arial"/>
          <w:color w:val="191B1C"/>
          <w:sz w:val="22"/>
          <w:szCs w:val="22"/>
          <w:lang w:val="es-ES_tradnl"/>
        </w:rPr>
        <w:t> es una obligación de pago contraída por alguien (el deudor u ordenante), que en consecuencia deberá pagar a otra (el beneficiario). Cuando este se produce, se anotará la cantidad en el debe de dicha cuenta, disminuyendo el saldo del titular. La entidad nos cargará el recibo, previa autorización nuestra, como titulares.</w:t>
      </w:r>
    </w:p>
    <w:p w14:paraId="5105B5EC" w14:textId="4CD0E885" w:rsidR="001D3D3C" w:rsidRPr="00CF1B34" w:rsidRDefault="001D3D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Administrador de fincas</w:t>
      </w:r>
    </w:p>
    <w:p w14:paraId="76372392" w14:textId="63BC0AA6" w:rsidR="001D3D3C" w:rsidRPr="00CF1B34" w:rsidRDefault="001D3D3C"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 xml:space="preserve">El administrador de fincas es un profesional colegiado que tiene a cargo las tareas de gestión de los elementos comunes de la comunidad de </w:t>
      </w:r>
      <w:hyperlink r:id="rId13" w:history="1">
        <w:r w:rsidRPr="00CF1B34">
          <w:rPr>
            <w:rFonts w:ascii="Arial" w:hAnsi="Arial" w:cs="Arial"/>
            <w:b/>
            <w:bCs/>
            <w:color w:val="DC143C"/>
            <w:sz w:val="22"/>
            <w:szCs w:val="22"/>
            <w:u w:val="single"/>
            <w:lang w:val="es-ES_tradnl"/>
          </w:rPr>
          <w:t>propietarios</w:t>
        </w:r>
      </w:hyperlink>
      <w:r w:rsidRPr="00CF1B34">
        <w:rPr>
          <w:rFonts w:ascii="Arial" w:hAnsi="Arial" w:cs="Arial"/>
          <w:color w:val="333333"/>
          <w:sz w:val="22"/>
          <w:szCs w:val="22"/>
          <w:lang w:val="es-ES_tradnl"/>
        </w:rPr>
        <w:t>. Asimismo, es secretario en las juntas de comunidad.</w:t>
      </w:r>
    </w:p>
    <w:p w14:paraId="3C5CA056" w14:textId="2B45F3A6" w:rsidR="001D3D3C" w:rsidRPr="00CF1B34" w:rsidRDefault="001D3D3C"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Sus funciones básicas radican en las </w:t>
      </w:r>
      <w:hyperlink r:id="rId14" w:history="1">
        <w:r w:rsidRPr="00CF1B34">
          <w:rPr>
            <w:rFonts w:ascii="Arial" w:hAnsi="Arial" w:cs="Arial"/>
            <w:color w:val="DC143C"/>
            <w:sz w:val="22"/>
            <w:szCs w:val="22"/>
            <w:u w:val="single"/>
            <w:lang w:val="es-ES_tradnl"/>
          </w:rPr>
          <w:t>Juntas de propietarios</w:t>
        </w:r>
      </w:hyperlink>
      <w:r w:rsidRPr="00CF1B34">
        <w:rPr>
          <w:rFonts w:ascii="Arial" w:hAnsi="Arial" w:cs="Arial"/>
          <w:color w:val="333333"/>
          <w:sz w:val="22"/>
          <w:szCs w:val="22"/>
          <w:lang w:val="es-ES_tradnl"/>
        </w:rPr>
        <w:t>. Ésta lo debe contratar, y no tiene requisitos que le impidan ser vecino del inmueble para cumplir su función de administrador.</w:t>
      </w:r>
    </w:p>
    <w:p w14:paraId="487FC64E" w14:textId="77777777" w:rsidR="001D3D3C" w:rsidRPr="00CF1B34" w:rsidRDefault="001D3D3C"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Las obligaciones del administrador de fincas son:</w:t>
      </w:r>
    </w:p>
    <w:p w14:paraId="68E7679D" w14:textId="77777777" w:rsidR="001D3D3C" w:rsidRPr="00CF1B34" w:rsidRDefault="001D3D3C" w:rsidP="004F7A62">
      <w:pPr>
        <w:numPr>
          <w:ilvl w:val="0"/>
          <w:numId w:val="8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Velar y cuidar el buen funcionamiento de la comunidad, con lo que respecta a sus instalaciones y servicios.</w:t>
      </w:r>
    </w:p>
    <w:p w14:paraId="107EE49B" w14:textId="77777777" w:rsidR="001D3D3C" w:rsidRPr="00CF1B34" w:rsidRDefault="001D3D3C" w:rsidP="004F7A62">
      <w:pPr>
        <w:numPr>
          <w:ilvl w:val="0"/>
          <w:numId w:val="8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Realizar todo presupuesto con su debida anticipación para ser sometido ante la Junta. Asimismo, deberá llevar a cabo un plan de gastos previsibles y de reparaciones y medidas urgentes para mantenimiento de la comunidad.</w:t>
      </w:r>
    </w:p>
    <w:p w14:paraId="6F14B75E" w14:textId="77777777" w:rsidR="001D3D3C" w:rsidRPr="00CF1B34" w:rsidRDefault="001D3D3C" w:rsidP="004F7A62">
      <w:pPr>
        <w:numPr>
          <w:ilvl w:val="0"/>
          <w:numId w:val="8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Ejecutar los acuerdos.</w:t>
      </w:r>
    </w:p>
    <w:p w14:paraId="08CB7FAC" w14:textId="77777777" w:rsidR="001D3D3C" w:rsidRPr="00CF1B34" w:rsidRDefault="001D3D3C" w:rsidP="004F7A62">
      <w:pPr>
        <w:numPr>
          <w:ilvl w:val="0"/>
          <w:numId w:val="8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Efectuar pagos y cobros.</w:t>
      </w:r>
    </w:p>
    <w:p w14:paraId="01ED99F8" w14:textId="4BDF1328" w:rsidR="001D3D3C" w:rsidRPr="00CF1B34" w:rsidRDefault="001D3D3C" w:rsidP="004F7A62">
      <w:pPr>
        <w:numPr>
          <w:ilvl w:val="0"/>
          <w:numId w:val="8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Realizar la convocatoria de la junta de propietarios anual o extraordinaria.</w:t>
      </w:r>
    </w:p>
    <w:p w14:paraId="13386037" w14:textId="77777777" w:rsidR="001D3D3C" w:rsidRPr="00CF1B34" w:rsidRDefault="001D3D3C" w:rsidP="004F7A62">
      <w:pPr>
        <w:numPr>
          <w:ilvl w:val="0"/>
          <w:numId w:val="8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Mediación en conflictos vecinales.</w:t>
      </w:r>
    </w:p>
    <w:p w14:paraId="74CFDC65" w14:textId="0EF51971" w:rsidR="001D3D3C" w:rsidRPr="00CF1B34" w:rsidRDefault="001D3D3C"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 xml:space="preserve">No </w:t>
      </w:r>
      <w:proofErr w:type="gramStart"/>
      <w:r w:rsidRPr="00CF1B34">
        <w:rPr>
          <w:rFonts w:ascii="Arial" w:hAnsi="Arial" w:cs="Arial"/>
          <w:color w:val="333333"/>
          <w:sz w:val="22"/>
          <w:szCs w:val="22"/>
          <w:lang w:val="es-ES_tradnl"/>
        </w:rPr>
        <w:t>obstante</w:t>
      </w:r>
      <w:proofErr w:type="gramEnd"/>
      <w:r w:rsidRPr="00CF1B34">
        <w:rPr>
          <w:rFonts w:ascii="Arial" w:hAnsi="Arial" w:cs="Arial"/>
          <w:color w:val="333333"/>
          <w:sz w:val="22"/>
          <w:szCs w:val="22"/>
          <w:lang w:val="es-ES_tradnl"/>
        </w:rPr>
        <w:t xml:space="preserve"> esto,</w:t>
      </w:r>
      <w:r w:rsidRPr="00CF1B34">
        <w:rPr>
          <w:rFonts w:ascii="Arial" w:hAnsi="Arial" w:cs="Arial"/>
          <w:b/>
          <w:bCs/>
          <w:color w:val="333333"/>
          <w:sz w:val="22"/>
          <w:szCs w:val="22"/>
          <w:lang w:val="es-ES_tradnl"/>
        </w:rPr>
        <w:t xml:space="preserve"> no hay obligación de contratar a un administrador de fincas, según la Ley de </w:t>
      </w:r>
      <w:hyperlink r:id="rId15" w:history="1">
        <w:r w:rsidRPr="00CF1B34">
          <w:rPr>
            <w:rFonts w:ascii="Arial" w:hAnsi="Arial" w:cs="Arial"/>
            <w:b/>
            <w:bCs/>
            <w:color w:val="DC143C"/>
            <w:sz w:val="22"/>
            <w:szCs w:val="22"/>
            <w:u w:val="single"/>
            <w:lang w:val="es-ES_tradnl"/>
          </w:rPr>
          <w:t>Propiedad Horizontal</w:t>
        </w:r>
      </w:hyperlink>
      <w:r w:rsidRPr="00CF1B34">
        <w:rPr>
          <w:rFonts w:ascii="Arial" w:hAnsi="Arial" w:cs="Arial"/>
          <w:color w:val="333333"/>
          <w:sz w:val="22"/>
          <w:szCs w:val="22"/>
          <w:lang w:val="es-ES_tradnl"/>
        </w:rPr>
        <w:t>. Para ello, las funciones de secretario y administrador serán llevadas a cabo por el Presidente de la comunidad.</w:t>
      </w:r>
    </w:p>
    <w:p w14:paraId="65470B4C" w14:textId="77777777" w:rsidR="001D3D3C" w:rsidRPr="00CF1B34" w:rsidRDefault="001D3D3C"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Requisitos para ser administrador de fincas:</w:t>
      </w:r>
    </w:p>
    <w:p w14:paraId="71893F25" w14:textId="77777777" w:rsidR="001D3D3C" w:rsidRPr="00CF1B34" w:rsidRDefault="001D3D3C" w:rsidP="004F7A62">
      <w:pPr>
        <w:numPr>
          <w:ilvl w:val="0"/>
          <w:numId w:val="9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Poseedor del título de administrador de fincas</w:t>
      </w:r>
      <w:r w:rsidRPr="00CF1B34">
        <w:rPr>
          <w:rFonts w:ascii="Arial" w:hAnsi="Arial" w:cs="Arial"/>
          <w:color w:val="333333"/>
          <w:sz w:val="22"/>
          <w:szCs w:val="22"/>
          <w:lang w:val="es-ES_tradnl"/>
        </w:rPr>
        <w:t> al que se tiene acceso una vez titulado en económicas, veterinaria, ciencias políticas, derecho, empresariales, técnico agrícola, forestal o agrónomo; o realizando un curso en la Escuela Oficial de Administradores de Fincas.</w:t>
      </w:r>
    </w:p>
    <w:p w14:paraId="394854CB" w14:textId="2FF3915F" w:rsidR="001D3D3C" w:rsidRPr="00CF1B34" w:rsidRDefault="001D3D3C" w:rsidP="004F7A62">
      <w:pPr>
        <w:numPr>
          <w:ilvl w:val="0"/>
          <w:numId w:val="9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Debe </w:t>
      </w:r>
      <w:r w:rsidRPr="00CF1B34">
        <w:rPr>
          <w:rFonts w:ascii="Arial" w:hAnsi="Arial" w:cs="Arial"/>
          <w:b/>
          <w:bCs/>
          <w:color w:val="333333"/>
          <w:sz w:val="22"/>
          <w:szCs w:val="22"/>
          <w:lang w:val="es-ES_tradnl"/>
        </w:rPr>
        <w:t>adscribirse a un colegio territorial</w:t>
      </w:r>
      <w:r w:rsidRPr="00CF1B34">
        <w:rPr>
          <w:rFonts w:ascii="Arial" w:hAnsi="Arial" w:cs="Arial"/>
          <w:color w:val="333333"/>
          <w:sz w:val="22"/>
          <w:szCs w:val="22"/>
          <w:lang w:val="es-ES_tradnl"/>
        </w:rPr>
        <w:t> para empezar a ejercer y abonar una cuota de ingreso y otra cuota mensual o trimestral.</w:t>
      </w:r>
    </w:p>
    <w:p w14:paraId="6F2CDE18" w14:textId="332E0FA0" w:rsidR="001D3D3C" w:rsidRPr="00CF1B34" w:rsidRDefault="001D3D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Por su parte y finalizando, </w:t>
      </w:r>
      <w:r w:rsidRPr="00CF1B34">
        <w:rPr>
          <w:rFonts w:ascii="Arial" w:hAnsi="Arial" w:cs="Arial"/>
          <w:b/>
          <w:bCs/>
          <w:color w:val="333333"/>
          <w:sz w:val="22"/>
          <w:szCs w:val="22"/>
          <w:lang w:val="es-ES_tradnl"/>
        </w:rPr>
        <w:t>el administrador como secretario de la</w:t>
      </w:r>
      <w:r w:rsidR="00666991" w:rsidRPr="00CF1B34">
        <w:rPr>
          <w:rFonts w:ascii="Arial" w:hAnsi="Arial" w:cs="Arial"/>
          <w:b/>
          <w:bCs/>
          <w:color w:val="333333"/>
          <w:sz w:val="22"/>
          <w:szCs w:val="22"/>
          <w:lang w:val="es-ES_tradnl"/>
        </w:rPr>
        <w:t xml:space="preserve"> </w:t>
      </w:r>
      <w:hyperlink r:id="rId16" w:history="1">
        <w:r w:rsidRPr="00CF1B34">
          <w:rPr>
            <w:rFonts w:ascii="Arial" w:hAnsi="Arial" w:cs="Arial"/>
            <w:b/>
            <w:bCs/>
            <w:color w:val="DC143C"/>
            <w:sz w:val="22"/>
            <w:szCs w:val="22"/>
            <w:u w:val="single"/>
            <w:lang w:val="es-ES_tradnl"/>
          </w:rPr>
          <w:t>Junta de propietarios</w:t>
        </w:r>
      </w:hyperlink>
      <w:r w:rsidRPr="00CF1B34">
        <w:rPr>
          <w:rFonts w:ascii="Arial" w:hAnsi="Arial" w:cs="Arial"/>
          <w:b/>
          <w:bCs/>
          <w:color w:val="333333"/>
          <w:sz w:val="22"/>
          <w:szCs w:val="22"/>
          <w:lang w:val="es-ES_tradnl"/>
        </w:rPr>
        <w:t xml:space="preserve"> custodiará, y pondrá a disposición de los titulares la documentación de la comunidad</w:t>
      </w:r>
      <w:r w:rsidRPr="00CF1B34">
        <w:rPr>
          <w:rFonts w:ascii="Arial" w:hAnsi="Arial" w:cs="Arial"/>
          <w:color w:val="333333"/>
          <w:sz w:val="22"/>
          <w:szCs w:val="22"/>
          <w:lang w:val="es-ES_tradnl"/>
        </w:rPr>
        <w:t>; realizando todo aquello bajo las atribuciones que ésta le confiera.</w:t>
      </w:r>
    </w:p>
    <w:p w14:paraId="35CB67FF" w14:textId="788F352A" w:rsidR="00CE1C46" w:rsidRPr="00CF1B34" w:rsidRDefault="00CE1C4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AEB (Asociación Española de la Banca)</w:t>
      </w:r>
    </w:p>
    <w:p w14:paraId="24BB603B" w14:textId="48C2B874" w:rsidR="00CE1C46" w:rsidRPr="00CF1B34" w:rsidRDefault="00CE1C46"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 </w:t>
      </w:r>
      <w:r w:rsidRPr="00CF1B34">
        <w:rPr>
          <w:rStyle w:val="Textoennegrita"/>
          <w:rFonts w:ascii="Arial" w:hAnsi="Arial" w:cs="Arial"/>
          <w:color w:val="333333"/>
          <w:sz w:val="22"/>
          <w:szCs w:val="22"/>
          <w:lang w:val="es-ES_tradnl"/>
        </w:rPr>
        <w:t>Asociación Española de la Banca (AEB)</w:t>
      </w:r>
      <w:r w:rsidRPr="00CF1B34">
        <w:rPr>
          <w:rFonts w:ascii="Arial" w:hAnsi="Arial" w:cs="Arial"/>
          <w:color w:val="333333"/>
          <w:sz w:val="22"/>
          <w:szCs w:val="22"/>
          <w:lang w:val="es-ES_tradnl"/>
        </w:rPr>
        <w:t xml:space="preserve"> es una asociación profesional conformada por casi todos los bancos españoles y extranjeros que operan en nuestro país. Sin embargo, su afiliación es voluntaria.</w:t>
      </w:r>
    </w:p>
    <w:p w14:paraId="43678668" w14:textId="4B3D2524" w:rsidR="00CE1C46" w:rsidRPr="00CF1B34" w:rsidRDefault="00CE1C46"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Esta asociación regula el derecho de asociación sindical, tiene personalidad jurídica y patrimonios propios e independientes de sus miembros y desde 1994 la AEB asumió también las funciones del antiguo Consejo Superior Bancario.</w:t>
      </w:r>
    </w:p>
    <w:p w14:paraId="759C2EDA" w14:textId="2CDD1AD3" w:rsidR="00CE1C46" w:rsidRPr="00CF1B34" w:rsidRDefault="00CE1C46"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Estas funciones se destinan a la defensa y representación de los intereses colectivos de sus miembros en los distintos ámbitos que afectan a su actividad con las siguientes funciones:</w:t>
      </w:r>
    </w:p>
    <w:p w14:paraId="03BE50B1" w14:textId="77777777" w:rsidR="00CE1C46" w:rsidRPr="00CF1B34" w:rsidRDefault="00CE1C46" w:rsidP="004F7A62">
      <w:pPr>
        <w:numPr>
          <w:ilvl w:val="0"/>
          <w:numId w:val="9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Mantenimiento de un diálogo fluido con la Administración pública, los grupos parlamentarios, las organizaciones sindicales, el resto de organizaciones empresariales o sociales y los medios de comunicación.</w:t>
      </w:r>
    </w:p>
    <w:p w14:paraId="372A5491" w14:textId="77777777" w:rsidR="00CE1C46" w:rsidRPr="00CF1B34" w:rsidRDefault="00CE1C46" w:rsidP="004F7A62">
      <w:pPr>
        <w:numPr>
          <w:ilvl w:val="0"/>
          <w:numId w:val="9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Formulación de informes u observaciones sobre los proyectos de normas que se refieren a cualquier aspecto de la actividad bancaria y que le son presentados a tal fin.</w:t>
      </w:r>
    </w:p>
    <w:p w14:paraId="6DFB1657" w14:textId="77777777" w:rsidR="00CE1C46" w:rsidRPr="00CF1B34" w:rsidRDefault="00CE1C46" w:rsidP="004F7A62">
      <w:pPr>
        <w:numPr>
          <w:ilvl w:val="0"/>
          <w:numId w:val="9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Negociación del convenio colectivo del sector en el que se establecen las condiciones laborales de carácter general.</w:t>
      </w:r>
    </w:p>
    <w:p w14:paraId="5494F560" w14:textId="1988999C" w:rsidR="00CE1C46" w:rsidRPr="00CF1B34" w:rsidRDefault="00CE1C46" w:rsidP="004F7A62">
      <w:pPr>
        <w:numPr>
          <w:ilvl w:val="0"/>
          <w:numId w:val="9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Labor de normalización y racionalización de los procedimientos operativos a utilizar en las relaciones interbancarias y con la administración pública, especialmente en el ámbito de la compensación de medios de pago, valores, </w:t>
      </w:r>
      <w:hyperlink r:id="rId17" w:history="1">
        <w:r w:rsidRPr="00CF1B34">
          <w:rPr>
            <w:rStyle w:val="Hipervnculo"/>
            <w:rFonts w:ascii="Arial" w:hAnsi="Arial" w:cs="Arial"/>
            <w:color w:val="DC143C"/>
            <w:sz w:val="22"/>
            <w:szCs w:val="22"/>
            <w:lang w:val="es-ES_tradnl"/>
          </w:rPr>
          <w:t>recaudación de tributos</w:t>
        </w:r>
      </w:hyperlink>
      <w:r w:rsidRPr="00CF1B34">
        <w:rPr>
          <w:rFonts w:ascii="Arial" w:hAnsi="Arial" w:cs="Arial"/>
          <w:color w:val="333333"/>
          <w:sz w:val="22"/>
          <w:szCs w:val="22"/>
          <w:lang w:val="es-ES_tradnl"/>
        </w:rPr>
        <w:t xml:space="preserve"> y cuotas de la seguridad social, etc.</w:t>
      </w:r>
    </w:p>
    <w:p w14:paraId="719641C2" w14:textId="77777777" w:rsidR="00CE1C46" w:rsidRPr="00CF1B34" w:rsidRDefault="00CE1C46" w:rsidP="004F7A62">
      <w:pPr>
        <w:numPr>
          <w:ilvl w:val="0"/>
          <w:numId w:val="9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Estudio e informe de cualquier asunto de naturaleza legal o jurídica que sea de interés común para los bancos socios.</w:t>
      </w:r>
    </w:p>
    <w:p w14:paraId="2C65A02C" w14:textId="3A6755C9" w:rsidR="00CE1C46" w:rsidRPr="00CF1B34" w:rsidRDefault="00CE1C46" w:rsidP="004F7A62">
      <w:pPr>
        <w:numPr>
          <w:ilvl w:val="0"/>
          <w:numId w:val="9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Publicación periódica de los balances, </w:t>
      </w:r>
      <w:hyperlink r:id="rId18" w:history="1">
        <w:r w:rsidRPr="00CF1B34">
          <w:rPr>
            <w:rStyle w:val="Hipervnculo"/>
            <w:rFonts w:ascii="Arial" w:hAnsi="Arial" w:cs="Arial"/>
            <w:color w:val="DC143C"/>
            <w:sz w:val="22"/>
            <w:szCs w:val="22"/>
            <w:lang w:val="es-ES_tradnl"/>
          </w:rPr>
          <w:t>cuentas</w:t>
        </w:r>
      </w:hyperlink>
      <w:r w:rsidRPr="00CF1B34">
        <w:rPr>
          <w:rFonts w:ascii="Arial" w:hAnsi="Arial" w:cs="Arial"/>
          <w:color w:val="333333"/>
          <w:sz w:val="22"/>
          <w:szCs w:val="22"/>
          <w:lang w:val="es-ES_tradnl"/>
        </w:rPr>
        <w:t xml:space="preserve"> de resultados y estados financieros consolidados de los bancos, así como la elaboración de informes sobre la coyuntura económica y la situación de los mercados financieros.</w:t>
      </w:r>
    </w:p>
    <w:p w14:paraId="51BE72A7" w14:textId="77777777" w:rsidR="00CE1C46" w:rsidRPr="00CF1B34" w:rsidRDefault="00CE1C46" w:rsidP="004F7A62">
      <w:pPr>
        <w:numPr>
          <w:ilvl w:val="0"/>
          <w:numId w:val="9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Participación y presencia en la Federación Bancaria de la Unión Europea (FBE), tanto en sus órganos de gobierno como en los numerosos comités y grupos de trabajo existentes en ella.</w:t>
      </w:r>
    </w:p>
    <w:p w14:paraId="12415320" w14:textId="77777777" w:rsidR="00CE1C46" w:rsidRPr="00CF1B34" w:rsidRDefault="00CE1C46" w:rsidP="004F7A62">
      <w:pPr>
        <w:numPr>
          <w:ilvl w:val="0"/>
          <w:numId w:val="9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Contribución al ámbito docente a través del Colegio Universitario de Estudios Financieros (CUNEF), institución de reconocido y consolidado prestigio de la que la AEB es la entidad titular.</w:t>
      </w:r>
    </w:p>
    <w:p w14:paraId="6F1EC006" w14:textId="1E8C66DF" w:rsidR="00CE1C46" w:rsidRPr="00CF1B34" w:rsidRDefault="00CE1C46" w:rsidP="0005621A">
      <w:pPr>
        <w:pStyle w:val="NormalWeb"/>
        <w:shd w:val="clear" w:color="auto" w:fill="FFFFFF"/>
        <w:spacing w:before="0" w:beforeAutospacing="0" w:after="165" w:afterAutospacing="0"/>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A continuación, los</w:t>
      </w:r>
      <w:r w:rsidR="003333D5"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Bancos Socios</w:t>
      </w:r>
      <w:r w:rsidRPr="00CF1B34">
        <w:rPr>
          <w:rFonts w:ascii="Arial" w:hAnsi="Arial" w:cs="Arial"/>
          <w:color w:val="333333"/>
          <w:sz w:val="22"/>
          <w:szCs w:val="22"/>
          <w:lang w:val="es-ES_tradnl"/>
        </w:rPr>
        <w:t>:</w:t>
      </w:r>
    </w:p>
    <w:p w14:paraId="6DB92588" w14:textId="77777777" w:rsidR="003333D5" w:rsidRPr="00CF1B34" w:rsidRDefault="003333D5"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sectPr w:rsidR="003333D5" w:rsidRPr="00CF1B34" w:rsidSect="002D574A">
          <w:headerReference w:type="default" r:id="rId19"/>
          <w:footerReference w:type="default" r:id="rId20"/>
          <w:pgSz w:w="11900" w:h="16840"/>
          <w:pgMar w:top="1417" w:right="1701" w:bottom="1417" w:left="1701" w:header="283" w:footer="340" w:gutter="0"/>
          <w:cols w:space="708"/>
          <w:docGrid w:linePitch="360"/>
        </w:sectPr>
      </w:pPr>
    </w:p>
    <w:p w14:paraId="09B99860" w14:textId="74FB74B4"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Allfunds Bank</w:t>
      </w:r>
    </w:p>
    <w:p w14:paraId="30174775"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Altae Banco</w:t>
      </w:r>
    </w:p>
    <w:p w14:paraId="081D3045"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Aresbank</w:t>
      </w:r>
    </w:p>
    <w:p w14:paraId="62D17598"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Banca March</w:t>
      </w:r>
    </w:p>
    <w:p w14:paraId="189940B5"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Banca Pueyo</w:t>
      </w:r>
    </w:p>
    <w:p w14:paraId="4A54163A"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Alcalá</w:t>
      </w:r>
    </w:p>
    <w:p w14:paraId="16E58AEF"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Alicantino de Comercio</w:t>
      </w:r>
    </w:p>
    <w:p w14:paraId="7F0FC0D2"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Banif</w:t>
      </w:r>
    </w:p>
    <w:p w14:paraId="1A653BDE"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Bilbao Vizcaya Argentaria</w:t>
      </w:r>
    </w:p>
    <w:p w14:paraId="38B665A0"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Caixa Geral</w:t>
      </w:r>
    </w:p>
    <w:p w14:paraId="48658AE2"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Caminos</w:t>
      </w:r>
    </w:p>
    <w:p w14:paraId="7A8DDF2F"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Cooperativo Español</w:t>
      </w:r>
    </w:p>
    <w:p w14:paraId="2FB7FB2C"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Albacete</w:t>
      </w:r>
    </w:p>
    <w:p w14:paraId="402B8C71"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Andalucía</w:t>
      </w:r>
    </w:p>
    <w:p w14:paraId="61B7B380"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Crédito Local de España</w:t>
      </w:r>
    </w:p>
    <w:p w14:paraId="5F6E1748"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Depósitos</w:t>
      </w:r>
    </w:p>
    <w:p w14:paraId="1D800092"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Finanzas E Inversiones, (Fibanc)</w:t>
      </w:r>
    </w:p>
    <w:p w14:paraId="52A2AB98"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la Nación Argentina</w:t>
      </w:r>
    </w:p>
    <w:p w14:paraId="459DB5CB"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la Pequeña y Mediana Empresa</w:t>
      </w:r>
    </w:p>
    <w:p w14:paraId="4E5402D7"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Madrid</w:t>
      </w:r>
    </w:p>
    <w:p w14:paraId="07FDC0A2"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Promoción de Negocios</w:t>
      </w:r>
    </w:p>
    <w:p w14:paraId="2CD3C81E"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 Valencia</w:t>
      </w:r>
    </w:p>
    <w:p w14:paraId="53B0E264"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Depositario BBVA</w:t>
      </w:r>
    </w:p>
    <w:p w14:paraId="43E9F8B6"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do Brasil</w:t>
      </w:r>
    </w:p>
    <w:p w14:paraId="01F7248E"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Español de Crédito</w:t>
      </w:r>
    </w:p>
    <w:p w14:paraId="0142052D"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Etcheverría</w:t>
      </w:r>
    </w:p>
    <w:p w14:paraId="5CCD3B8E"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Europeo de Finanzas</w:t>
      </w:r>
    </w:p>
    <w:p w14:paraId="4872ADDE"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Finantia Sofinloc</w:t>
      </w:r>
    </w:p>
    <w:p w14:paraId="7284EAF9"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Gallego</w:t>
      </w:r>
    </w:p>
    <w:p w14:paraId="70373DAD"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Guipuzcoano</w:t>
      </w:r>
    </w:p>
    <w:p w14:paraId="1246135B"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Halifax Hispania</w:t>
      </w:r>
    </w:p>
    <w:p w14:paraId="25614721"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Industrial de Bilbao</w:t>
      </w:r>
    </w:p>
    <w:p w14:paraId="1FF271E4"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Inversis</w:t>
      </w:r>
    </w:p>
    <w:p w14:paraId="3307F472"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Occidental</w:t>
      </w:r>
    </w:p>
    <w:p w14:paraId="5339913B"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Pastor</w:t>
      </w:r>
    </w:p>
    <w:p w14:paraId="628559C6"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Pichincha España, S.A.</w:t>
      </w:r>
    </w:p>
    <w:p w14:paraId="30D1FCDD"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Popular Español</w:t>
      </w:r>
    </w:p>
    <w:p w14:paraId="02DE6E66"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Popular Hipotecario</w:t>
      </w:r>
    </w:p>
    <w:p w14:paraId="2A3DF6CE"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Sabadell</w:t>
      </w:r>
    </w:p>
    <w:p w14:paraId="2631F5B6"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Santander</w:t>
      </w:r>
    </w:p>
    <w:p w14:paraId="65AC0C6D"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 Urquijo Sabadell Banca Privada</w:t>
      </w:r>
    </w:p>
    <w:p w14:paraId="14658C1D"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Bancofar</w:t>
      </w:r>
    </w:p>
    <w:p w14:paraId="16BCF833"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Bancopopular-e</w:t>
      </w:r>
    </w:p>
    <w:p w14:paraId="6A8A70D3"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Banesto Banco de Emisiones</w:t>
      </w:r>
    </w:p>
    <w:p w14:paraId="5C17469C"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Bank of América, National Association</w:t>
      </w:r>
    </w:p>
    <w:p w14:paraId="03FCC776"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Bankinter</w:t>
      </w:r>
    </w:p>
    <w:p w14:paraId="137CA5DA"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Bankoa</w:t>
      </w:r>
    </w:p>
    <w:p w14:paraId="2FF36793"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Banque Marocaine du Commerce Exterieur International</w:t>
      </w:r>
    </w:p>
    <w:p w14:paraId="27D941E7"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Barclays Bank</w:t>
      </w:r>
    </w:p>
    <w:p w14:paraId="54C20A0B"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Barclays Bank, Plc.</w:t>
      </w:r>
    </w:p>
    <w:p w14:paraId="33081AA5"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BBVA Banco de Financiación</w:t>
      </w:r>
    </w:p>
    <w:p w14:paraId="58F2ECD4"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BNP Paribas</w:t>
      </w:r>
    </w:p>
    <w:p w14:paraId="7A746664"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BPI, S.A., Banco</w:t>
      </w:r>
    </w:p>
    <w:p w14:paraId="5E890150"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Caisse Regional de Credit Agricole Mutuel Sud Mediterranee</w:t>
      </w:r>
    </w:p>
    <w:p w14:paraId="490444FC"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Chaabi du Maroc, Banque</w:t>
      </w:r>
    </w:p>
    <w:p w14:paraId="43D7591B"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Citibank España</w:t>
      </w:r>
    </w:p>
    <w:p w14:paraId="37822751"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Citibank International Plc</w:t>
      </w:r>
    </w:p>
    <w:p w14:paraId="172B2558"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Commerzbank, A.G.</w:t>
      </w:r>
    </w:p>
    <w:p w14:paraId="6D446F6B"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Cooperatieve Centrale Raiffeisen- Boerenleebank B.A. (RABOBANK NEDERLAND), Sucursal en España</w:t>
      </w:r>
    </w:p>
    <w:p w14:paraId="75733C87"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Credit Agricole Corporate And Investment Bank</w:t>
      </w:r>
    </w:p>
    <w:p w14:paraId="60E5ED2B"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Credit Suisse</w:t>
      </w:r>
    </w:p>
    <w:p w14:paraId="6FC87AA3"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Deutsche Bank A.G.</w:t>
      </w:r>
    </w:p>
    <w:p w14:paraId="7915AE41"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Deutsche Bank S.A.E.</w:t>
      </w:r>
    </w:p>
    <w:p w14:paraId="4FCAFB4F"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Dexia Sabadell</w:t>
      </w:r>
    </w:p>
    <w:p w14:paraId="3917DDBE"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Dresdner Bank A.G.</w:t>
      </w:r>
    </w:p>
    <w:p w14:paraId="63A285E8"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EBN Banco de Negocios</w:t>
      </w:r>
    </w:p>
    <w:p w14:paraId="6CF804D9"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Espirito Santo, S.A. Banco</w:t>
      </w:r>
    </w:p>
    <w:p w14:paraId="01DEE46F"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Europe Arab Bank Plc</w:t>
      </w:r>
    </w:p>
    <w:p w14:paraId="5EEE2381"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FCE Bank, Plc</w:t>
      </w:r>
    </w:p>
    <w:p w14:paraId="70D4FA02"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Finanzia, Banco de Crédito</w:t>
      </w:r>
    </w:p>
    <w:p w14:paraId="35881005"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Fortis Bank, S.A.</w:t>
      </w:r>
    </w:p>
    <w:p w14:paraId="3FDB5BDE"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General Electric Capital Bank</w:t>
      </w:r>
    </w:p>
    <w:p w14:paraId="5D603B7F"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HSBC Bank Plc</w:t>
      </w:r>
    </w:p>
    <w:p w14:paraId="4FD76DE6"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ING Belgium, S.A.</w:t>
      </w:r>
    </w:p>
    <w:p w14:paraId="169FE693"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ING Direct N.V.</w:t>
      </w:r>
    </w:p>
    <w:p w14:paraId="0F5D5CF6"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Intesa Sanpaolo, S.P.A.</w:t>
      </w:r>
    </w:p>
    <w:p w14:paraId="0BC40EC1"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JPMorgan Chase Bank National Association</w:t>
      </w:r>
    </w:p>
    <w:p w14:paraId="7B76BD3A"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KBC Bank N.V.</w:t>
      </w:r>
    </w:p>
    <w:p w14:paraId="15466657"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Lloyds Tsb Bank, Plc.</w:t>
      </w:r>
    </w:p>
    <w:p w14:paraId="48D0CC48"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MBNA Europe Bank Ltd.</w:t>
      </w:r>
    </w:p>
    <w:p w14:paraId="0D39B43C"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Microbank de la Caixa</w:t>
      </w:r>
    </w:p>
    <w:p w14:paraId="79C41F9C"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Open Bank, S.A.</w:t>
      </w:r>
    </w:p>
    <w:p w14:paraId="73FD9E40"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Popular Banca Privada</w:t>
      </w:r>
    </w:p>
    <w:p w14:paraId="63AD03BF"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Privat Bank</w:t>
      </w:r>
    </w:p>
    <w:p w14:paraId="7F759205"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RBC Dexia Investor Services España</w:t>
      </w:r>
    </w:p>
    <w:p w14:paraId="5C6FCFA3"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Royal Bank of Scotland Plc., The</w:t>
      </w:r>
    </w:p>
    <w:p w14:paraId="487D89F0"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Santander Consumer Finance</w:t>
      </w:r>
    </w:p>
    <w:p w14:paraId="1321A158"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Santander Investment</w:t>
      </w:r>
    </w:p>
    <w:p w14:paraId="0C3768B1"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Societé Genérale</w:t>
      </w:r>
    </w:p>
    <w:p w14:paraId="44B7F8DC"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Sygma Hispania, Banco</w:t>
      </w:r>
    </w:p>
    <w:p w14:paraId="60D2F05A"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The Bank of Tokyo-Mitsubishi Ufj, Ltd</w:t>
      </w:r>
    </w:p>
    <w:p w14:paraId="175BA422" w14:textId="77777777" w:rsidR="00CE1C46" w:rsidRPr="00CF1B34" w:rsidRDefault="00CE1C46" w:rsidP="004F7A62">
      <w:pPr>
        <w:numPr>
          <w:ilvl w:val="0"/>
          <w:numId w:val="92"/>
        </w:numPr>
        <w:shd w:val="clear" w:color="auto" w:fill="FFFFFF"/>
        <w:spacing w:before="100" w:beforeAutospacing="1" w:after="100" w:afterAutospacing="1"/>
        <w:ind w:right="-455"/>
        <w:jc w:val="both"/>
        <w:rPr>
          <w:rFonts w:ascii="Arial" w:hAnsi="Arial" w:cs="Arial"/>
          <w:color w:val="333333"/>
          <w:sz w:val="22"/>
          <w:szCs w:val="22"/>
          <w:lang w:val="es-ES_tradnl"/>
        </w:rPr>
      </w:pPr>
      <w:r w:rsidRPr="00CF1B34">
        <w:rPr>
          <w:rFonts w:ascii="Arial" w:hAnsi="Arial" w:cs="Arial"/>
          <w:color w:val="333333"/>
          <w:sz w:val="22"/>
          <w:szCs w:val="22"/>
          <w:lang w:val="es-ES_tradnl"/>
        </w:rPr>
        <w:t>Triodos Bank, N.V.</w:t>
      </w:r>
    </w:p>
    <w:p w14:paraId="31B4745C" w14:textId="77777777" w:rsidR="00CE1C46" w:rsidRPr="00CF1B34" w:rsidRDefault="00CE1C46" w:rsidP="004F7A62">
      <w:pPr>
        <w:numPr>
          <w:ilvl w:val="0"/>
          <w:numId w:val="92"/>
        </w:numPr>
        <w:shd w:val="clear" w:color="auto" w:fill="FFFFFF"/>
        <w:spacing w:before="100" w:beforeAutospacing="1" w:after="100" w:afterAutospacing="1"/>
        <w:ind w:right="-455"/>
        <w:jc w:val="both"/>
        <w:rPr>
          <w:rFonts w:ascii="Arial" w:hAnsi="Arial" w:cs="Arial"/>
          <w:color w:val="333333"/>
          <w:sz w:val="22"/>
          <w:szCs w:val="22"/>
          <w:lang w:val="es-ES_tradnl"/>
        </w:rPr>
      </w:pPr>
      <w:r w:rsidRPr="00CF1B34">
        <w:rPr>
          <w:rFonts w:ascii="Arial" w:hAnsi="Arial" w:cs="Arial"/>
          <w:color w:val="333333"/>
          <w:sz w:val="22"/>
          <w:szCs w:val="22"/>
          <w:lang w:val="es-ES_tradnl"/>
        </w:rPr>
        <w:t>UBI Banca International, S.A.</w:t>
      </w:r>
    </w:p>
    <w:p w14:paraId="72E0B640"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UBS Bank</w:t>
      </w:r>
    </w:p>
    <w:p w14:paraId="31BCA45F"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Unicredit Banca Di Roma, S.P.A.</w:t>
      </w:r>
    </w:p>
    <w:p w14:paraId="2CFA9260" w14:textId="77777777"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Uno-e Bank</w:t>
      </w:r>
    </w:p>
    <w:p w14:paraId="666D181A" w14:textId="77777777" w:rsidR="008D40B0"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sectPr w:rsidR="008D40B0" w:rsidRPr="00CF1B34" w:rsidSect="008D40B0">
          <w:type w:val="continuous"/>
          <w:pgSz w:w="11900" w:h="16840"/>
          <w:pgMar w:top="1417" w:right="1701" w:bottom="1417" w:left="1701" w:header="708" w:footer="708" w:gutter="0"/>
          <w:cols w:num="2" w:space="708"/>
          <w:docGrid w:linePitch="360"/>
        </w:sectPr>
      </w:pPr>
      <w:r w:rsidRPr="00CF1B34">
        <w:rPr>
          <w:rFonts w:ascii="Arial" w:hAnsi="Arial" w:cs="Arial"/>
          <w:color w:val="333333"/>
          <w:sz w:val="22"/>
          <w:szCs w:val="22"/>
          <w:lang w:val="es-ES_tradnl"/>
        </w:rPr>
        <w:t xml:space="preserve">Volkswagen </w:t>
      </w:r>
    </w:p>
    <w:p w14:paraId="23CE39C1" w14:textId="38927A5D"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Bank Gmbh</w:t>
      </w:r>
    </w:p>
    <w:p w14:paraId="16CEC0F8" w14:textId="07AD3FFF" w:rsidR="00CE1C46" w:rsidRPr="00CF1B34" w:rsidRDefault="00CE1C46" w:rsidP="004F7A62">
      <w:pPr>
        <w:numPr>
          <w:ilvl w:val="0"/>
          <w:numId w:val="9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Westlb Ag.</w:t>
      </w:r>
    </w:p>
    <w:p w14:paraId="5C98B992" w14:textId="77777777" w:rsidR="003333D5" w:rsidRPr="00CF1B34" w:rsidRDefault="003333D5" w:rsidP="0005621A">
      <w:pPr>
        <w:pStyle w:val="Prrafodelista"/>
        <w:pBdr>
          <w:bottom w:val="dotted" w:sz="12" w:space="12" w:color="666666"/>
        </w:pBdr>
        <w:spacing w:after="240"/>
        <w:jc w:val="both"/>
        <w:rPr>
          <w:rFonts w:ascii="Arial" w:hAnsi="Arial" w:cs="Arial"/>
          <w:color w:val="212529"/>
          <w:sz w:val="22"/>
          <w:szCs w:val="22"/>
          <w:lang w:val="es-ES_tradnl"/>
        </w:rPr>
        <w:sectPr w:rsidR="003333D5" w:rsidRPr="00CF1B34" w:rsidSect="003333D5">
          <w:type w:val="continuous"/>
          <w:pgSz w:w="11900" w:h="16840"/>
          <w:pgMar w:top="1417" w:right="1701" w:bottom="1417" w:left="1701" w:header="708" w:footer="708" w:gutter="0"/>
          <w:cols w:num="2" w:space="708"/>
          <w:docGrid w:linePitch="360"/>
        </w:sectPr>
      </w:pPr>
    </w:p>
    <w:p w14:paraId="74EF9769" w14:textId="72E1D441" w:rsidR="00CE1C46" w:rsidRPr="00CF1B34" w:rsidRDefault="00CE1C46" w:rsidP="0005621A">
      <w:pPr>
        <w:pStyle w:val="Prrafodelista"/>
        <w:pBdr>
          <w:bottom w:val="dotted" w:sz="12" w:space="12" w:color="666666"/>
        </w:pBdr>
        <w:spacing w:after="240"/>
        <w:jc w:val="both"/>
        <w:rPr>
          <w:rFonts w:ascii="Arial" w:hAnsi="Arial" w:cs="Arial"/>
          <w:color w:val="212529"/>
          <w:sz w:val="22"/>
          <w:szCs w:val="22"/>
          <w:lang w:val="es-ES_tradnl"/>
        </w:rPr>
      </w:pPr>
    </w:p>
    <w:p w14:paraId="0750E053" w14:textId="2C498E8A"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Agencia de calificación crediticia </w:t>
      </w:r>
    </w:p>
    <w:p w14:paraId="6DF16BD1" w14:textId="2E1A6F4F" w:rsidR="00CE1C46"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Son entidades especializadas en el análisis de valores y empresas. Sus conclusiones sobre la capacidad de una compañía para hacer frente a sus obligaciones financieras, a corto y largo plazo, se plasman en el rating. El rating es un instrumento que permite a los inversores valorar el riesgo de un emisor, o de una emisión concreta, en relación con una escala de calificaciones predeterminada. Estas calificaciones se expresan con una nomenclatura que puede combinar letras, mayúsculas y minúsculas, y números; aunque varían de una agencia a otra, en general la mejor calificación se expresa como AAA. </w:t>
      </w:r>
      <w:r w:rsidRPr="00CF1B34">
        <w:rPr>
          <w:rFonts w:ascii="Arial" w:hAnsi="Arial" w:cs="Arial"/>
          <w:color w:val="2F5496" w:themeColor="accent1" w:themeShade="BF"/>
          <w:sz w:val="22"/>
          <w:szCs w:val="22"/>
          <w:lang w:val="es-ES_tradnl"/>
        </w:rPr>
        <w:t>Ver</w:t>
      </w:r>
      <w:r w:rsidR="001D3D3C" w:rsidRPr="00CF1B34">
        <w:rPr>
          <w:rFonts w:ascii="Arial" w:hAnsi="Arial" w:cs="Arial"/>
          <w:color w:val="2F5496" w:themeColor="accent1" w:themeShade="BF"/>
          <w:sz w:val="22"/>
          <w:szCs w:val="22"/>
          <w:lang w:val="es-ES_tradnl"/>
        </w:rPr>
        <w:t xml:space="preserve"> </w:t>
      </w:r>
      <w:hyperlink r:id="rId21" w:tgtFrame="_self" w:history="1"/>
      <w:r w:rsidR="001D3D3C" w:rsidRPr="00CF1B34">
        <w:rPr>
          <w:rFonts w:ascii="Arial" w:hAnsi="Arial" w:cs="Arial"/>
          <w:b/>
          <w:bCs/>
          <w:color w:val="2F5496" w:themeColor="accent1" w:themeShade="BF"/>
          <w:sz w:val="22"/>
          <w:szCs w:val="22"/>
          <w:lang w:val="es-ES_tradnl"/>
        </w:rPr>
        <w:t xml:space="preserve"> </w:t>
      </w:r>
      <w:r w:rsidR="001D3D3C" w:rsidRPr="00CF1B34">
        <w:rPr>
          <w:rFonts w:ascii="Arial" w:hAnsi="Arial" w:cs="Arial"/>
          <w:color w:val="2F5496" w:themeColor="accent1" w:themeShade="BF"/>
          <w:sz w:val="22"/>
          <w:szCs w:val="22"/>
          <w:lang w:val="es-ES_tradnl"/>
        </w:rPr>
        <w:t xml:space="preserve"> </w:t>
      </w:r>
      <w:r w:rsidR="00D83530">
        <w:fldChar w:fldCharType="begin"/>
      </w:r>
      <w:r w:rsidR="00D83530">
        <w:instrText xml:space="preserve"> HYPERLINK "https://www.cnmv.es/Portal/Inversor/Glosario.aspx?id=0&amp;term=Rating&amp;idlang=1" \t "_self" </w:instrText>
      </w:r>
      <w:r w:rsidR="00D83530">
        <w:fldChar w:fldCharType="separate"/>
      </w:r>
      <w:r w:rsidRPr="00CF1B34">
        <w:rPr>
          <w:rFonts w:ascii="Arial" w:hAnsi="Arial" w:cs="Arial"/>
          <w:b/>
          <w:bCs/>
          <w:color w:val="2F5496" w:themeColor="accent1" w:themeShade="BF"/>
          <w:sz w:val="22"/>
          <w:szCs w:val="22"/>
          <w:u w:val="single"/>
          <w:lang w:val="es-ES_tradnl"/>
        </w:rPr>
        <w:t>Rating</w:t>
      </w:r>
      <w:r w:rsidR="00D83530">
        <w:rPr>
          <w:rFonts w:ascii="Arial" w:hAnsi="Arial" w:cs="Arial"/>
          <w:b/>
          <w:bCs/>
          <w:color w:val="2F5496" w:themeColor="accent1" w:themeShade="BF"/>
          <w:sz w:val="22"/>
          <w:szCs w:val="22"/>
          <w:u w:val="single"/>
          <w:lang w:val="es-ES_tradnl"/>
        </w:rPr>
        <w:fldChar w:fldCharType="end"/>
      </w:r>
      <w:r w:rsidRPr="00CF1B34">
        <w:rPr>
          <w:rFonts w:ascii="Arial" w:hAnsi="Arial" w:cs="Arial"/>
          <w:color w:val="2F5496" w:themeColor="accent1" w:themeShade="BF"/>
          <w:sz w:val="22"/>
          <w:szCs w:val="22"/>
          <w:lang w:val="es-ES_tradnl"/>
        </w:rPr>
        <w:t>.</w:t>
      </w:r>
    </w:p>
    <w:p w14:paraId="0470FC41" w14:textId="7A6F6C40" w:rsidR="00E66FCB" w:rsidRPr="00CF1B34" w:rsidRDefault="00E66FC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Agencia de calificación financiera </w:t>
      </w:r>
      <w:r w:rsidR="001F1172" w:rsidRPr="00CF1B34">
        <w:rPr>
          <w:rFonts w:ascii="Arial" w:hAnsi="Arial" w:cs="Arial"/>
          <w:b/>
          <w:bCs/>
          <w:color w:val="004773"/>
          <w:sz w:val="22"/>
          <w:szCs w:val="22"/>
          <w:lang w:val="es-ES_tradnl"/>
        </w:rPr>
        <w:t xml:space="preserve">– agencias de Rating </w:t>
      </w:r>
      <w:r w:rsidRPr="00CF1B34">
        <w:rPr>
          <w:rFonts w:ascii="Arial" w:hAnsi="Arial" w:cs="Arial"/>
          <w:b/>
          <w:bCs/>
          <w:color w:val="004773"/>
          <w:sz w:val="22"/>
          <w:szCs w:val="22"/>
          <w:lang w:val="es-ES_tradnl"/>
        </w:rPr>
        <w:t xml:space="preserve">(ver </w:t>
      </w:r>
      <w:r w:rsidR="001F1172" w:rsidRPr="00CF1B34">
        <w:rPr>
          <w:rFonts w:ascii="Arial" w:hAnsi="Arial" w:cs="Arial"/>
          <w:b/>
          <w:bCs/>
          <w:color w:val="004773"/>
          <w:sz w:val="22"/>
          <w:szCs w:val="22"/>
          <w:lang w:val="es-ES_tradnl"/>
        </w:rPr>
        <w:t>R</w:t>
      </w:r>
      <w:r w:rsidRPr="00CF1B34">
        <w:rPr>
          <w:rFonts w:ascii="Arial" w:hAnsi="Arial" w:cs="Arial"/>
          <w:b/>
          <w:bCs/>
          <w:color w:val="004773"/>
          <w:sz w:val="22"/>
          <w:szCs w:val="22"/>
          <w:lang w:val="es-ES_tradnl"/>
        </w:rPr>
        <w:t>ating)</w:t>
      </w:r>
    </w:p>
    <w:p w14:paraId="7AEA6495" w14:textId="77777777" w:rsidR="001D3D3C" w:rsidRPr="00CF1B34" w:rsidRDefault="000F23A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Entidades independientes que tienen</w:t>
      </w:r>
      <w:r w:rsidR="00F05A89"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por objeto la calificación de la calidad de las emisiones, as</w:t>
      </w:r>
      <w:r w:rsidR="00F05A89"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 xml:space="preserve"> como la solvencia de los emisores de determinado activo financiero, par afrontar el pago de los rendimientos</w:t>
      </w:r>
      <w:r w:rsidR="00F05A89" w:rsidRPr="00CF1B34">
        <w:rPr>
          <w:rFonts w:ascii="Arial" w:hAnsi="Arial" w:cs="Arial"/>
          <w:color w:val="000000" w:themeColor="text1"/>
          <w:sz w:val="22"/>
          <w:szCs w:val="22"/>
          <w:lang w:val="es-ES_tradnl"/>
        </w:rPr>
        <w:t xml:space="preserve"> periódicos del mismo y la eventual amortización de su principal</w:t>
      </w:r>
    </w:p>
    <w:p w14:paraId="44583224" w14:textId="72AAF75B"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Agencia de valores </w:t>
      </w:r>
    </w:p>
    <w:p w14:paraId="068863D3" w14:textId="0FC07162"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empresas de servicios de inversión (ESI), que actúan como intermediarios en los mercados financieros. Tienen forma de sociedad anónima, con un capital mínimo de 300.000 o 500.000 euros (según el alcance de las actividades que tengan intención de realizar</w:t>
      </w:r>
      <w:proofErr w:type="gramStart"/>
      <w:r w:rsidRPr="00CF1B34">
        <w:rPr>
          <w:rFonts w:ascii="Arial" w:hAnsi="Arial" w:cs="Arial"/>
          <w:color w:val="212529"/>
          <w:sz w:val="22"/>
          <w:szCs w:val="22"/>
          <w:lang w:val="es-ES_tradnl"/>
        </w:rPr>
        <w:t>).Las</w:t>
      </w:r>
      <w:proofErr w:type="gramEnd"/>
      <w:r w:rsidRPr="00CF1B34">
        <w:rPr>
          <w:rFonts w:ascii="Arial" w:hAnsi="Arial" w:cs="Arial"/>
          <w:color w:val="212529"/>
          <w:sz w:val="22"/>
          <w:szCs w:val="22"/>
          <w:lang w:val="es-ES_tradnl"/>
        </w:rPr>
        <w:t xml:space="preserve"> agencias de valores pueden tramitar órdenes de compra o venta de valores por cuenta de sus clientes, pero no están habilitadas para operar por cuenta propia. Además de la recepción, transmisión, ejecución de órdenes y gestión discrecional e individualizada de carteras por cuenta de terceros, pueden ofrecer servicios de asesoramiento sobre inversiones en valores negociables u otros instrumentos, mediar en las emisiones y ofertas públicas de venta, llevar el depósito y administración de valores negociables y otros instrumentos, etc.</w:t>
      </w:r>
    </w:p>
    <w:p w14:paraId="0B1182B6" w14:textId="77777777" w:rsidR="00085D1F" w:rsidRPr="00CF1B34" w:rsidRDefault="0066699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Agencias de Rating</w:t>
      </w:r>
    </w:p>
    <w:p w14:paraId="6D53BF98" w14:textId="39D03D2F" w:rsidR="00666991" w:rsidRPr="00CF1B34" w:rsidRDefault="00666991" w:rsidP="0005621A">
      <w:pPr>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Las agencias de calificación o de rating, son aquellas que califican el riesgo crediticio de los emisores de valores y de sus obligaciones financieras. Se caracterizan por ser intermediarios de la información ayudando a los inversores a tomar decisiones. La calificación es solamente una predicción sobre la probabilidad de que una compañía quiebre.</w:t>
      </w:r>
    </w:p>
    <w:p w14:paraId="4E9DC9B5" w14:textId="68C7EBA4" w:rsidR="00085D1F" w:rsidRPr="00CF1B34" w:rsidRDefault="00085D1F"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Por otra parte, se las considera una influencia en la política, ya que </w:t>
      </w:r>
      <w:r w:rsidRPr="00CF1B34">
        <w:rPr>
          <w:rFonts w:ascii="Arial" w:hAnsi="Arial" w:cs="Arial"/>
          <w:b/>
          <w:bCs/>
          <w:color w:val="333333"/>
          <w:sz w:val="22"/>
          <w:szCs w:val="22"/>
          <w:lang w:val="es-ES_tradnl"/>
        </w:rPr>
        <w:t xml:space="preserve">evalúan el riesgo </w:t>
      </w:r>
      <w:r w:rsidRPr="00CF1B34">
        <w:rPr>
          <w:rFonts w:ascii="Arial" w:hAnsi="Arial" w:cs="Arial"/>
          <w:color w:val="333333"/>
          <w:sz w:val="22"/>
          <w:szCs w:val="22"/>
          <w:lang w:val="es-ES_tradnl"/>
        </w:rPr>
        <w:t xml:space="preserve"> gobernantes.</w:t>
      </w:r>
    </w:p>
    <w:p w14:paraId="1BB2B7BA" w14:textId="77777777" w:rsidR="00085D1F" w:rsidRPr="00CF1B34" w:rsidRDefault="00085D1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El problema es que, estas agencias, han adquirido un gran poder, ya que sus </w:t>
      </w:r>
      <w:r w:rsidRPr="00CF1B34">
        <w:rPr>
          <w:rFonts w:ascii="Arial" w:hAnsi="Arial" w:cs="Arial"/>
          <w:b/>
          <w:bCs/>
          <w:color w:val="333333"/>
          <w:sz w:val="22"/>
          <w:szCs w:val="22"/>
          <w:lang w:val="es-ES_tradnl"/>
        </w:rPr>
        <w:t xml:space="preserve">calificaciones </w:t>
      </w:r>
      <w:r w:rsidRPr="00CF1B34">
        <w:rPr>
          <w:rFonts w:ascii="Arial" w:hAnsi="Arial" w:cs="Arial"/>
          <w:color w:val="333333"/>
          <w:sz w:val="22"/>
          <w:szCs w:val="22"/>
          <w:lang w:val="es-ES_tradnl"/>
        </w:rPr>
        <w:t>pueden obligar al Estado o distintas empresas a pagar mayores</w:t>
      </w:r>
      <w:r w:rsidRPr="00CF1B34">
        <w:rPr>
          <w:rFonts w:ascii="Arial" w:hAnsi="Arial" w:cs="Arial"/>
          <w:b/>
          <w:bCs/>
          <w:color w:val="333333"/>
          <w:sz w:val="22"/>
          <w:szCs w:val="22"/>
          <w:lang w:val="es-ES_tradnl"/>
        </w:rPr>
        <w:t xml:space="preserve"> tasas de interés</w:t>
      </w:r>
      <w:r w:rsidRPr="00CF1B34">
        <w:rPr>
          <w:rFonts w:ascii="Arial" w:hAnsi="Arial" w:cs="Arial"/>
          <w:color w:val="333333"/>
          <w:sz w:val="22"/>
          <w:szCs w:val="22"/>
          <w:lang w:val="es-ES_tradnl"/>
        </w:rPr>
        <w:t xml:space="preserve"> por sus créditos debido a ser consideradas de más riesgo.</w:t>
      </w:r>
    </w:p>
    <w:p w14:paraId="396A59D6" w14:textId="2E8B34A3"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Agente</w:t>
      </w:r>
      <w:r w:rsidR="00E66FCB" w:rsidRPr="00CF1B34">
        <w:rPr>
          <w:rFonts w:ascii="Arial" w:hAnsi="Arial" w:cs="Arial"/>
          <w:b/>
          <w:bCs/>
          <w:color w:val="004773"/>
          <w:sz w:val="22"/>
          <w:szCs w:val="22"/>
          <w:lang w:val="es-ES_tradnl"/>
        </w:rPr>
        <w:t xml:space="preserve"> (de bolsa)</w:t>
      </w:r>
    </w:p>
    <w:p w14:paraId="6D181810" w14:textId="59C8007F" w:rsidR="00085D1F"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Personas físicas o jurídicas que están habilitadas por las empresas de servicios de inversión o las entidades de crédito para representarlas en la comercialización y prestación de algunos servicios financieros.</w:t>
      </w:r>
    </w:p>
    <w:p w14:paraId="263A9267" w14:textId="5491813E"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Agente de cálculo</w:t>
      </w:r>
    </w:p>
    <w:p w14:paraId="300F4E76"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Entidad que interviene en emisiones de warrants, certificados, contratos de compra/venta de opciones, renta fija referenciada a algún activo subyacente, fondos garantizados u otros productos, asumiendo la responsabilidad de calcular los parámetros que permiten obtener las cantidades que deben percibir los inversores al vencimiento. Para ello, deben obtener los precios del subyacente en distintos momentos en el tiempo, y aplicar las fórmulas de liquidación que figuren en el folleto de la emisión.</w:t>
      </w:r>
    </w:p>
    <w:p w14:paraId="4317B05B" w14:textId="78615514" w:rsidR="001F1172" w:rsidRPr="00CF1B34" w:rsidRDefault="001F117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Agente la propiedad inmobiliaria</w:t>
      </w:r>
    </w:p>
    <w:p w14:paraId="2A6EECD4" w14:textId="77777777" w:rsidR="001F1172" w:rsidRPr="00CF1B34" w:rsidRDefault="001F117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El Agente de Propiedad Inmobiliaria, también conocido como API, es un profesional dedicado a las tareas de compra, venta y arrendamiento de inmuebles.</w:t>
      </w:r>
    </w:p>
    <w:p w14:paraId="7C803EC1" w14:textId="4C56ECA3" w:rsidR="001F1172" w:rsidRPr="00CF1B34" w:rsidRDefault="001F117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Entre su competencia encontramos por ejemplo a apartamentos, pisos, casas, solares y otras propiedades. Dentro de sus principales funciones, se destacan las de</w:t>
      </w:r>
      <w:r w:rsidR="003F4649" w:rsidRPr="00CF1B34">
        <w:rPr>
          <w:rFonts w:ascii="Arial" w:hAnsi="Arial" w:cs="Arial"/>
          <w:color w:val="333333"/>
          <w:sz w:val="22"/>
          <w:szCs w:val="22"/>
          <w:lang w:val="es-ES_tradnl"/>
        </w:rPr>
        <w:t xml:space="preserve"> </w:t>
      </w:r>
      <w:hyperlink r:id="rId22" w:history="1">
        <w:r w:rsidRPr="00CF1B34">
          <w:rPr>
            <w:rStyle w:val="Hipervnculo"/>
            <w:rFonts w:ascii="Arial" w:hAnsi="Arial" w:cs="Arial"/>
            <w:color w:val="DC143C"/>
            <w:sz w:val="22"/>
            <w:szCs w:val="22"/>
            <w:lang w:val="es-ES_tradnl"/>
          </w:rPr>
          <w:t>asesorar a propietarios</w:t>
        </w:r>
      </w:hyperlink>
      <w:r w:rsidR="008D40B0"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sobre la situación de mercados, tasar el valor de la propiedad y determinar un precio de venta adecuado.</w:t>
      </w:r>
    </w:p>
    <w:p w14:paraId="5EF465BA" w14:textId="77777777" w:rsidR="001F1172" w:rsidRPr="00CF1B34" w:rsidRDefault="001F117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Por otra parte, para poder trabajar como Agente de Propiedad Inmobiliaria se requerirá de los siguientes elementos o conceptos: </w:t>
      </w:r>
      <w:r w:rsidRPr="00CF1B34">
        <w:rPr>
          <w:rStyle w:val="Textoennegrita"/>
          <w:rFonts w:ascii="Arial" w:hAnsi="Arial" w:cs="Arial"/>
          <w:color w:val="333333"/>
          <w:sz w:val="22"/>
          <w:szCs w:val="22"/>
          <w:lang w:val="es-ES_tradnl"/>
        </w:rPr>
        <w:t>poseer un titulo de Licenciatura, o haber superado tres cursos de las carreras de Ciencias Económicas o Empresariales</w:t>
      </w:r>
      <w:r w:rsidRPr="00CF1B34">
        <w:rPr>
          <w:rFonts w:ascii="Arial" w:hAnsi="Arial" w:cs="Arial"/>
          <w:color w:val="333333"/>
          <w:sz w:val="22"/>
          <w:szCs w:val="22"/>
          <w:lang w:val="es-ES_tradnl"/>
        </w:rPr>
        <w:t>, Derecho, Administración de Empresas, también Arquitectura o cualquier Ingeniería.</w:t>
      </w:r>
    </w:p>
    <w:p w14:paraId="60EF74E6" w14:textId="77777777" w:rsidR="001F1172" w:rsidRPr="00CF1B34" w:rsidRDefault="001F117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Cabe mencionar que, el título oficial de Agente de Propiedad Inmobiliaria es expedido por el Ministerio de Obras Públicas, Transportes y Medio Ambiente.</w:t>
      </w:r>
    </w:p>
    <w:p w14:paraId="2BB0534D" w14:textId="31FDC8FC" w:rsidR="003F4649" w:rsidRPr="00CF1B34" w:rsidRDefault="001F117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En cuanto a sus honorarios, es común que por su trabajo de</w:t>
      </w:r>
      <w:r w:rsidR="003F4649" w:rsidRPr="00CF1B34">
        <w:rPr>
          <w:rFonts w:ascii="Arial" w:hAnsi="Arial" w:cs="Arial"/>
          <w:color w:val="333333"/>
          <w:sz w:val="22"/>
          <w:szCs w:val="22"/>
          <w:lang w:val="es-ES_tradnl"/>
        </w:rPr>
        <w:t xml:space="preserve"> </w:t>
      </w:r>
      <w:hyperlink r:id="rId23" w:history="1">
        <w:r w:rsidRPr="00CF1B34">
          <w:rPr>
            <w:rStyle w:val="Hipervnculo"/>
            <w:rFonts w:ascii="Arial" w:hAnsi="Arial" w:cs="Arial"/>
            <w:color w:val="DC143C"/>
            <w:sz w:val="22"/>
            <w:szCs w:val="22"/>
            <w:lang w:val="es-ES_tradnl"/>
          </w:rPr>
          <w:t>asesoramiento</w:t>
        </w:r>
      </w:hyperlink>
      <w:r w:rsidR="008D40B0"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cobre una comisión, así como también por el hecho de actuar como intermediario en la transacción inmobiliaria. En valores actuales, </w:t>
      </w:r>
      <w:r w:rsidRPr="00CF1B34">
        <w:rPr>
          <w:rStyle w:val="Textoennegrita"/>
          <w:rFonts w:ascii="Arial" w:hAnsi="Arial" w:cs="Arial"/>
          <w:color w:val="333333"/>
          <w:sz w:val="22"/>
          <w:szCs w:val="22"/>
          <w:lang w:val="es-ES_tradnl"/>
        </w:rPr>
        <w:t>se calcula una comisión por la prestación de sus servicios de un agente de la propiedad inmobiliaria, del 3 al 5%.</w:t>
      </w:r>
    </w:p>
    <w:p w14:paraId="3AB012B6" w14:textId="2F774F9A" w:rsidR="001F1172" w:rsidRPr="00CF1B34" w:rsidRDefault="001F117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Agflacion</w:t>
      </w:r>
    </w:p>
    <w:p w14:paraId="6F528726" w14:textId="52AE700B" w:rsidR="003F4649" w:rsidRPr="00CF1B34" w:rsidRDefault="003F464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Se le conoce como</w:t>
      </w:r>
      <w:r w:rsidRPr="00CF1B34">
        <w:rPr>
          <w:rStyle w:val="Textoennegrita"/>
          <w:rFonts w:ascii="Arial" w:hAnsi="Arial" w:cs="Arial"/>
          <w:color w:val="333333"/>
          <w:sz w:val="22"/>
          <w:szCs w:val="22"/>
          <w:lang w:val="es-ES_tradnl"/>
        </w:rPr>
        <w:t xml:space="preserve"> agflación</w:t>
      </w:r>
      <w:r w:rsidRPr="00CF1B34">
        <w:rPr>
          <w:rFonts w:ascii="Arial" w:hAnsi="Arial" w:cs="Arial"/>
          <w:color w:val="333333"/>
          <w:sz w:val="22"/>
          <w:szCs w:val="22"/>
          <w:lang w:val="es-ES_tradnl"/>
        </w:rPr>
        <w:t xml:space="preserve"> se trata de una</w:t>
      </w:r>
      <w:r w:rsidRPr="00CF1B34">
        <w:rPr>
          <w:rStyle w:val="Textoennegrita"/>
          <w:rFonts w:ascii="Arial" w:hAnsi="Arial" w:cs="Arial"/>
          <w:color w:val="333333"/>
          <w:sz w:val="22"/>
          <w:szCs w:val="22"/>
          <w:lang w:val="es-ES_tradnl"/>
        </w:rPr>
        <w:t xml:space="preserve"> combinación de “agricultura” e “inflación”</w:t>
      </w:r>
      <w:r w:rsidRPr="00CF1B34">
        <w:rPr>
          <w:rFonts w:ascii="Arial" w:hAnsi="Arial" w:cs="Arial"/>
          <w:color w:val="333333"/>
          <w:sz w:val="22"/>
          <w:szCs w:val="22"/>
          <w:lang w:val="es-ES_tradnl"/>
        </w:rPr>
        <w:t> y este término es aplicado a los altos y continuos</w:t>
      </w:r>
      <w:r w:rsidRPr="00CF1B34">
        <w:rPr>
          <w:rStyle w:val="Textoennegrita"/>
          <w:rFonts w:ascii="Arial" w:hAnsi="Arial" w:cs="Arial"/>
          <w:color w:val="333333"/>
          <w:sz w:val="22"/>
          <w:szCs w:val="22"/>
          <w:lang w:val="es-ES_tradnl"/>
        </w:rPr>
        <w:t xml:space="preserve"> aumentos en los precios de los alimentos en todo el mundo</w:t>
      </w:r>
      <w:r w:rsidR="008D40B0"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que abarca a las</w:t>
      </w:r>
      <w:hyperlink r:id="rId24" w:history="1">
        <w:r w:rsidRPr="00CF1B34">
          <w:rPr>
            <w:rStyle w:val="Textoennegrita"/>
            <w:rFonts w:ascii="Arial" w:hAnsi="Arial" w:cs="Arial"/>
            <w:color w:val="DC143C"/>
            <w:sz w:val="22"/>
            <w:szCs w:val="22"/>
            <w:lang w:val="es-ES_tradnl"/>
          </w:rPr>
          <w:t xml:space="preserve"> materias primas</w:t>
        </w:r>
        <w:r w:rsidRPr="00CF1B34">
          <w:rPr>
            <w:rStyle w:val="Hipervnculo"/>
            <w:rFonts w:ascii="Arial" w:hAnsi="Arial" w:cs="Arial"/>
            <w:color w:val="DC143C"/>
            <w:sz w:val="22"/>
            <w:szCs w:val="22"/>
            <w:lang w:val="es-ES_tradnl"/>
          </w:rPr>
          <w:t>.</w:t>
        </w:r>
      </w:hyperlink>
      <w:r w:rsidRPr="00CF1B34">
        <w:rPr>
          <w:rFonts w:ascii="Arial" w:hAnsi="Arial" w:cs="Arial"/>
          <w:color w:val="333333"/>
          <w:sz w:val="22"/>
          <w:szCs w:val="22"/>
          <w:lang w:val="es-ES_tradnl"/>
        </w:rPr>
        <w:t xml:space="preserve"> Exactamente lo que está ocurriendo en la actualidad. El creador de esta palabra es el </w:t>
      </w:r>
      <w:r w:rsidRPr="00CF1B34">
        <w:rPr>
          <w:rStyle w:val="Textoennegrita"/>
          <w:rFonts w:ascii="Arial" w:hAnsi="Arial" w:cs="Arial"/>
          <w:color w:val="333333"/>
          <w:sz w:val="22"/>
          <w:szCs w:val="22"/>
          <w:lang w:val="es-ES_tradnl"/>
        </w:rPr>
        <w:t>economista Hill Jamieson.</w:t>
      </w:r>
    </w:p>
    <w:p w14:paraId="4C17B72A" w14:textId="7A952D1C" w:rsidR="003F4649" w:rsidRPr="00CF1B34" w:rsidRDefault="003F464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 fenómeno actual de</w:t>
      </w:r>
      <w:r w:rsidRPr="00CF1B34">
        <w:rPr>
          <w:rStyle w:val="Textoennegrita"/>
          <w:rFonts w:ascii="Arial" w:hAnsi="Arial" w:cs="Arial"/>
          <w:color w:val="333333"/>
          <w:sz w:val="22"/>
          <w:szCs w:val="22"/>
          <w:lang w:val="es-ES_tradnl"/>
        </w:rPr>
        <w:t xml:space="preserve"> crecimiento desmedido de los commodities alimenticios</w:t>
      </w:r>
      <w:r w:rsidRPr="00CF1B34">
        <w:rPr>
          <w:rFonts w:ascii="Arial" w:hAnsi="Arial" w:cs="Arial"/>
          <w:color w:val="333333"/>
          <w:sz w:val="22"/>
          <w:szCs w:val="22"/>
          <w:lang w:val="es-ES_tradnl"/>
        </w:rPr>
        <w:t xml:space="preserve"> como la</w:t>
      </w:r>
      <w:r w:rsidRPr="00CF1B34">
        <w:rPr>
          <w:rStyle w:val="Textoennegrita"/>
          <w:rFonts w:ascii="Arial" w:hAnsi="Arial" w:cs="Arial"/>
          <w:color w:val="333333"/>
          <w:sz w:val="22"/>
          <w:szCs w:val="22"/>
          <w:lang w:val="es-ES_tradnl"/>
        </w:rPr>
        <w:t xml:space="preserve"> soja, el maíz o el trigo</w:t>
      </w:r>
      <w:r w:rsidRPr="00CF1B34">
        <w:rPr>
          <w:rFonts w:ascii="Arial" w:hAnsi="Arial" w:cs="Arial"/>
          <w:color w:val="333333"/>
          <w:sz w:val="22"/>
          <w:szCs w:val="22"/>
          <w:lang w:val="es-ES_tradnl"/>
        </w:rPr>
        <w:t xml:space="preserve"> contagia fácilmente al resto de los componentes de la</w:t>
      </w:r>
      <w:r w:rsidRPr="00CF1B34">
        <w:rPr>
          <w:rStyle w:val="Textoennegrita"/>
          <w:rFonts w:ascii="Arial" w:hAnsi="Arial" w:cs="Arial"/>
          <w:color w:val="333333"/>
          <w:sz w:val="22"/>
          <w:szCs w:val="22"/>
          <w:lang w:val="es-ES_tradnl"/>
        </w:rPr>
        <w:t xml:space="preserve"> canasta alimenticia.</w:t>
      </w:r>
      <w:r w:rsidRPr="00CF1B34">
        <w:rPr>
          <w:rFonts w:ascii="Arial" w:hAnsi="Arial" w:cs="Arial"/>
          <w:color w:val="333333"/>
          <w:sz w:val="22"/>
          <w:szCs w:val="22"/>
          <w:lang w:val="es-ES_tradnl"/>
        </w:rPr>
        <w:t xml:space="preserve"> Sin embargo, a pesar de las consecuencias y el daño que este fenómeno puede ocasionar a las economías desarrolladas e importadoras de materias primas, la agflación ha tomado por sorpresa a la mayoría de los gurúes. Desde los años 70 que no se veía un crecimiento en los precios de este tenor. Pero esta vez el alza de los precios corresponde a un incremento en la demanda de estos productos, motorizados principalmente por países emergentes como India y China, que están viviendo un boom de consumo, con crecimientos astronómicos de sus economías.</w:t>
      </w:r>
    </w:p>
    <w:p w14:paraId="44DA9190" w14:textId="4AB97725" w:rsidR="003F4649" w:rsidRPr="00CF1B34" w:rsidRDefault="003F464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En esta oportunidad, la agflación está apalancada por una simple razón: superficies, capitales y trabajo se sustraen a los</w:t>
      </w:r>
      <w:r w:rsidR="00497BA7" w:rsidRPr="00CF1B34">
        <w:rPr>
          <w:rFonts w:ascii="Arial" w:hAnsi="Arial" w:cs="Arial"/>
          <w:color w:val="333333"/>
          <w:sz w:val="22"/>
          <w:szCs w:val="22"/>
          <w:lang w:val="es-ES_tradnl"/>
        </w:rPr>
        <w:t xml:space="preserve"> </w:t>
      </w:r>
      <w:hyperlink r:id="rId25" w:history="1">
        <w:r w:rsidRPr="00CF1B34">
          <w:rPr>
            <w:rStyle w:val="Textoennegrita"/>
            <w:rFonts w:ascii="Arial" w:hAnsi="Arial" w:cs="Arial"/>
            <w:color w:val="DC143C"/>
            <w:sz w:val="22"/>
            <w:szCs w:val="22"/>
            <w:lang w:val="es-ES_tradnl"/>
          </w:rPr>
          <w:t>cultivos de alimentos</w:t>
        </w:r>
        <w:r w:rsidR="00497BA7" w:rsidRPr="00CF1B34">
          <w:rPr>
            <w:rStyle w:val="Textoennegrita"/>
            <w:rFonts w:ascii="Arial" w:hAnsi="Arial" w:cs="Arial"/>
            <w:color w:val="DC143C"/>
            <w:sz w:val="22"/>
            <w:szCs w:val="22"/>
            <w:lang w:val="es-ES_tradnl"/>
          </w:rPr>
          <w:t xml:space="preserve"> </w:t>
        </w:r>
        <w:r w:rsidRPr="00CF1B34">
          <w:rPr>
            <w:rStyle w:val="Hipervnculo"/>
            <w:rFonts w:ascii="Arial" w:hAnsi="Arial" w:cs="Arial"/>
            <w:color w:val="DC143C"/>
            <w:sz w:val="22"/>
            <w:szCs w:val="22"/>
            <w:lang w:val="es-ES_tradnl"/>
          </w:rPr>
          <w:t> </w:t>
        </w:r>
      </w:hyperlink>
      <w:r w:rsidRPr="00CF1B34">
        <w:rPr>
          <w:rFonts w:ascii="Arial" w:hAnsi="Arial" w:cs="Arial"/>
          <w:color w:val="333333"/>
          <w:sz w:val="22"/>
          <w:szCs w:val="22"/>
          <w:lang w:val="es-ES_tradnl"/>
        </w:rPr>
        <w:t xml:space="preserve">para volcarse a la producción </w:t>
      </w:r>
      <w:r w:rsidRPr="00CF1B34">
        <w:rPr>
          <w:rFonts w:ascii="Arial" w:hAnsi="Arial" w:cs="Arial"/>
          <w:color w:val="333333"/>
          <w:sz w:val="22"/>
          <w:szCs w:val="22"/>
          <w:lang w:val="es-ES_tradnl"/>
        </w:rPr>
        <w:lastRenderedPageBreak/>
        <w:t>de etanol y biodiesel a partir de</w:t>
      </w:r>
      <w:r w:rsidR="00497BA7" w:rsidRPr="00CF1B34">
        <w:rPr>
          <w:rStyle w:val="Textoennegrita"/>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maíz, azúcar, soja y aceite de palma;</w:t>
      </w:r>
      <w:r w:rsidR="00497BA7"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que en vez de volcarse al mercado de los alimentos se vuelcan al sector energético. Esto ocurre porque Europa y Estados Unidos buscan reducir su dependencia con el petróleo, que por su parte colabora con la suba de precios por el mayor costo de los fletes de los barcos cerealeros. En fin, quizá tengan razón aquellos que dicen que se está transformando alimentos en combustible.</w:t>
      </w:r>
    </w:p>
    <w:p w14:paraId="100F09D9" w14:textId="77777777" w:rsidR="003F4649" w:rsidRPr="00CF1B34" w:rsidRDefault="003F464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Cuando crece notablemente el precio de los alimentos muchos miran el Sahel, relacionado con la zona que limita el Sáhara, se vive una inseguridad alimentaria que ya es histórica. Con el actual alza del precio de los alimentos, que ya es el más alto desde 2009, presiona más la crisis alimentaria-nutricional en esta zona.</w:t>
      </w:r>
    </w:p>
    <w:p w14:paraId="2BF976B7" w14:textId="7CEFCCCA" w:rsidR="003F4649" w:rsidRPr="00CF1B34" w:rsidRDefault="003F464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 pasado mes de Septiembre se registró un encarecimiento del 1,4% lo que hizo que la</w:t>
      </w:r>
      <w:r w:rsidR="00497BA7"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Agencia de Naciones Unidas para la Alimentación y la Agricultura</w:t>
      </w:r>
      <w:hyperlink r:id="rId26" w:history="1">
        <w:r w:rsidR="00497BA7" w:rsidRPr="00CF1B34">
          <w:rPr>
            <w:rStyle w:val="Hipervnculo"/>
            <w:rFonts w:ascii="Arial" w:hAnsi="Arial" w:cs="Arial"/>
            <w:b/>
            <w:bCs/>
            <w:color w:val="DC143C"/>
            <w:sz w:val="22"/>
            <w:szCs w:val="22"/>
            <w:lang w:val="es-ES_tradnl"/>
          </w:rPr>
          <w:t xml:space="preserve"> </w:t>
        </w:r>
        <w:r w:rsidRPr="00CF1B34">
          <w:rPr>
            <w:rStyle w:val="Hipervnculo"/>
            <w:rFonts w:ascii="Arial" w:hAnsi="Arial" w:cs="Arial"/>
            <w:b/>
            <w:bCs/>
            <w:color w:val="DC143C"/>
            <w:sz w:val="22"/>
            <w:szCs w:val="22"/>
            <w:lang w:val="es-ES_tradnl"/>
          </w:rPr>
          <w:t>(FAO)</w:t>
        </w:r>
      </w:hyperlink>
      <w:r w:rsidR="001F6547"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se pusiera a revisar a la baja las previsiones para las cosechas a nivel mundial por  las crecientes temperaturas. Un ejemplo es la producción de cereales en dicha región de África entre el Océano Atlántico al Mar Rojo ya se redujo en un 26% respecto a 2011 a la par las reservas.</w:t>
      </w:r>
    </w:p>
    <w:p w14:paraId="1C4C1CC1" w14:textId="77777777" w:rsidR="003F4649" w:rsidRPr="00CF1B34" w:rsidRDefault="003F464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Con el actual encarecimiento mundial de los alimentos, hace que países africanos como Malí, Níger y Costa de Marfil debieran reducir y hasta eliminar los aranceles en la importación de bienes básicos. Lo que hace que, los alimentos sean entre un 30% y 60% más caros respecto a la media de lo registrado en estos últimos 5 años.</w:t>
      </w:r>
    </w:p>
    <w:p w14:paraId="42F48805" w14:textId="77777777" w:rsidR="00497BA7" w:rsidRPr="00CF1B34" w:rsidRDefault="003F464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Entre los peores ejemplos se puede tomar el norte de Malí, que la subida llega al 90% y en Níger, los 2 kilos de mijo 1€ lo que representa el total de los ingresos por día para una familia media.</w:t>
      </w:r>
    </w:p>
    <w:p w14:paraId="4AC71BFA" w14:textId="28AD456D" w:rsidR="000C7CF7" w:rsidRPr="00CF1B34" w:rsidRDefault="000C7C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Agregado monetario</w:t>
      </w:r>
    </w:p>
    <w:p w14:paraId="475A4683" w14:textId="07754D39" w:rsidR="00C65EB7" w:rsidRPr="00CF1B34" w:rsidRDefault="00F05A8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También denominado ahora ALP1, esta formado por el agregado M3 mas los instrumentos a corto plazo emitido por las administraciones publicas (pagarés y letras del tesoro, pagares forales </w:t>
      </w:r>
      <w:r w:rsidR="001925B5" w:rsidRPr="00CF1B34">
        <w:rPr>
          <w:rFonts w:ascii="Arial" w:hAnsi="Arial" w:cs="Arial"/>
          <w:color w:val="000000" w:themeColor="text1"/>
          <w:sz w:val="22"/>
          <w:szCs w:val="22"/>
          <w:lang w:val="es-ES_tradnl"/>
        </w:rPr>
        <w:t>y otros valores emitidos por los restantes entes territoriales) que figuren en firme en las carteras de las familias y empresas fuera del sistema crediticio. Adicionalmente, y por motivos de sustituibilidad con l</w:t>
      </w:r>
      <w:r w:rsidR="00497BA7" w:rsidRPr="00CF1B34">
        <w:rPr>
          <w:rFonts w:ascii="Arial" w:hAnsi="Arial" w:cs="Arial"/>
          <w:color w:val="000000" w:themeColor="text1"/>
          <w:sz w:val="22"/>
          <w:szCs w:val="22"/>
          <w:lang w:val="es-ES_tradnl"/>
        </w:rPr>
        <w:t>o</w:t>
      </w:r>
      <w:r w:rsidR="001925B5" w:rsidRPr="00CF1B34">
        <w:rPr>
          <w:rFonts w:ascii="Arial" w:hAnsi="Arial" w:cs="Arial"/>
          <w:color w:val="000000" w:themeColor="text1"/>
          <w:sz w:val="22"/>
          <w:szCs w:val="22"/>
          <w:lang w:val="es-ES_tradnl"/>
        </w:rPr>
        <w:t>s anteriores instrumentos, incorpora también otros activos emitidos por el sistema bancario (transferencias de activos privados y operaciones de seguro) y por el crédito oficial 8emprestitos)</w:t>
      </w:r>
      <w:r w:rsidR="00C65EB7" w:rsidRPr="00CF1B34">
        <w:rPr>
          <w:rFonts w:ascii="Arial" w:hAnsi="Arial" w:cs="Arial"/>
          <w:color w:val="000000" w:themeColor="text1"/>
          <w:sz w:val="22"/>
          <w:szCs w:val="22"/>
          <w:lang w:val="es-ES_tradnl"/>
        </w:rPr>
        <w:t>.</w:t>
      </w:r>
    </w:p>
    <w:p w14:paraId="5277A3EA" w14:textId="2053A6FF" w:rsidR="000C7CF7" w:rsidRPr="00CF1B34" w:rsidRDefault="000C7C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Agregado monetario ALP2</w:t>
      </w:r>
    </w:p>
    <w:p w14:paraId="7FF5D661" w14:textId="77777777" w:rsidR="00C65EB7" w:rsidRPr="00CF1B34" w:rsidRDefault="004414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De nueva inclusión, esta formado por el agregado ALP mas pagarés de empresa en manos del público</w:t>
      </w:r>
      <w:r w:rsidR="00C65EB7" w:rsidRPr="00CF1B34">
        <w:rPr>
          <w:rFonts w:ascii="Arial" w:hAnsi="Arial" w:cs="Arial"/>
          <w:color w:val="000000" w:themeColor="text1"/>
          <w:sz w:val="22"/>
          <w:szCs w:val="22"/>
          <w:lang w:val="es-ES_tradnl"/>
        </w:rPr>
        <w:t>.</w:t>
      </w:r>
    </w:p>
    <w:p w14:paraId="5B1D23F3" w14:textId="7D958245" w:rsidR="000C7CF7" w:rsidRPr="00CF1B34" w:rsidRDefault="000C7C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Agregado monetario M1</w:t>
      </w:r>
    </w:p>
    <w:p w14:paraId="055F1F22" w14:textId="77777777" w:rsidR="00C65EB7" w:rsidRPr="00CF1B34" w:rsidRDefault="004414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forma con el efectivo en manos del público más los depósitos a la vista del sistema bancario.</w:t>
      </w:r>
    </w:p>
    <w:p w14:paraId="39E7C5D9" w14:textId="3A203589" w:rsidR="000C7CF7" w:rsidRPr="00CF1B34" w:rsidRDefault="000C7C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Agregado monetarioM2</w:t>
      </w:r>
    </w:p>
    <w:p w14:paraId="798661B5" w14:textId="77777777" w:rsidR="00497BA7" w:rsidRPr="00CF1B34" w:rsidRDefault="004414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forma por el agregado M1 mas los activos que permiten la realización de transferencia y domiciliación de pagos. A efectos prácticos y debido a la dificultad de captar información sobre otros instrumentos que ostentan esas características, se determina con la suma del agregado M1 y de los depósitos de ahorro</w:t>
      </w:r>
      <w:r w:rsidR="00497BA7" w:rsidRPr="00CF1B34">
        <w:rPr>
          <w:rFonts w:ascii="Arial" w:hAnsi="Arial" w:cs="Arial"/>
          <w:color w:val="000000" w:themeColor="text1"/>
          <w:sz w:val="22"/>
          <w:szCs w:val="22"/>
          <w:lang w:val="es-ES_tradnl"/>
        </w:rPr>
        <w:t>.</w:t>
      </w:r>
    </w:p>
    <w:p w14:paraId="0A55A752" w14:textId="70CAD501" w:rsidR="000C7CF7" w:rsidRPr="00CF1B34" w:rsidRDefault="000C7C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Agregado monetario M3</w:t>
      </w:r>
    </w:p>
    <w:p w14:paraId="44672580" w14:textId="2B77EA69" w:rsidR="00497BA7" w:rsidRPr="00CF1B34" w:rsidRDefault="00235D7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Esta constituido por el agregado M2 mas el resto de a</w:t>
      </w:r>
      <w:r w:rsidR="003402BC" w:rsidRPr="00CF1B34">
        <w:rPr>
          <w:rFonts w:ascii="Arial" w:hAnsi="Arial" w:cs="Arial"/>
          <w:color w:val="000000" w:themeColor="text1"/>
          <w:sz w:val="22"/>
          <w:szCs w:val="22"/>
          <w:lang w:val="es-ES_tradnl"/>
        </w:rPr>
        <w:t>c</w:t>
      </w:r>
      <w:r w:rsidRPr="00CF1B34">
        <w:rPr>
          <w:rFonts w:ascii="Arial" w:hAnsi="Arial" w:cs="Arial"/>
          <w:color w:val="000000" w:themeColor="text1"/>
          <w:sz w:val="22"/>
          <w:szCs w:val="22"/>
          <w:lang w:val="es-ES_tradnl"/>
        </w:rPr>
        <w:t>tivos en poder del publico</w:t>
      </w:r>
      <w:r w:rsidR="003402BC" w:rsidRPr="00CF1B34">
        <w:rPr>
          <w:rFonts w:ascii="Arial" w:hAnsi="Arial" w:cs="Arial"/>
          <w:color w:val="000000" w:themeColor="text1"/>
          <w:sz w:val="22"/>
          <w:szCs w:val="22"/>
          <w:lang w:val="es-ES_tradnl"/>
        </w:rPr>
        <w:t xml:space="preserve"> residente emitidos por el sector financiero también residente (los depósitos a plazo, participaciones de activos, inversión temporal de activos privados y públicos, pagares de crédito oficial, empréstitos del sistema bancario y activos l</w:t>
      </w:r>
      <w:r w:rsidR="00497BA7" w:rsidRPr="00CF1B34">
        <w:rPr>
          <w:rFonts w:ascii="Arial" w:hAnsi="Arial" w:cs="Arial"/>
          <w:color w:val="000000" w:themeColor="text1"/>
          <w:sz w:val="22"/>
          <w:szCs w:val="22"/>
          <w:lang w:val="es-ES_tradnl"/>
        </w:rPr>
        <w:t>í</w:t>
      </w:r>
      <w:r w:rsidR="003402BC" w:rsidRPr="00CF1B34">
        <w:rPr>
          <w:rFonts w:ascii="Arial" w:hAnsi="Arial" w:cs="Arial"/>
          <w:color w:val="000000" w:themeColor="text1"/>
          <w:sz w:val="22"/>
          <w:szCs w:val="22"/>
          <w:lang w:val="es-ES_tradnl"/>
        </w:rPr>
        <w:t>quidos en moneda extranjera)</w:t>
      </w:r>
    </w:p>
    <w:p w14:paraId="5641E4ED" w14:textId="21AEE0F5"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Agrupación de acciones o contra-split</w:t>
      </w:r>
    </w:p>
    <w:p w14:paraId="38F82CB1"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societaria que consiste en reducir el número de acciones aumentando su valor nominal en la misma proporción, sin que por ello varíe el capital social. Por ejemplo, si una sociedad con un capital social de 1.000.000 de euros, dividido en 1.000.000 de acciones de 1 euro de valor nominal, decide agrupar cada 10 acciones de 1 euro en una de 10 euros, su capital social seguirá siendo 1.000.000 de euros (dividido en 100.000 acciones de 10 euros de valor nominal cada una). Esta operación hace que aumente la cotización del valor, de manera proporcional a la agrupación realizada. La finalidad es intentar eliminar la volatilidad que se produce cuando la variación de una única unidad en el precio (tick) implica variaciones porcentuales muy elevadas sobre el precio de la acción. </w:t>
      </w:r>
    </w:p>
    <w:p w14:paraId="0745E756" w14:textId="18580486" w:rsidR="000C7CF7" w:rsidRPr="00CF1B34" w:rsidRDefault="000C7C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Ahorro</w:t>
      </w:r>
    </w:p>
    <w:p w14:paraId="17E20631" w14:textId="77777777" w:rsidR="00497BA7" w:rsidRPr="00CF1B34" w:rsidRDefault="003402B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 el excedente de dinero que cualquier economía, familiar o empresarial, que resulta de restar los ingresos de los gastos. Sin ahorro no se puede invertir, </w:t>
      </w:r>
      <w:proofErr w:type="gramStart"/>
      <w:r w:rsidRPr="00CF1B34">
        <w:rPr>
          <w:rFonts w:ascii="Arial" w:hAnsi="Arial" w:cs="Arial"/>
          <w:color w:val="000000" w:themeColor="text1"/>
          <w:sz w:val="22"/>
          <w:szCs w:val="22"/>
          <w:lang w:val="es-ES_tradnl"/>
        </w:rPr>
        <w:t>y</w:t>
      </w:r>
      <w:proofErr w:type="gramEnd"/>
      <w:r w:rsidRPr="00CF1B34">
        <w:rPr>
          <w:rFonts w:ascii="Arial" w:hAnsi="Arial" w:cs="Arial"/>
          <w:color w:val="000000" w:themeColor="text1"/>
          <w:sz w:val="22"/>
          <w:szCs w:val="22"/>
          <w:lang w:val="es-ES_tradnl"/>
        </w:rPr>
        <w:t xml:space="preserve"> por tanto, financiar a los emisores.</w:t>
      </w:r>
    </w:p>
    <w:p w14:paraId="6FC6E54C" w14:textId="23D454BB" w:rsidR="00497BA7" w:rsidRPr="00CF1B34" w:rsidRDefault="00497BA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AJD (Impuesto de Actos Jurídicos Documentados)</w:t>
      </w:r>
    </w:p>
    <w:p w14:paraId="113EECC6" w14:textId="77777777" w:rsidR="001F6547" w:rsidRPr="00CF1B34" w:rsidRDefault="001F654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004773"/>
          <w:sz w:val="22"/>
          <w:szCs w:val="22"/>
          <w:lang w:val="es-ES_tradnl"/>
        </w:rPr>
        <w:t>Ver Impuesto de Actos Jurídicos Documentados.</w:t>
      </w:r>
    </w:p>
    <w:p w14:paraId="23D75EEA" w14:textId="41FB660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Ajustar a mercado</w:t>
      </w:r>
    </w:p>
    <w:p w14:paraId="6EF184FA" w14:textId="526006C7" w:rsidR="00FD7E12"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Calcular diariamente las pérdidas o ganancias obtenidas por las fluctuaciones de precios de un valor o cartera, registrando los resultados acumulados.</w:t>
      </w:r>
    </w:p>
    <w:p w14:paraId="1ADA9325" w14:textId="28FE0432" w:rsidR="00C65EB7" w:rsidRPr="00CF1B34" w:rsidRDefault="00C65EB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Ajuste estructural</w:t>
      </w:r>
    </w:p>
    <w:p w14:paraId="68729527" w14:textId="42428853" w:rsidR="00C65EB7" w:rsidRPr="00CF1B34" w:rsidRDefault="00C65EB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Programa económico aplicado en </w:t>
      </w:r>
      <w:r w:rsidR="00497BA7" w:rsidRPr="00CF1B34">
        <w:rPr>
          <w:rFonts w:ascii="Arial" w:hAnsi="Arial" w:cs="Arial"/>
          <w:color w:val="000000" w:themeColor="text1"/>
          <w:sz w:val="22"/>
          <w:szCs w:val="22"/>
          <w:lang w:val="es-ES_tradnl"/>
        </w:rPr>
        <w:t>paí</w:t>
      </w:r>
      <w:r w:rsidRPr="00CF1B34">
        <w:rPr>
          <w:rFonts w:ascii="Arial" w:hAnsi="Arial" w:cs="Arial"/>
          <w:color w:val="000000" w:themeColor="text1"/>
          <w:sz w:val="22"/>
          <w:szCs w:val="22"/>
          <w:lang w:val="es-ES_tradnl"/>
        </w:rPr>
        <w:t>ses generalmente dirigido a reducir el tamaño del Estado, el gasto publico y por ende los déficit presupuestarios de tipo estructural. Controlar la inflación y estimular la inversión y el ahorro privado.</w:t>
      </w:r>
    </w:p>
    <w:p w14:paraId="69D143E4" w14:textId="7FB40523" w:rsidR="00C65EB7" w:rsidRPr="00CF1B34" w:rsidRDefault="00C65EB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ALCA</w:t>
      </w:r>
    </w:p>
    <w:p w14:paraId="2921A7C2" w14:textId="77777777" w:rsidR="003748D2" w:rsidRPr="00CF1B34" w:rsidRDefault="00C65EB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Área de Libre Comercio de las </w:t>
      </w:r>
      <w:proofErr w:type="gramStart"/>
      <w:r w:rsidRPr="00CF1B34">
        <w:rPr>
          <w:rFonts w:ascii="Arial" w:hAnsi="Arial" w:cs="Arial"/>
          <w:color w:val="000000" w:themeColor="text1"/>
          <w:sz w:val="22"/>
          <w:szCs w:val="22"/>
          <w:lang w:val="es-ES_tradnl"/>
        </w:rPr>
        <w:t xml:space="preserve">Americas </w:t>
      </w:r>
      <w:r w:rsidR="003748D2" w:rsidRPr="00CF1B34">
        <w:rPr>
          <w:rFonts w:ascii="Arial" w:hAnsi="Arial" w:cs="Arial"/>
          <w:color w:val="000000" w:themeColor="text1"/>
          <w:sz w:val="22"/>
          <w:szCs w:val="22"/>
          <w:lang w:val="es-ES_tradnl"/>
        </w:rPr>
        <w:t>,</w:t>
      </w:r>
      <w:proofErr w:type="gramEnd"/>
      <w:r w:rsidR="003748D2" w:rsidRPr="00CF1B34">
        <w:rPr>
          <w:rFonts w:ascii="Arial" w:hAnsi="Arial" w:cs="Arial"/>
          <w:color w:val="000000" w:themeColor="text1"/>
          <w:sz w:val="22"/>
          <w:szCs w:val="22"/>
          <w:lang w:val="es-ES_tradnl"/>
        </w:rPr>
        <w:t xml:space="preserve"> abarca desde Alaska hasta la Patgonia.</w:t>
      </w:r>
    </w:p>
    <w:p w14:paraId="648E54EF" w14:textId="29D68E94" w:rsidR="000C7CF7" w:rsidRPr="00CF1B34" w:rsidRDefault="000C7C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Alzar</w:t>
      </w:r>
    </w:p>
    <w:p w14:paraId="71F91A2B" w14:textId="77777777" w:rsidR="008754CA" w:rsidRPr="00CF1B34" w:rsidRDefault="008754C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Recibir un valor</w:t>
      </w:r>
    </w:p>
    <w:p w14:paraId="54F6ABFD" w14:textId="7669D016" w:rsidR="000C7CF7" w:rsidRPr="00CF1B34" w:rsidRDefault="000C7C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Alzar opción</w:t>
      </w:r>
    </w:p>
    <w:p w14:paraId="69F094A0" w14:textId="2113BD32" w:rsidR="000C7CF7" w:rsidRPr="00CF1B34" w:rsidRDefault="008754CA"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Realizar la transacción inicialmente convenida</w:t>
      </w:r>
    </w:p>
    <w:p w14:paraId="292B8502" w14:textId="77777777" w:rsidR="000702E4" w:rsidRPr="00CF1B34" w:rsidRDefault="000702E4" w:rsidP="0005621A">
      <w:pPr>
        <w:pBdr>
          <w:bottom w:val="dotted" w:sz="12" w:space="12" w:color="666666"/>
        </w:pBdr>
        <w:spacing w:after="240"/>
        <w:ind w:left="720"/>
        <w:jc w:val="both"/>
        <w:rPr>
          <w:rFonts w:ascii="Arial" w:hAnsi="Arial" w:cs="Arial"/>
          <w:color w:val="212529"/>
          <w:sz w:val="22"/>
          <w:szCs w:val="22"/>
          <w:lang w:val="es-ES_tradnl"/>
        </w:rPr>
      </w:pPr>
    </w:p>
    <w:p w14:paraId="5BFBC718" w14:textId="47A11704"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Alcista</w:t>
      </w:r>
    </w:p>
    <w:p w14:paraId="6511BFCE" w14:textId="77777777" w:rsidR="000B61DA" w:rsidRPr="00CF1B34" w:rsidRDefault="000B61DA"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lastRenderedPageBreak/>
        <w:t>El mercado considera alcista una tendencia o posición cuando existen procesos o expectativas de subidas de precios en un determinado mercado o valor mobiliario. </w:t>
      </w:r>
      <w:hyperlink r:id="rId27" w:tgtFrame="_self" w:history="1">
        <w:r w:rsidRPr="00CF1B34">
          <w:rPr>
            <w:rFonts w:ascii="Arial" w:hAnsi="Arial" w:cs="Arial"/>
            <w:b/>
            <w:bCs/>
            <w:color w:val="2F5496" w:themeColor="accent1" w:themeShade="BF"/>
            <w:sz w:val="22"/>
            <w:szCs w:val="22"/>
            <w:u w:val="single"/>
            <w:lang w:val="es-ES_tradnl"/>
          </w:rPr>
          <w:t>Ver Bajista</w:t>
        </w:r>
      </w:hyperlink>
      <w:r w:rsidRPr="00CF1B34">
        <w:rPr>
          <w:rFonts w:ascii="Arial" w:hAnsi="Arial" w:cs="Arial"/>
          <w:color w:val="2F5496" w:themeColor="accent1" w:themeShade="BF"/>
          <w:sz w:val="22"/>
          <w:szCs w:val="22"/>
          <w:lang w:val="es-ES_tradnl"/>
        </w:rPr>
        <w:t>. </w:t>
      </w:r>
    </w:p>
    <w:p w14:paraId="2A0B975E" w14:textId="77777777" w:rsidR="00FD7E12" w:rsidRPr="00CF1B34" w:rsidRDefault="00FD7E12"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Alfa (á)</w:t>
      </w:r>
    </w:p>
    <w:p w14:paraId="10B1828D" w14:textId="48F0E9F1" w:rsidR="00FD7E12" w:rsidRPr="00CF1B34" w:rsidRDefault="00FD7E1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El alfa es la mejor variable para medir la labor de un gestor al frente de un fondo de inversión. Mide las capacidades y las destrezas de un gestor y la de su equipo a la hora de operar. Este coeficiente mide el rendimiento o el comportamiento de una inversión (positiva o negativa) frente a la de su índice de referencia o</w:t>
      </w:r>
      <w:r w:rsidRPr="00CF1B34">
        <w:rPr>
          <w:rStyle w:val="apple-converted-space"/>
          <w:rFonts w:ascii="Arial" w:hAnsi="Arial" w:cs="Arial"/>
          <w:color w:val="191B1C"/>
          <w:sz w:val="22"/>
          <w:szCs w:val="22"/>
          <w:lang w:val="es-ES_tradnl"/>
        </w:rPr>
        <w:t> </w:t>
      </w:r>
      <w:r w:rsidRPr="00CF1B34">
        <w:rPr>
          <w:rStyle w:val="nfasis"/>
          <w:rFonts w:ascii="Arial" w:hAnsi="Arial" w:cs="Arial"/>
          <w:color w:val="191B1C"/>
          <w:sz w:val="22"/>
          <w:szCs w:val="22"/>
          <w:lang w:val="es-ES_tradnl"/>
        </w:rPr>
        <w:t>benchmark</w:t>
      </w:r>
      <w:r w:rsidRPr="00CF1B34">
        <w:rPr>
          <w:rFonts w:ascii="Arial" w:hAnsi="Arial" w:cs="Arial"/>
          <w:color w:val="191B1C"/>
          <w:sz w:val="22"/>
          <w:szCs w:val="22"/>
          <w:lang w:val="es-ES_tradnl"/>
        </w:rPr>
        <w:t>, es decir, cuánta rentabilidad de más obtiene el fondo después de sus comisiones.</w:t>
      </w:r>
    </w:p>
    <w:p w14:paraId="4AEA7BB1" w14:textId="72A301C8" w:rsidR="001F6547" w:rsidRPr="00CF1B34" w:rsidRDefault="001F654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Algodón </w:t>
      </w:r>
    </w:p>
    <w:p w14:paraId="05214AE1" w14:textId="7FB1E67D" w:rsidR="004E6027" w:rsidRPr="00CF1B34" w:rsidRDefault="004E6027"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w:t>
      </w:r>
      <w:hyperlink r:id="rId28" w:history="1"/>
      <w:r w:rsidRPr="00CF1B34">
        <w:rPr>
          <w:rFonts w:ascii="Arial" w:hAnsi="Arial" w:cs="Arial"/>
          <w:color w:val="333333"/>
          <w:sz w:val="22"/>
          <w:szCs w:val="22"/>
          <w:lang w:val="es-ES_tradnl"/>
        </w:rPr>
        <w:t xml:space="preserve"> </w:t>
      </w:r>
      <w:hyperlink r:id="rId29" w:history="1">
        <w:r w:rsidRPr="00CF1B34">
          <w:rPr>
            <w:rStyle w:val="Hipervnculo"/>
            <w:rFonts w:ascii="Arial" w:hAnsi="Arial" w:cs="Arial"/>
            <w:b/>
            <w:bCs/>
            <w:color w:val="DC143C"/>
            <w:sz w:val="22"/>
            <w:szCs w:val="22"/>
            <w:u w:val="none"/>
            <w:lang w:val="es-ES_tradnl"/>
          </w:rPr>
          <w:t>algodón</w:t>
        </w:r>
      </w:hyperlink>
      <w:r w:rsidRPr="00CF1B34">
        <w:rPr>
          <w:rFonts w:ascii="Arial" w:hAnsi="Arial" w:cs="Arial"/>
          <w:color w:val="333333"/>
          <w:sz w:val="22"/>
          <w:szCs w:val="22"/>
          <w:lang w:val="es-ES_tradnl"/>
        </w:rPr>
        <w:t>, esta suave y blanca materia prima ha experimentado un fuerte repunte hace un par de meses que lo llevó desde niveles de 66 dólares hasta la zona de los 85 dólares.</w:t>
      </w:r>
    </w:p>
    <w:p w14:paraId="6942517C" w14:textId="5C36FCD2" w:rsidR="004E6027" w:rsidRPr="00CF1B34" w:rsidRDefault="004E6027"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Con posterioridad a este fuerte movimiento al alza, y desde hace siete semanas, los precios del algodón se mantuvieron bastante estables oscilando </w:t>
      </w:r>
      <w:r w:rsidRPr="00CF1B34">
        <w:rPr>
          <w:rStyle w:val="Textoennegrita"/>
          <w:rFonts w:ascii="Arial" w:hAnsi="Arial" w:cs="Arial"/>
          <w:color w:val="333333"/>
          <w:sz w:val="22"/>
          <w:szCs w:val="22"/>
          <w:lang w:val="es-ES_tradnl"/>
        </w:rPr>
        <w:t>entre los 78 dólares y los 85 dólares</w:t>
      </w:r>
      <w:r w:rsidRPr="00CF1B34">
        <w:rPr>
          <w:rFonts w:ascii="Arial" w:hAnsi="Arial" w:cs="Arial"/>
          <w:color w:val="333333"/>
          <w:sz w:val="22"/>
          <w:szCs w:val="22"/>
          <w:lang w:val="es-ES_tradnl"/>
        </w:rPr>
        <w:t>, de máximo.</w:t>
      </w:r>
    </w:p>
    <w:p w14:paraId="53916AE1" w14:textId="77777777" w:rsidR="004E6027" w:rsidRPr="00CF1B34" w:rsidRDefault="004E602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Ahora, los expertos </w:t>
      </w:r>
      <w:r w:rsidRPr="00CF1B34">
        <w:rPr>
          <w:rStyle w:val="Textoennegrita"/>
          <w:rFonts w:ascii="Arial" w:hAnsi="Arial" w:cs="Arial"/>
          <w:color w:val="333333"/>
          <w:sz w:val="22"/>
          <w:szCs w:val="22"/>
          <w:lang w:val="es-ES_tradnl"/>
        </w:rPr>
        <w:t>están vislumbrando el fin de este movimiento lateral</w:t>
      </w:r>
      <w:r w:rsidRPr="00CF1B34">
        <w:rPr>
          <w:rFonts w:ascii="Arial" w:hAnsi="Arial" w:cs="Arial"/>
          <w:color w:val="333333"/>
          <w:sz w:val="22"/>
          <w:szCs w:val="22"/>
          <w:lang w:val="es-ES_tradnl"/>
        </w:rPr>
        <w:t>, con la posibilidad, bastante clara, de que el mismo se resuelva repitiendo la tendencia alcista que tuvo lugar anteriormente.</w:t>
      </w:r>
    </w:p>
    <w:p w14:paraId="6DEADA18" w14:textId="245E0850" w:rsidR="001F6547" w:rsidRPr="00CF1B34" w:rsidRDefault="001F654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Aluminio </w:t>
      </w:r>
    </w:p>
    <w:p w14:paraId="6B3EA109" w14:textId="0E49E171" w:rsidR="004E6027" w:rsidRPr="00CF1B34" w:rsidRDefault="004E6027"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w:t>
      </w:r>
      <w:r w:rsidRPr="00CF1B34">
        <w:rPr>
          <w:rStyle w:val="Textoennegrita"/>
          <w:rFonts w:ascii="Arial" w:hAnsi="Arial" w:cs="Arial"/>
          <w:color w:val="333333"/>
          <w:sz w:val="22"/>
          <w:szCs w:val="22"/>
          <w:lang w:val="es-ES_tradnl"/>
        </w:rPr>
        <w:t xml:space="preserve">aluminio </w:t>
      </w:r>
      <w:r w:rsidRPr="00CF1B34">
        <w:rPr>
          <w:rFonts w:ascii="Arial" w:hAnsi="Arial" w:cs="Arial"/>
          <w:color w:val="333333"/>
          <w:sz w:val="22"/>
          <w:szCs w:val="22"/>
          <w:lang w:val="es-ES_tradnl"/>
        </w:rPr>
        <w:t>es un material idóneo para una multitud de aplicaciones. Sin embargo, le juega en contra la elevada cantidad de energía necesaria para su obtención, que limita su mayor utilización. Esta dificultad puede compensarse por su bajo costo de reciclado, su dilatada vida útil y la estabilidad de su</w:t>
      </w:r>
      <w:r w:rsidRPr="00CF1B34">
        <w:rPr>
          <w:rStyle w:val="Textoennegrita"/>
          <w:rFonts w:ascii="Arial" w:hAnsi="Arial" w:cs="Arial"/>
          <w:color w:val="333333"/>
          <w:sz w:val="22"/>
          <w:szCs w:val="22"/>
          <w:lang w:val="es-ES_tradnl"/>
        </w:rPr>
        <w:t xml:space="preserve"> </w:t>
      </w:r>
      <w:hyperlink r:id="rId30" w:history="1">
        <w:r w:rsidRPr="00CF1B34">
          <w:rPr>
            <w:rStyle w:val="Hipervnculo"/>
            <w:rFonts w:ascii="Arial" w:hAnsi="Arial" w:cs="Arial"/>
            <w:b/>
            <w:bCs/>
            <w:color w:val="DC143C"/>
            <w:sz w:val="22"/>
            <w:szCs w:val="22"/>
            <w:lang w:val="es-ES_tradnl"/>
          </w:rPr>
          <w:t>precio</w:t>
        </w:r>
      </w:hyperlink>
      <w:r w:rsidRPr="00CF1B34">
        <w:rPr>
          <w:rStyle w:val="Textoennegrita"/>
          <w:rFonts w:ascii="Arial" w:hAnsi="Arial" w:cs="Arial"/>
          <w:color w:val="333333"/>
          <w:sz w:val="22"/>
          <w:szCs w:val="22"/>
          <w:lang w:val="es-ES_tradnl"/>
        </w:rPr>
        <w:t>.</w:t>
      </w:r>
    </w:p>
    <w:p w14:paraId="44A4ADC3" w14:textId="77777777" w:rsidR="004E6027" w:rsidRPr="00CF1B34" w:rsidRDefault="004E602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Este metal no tiene igual en los mercados de</w:t>
      </w:r>
      <w:r w:rsidRPr="00CF1B34">
        <w:rPr>
          <w:rStyle w:val="Textoennegrita"/>
          <w:rFonts w:ascii="Arial" w:hAnsi="Arial" w:cs="Arial"/>
          <w:color w:val="333333"/>
          <w:sz w:val="22"/>
          <w:szCs w:val="22"/>
          <w:lang w:val="es-ES_tradnl"/>
        </w:rPr>
        <w:t xml:space="preserve"> materias primas</w:t>
      </w:r>
      <w:r w:rsidRPr="00CF1B34">
        <w:rPr>
          <w:rFonts w:ascii="Arial" w:hAnsi="Arial" w:cs="Arial"/>
          <w:color w:val="333333"/>
          <w:sz w:val="22"/>
          <w:szCs w:val="22"/>
          <w:lang w:val="es-ES_tradnl"/>
        </w:rPr>
        <w:t xml:space="preserve">, a raíz de sus singulares </w:t>
      </w:r>
      <w:r w:rsidRPr="00CF1B34">
        <w:rPr>
          <w:rStyle w:val="Textoennegrita"/>
          <w:rFonts w:ascii="Arial" w:hAnsi="Arial" w:cs="Arial"/>
          <w:color w:val="333333"/>
          <w:sz w:val="22"/>
          <w:szCs w:val="22"/>
          <w:lang w:val="es-ES_tradnl"/>
        </w:rPr>
        <w:t>características.</w:t>
      </w:r>
    </w:p>
    <w:p w14:paraId="74F824BD" w14:textId="6387E26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American Depositary Receipts, ADR</w:t>
      </w:r>
    </w:p>
    <w:p w14:paraId="6EA65DDE"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certificados negociables emitidos por bancos estadounidenses, en los que se representa la propiedad de un número determinado de acciones de una empresa extranjera; surgieron porque la legislación norteamericana no permite a sus residentes invertir en acciones de compañías domiciliadas en el extranjero. Por tanto, los ADR son equivalentes a paquetes o grupos de acciones, y se negocian en los mercados estadounidenses igual que cualquier otro valor, reflejando las variaciones en los precios de la acción que representan.</w:t>
      </w:r>
    </w:p>
    <w:p w14:paraId="677BC699" w14:textId="77777777" w:rsidR="00E52088" w:rsidRPr="00CF1B34" w:rsidRDefault="004E602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Amero</w:t>
      </w:r>
    </w:p>
    <w:p w14:paraId="08097A77" w14:textId="77777777" w:rsidR="00674C5D" w:rsidRPr="00CF1B34" w:rsidRDefault="00E52088" w:rsidP="0005621A">
      <w:pPr>
        <w:pBdr>
          <w:bottom w:val="dotted" w:sz="12" w:space="12" w:color="666666"/>
        </w:pBdr>
        <w:spacing w:after="240"/>
        <w:ind w:left="709"/>
        <w:jc w:val="both"/>
        <w:rPr>
          <w:rFonts w:ascii="Arial" w:hAnsi="Arial" w:cs="Arial"/>
          <w:color w:val="212529"/>
          <w:sz w:val="22"/>
          <w:szCs w:val="22"/>
          <w:lang w:val="es-ES_tradnl"/>
        </w:rPr>
      </w:pPr>
      <w:r w:rsidRPr="00CF1B34">
        <w:rPr>
          <w:rStyle w:val="Textoennegrita"/>
          <w:rFonts w:ascii="Arial" w:hAnsi="Arial" w:cs="Arial"/>
          <w:color w:val="333333"/>
          <w:sz w:val="22"/>
          <w:szCs w:val="22"/>
          <w:lang w:val="es-ES_tradnl"/>
        </w:rPr>
        <w:t>Amero</w:t>
      </w:r>
      <w:r w:rsidRPr="00CF1B34">
        <w:rPr>
          <w:rFonts w:ascii="Arial" w:hAnsi="Arial" w:cs="Arial"/>
          <w:color w:val="333333"/>
          <w:sz w:val="22"/>
          <w:szCs w:val="22"/>
          <w:lang w:val="es-ES_tradnl"/>
        </w:rPr>
        <w:t xml:space="preserve">  es una especie de </w:t>
      </w:r>
      <w:r w:rsidRPr="00CF1B34">
        <w:rPr>
          <w:rStyle w:val="Textoennegrita"/>
          <w:rFonts w:ascii="Arial" w:hAnsi="Arial" w:cs="Arial"/>
          <w:b w:val="0"/>
          <w:bCs w:val="0"/>
          <w:color w:val="333333"/>
          <w:sz w:val="22"/>
          <w:szCs w:val="22"/>
          <w:lang w:val="es-ES_tradnl"/>
        </w:rPr>
        <w:t>teoría de la conspiración estadounidense.</w:t>
      </w:r>
      <w:r w:rsidRPr="00CF1B34">
        <w:rPr>
          <w:rFonts w:ascii="Arial" w:hAnsi="Arial" w:cs="Arial"/>
          <w:color w:val="333333"/>
          <w:sz w:val="22"/>
          <w:szCs w:val="22"/>
          <w:lang w:val="es-ES_tradnl"/>
        </w:rPr>
        <w:t xml:space="preserve"> Para quienes todavía no conozcan el Amero, basta decir que es una suerte de </w:t>
      </w:r>
      <w:r w:rsidRPr="00CF1B34">
        <w:rPr>
          <w:rStyle w:val="Textoennegrita"/>
          <w:rFonts w:ascii="Arial" w:hAnsi="Arial" w:cs="Arial"/>
          <w:b w:val="0"/>
          <w:bCs w:val="0"/>
          <w:color w:val="333333"/>
          <w:sz w:val="22"/>
          <w:szCs w:val="22"/>
          <w:lang w:val="es-ES_tradnl"/>
        </w:rPr>
        <w:t>leyenda urbana</w:t>
      </w:r>
      <w:r w:rsidRPr="00CF1B34">
        <w:rPr>
          <w:rFonts w:ascii="Arial" w:hAnsi="Arial" w:cs="Arial"/>
          <w:color w:val="333333"/>
          <w:sz w:val="22"/>
          <w:szCs w:val="22"/>
          <w:lang w:val="es-ES_tradnl"/>
        </w:rPr>
        <w:t xml:space="preserve"> sobre una </w:t>
      </w:r>
      <w:r w:rsidRPr="00CF1B34">
        <w:rPr>
          <w:rStyle w:val="Textoennegrita"/>
          <w:rFonts w:ascii="Arial" w:hAnsi="Arial" w:cs="Arial"/>
          <w:b w:val="0"/>
          <w:bCs w:val="0"/>
          <w:color w:val="333333"/>
          <w:sz w:val="22"/>
          <w:szCs w:val="22"/>
          <w:lang w:val="es-ES_tradnl"/>
        </w:rPr>
        <w:t>nueva divisa que sustituiría al dolar</w:t>
      </w:r>
      <w:hyperlink r:id="rId31" w:history="1"/>
      <w:r w:rsidRPr="00CF1B34">
        <w:rPr>
          <w:rStyle w:val="Textoennegrita"/>
          <w:rFonts w:ascii="Arial" w:hAnsi="Arial" w:cs="Arial"/>
          <w:b w:val="0"/>
          <w:bCs w:val="0"/>
          <w:color w:val="333333"/>
          <w:sz w:val="22"/>
          <w:szCs w:val="22"/>
          <w:lang w:val="es-ES_tradnl"/>
        </w:rPr>
        <w:t xml:space="preserve"> como</w:t>
      </w:r>
      <w:r w:rsidRPr="00CF1B34">
        <w:rPr>
          <w:rStyle w:val="Textoennegrita"/>
          <w:rFonts w:ascii="Arial" w:hAnsi="Arial" w:cs="Arial"/>
          <w:color w:val="333333"/>
          <w:sz w:val="22"/>
          <w:szCs w:val="22"/>
          <w:lang w:val="es-ES_tradnl"/>
        </w:rPr>
        <w:t xml:space="preserve"> </w:t>
      </w:r>
      <w:hyperlink r:id="rId32" w:history="1">
        <w:r w:rsidRPr="00CF1B34">
          <w:rPr>
            <w:rStyle w:val="Hipervnculo"/>
            <w:rFonts w:ascii="Arial" w:hAnsi="Arial" w:cs="Arial"/>
            <w:color w:val="000000"/>
            <w:sz w:val="22"/>
            <w:szCs w:val="22"/>
            <w:lang w:val="es-ES_tradnl"/>
          </w:rPr>
          <w:t>moneda de referencia</w:t>
        </w:r>
      </w:hyperlink>
      <w:r w:rsidRPr="00CF1B34">
        <w:rPr>
          <w:rFonts w:ascii="Arial" w:hAnsi="Arial" w:cs="Arial"/>
          <w:color w:val="333333"/>
          <w:sz w:val="22"/>
          <w:szCs w:val="22"/>
          <w:lang w:val="es-ES_tradnl"/>
        </w:rPr>
        <w:t xml:space="preserve">. Se trataría de la </w:t>
      </w:r>
      <w:r w:rsidRPr="00CF1B34">
        <w:rPr>
          <w:rStyle w:val="Textoennegrita"/>
          <w:rFonts w:ascii="Arial" w:hAnsi="Arial" w:cs="Arial"/>
          <w:b w:val="0"/>
          <w:bCs w:val="0"/>
          <w:color w:val="333333"/>
          <w:sz w:val="22"/>
          <w:szCs w:val="22"/>
          <w:lang w:val="es-ES_tradnl"/>
        </w:rPr>
        <w:t>unión de</w:t>
      </w:r>
      <w:r w:rsidRPr="00CF1B34">
        <w:rPr>
          <w:rStyle w:val="Textoennegrita"/>
          <w:rFonts w:ascii="Arial" w:hAnsi="Arial" w:cs="Arial"/>
          <w:color w:val="333333"/>
          <w:sz w:val="22"/>
          <w:szCs w:val="22"/>
          <w:lang w:val="es-ES_tradnl"/>
        </w:rPr>
        <w:t xml:space="preserve"> Estados Unidos, Canadá y México</w:t>
      </w:r>
      <w:r w:rsidRPr="00CF1B34">
        <w:rPr>
          <w:rFonts w:ascii="Arial" w:hAnsi="Arial" w:cs="Arial"/>
          <w:color w:val="333333"/>
          <w:sz w:val="22"/>
          <w:szCs w:val="22"/>
          <w:lang w:val="es-ES_tradnl"/>
        </w:rPr>
        <w:t xml:space="preserve"> para crear una moneda que fuese capaz de competir con el euro.</w:t>
      </w:r>
    </w:p>
    <w:p w14:paraId="7F6C0D8C" w14:textId="31F6D109"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Amortización</w:t>
      </w:r>
    </w:p>
    <w:p w14:paraId="70473D07" w14:textId="77777777" w:rsidR="00D50EC2" w:rsidRPr="00CF1B34" w:rsidRDefault="000B61DA" w:rsidP="0005621A">
      <w:pPr>
        <w:pStyle w:val="NormalWeb"/>
        <w:spacing w:before="0" w:beforeAutospacing="0"/>
        <w:ind w:left="709"/>
        <w:jc w:val="both"/>
        <w:rPr>
          <w:rFonts w:ascii="Arial" w:hAnsi="Arial" w:cs="Arial"/>
          <w:color w:val="191B1C"/>
          <w:sz w:val="22"/>
          <w:szCs w:val="22"/>
          <w:lang w:val="es-ES_tradnl"/>
        </w:rPr>
      </w:pPr>
      <w:r w:rsidRPr="00CF1B34">
        <w:rPr>
          <w:rFonts w:ascii="Arial" w:hAnsi="Arial" w:cs="Arial"/>
          <w:color w:val="212529"/>
          <w:sz w:val="22"/>
          <w:szCs w:val="22"/>
          <w:lang w:val="es-ES_tradnl"/>
        </w:rPr>
        <w:lastRenderedPageBreak/>
        <w:t>Consiste en la devolución de la cantidad invertida a los tenedores de un valor. Aunque en determinados supuestos también pueden amortizarse acciones, este término es más habitual referido a renta fija: el emisor cancela su deuda con los inversores, bien mediante la devolución del capital en la fecha de vencimiento, o bien de forma anticipada. La amortización anticipada puede ser total o parcial, y la opción de realizarla puede corresponder al emisor o al inversor, según se establezca en las condiciones de la emisión.</w:t>
      </w:r>
      <w:r w:rsidR="00D50EC2" w:rsidRPr="00CF1B34">
        <w:rPr>
          <w:rFonts w:ascii="Arial" w:hAnsi="Arial" w:cs="Arial"/>
          <w:color w:val="191B1C"/>
          <w:sz w:val="22"/>
          <w:szCs w:val="22"/>
          <w:lang w:val="es-ES_tradnl"/>
        </w:rPr>
        <w:t xml:space="preserve"> </w:t>
      </w:r>
    </w:p>
    <w:p w14:paraId="76E9CB68" w14:textId="22B40C43" w:rsidR="00D50EC2" w:rsidRPr="00CF1B34" w:rsidRDefault="00D50EC2" w:rsidP="0005621A">
      <w:pPr>
        <w:pStyle w:val="NormalWeb"/>
        <w:spacing w:before="0" w:beforeAutospacing="0"/>
        <w:ind w:left="709"/>
        <w:jc w:val="both"/>
        <w:rPr>
          <w:rFonts w:ascii="Arial" w:hAnsi="Arial" w:cs="Arial"/>
          <w:color w:val="191B1C"/>
          <w:sz w:val="22"/>
          <w:szCs w:val="22"/>
          <w:lang w:val="es-ES_tradnl"/>
        </w:rPr>
      </w:pPr>
      <w:r w:rsidRPr="00CF1B34">
        <w:rPr>
          <w:rFonts w:ascii="Arial" w:hAnsi="Arial" w:cs="Arial"/>
          <w:color w:val="191B1C"/>
          <w:sz w:val="22"/>
          <w:szCs w:val="22"/>
          <w:lang w:val="es-ES_tradnl"/>
        </w:rPr>
        <w:t>La amortización es un término económico y contable, vinculado al proceso que existe entre el gasto o depreciación de un activo, durante un periodo de tiempo.</w:t>
      </w:r>
    </w:p>
    <w:p w14:paraId="0ECE89D8" w14:textId="77777777" w:rsidR="00F0025D" w:rsidRPr="00CF1B34" w:rsidRDefault="00D50EC2" w:rsidP="0005621A">
      <w:pPr>
        <w:ind w:left="708"/>
        <w:jc w:val="both"/>
        <w:rPr>
          <w:rFonts w:ascii="Arial" w:hAnsi="Arial" w:cs="Arial"/>
          <w:sz w:val="22"/>
          <w:szCs w:val="22"/>
          <w:lang w:val="es-ES_tradnl"/>
        </w:rPr>
      </w:pPr>
      <w:r w:rsidRPr="00CF1B34">
        <w:rPr>
          <w:rFonts w:ascii="Arial" w:hAnsi="Arial" w:cs="Arial"/>
          <w:color w:val="191B1C"/>
          <w:sz w:val="22"/>
          <w:szCs w:val="22"/>
          <w:lang w:val="es-ES_tradnl"/>
        </w:rPr>
        <w:t>La amortización de un activo está directamente relacionada con los bienes y servicios: una casa, una moto, un barco, un electrodoméstico, etc. Mientras que la amortización de un pasivo está relacionada con la financiación prevista por un acreedor y representa lo que la persona o una empresa debe a terceros. Un ejemplo muy común tiene que ver con préstamos que obtenemos de los bancos, pagos a proveedores, impuestos, salarios, et</w:t>
      </w:r>
      <w:r w:rsidR="00F0025D" w:rsidRPr="00CF1B34">
        <w:rPr>
          <w:rFonts w:ascii="Arial" w:hAnsi="Arial" w:cs="Arial"/>
          <w:color w:val="191B1C"/>
          <w:sz w:val="22"/>
          <w:szCs w:val="22"/>
          <w:lang w:val="es-ES_tradnl"/>
        </w:rPr>
        <w:t>c.</w:t>
      </w:r>
      <w:r w:rsidR="00F0025D" w:rsidRPr="00CF1B34">
        <w:rPr>
          <w:rStyle w:val="Textoennegrita"/>
          <w:rFonts w:ascii="Arial" w:hAnsi="Arial" w:cs="Arial"/>
          <w:color w:val="333333"/>
          <w:lang w:val="es-ES_tradnl"/>
        </w:rPr>
        <w:t xml:space="preserve"> </w:t>
      </w:r>
      <w:r w:rsidR="00F0025D" w:rsidRPr="00CF1B34">
        <w:rPr>
          <w:rFonts w:ascii="Arial" w:hAnsi="Arial" w:cs="Arial"/>
          <w:color w:val="333333"/>
          <w:sz w:val="22"/>
          <w:szCs w:val="22"/>
          <w:shd w:val="clear" w:color="auto" w:fill="FFFFFF"/>
          <w:lang w:val="es-ES_tradnl"/>
        </w:rPr>
        <w:t>Hay distintos </w:t>
      </w:r>
      <w:r w:rsidR="00F0025D" w:rsidRPr="00CF1B34">
        <w:rPr>
          <w:rStyle w:val="Textoennegrita"/>
          <w:rFonts w:ascii="Arial" w:hAnsi="Arial" w:cs="Arial"/>
          <w:color w:val="333333"/>
          <w:sz w:val="22"/>
          <w:szCs w:val="22"/>
          <w:shd w:val="clear" w:color="auto" w:fill="FFFFFF"/>
          <w:lang w:val="es-ES_tradnl"/>
        </w:rPr>
        <w:t>métodos de amortización</w:t>
      </w:r>
      <w:r w:rsidR="00F0025D" w:rsidRPr="00CF1B34">
        <w:rPr>
          <w:rFonts w:ascii="Arial" w:hAnsi="Arial" w:cs="Arial"/>
          <w:color w:val="333333"/>
          <w:sz w:val="22"/>
          <w:szCs w:val="22"/>
          <w:shd w:val="clear" w:color="auto" w:fill="FFFFFF"/>
          <w:lang w:val="es-ES_tradnl"/>
        </w:rPr>
        <w:t> admitidos por la ley</w:t>
      </w:r>
    </w:p>
    <w:p w14:paraId="589F0CD9" w14:textId="248ADC0B" w:rsidR="00F0025D" w:rsidRPr="00CF1B34" w:rsidRDefault="00F0025D" w:rsidP="004F7A62">
      <w:pPr>
        <w:numPr>
          <w:ilvl w:val="0"/>
          <w:numId w:val="9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Amortización según tablas.</w:t>
      </w:r>
      <w:r w:rsidRPr="00CF1B34">
        <w:rPr>
          <w:rFonts w:ascii="Arial" w:hAnsi="Arial" w:cs="Arial"/>
          <w:color w:val="333333"/>
          <w:sz w:val="22"/>
          <w:szCs w:val="22"/>
          <w:lang w:val="es-ES_tradnl"/>
        </w:rPr>
        <w:t> se fundamenta en la aplicación de los coeficientes de amortización fijados en las tablas oficialmente aprobadas en la Ley</w:t>
      </w:r>
    </w:p>
    <w:p w14:paraId="68BCCA7B" w14:textId="77777777" w:rsidR="00F0025D" w:rsidRPr="00CF1B34" w:rsidRDefault="00F0025D" w:rsidP="004F7A62">
      <w:pPr>
        <w:numPr>
          <w:ilvl w:val="0"/>
          <w:numId w:val="9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Amortización de elementos utilizados en más de un turno diario. </w:t>
      </w:r>
      <w:r w:rsidRPr="00CF1B34">
        <w:rPr>
          <w:rFonts w:ascii="Arial" w:hAnsi="Arial" w:cs="Arial"/>
          <w:color w:val="333333"/>
          <w:sz w:val="22"/>
          <w:szCs w:val="22"/>
          <w:lang w:val="es-ES_tradnl"/>
        </w:rPr>
        <w:t>Se trata de un supuesto especial dentro del régimen de amortización según tablas para cubrir las situaciones de utilización de elementos del inmovilizado en más de un turno normal de trabajo.</w:t>
      </w:r>
    </w:p>
    <w:p w14:paraId="2DB0AEDF" w14:textId="77777777" w:rsidR="00F0025D" w:rsidRPr="00CF1B34" w:rsidRDefault="00F0025D" w:rsidP="004F7A62">
      <w:pPr>
        <w:numPr>
          <w:ilvl w:val="0"/>
          <w:numId w:val="9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Método de números dígitos.</w:t>
      </w:r>
      <w:r w:rsidRPr="00CF1B34">
        <w:rPr>
          <w:rFonts w:ascii="Arial" w:hAnsi="Arial" w:cs="Arial"/>
          <w:color w:val="333333"/>
          <w:sz w:val="22"/>
          <w:szCs w:val="22"/>
          <w:lang w:val="es-ES_tradnl"/>
        </w:rPr>
        <w:t> Dicho método permite determinar cuotas de amortización tanto decrecientes como crecientes.</w:t>
      </w:r>
    </w:p>
    <w:p w14:paraId="6E3160D9" w14:textId="77777777" w:rsidR="00F0025D" w:rsidRPr="00CF1B34" w:rsidRDefault="00F0025D" w:rsidP="004F7A62">
      <w:pPr>
        <w:numPr>
          <w:ilvl w:val="0"/>
          <w:numId w:val="9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 xml:space="preserve">Libertad de </w:t>
      </w:r>
      <w:proofErr w:type="gramStart"/>
      <w:r w:rsidRPr="00CF1B34">
        <w:rPr>
          <w:rFonts w:ascii="Arial" w:hAnsi="Arial" w:cs="Arial"/>
          <w:b/>
          <w:bCs/>
          <w:color w:val="333333"/>
          <w:sz w:val="22"/>
          <w:szCs w:val="22"/>
          <w:lang w:val="es-ES_tradnl"/>
        </w:rPr>
        <w:t>amortización .</w:t>
      </w:r>
      <w:proofErr w:type="gramEnd"/>
      <w:r w:rsidRPr="00CF1B34">
        <w:rPr>
          <w:rFonts w:ascii="Arial" w:hAnsi="Arial" w:cs="Arial"/>
          <w:b/>
          <w:bCs/>
          <w:color w:val="333333"/>
          <w:sz w:val="22"/>
          <w:szCs w:val="22"/>
          <w:lang w:val="es-ES_tradnl"/>
        </w:rPr>
        <w:t> </w:t>
      </w:r>
      <w:r w:rsidRPr="00CF1B34">
        <w:rPr>
          <w:rFonts w:ascii="Arial" w:hAnsi="Arial" w:cs="Arial"/>
          <w:color w:val="333333"/>
          <w:sz w:val="22"/>
          <w:szCs w:val="22"/>
          <w:lang w:val="es-ES_tradnl"/>
        </w:rPr>
        <w:t>Existe la posibilidad de amortizar libremente elementos en algunas actividades, como por ejemplo activos mineros, actividades de investigación y desarrollo o las Sociedades Laborales.</w:t>
      </w:r>
    </w:p>
    <w:p w14:paraId="2E08B99C" w14:textId="4FDEDC6F" w:rsidR="00674C5D" w:rsidRPr="00CF1B34" w:rsidRDefault="00F0025D" w:rsidP="004F7A62">
      <w:pPr>
        <w:numPr>
          <w:ilvl w:val="0"/>
          <w:numId w:val="9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Planes de amortización especiales.</w:t>
      </w:r>
      <w:r w:rsidRPr="00CF1B34">
        <w:rPr>
          <w:rFonts w:ascii="Arial" w:hAnsi="Arial" w:cs="Arial"/>
          <w:color w:val="333333"/>
          <w:sz w:val="22"/>
          <w:szCs w:val="22"/>
          <w:lang w:val="es-ES_tradnl"/>
        </w:rPr>
        <w:t> Para los supuestos en los que el sujeto pasivo considere que la depreciación efectiva no se corresponde con la amortización que pudiera resultar de la aplicación de los métodos anteriormente estudiados, Deberá formularse un plan de amortización que deberá ser aceptado por la Agencia tributaria.</w:t>
      </w:r>
    </w:p>
    <w:p w14:paraId="2F44DEA6" w14:textId="77777777" w:rsidR="00F0025D" w:rsidRPr="00CF1B34" w:rsidRDefault="00F0025D" w:rsidP="0005621A">
      <w:pPr>
        <w:pStyle w:val="Prrafodelista"/>
        <w:pBdr>
          <w:bottom w:val="dotted" w:sz="12" w:space="12" w:color="666666"/>
        </w:pBdr>
        <w:spacing w:after="240"/>
        <w:jc w:val="both"/>
        <w:rPr>
          <w:rFonts w:ascii="Arial" w:hAnsi="Arial" w:cs="Arial"/>
          <w:color w:val="212529"/>
          <w:sz w:val="22"/>
          <w:szCs w:val="22"/>
          <w:lang w:val="es-ES_tradnl"/>
        </w:rPr>
      </w:pPr>
    </w:p>
    <w:p w14:paraId="383BA7B4" w14:textId="302246F4" w:rsidR="000C7CF7" w:rsidRPr="00CF1B34" w:rsidRDefault="000C7CF7"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Amortización anticipada</w:t>
      </w:r>
    </w:p>
    <w:p w14:paraId="66039C36" w14:textId="465D9D58" w:rsidR="00815C08" w:rsidRPr="00CF1B34" w:rsidRDefault="008754CA" w:rsidP="0005621A">
      <w:pPr>
        <w:pBdr>
          <w:bottom w:val="dotted" w:sz="12" w:space="12" w:color="666666"/>
        </w:pBdr>
        <w:spacing w:after="240"/>
        <w:ind w:left="709"/>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Operación por la cual en mitad de la vida de una emisión el emisor hace uso del derecho </w:t>
      </w:r>
      <w:r w:rsidR="00815C08" w:rsidRPr="00CF1B34">
        <w:rPr>
          <w:rFonts w:ascii="Arial" w:hAnsi="Arial" w:cs="Arial"/>
          <w:color w:val="000000" w:themeColor="text1"/>
          <w:sz w:val="22"/>
          <w:szCs w:val="22"/>
          <w:lang w:val="es-ES_tradnl"/>
        </w:rPr>
        <w:t>a que se amortice parcial o totalmente la deuda antes de la fecha de vencimiento del empr</w:t>
      </w:r>
      <w:r w:rsidR="00674C5D" w:rsidRPr="00CF1B34">
        <w:rPr>
          <w:rFonts w:ascii="Arial" w:hAnsi="Arial" w:cs="Arial"/>
          <w:color w:val="000000" w:themeColor="text1"/>
          <w:sz w:val="22"/>
          <w:szCs w:val="22"/>
          <w:lang w:val="es-ES_tradnl"/>
        </w:rPr>
        <w:t>é</w:t>
      </w:r>
      <w:r w:rsidR="00815C08" w:rsidRPr="00CF1B34">
        <w:rPr>
          <w:rFonts w:ascii="Arial" w:hAnsi="Arial" w:cs="Arial"/>
          <w:color w:val="000000" w:themeColor="text1"/>
          <w:sz w:val="22"/>
          <w:szCs w:val="22"/>
          <w:lang w:val="es-ES_tradnl"/>
        </w:rPr>
        <w:t>stito</w:t>
      </w:r>
    </w:p>
    <w:p w14:paraId="4893DEDA" w14:textId="3838DDB0" w:rsidR="003658B7" w:rsidRPr="00CF1B34" w:rsidRDefault="003658B7"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Amortización parcial</w:t>
      </w:r>
    </w:p>
    <w:p w14:paraId="063AA7AA" w14:textId="311FDBBD" w:rsidR="003658B7" w:rsidRPr="00CF1B34" w:rsidRDefault="003658B7" w:rsidP="0005621A">
      <w:pPr>
        <w:pBdr>
          <w:bottom w:val="dotted" w:sz="12" w:space="12" w:color="666666"/>
        </w:pBdr>
        <w:spacing w:after="240"/>
        <w:ind w:left="709"/>
        <w:jc w:val="both"/>
        <w:rPr>
          <w:rFonts w:ascii="Arial" w:hAnsi="Arial" w:cs="Arial"/>
          <w:color w:val="212529"/>
          <w:sz w:val="22"/>
          <w:szCs w:val="22"/>
          <w:lang w:val="es-ES_tradnl"/>
        </w:rPr>
      </w:pPr>
      <w:r w:rsidRPr="00CF1B34">
        <w:rPr>
          <w:rFonts w:ascii="Arial" w:hAnsi="Arial" w:cs="Arial"/>
          <w:color w:val="191B1C"/>
          <w:sz w:val="22"/>
          <w:szCs w:val="22"/>
          <w:lang w:val="es-ES_tradnl"/>
        </w:rPr>
        <w:t>La</w:t>
      </w:r>
      <w:r w:rsidR="004C3D50" w:rsidRPr="00CF1B34">
        <w:rPr>
          <w:rStyle w:val="apple-converted-space"/>
          <w:rFonts w:ascii="Arial" w:hAnsi="Arial" w:cs="Arial"/>
          <w:color w:val="191B1C"/>
          <w:sz w:val="22"/>
          <w:szCs w:val="22"/>
          <w:lang w:val="es-ES_tradnl"/>
        </w:rPr>
        <w:t xml:space="preserve"> </w:t>
      </w:r>
      <w:r w:rsidRPr="00CF1B34">
        <w:rPr>
          <w:rStyle w:val="Textoennegrita"/>
          <w:rFonts w:ascii="Arial" w:hAnsi="Arial" w:cs="Arial"/>
          <w:color w:val="191B1C"/>
          <w:sz w:val="22"/>
          <w:szCs w:val="22"/>
          <w:lang w:val="es-ES_tradnl"/>
        </w:rPr>
        <w:t>amortización parcial</w:t>
      </w:r>
      <w:r w:rsidR="004C3D50" w:rsidRPr="00CF1B34">
        <w:rPr>
          <w:rStyle w:val="apple-converted-space"/>
          <w:rFonts w:ascii="Arial" w:hAnsi="Arial" w:cs="Arial"/>
          <w:color w:val="191B1C"/>
          <w:sz w:val="22"/>
          <w:szCs w:val="22"/>
          <w:lang w:val="es-ES_tradnl"/>
        </w:rPr>
        <w:t xml:space="preserve"> </w:t>
      </w:r>
      <w:r w:rsidRPr="00CF1B34">
        <w:rPr>
          <w:rFonts w:ascii="Arial" w:hAnsi="Arial" w:cs="Arial"/>
          <w:color w:val="191B1C"/>
          <w:sz w:val="22"/>
          <w:szCs w:val="22"/>
          <w:lang w:val="es-ES_tradnl"/>
        </w:rPr>
        <w:t xml:space="preserve">de la hipoteca es el procedimiento de devolución de parte del capital pendiente que el banco nos ha prestado, reduciendo o cancelando la deuda. </w:t>
      </w:r>
      <w:proofErr w:type="gramStart"/>
      <w:r w:rsidRPr="00CF1B34">
        <w:rPr>
          <w:rFonts w:ascii="Arial" w:hAnsi="Arial" w:cs="Arial"/>
          <w:color w:val="191B1C"/>
          <w:sz w:val="22"/>
          <w:szCs w:val="22"/>
          <w:lang w:val="es-ES_tradnl"/>
        </w:rPr>
        <w:t>Además</w:t>
      </w:r>
      <w:proofErr w:type="gramEnd"/>
      <w:r w:rsidRPr="00CF1B34">
        <w:rPr>
          <w:rFonts w:ascii="Arial" w:hAnsi="Arial" w:cs="Arial"/>
          <w:color w:val="191B1C"/>
          <w:sz w:val="22"/>
          <w:szCs w:val="22"/>
          <w:lang w:val="es-ES_tradnl"/>
        </w:rPr>
        <w:t xml:space="preserve"> existe la amortización total, si amortizamos toda la deuda y cancelamos así la hipoteca antes de tiempo.</w:t>
      </w:r>
    </w:p>
    <w:p w14:paraId="0674976D" w14:textId="47C23A2A"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Ampliación a la par</w:t>
      </w:r>
    </w:p>
    <w:p w14:paraId="3ACD37A5" w14:textId="5A67F7B7" w:rsidR="003658B7"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Ampliación de capital en la que el precio de las nuevas acciones coincide con su valor nominal.</w:t>
      </w:r>
    </w:p>
    <w:p w14:paraId="56472A9E" w14:textId="07A6B94F" w:rsidR="0090562C" w:rsidRPr="00CF1B34" w:rsidRDefault="009056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Ampliación con prima</w:t>
      </w:r>
    </w:p>
    <w:p w14:paraId="5D9986B3" w14:textId="77777777" w:rsidR="00815C08" w:rsidRPr="00CF1B34" w:rsidRDefault="00815C08" w:rsidP="0005621A">
      <w:pPr>
        <w:pBdr>
          <w:bottom w:val="dotted" w:sz="12" w:space="12" w:color="666666"/>
        </w:pBdr>
        <w:spacing w:after="240"/>
        <w:ind w:left="709"/>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accionista además de dar sus derechos y pagar el valor nominal de la acción, abonara también una prima que le pone la empresa si quiere comprar acciones nuevas.</w:t>
      </w:r>
    </w:p>
    <w:p w14:paraId="1070902A" w14:textId="4A6B3598"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Ampliación de capital</w:t>
      </w:r>
    </w:p>
    <w:p w14:paraId="6BA86340" w14:textId="44B91F5A" w:rsidR="00574D83"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por la que se aumenta el capital de una sociedad, bien emitiendo nuevas acciones, o bien por elevación del valor nominal de las ya existentes. En ambos casos, la contrapartida de la ampliación puede materializarse mediante aportaciones (dinerarias o no dinerarias), o por transformación de reservas o beneficios que ya formaban parte de su patrimonio. </w:t>
      </w:r>
    </w:p>
    <w:p w14:paraId="2B3BF69D" w14:textId="596651E2" w:rsidR="00574D83" w:rsidRPr="00CF1B34" w:rsidRDefault="00574D83"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Ampliación hipoteca</w:t>
      </w:r>
    </w:p>
    <w:p w14:paraId="0CF4AAEC" w14:textId="185C1691" w:rsidR="00574D83" w:rsidRPr="00CF1B34" w:rsidRDefault="00574D8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Una</w:t>
      </w:r>
      <w:r w:rsidR="00674C5D" w:rsidRPr="00CF1B34">
        <w:rPr>
          <w:rStyle w:val="apple-converted-space"/>
          <w:rFonts w:ascii="Arial" w:hAnsi="Arial" w:cs="Arial"/>
          <w:color w:val="191B1C"/>
          <w:sz w:val="22"/>
          <w:szCs w:val="22"/>
          <w:lang w:val="es-ES_tradnl"/>
        </w:rPr>
        <w:t xml:space="preserve"> </w:t>
      </w:r>
      <w:r w:rsidRPr="00CF1B34">
        <w:rPr>
          <w:rStyle w:val="Textoennegrita"/>
          <w:rFonts w:ascii="Arial" w:hAnsi="Arial" w:cs="Arial"/>
          <w:color w:val="191B1C"/>
          <w:sz w:val="22"/>
          <w:szCs w:val="22"/>
          <w:lang w:val="es-ES_tradnl"/>
        </w:rPr>
        <w:t>ampliación de hipoteca</w:t>
      </w:r>
      <w:r w:rsidR="00674C5D" w:rsidRPr="00CF1B34">
        <w:rPr>
          <w:rStyle w:val="apple-converted-space"/>
          <w:rFonts w:ascii="Arial" w:hAnsi="Arial" w:cs="Arial"/>
          <w:color w:val="191B1C"/>
          <w:sz w:val="22"/>
          <w:szCs w:val="22"/>
          <w:lang w:val="es-ES_tradnl"/>
        </w:rPr>
        <w:t xml:space="preserve"> </w:t>
      </w:r>
      <w:r w:rsidRPr="00CF1B34">
        <w:rPr>
          <w:rFonts w:ascii="Arial" w:hAnsi="Arial" w:cs="Arial"/>
          <w:color w:val="191B1C"/>
          <w:sz w:val="22"/>
          <w:szCs w:val="22"/>
          <w:lang w:val="es-ES_tradnl"/>
        </w:rPr>
        <w:t>es el proceso de cambio de condiciones en el préstamo hipotecario que hayamos contratado con nuestro banco. Así podremos reducir el importe de las cuotas, o solicitar una cantidad de dinero un poco mayor…, o hacer ambas cosas. Este trámite también es conocido como novación, y se realiza porque suele resultar más económico que rehipotecar o firmar un nuevo préstamo</w:t>
      </w:r>
    </w:p>
    <w:p w14:paraId="38E3EC65" w14:textId="5916078D"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Ampliación liberada o ampliación de capital con cargo a reservas </w:t>
      </w:r>
    </w:p>
    <w:p w14:paraId="1AF0BD07"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Ampliación que no supone ningún desembolso para el accionista, ya que como contravalor de las nuevas acciones emitidas se utilizan los fondos propios de la sociedad (reservas). Es decir, a los accionistas se les entregan acciones nuevas, de forma gratuita.</w:t>
      </w:r>
    </w:p>
    <w:p w14:paraId="208C3774" w14:textId="566CB13A" w:rsidR="0090562C" w:rsidRPr="00CF1B34" w:rsidRDefault="009056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Análisis bottom-up</w:t>
      </w:r>
    </w:p>
    <w:p w14:paraId="37A3C060" w14:textId="77777777" w:rsidR="00C42ADE" w:rsidRPr="00CF1B34" w:rsidRDefault="00C42AD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Consiste en el análisis del comportamiento económico de la empresa a nivel presente y futuro, al igual que su comportamiento bursátil. En realidad, este tipo de análisis lo que busca son buenas oportunidades de </w:t>
      </w:r>
      <w:proofErr w:type="gramStart"/>
      <w:r w:rsidRPr="00CF1B34">
        <w:rPr>
          <w:rFonts w:ascii="Arial" w:hAnsi="Arial" w:cs="Arial"/>
          <w:color w:val="000000" w:themeColor="text1"/>
          <w:sz w:val="22"/>
          <w:szCs w:val="22"/>
          <w:lang w:val="es-ES_tradnl"/>
        </w:rPr>
        <w:t>inversión(</w:t>
      </w:r>
      <w:proofErr w:type="gramEnd"/>
      <w:r w:rsidRPr="00CF1B34">
        <w:rPr>
          <w:rFonts w:ascii="Arial" w:hAnsi="Arial" w:cs="Arial"/>
          <w:color w:val="000000" w:themeColor="text1"/>
          <w:sz w:val="22"/>
          <w:szCs w:val="22"/>
          <w:lang w:val="es-ES_tradnl"/>
        </w:rPr>
        <w:t>valore baratos), independientemente del entorno en el que cotizan.</w:t>
      </w:r>
    </w:p>
    <w:p w14:paraId="2F66ACA5" w14:textId="44E3E3F8" w:rsidR="0090562C" w:rsidRPr="00CF1B34" w:rsidRDefault="009056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Análisis chartista</w:t>
      </w:r>
    </w:p>
    <w:p w14:paraId="1D7859B8" w14:textId="77777777" w:rsidR="00BB3153" w:rsidRPr="00CF1B34" w:rsidRDefault="00C42AD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conoce tambien como análisis grafico. Los distintos activos financieros dibujan con el volumen y el precio unas figuras que suelen repetirse en el tiempo. Este análisis se efectua para elegir el momento de comprar o vender, pero la decisión previa deb</w:t>
      </w:r>
      <w:r w:rsidR="00BB3153" w:rsidRPr="00CF1B34">
        <w:rPr>
          <w:rFonts w:ascii="Arial" w:hAnsi="Arial" w:cs="Arial"/>
          <w:color w:val="000000" w:themeColor="text1"/>
          <w:sz w:val="22"/>
          <w:szCs w:val="22"/>
          <w:lang w:val="es-ES_tradnl"/>
        </w:rPr>
        <w:t xml:space="preserve">e </w:t>
      </w:r>
      <w:r w:rsidRPr="00CF1B34">
        <w:rPr>
          <w:rFonts w:ascii="Arial" w:hAnsi="Arial" w:cs="Arial"/>
          <w:color w:val="000000" w:themeColor="text1"/>
          <w:sz w:val="22"/>
          <w:szCs w:val="22"/>
          <w:lang w:val="es-ES_tradnl"/>
        </w:rPr>
        <w:t>basarse en el análisis fundamental</w:t>
      </w:r>
      <w:r w:rsidRPr="00CF1B34">
        <w:rPr>
          <w:rFonts w:ascii="Arial" w:hAnsi="Arial" w:cs="Arial"/>
          <w:b/>
          <w:bCs/>
          <w:color w:val="004773"/>
          <w:sz w:val="22"/>
          <w:szCs w:val="22"/>
          <w:lang w:val="es-ES_tradnl"/>
        </w:rPr>
        <w:t>.</w:t>
      </w:r>
    </w:p>
    <w:p w14:paraId="20908352" w14:textId="5C20D391"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Análisis fundamental</w:t>
      </w:r>
    </w:p>
    <w:p w14:paraId="630AA918"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Metodología de análisis bursátil, basada en la consideración de que lo que determina la evolución de los precios en los mercados es la situación intrínseca de las empresas y de la economía. Por tanto, para tomar decisiones de inversión se realizan valoraciones de las compañías, a partir de las informaciones disponibles (cuentas anuales, noticias, perspectivas del sector, indicadores macroeconómicos, etc). Para llevarlo a cabo se utilizan distintos modelos de valoración; la elección de éstos, así como la de las variables que incorporan, constituye una decisión personal del analista.</w:t>
      </w:r>
    </w:p>
    <w:p w14:paraId="4C5F4536" w14:textId="4DD4A882" w:rsidR="0090562C" w:rsidRPr="00CF1B34" w:rsidRDefault="009056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Análisis porcentual</w:t>
      </w:r>
    </w:p>
    <w:p w14:paraId="234A37B4" w14:textId="455E01AF" w:rsidR="000702E4" w:rsidRPr="00CF1B34" w:rsidRDefault="00BB315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 xml:space="preserve">Consiste en </w:t>
      </w:r>
      <w:r w:rsidR="00FF283D" w:rsidRPr="00CF1B34">
        <w:rPr>
          <w:rFonts w:ascii="Arial" w:hAnsi="Arial" w:cs="Arial"/>
          <w:color w:val="212529"/>
          <w:sz w:val="22"/>
          <w:szCs w:val="22"/>
          <w:lang w:val="es-ES_tradnl"/>
        </w:rPr>
        <w:t>estudiar las magnitudes del balance, no en términos absolutos, sino como porcentaje del activo local. Del mismo modo, las partidas de la cuenta de perdidas y ganancias se analizan como porcentaje de las ventas totales.</w:t>
      </w:r>
    </w:p>
    <w:p w14:paraId="2B05E26D" w14:textId="3F99F324"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Análisis técnico</w:t>
      </w:r>
    </w:p>
    <w:p w14:paraId="1BCC27DF"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 método para el análisis bursátil, destinado a facilitar la toma de decisiones. A diferencia del análisis fundamental, no tiene en cuenta los datos internos de las compañías, o los indicadores macroeconómicos generales, sino que se basa en las series históricas de precios del activo analizado. La herramienta básica para este análisis es el chart o gráfico (también se denomina ´análisis chartista´), en el que se representa la evolución pasada de los precios; sobre la misma se trazan figuras con las que se intenta identificar una pauta de comportamiento pasado, para poder predecir la evolución futura de los precios. En consecuencia, se adoptará la decisión de comprar o vender un determinado valor. Su interpretación incorpora sin duda importantes dosis de subjetividad.</w:t>
      </w:r>
    </w:p>
    <w:p w14:paraId="693F8FF3" w14:textId="6D11060A" w:rsidR="0090562C" w:rsidRPr="00CF1B34" w:rsidRDefault="009056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Análisis top-down</w:t>
      </w:r>
    </w:p>
    <w:p w14:paraId="607B519C" w14:textId="488E7DBC" w:rsidR="000702E4" w:rsidRPr="00CF1B34" w:rsidRDefault="00ED3E4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Consiste en ir de lo mas global, a lo mas especifico. Es decir, en ir del estudio de la macroeconomía al estudio de la empresa.</w:t>
      </w:r>
    </w:p>
    <w:p w14:paraId="222D55A1" w14:textId="1D7A77E8" w:rsidR="0090562C" w:rsidRPr="00CF1B34" w:rsidRDefault="009056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Analista financiero</w:t>
      </w:r>
    </w:p>
    <w:p w14:paraId="141A6C08" w14:textId="0203051A" w:rsidR="000702E4" w:rsidRPr="00CF1B34" w:rsidRDefault="00656F5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Persona que analiza los </w:t>
      </w:r>
      <w:r w:rsidR="00944EF5" w:rsidRPr="00CF1B34">
        <w:rPr>
          <w:rFonts w:ascii="Arial" w:hAnsi="Arial" w:cs="Arial"/>
          <w:color w:val="212529"/>
          <w:sz w:val="22"/>
          <w:szCs w:val="22"/>
          <w:lang w:val="es-ES_tradnl"/>
        </w:rPr>
        <w:t>mercados de valores, calculando el precio de los distintos activos financieros en función de su situación patrimonial actual y sus perspectivas futuras de rentabilidad y riesgo.</w:t>
      </w:r>
    </w:p>
    <w:p w14:paraId="0222594D" w14:textId="46824102"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Anotaciones en cuenta</w:t>
      </w:r>
    </w:p>
    <w:p w14:paraId="7AC896CA"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una manera de representar los valores (renta fija pública y privada, renta variable), en unos registros contables especiales, normalmente informáticos. Su implantación ha supuesto la desaparición de los títulos físicos, sustituidos por la anotación de las referencias en la cuenta de valores de su titular. El sistema de representación mediante anotaciones en cuenta permite agilizar y mejorar la seguridad de las transacciones de valores. </w:t>
      </w:r>
      <w:hyperlink r:id="rId33" w:tgtFrame="_self" w:history="1">
        <w:r w:rsidRPr="00CF1B34">
          <w:rPr>
            <w:rFonts w:ascii="Arial" w:hAnsi="Arial" w:cs="Arial"/>
            <w:b/>
            <w:bCs/>
            <w:color w:val="2F5496" w:themeColor="accent1" w:themeShade="BF"/>
            <w:sz w:val="22"/>
            <w:szCs w:val="22"/>
            <w:u w:val="single"/>
            <w:lang w:val="es-ES_tradnl"/>
          </w:rPr>
          <w:t>Ver referencia de registro</w:t>
        </w:r>
      </w:hyperlink>
      <w:r w:rsidRPr="00CF1B34">
        <w:rPr>
          <w:rFonts w:ascii="Arial" w:hAnsi="Arial" w:cs="Arial"/>
          <w:color w:val="2F5496" w:themeColor="accent1" w:themeShade="BF"/>
          <w:sz w:val="22"/>
          <w:szCs w:val="22"/>
          <w:lang w:val="es-ES_tradnl"/>
        </w:rPr>
        <w:t>.</w:t>
      </w:r>
    </w:p>
    <w:p w14:paraId="37AB755A" w14:textId="77777777" w:rsidR="00574D83" w:rsidRPr="00CF1B34" w:rsidRDefault="00574D83"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Anticipo de nómina</w:t>
      </w:r>
    </w:p>
    <w:p w14:paraId="25082780" w14:textId="77777777" w:rsidR="002173ED" w:rsidRPr="00CF1B34" w:rsidRDefault="00574D8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En términos bancarios, un </w:t>
      </w:r>
      <w:r w:rsidRPr="00CF1B34">
        <w:rPr>
          <w:rFonts w:ascii="Arial" w:hAnsi="Arial" w:cs="Arial"/>
          <w:b/>
          <w:bCs/>
          <w:color w:val="191B1C"/>
          <w:sz w:val="22"/>
          <w:szCs w:val="22"/>
          <w:lang w:val="es-ES_tradnl"/>
        </w:rPr>
        <w:t>anticipo de nómina</w:t>
      </w:r>
      <w:r w:rsidRPr="00CF1B34">
        <w:rPr>
          <w:rFonts w:ascii="Arial" w:hAnsi="Arial" w:cs="Arial"/>
          <w:color w:val="191B1C"/>
          <w:sz w:val="22"/>
          <w:szCs w:val="22"/>
          <w:lang w:val="es-ES_tradnl"/>
        </w:rPr>
        <w:t> es una especie de préstamo a corto plazo que nuestro banco o caja de ahorros nos conceda por el hecho de ser tener nuestra nómina domiciliada y ser titular de una cuenta nómina. Por lo general, tendremos que devolverlo antes de seis meses, aunque algunas entidades establecen hasta un año de plazo. El importe de este préstamo se ceñirá al valor de nuestra nómina, aunque a veces el banco pueda concedernos el doble, o incluso el triple de esta, siempre con unas determinadas condiciones y siempre sujeto a nuestro perfil financiero.</w:t>
      </w:r>
      <w:r w:rsidRPr="00CF1B34">
        <w:rPr>
          <w:rFonts w:ascii="Arial" w:hAnsi="Arial" w:cs="Arial"/>
          <w:color w:val="191B1C"/>
          <w:shd w:val="clear" w:color="auto" w:fill="FFFFFF"/>
          <w:lang w:val="es-ES_tradnl"/>
        </w:rPr>
        <w:t xml:space="preserve"> </w:t>
      </w:r>
      <w:r w:rsidRPr="00CF1B34">
        <w:rPr>
          <w:rFonts w:ascii="Arial" w:hAnsi="Arial" w:cs="Arial"/>
          <w:color w:val="191B1C"/>
          <w:sz w:val="22"/>
          <w:szCs w:val="22"/>
          <w:shd w:val="clear" w:color="auto" w:fill="FFFFFF"/>
          <w:lang w:val="es-ES_tradnl"/>
        </w:rPr>
        <w:t>Este tipo de adelanto será una buena solución en momentos o situaciones inesperadas y de urgencia: gastos inesperados, reparaciones urgentes, recibos que se nos van de las manos… Además, se trata de un adelanto cada vez más habitual; de hecho, la mayoría de los bancos contemplan esta opción como ventaja adicional y como reclamo para atraer a nuevos clientes</w:t>
      </w:r>
      <w:r w:rsidRPr="00CF1B34">
        <w:rPr>
          <w:rFonts w:ascii="Arial" w:hAnsi="Arial" w:cs="Arial"/>
          <w:color w:val="191B1C"/>
          <w:shd w:val="clear" w:color="auto" w:fill="FFFFFF"/>
          <w:lang w:val="es-ES_tradnl"/>
        </w:rPr>
        <w:t>.</w:t>
      </w:r>
    </w:p>
    <w:p w14:paraId="7C4DCFF3" w14:textId="1F1B8636"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Año base</w:t>
      </w:r>
    </w:p>
    <w:p w14:paraId="502F84E7"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Es el que se toma como inicio en la elaboración de una referencia, generalmente un índice. Los índices son instrumentos que resumen en un solo dato el comportamiento de múltiples magnitudes homogéneas o agregables (cotizaciones, etc) a partir de un momento dado (año base), al que se asigna un valor inicial. Ver ÍNDICE.</w:t>
      </w:r>
    </w:p>
    <w:p w14:paraId="1197B0FA" w14:textId="011B5AC4" w:rsidR="0090562C" w:rsidRPr="00CF1B34" w:rsidRDefault="009056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Apalancamiento </w:t>
      </w:r>
    </w:p>
    <w:p w14:paraId="5CE0E59E" w14:textId="6EF42C3D" w:rsidR="000702E4" w:rsidRPr="00CF1B34" w:rsidRDefault="002173E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Esta expresión que deriva del positivo efecto de la palanca, ve referida en el mundo financiero a la posibilidad</w:t>
      </w:r>
      <w:r w:rsidR="003F13C5" w:rsidRPr="00CF1B34">
        <w:rPr>
          <w:rFonts w:ascii="Arial" w:hAnsi="Arial" w:cs="Arial"/>
          <w:color w:val="212529"/>
          <w:sz w:val="22"/>
          <w:szCs w:val="22"/>
          <w:lang w:val="es-ES_tradnl"/>
        </w:rPr>
        <w:t xml:space="preserve"> de hacer una inversión mayor al dinero que dispongo. Empleando poco dinero abarco una mayor posibilidad de perdida o de ganancia. Este concepto es especialmente aplicable a los mercados de futuros y opciones</w:t>
      </w:r>
    </w:p>
    <w:p w14:paraId="4A0A73D9" w14:textId="036D11E8"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Apalancamiento financiero</w:t>
      </w:r>
    </w:p>
    <w:p w14:paraId="0E0B352F" w14:textId="77777777" w:rsidR="000B61DA" w:rsidRPr="00CF1B34" w:rsidRDefault="000B61DA" w:rsidP="0005621A">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En términos generales, se refiere al efecto que el endeudamiento tiene sobre la rentabilidad. En los mercados de valores, hace referencia al hecho de que con pequeñas cantidades de dinero puede realizarse una inversión que se comporta como otra de un volumen muy superior. Por ejemplo, es lo que ocurre al adquirir opciones o warrants: pagando una pequeña cantidad (la prima), el inversor tiene la posibilidad de obtener el mismo resultado que si hubiera comprado o vendido valores cuyo volumen de mercado es mucho mayor. Mientras llega el vencimiento de la opción, el inversor puede obtener rentabilidad del dinero que aún no ha tenido que desembolsar para la adquisición de los valores. Así, una inversión en warrants puede ser mucho más rentable que la misma inversión en el subyacente, si los mercados evolucionan favorablemente a su posición; pero a cambio aumenta el riesgo, y la posibilidad de perder toda la inversión si la evolución no es la esperada.</w:t>
      </w:r>
    </w:p>
    <w:p w14:paraId="4F80A762" w14:textId="00D8AF5C" w:rsidR="0090562C" w:rsidRPr="00CF1B34" w:rsidRDefault="009056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Apalancamiento operativo o riesgo de negocio</w:t>
      </w:r>
    </w:p>
    <w:p w14:paraId="66CA34B5" w14:textId="2FA0EC30" w:rsidR="00032A3B" w:rsidRPr="00CF1B34" w:rsidRDefault="003F13C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Posibilidad de que varíen los beneficios de una compañía antes de atender a los pagos de la deuda, debido a las características inherentes al propio negocio y a su nivel de actividad. Estos riesgos se miden en relación a la volatilidad de las ventas y a la cantidad de costes fijos y variables necesarios para producir cada producto.</w:t>
      </w:r>
    </w:p>
    <w:p w14:paraId="7F60E3BE" w14:textId="1332A5BB" w:rsidR="003A241E" w:rsidRPr="00CF1B34" w:rsidRDefault="003A241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Aplazamiento hipotecario</w:t>
      </w:r>
    </w:p>
    <w:p w14:paraId="22F4E07D" w14:textId="7AB255BE" w:rsidR="003A241E" w:rsidRPr="00CF1B34" w:rsidRDefault="003A241E" w:rsidP="0005621A">
      <w:pPr>
        <w:pStyle w:val="NormalWeb"/>
        <w:shd w:val="clear" w:color="auto" w:fill="FFFFFF"/>
        <w:spacing w:before="0" w:beforeAutospacing="0" w:after="165" w:afterAutospacing="0"/>
        <w:ind w:left="708"/>
        <w:jc w:val="both"/>
        <w:rPr>
          <w:rFonts w:ascii="Arial" w:hAnsi="Arial" w:cs="Arial"/>
          <w:b/>
          <w:bCs/>
          <w:color w:val="333333"/>
          <w:sz w:val="22"/>
          <w:szCs w:val="22"/>
          <w:lang w:val="es-ES_tradnl"/>
        </w:rPr>
      </w:pPr>
      <w:r w:rsidRPr="00CF1B34">
        <w:rPr>
          <w:rStyle w:val="Textoennegrita"/>
          <w:rFonts w:ascii="Arial" w:hAnsi="Arial" w:cs="Arial"/>
          <w:b w:val="0"/>
          <w:bCs w:val="0"/>
          <w:color w:val="333333"/>
          <w:sz w:val="22"/>
          <w:szCs w:val="22"/>
          <w:lang w:val="es-ES_tradnl"/>
        </w:rPr>
        <w:t xml:space="preserve">En tiempos donde la crisis económica mundial afecta con gran intensidad al mercado español es cada vez más frecuente el problema al que se enfrentan muchos adjudicatarios de </w:t>
      </w:r>
      <w:hyperlink r:id="rId34" w:history="1">
        <w:r w:rsidRPr="00CF1B34">
          <w:rPr>
            <w:rStyle w:val="Hipervnculo"/>
            <w:rFonts w:ascii="Arial" w:hAnsi="Arial" w:cs="Arial"/>
            <w:b/>
            <w:bCs/>
            <w:color w:val="DC143C"/>
            <w:sz w:val="22"/>
            <w:szCs w:val="22"/>
            <w:lang w:val="es-ES_tradnl"/>
          </w:rPr>
          <w:t>préstamos hipotecarios</w:t>
        </w:r>
      </w:hyperlink>
      <w:r w:rsidRPr="00CF1B34">
        <w:rPr>
          <w:rStyle w:val="Textoennegrita"/>
          <w:rFonts w:ascii="Arial" w:hAnsi="Arial" w:cs="Arial"/>
          <w:b w:val="0"/>
          <w:bCs w:val="0"/>
          <w:color w:val="333333"/>
          <w:sz w:val="22"/>
          <w:szCs w:val="22"/>
          <w:lang w:val="es-ES_tradnl"/>
        </w:rPr>
        <w:t xml:space="preserve"> en cuestión al pago del mismo, teniendo que mucha casos entrar en</w:t>
      </w:r>
      <w:r w:rsidRPr="00CF1B34">
        <w:rPr>
          <w:rFonts w:ascii="Arial" w:hAnsi="Arial" w:cs="Arial"/>
          <w:b/>
          <w:bCs/>
          <w:color w:val="333333"/>
          <w:sz w:val="22"/>
          <w:szCs w:val="22"/>
          <w:lang w:val="es-ES_tradnl"/>
        </w:rPr>
        <w:t xml:space="preserve"> </w:t>
      </w:r>
      <w:hyperlink r:id="rId35" w:history="1">
        <w:r w:rsidRPr="00CF1B34">
          <w:rPr>
            <w:rStyle w:val="Hipervnculo"/>
            <w:rFonts w:ascii="Arial" w:hAnsi="Arial" w:cs="Arial"/>
            <w:b/>
            <w:bCs/>
            <w:color w:val="DC143C"/>
            <w:sz w:val="22"/>
            <w:szCs w:val="22"/>
            <w:lang w:val="es-ES_tradnl"/>
          </w:rPr>
          <w:t>cesación</w:t>
        </w:r>
      </w:hyperlink>
      <w:r w:rsidRPr="00CF1B34">
        <w:rPr>
          <w:rFonts w:ascii="Arial" w:hAnsi="Arial" w:cs="Arial"/>
          <w:b/>
          <w:bCs/>
          <w:color w:val="333333"/>
          <w:sz w:val="22"/>
          <w:szCs w:val="22"/>
          <w:lang w:val="es-ES_tradnl"/>
        </w:rPr>
        <w:t>.</w:t>
      </w:r>
    </w:p>
    <w:p w14:paraId="68E8089F" w14:textId="77777777" w:rsidR="003A241E" w:rsidRPr="00CF1B34" w:rsidRDefault="003A241E" w:rsidP="0005621A">
      <w:pPr>
        <w:pBdr>
          <w:bottom w:val="dotted" w:sz="12" w:space="12" w:color="666666"/>
        </w:pBdr>
        <w:spacing w:after="240"/>
        <w:ind w:left="708"/>
        <w:jc w:val="both"/>
        <w:rPr>
          <w:rFonts w:ascii="Arial" w:hAnsi="Arial" w:cs="Arial"/>
          <w:color w:val="333333"/>
          <w:sz w:val="22"/>
          <w:szCs w:val="22"/>
          <w:lang w:val="es-ES_tradnl"/>
        </w:rPr>
      </w:pPr>
      <w:r w:rsidRPr="00CF1B34">
        <w:rPr>
          <w:rStyle w:val="Textoennegrita"/>
          <w:rFonts w:ascii="Arial" w:hAnsi="Arial" w:cs="Arial"/>
          <w:b w:val="0"/>
          <w:bCs w:val="0"/>
          <w:color w:val="333333"/>
          <w:sz w:val="22"/>
          <w:szCs w:val="22"/>
          <w:lang w:val="es-ES_tradnl"/>
        </w:rPr>
        <w:t xml:space="preserve">Una de las alternativas más usadas cuando se tiene estos tipos de problemas es el </w:t>
      </w:r>
      <w:hyperlink r:id="rId36" w:history="1">
        <w:r w:rsidRPr="00CF1B34">
          <w:rPr>
            <w:rStyle w:val="Hipervnculo"/>
            <w:rFonts w:ascii="Arial" w:hAnsi="Arial" w:cs="Arial"/>
            <w:b/>
            <w:bCs/>
            <w:color w:val="DC143C"/>
            <w:sz w:val="22"/>
            <w:szCs w:val="22"/>
            <w:lang w:val="es-ES_tradnl"/>
          </w:rPr>
          <w:t>uso de la opción del plazo de carencia</w:t>
        </w:r>
      </w:hyperlink>
      <w:r w:rsidRPr="00CF1B34">
        <w:rPr>
          <w:rFonts w:ascii="Arial" w:hAnsi="Arial" w:cs="Arial"/>
          <w:b/>
          <w:bCs/>
          <w:color w:val="333333"/>
          <w:sz w:val="22"/>
          <w:szCs w:val="22"/>
          <w:lang w:val="es-ES_tradnl"/>
        </w:rPr>
        <w:t>,</w:t>
      </w:r>
      <w:r w:rsidRPr="00CF1B34">
        <w:rPr>
          <w:rFonts w:ascii="Arial" w:hAnsi="Arial" w:cs="Arial"/>
          <w:color w:val="333333"/>
          <w:sz w:val="22"/>
          <w:szCs w:val="22"/>
          <w:lang w:val="es-ES_tradnl"/>
        </w:rPr>
        <w:t xml:space="preserve"> </w:t>
      </w:r>
      <w:proofErr w:type="gramStart"/>
      <w:r w:rsidRPr="00CF1B34">
        <w:rPr>
          <w:rFonts w:ascii="Arial" w:hAnsi="Arial" w:cs="Arial"/>
          <w:color w:val="333333"/>
          <w:sz w:val="22"/>
          <w:szCs w:val="22"/>
          <w:lang w:val="es-ES_tradnl"/>
        </w:rPr>
        <w:t>que</w:t>
      </w:r>
      <w:proofErr w:type="gramEnd"/>
      <w:r w:rsidRPr="00CF1B34">
        <w:rPr>
          <w:rFonts w:ascii="Arial" w:hAnsi="Arial" w:cs="Arial"/>
          <w:color w:val="333333"/>
          <w:sz w:val="22"/>
          <w:szCs w:val="22"/>
          <w:lang w:val="es-ES_tradnl"/>
        </w:rPr>
        <w:t xml:space="preserve"> si bien no significa aplazar en tiempo la hipoteca en cuanto a su cancelación, si sirve para bajar la cuantía de las cuotas y no caer en un listado de morosidad que luego dificulta cualquier tipo de operación que se quiera realizar en una </w:t>
      </w:r>
      <w:hyperlink r:id="rId37" w:history="1">
        <w:r w:rsidRPr="00CF1B34">
          <w:rPr>
            <w:rStyle w:val="Hipervnculo"/>
            <w:rFonts w:ascii="Arial" w:hAnsi="Arial" w:cs="Arial"/>
            <w:color w:val="DC143C"/>
            <w:sz w:val="22"/>
            <w:szCs w:val="22"/>
            <w:lang w:val="es-ES_tradnl"/>
          </w:rPr>
          <w:t>entidad financiera</w:t>
        </w:r>
      </w:hyperlink>
      <w:r w:rsidRPr="00CF1B34">
        <w:rPr>
          <w:rFonts w:ascii="Arial" w:hAnsi="Arial" w:cs="Arial"/>
          <w:color w:val="333333"/>
          <w:sz w:val="22"/>
          <w:szCs w:val="22"/>
          <w:lang w:val="es-ES_tradnl"/>
        </w:rPr>
        <w:t>.</w:t>
      </w:r>
    </w:p>
    <w:p w14:paraId="6273F339" w14:textId="6F50C5A3" w:rsidR="003A241E" w:rsidRPr="00CF1B34" w:rsidRDefault="003A241E" w:rsidP="0005621A">
      <w:pPr>
        <w:pBdr>
          <w:bottom w:val="dotted" w:sz="12" w:space="12" w:color="666666"/>
        </w:pBdr>
        <w:spacing w:after="240"/>
        <w:ind w:left="708"/>
        <w:jc w:val="both"/>
        <w:rPr>
          <w:rFonts w:ascii="Arial" w:hAnsi="Arial" w:cs="Arial"/>
          <w:color w:val="212529"/>
          <w:sz w:val="22"/>
          <w:szCs w:val="22"/>
          <w:lang w:val="es-ES_tradnl"/>
        </w:rPr>
      </w:pPr>
      <w:r w:rsidRPr="00CF1B34">
        <w:rPr>
          <w:rStyle w:val="Textoennegrita"/>
          <w:rFonts w:ascii="Arial" w:hAnsi="Arial" w:cs="Arial"/>
          <w:b w:val="0"/>
          <w:bCs w:val="0"/>
          <w:color w:val="333333"/>
          <w:sz w:val="22"/>
          <w:szCs w:val="22"/>
          <w:lang w:val="es-ES_tradnl"/>
        </w:rPr>
        <w:t>Todos estos tipos de créditos poseen un período opcional de carencia, durante el cuál el titular, o titulares, de la hipoteca sólo pagan intereses en su cuota, es decir, que no se</w:t>
      </w:r>
      <w:r w:rsidRPr="00CF1B34">
        <w:rPr>
          <w:rFonts w:ascii="Arial" w:hAnsi="Arial" w:cs="Arial"/>
          <w:b/>
          <w:bCs/>
          <w:color w:val="333333"/>
          <w:sz w:val="22"/>
          <w:szCs w:val="22"/>
          <w:lang w:val="es-ES_tradnl"/>
        </w:rPr>
        <w:t xml:space="preserve"> </w:t>
      </w:r>
      <w:hyperlink r:id="rId38" w:history="1">
        <w:r w:rsidRPr="00CF1B34">
          <w:rPr>
            <w:rStyle w:val="Hipervnculo"/>
            <w:rFonts w:ascii="Arial" w:hAnsi="Arial" w:cs="Arial"/>
            <w:b/>
            <w:bCs/>
            <w:color w:val="DC143C"/>
            <w:sz w:val="22"/>
            <w:szCs w:val="22"/>
            <w:lang w:val="es-ES_tradnl"/>
          </w:rPr>
          <w:t>amortiza capital</w:t>
        </w:r>
      </w:hyperlink>
      <w:r w:rsidRPr="00CF1B34">
        <w:rPr>
          <w:rFonts w:ascii="Arial" w:hAnsi="Arial" w:cs="Arial"/>
          <w:color w:val="333333"/>
          <w:sz w:val="22"/>
          <w:szCs w:val="22"/>
          <w:lang w:val="es-ES_tradnl"/>
        </w:rPr>
        <w:t>. Como mencionamos anteriormente el objetivo es reducir los importes de las pagos, siendo este método uno de los predilectos a la hora de desarrollar nuevos proyectos.</w:t>
      </w:r>
    </w:p>
    <w:p w14:paraId="5F040E62" w14:textId="7FF6B010"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Aplicación</w:t>
      </w:r>
    </w:p>
    <w:p w14:paraId="39A8BC4A"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Operación sobre valores negociados en Bolsa, que consiste en la compra y venta simultánea de un mismo valor, a través de un solo intermediario bursátil, por la misma cantidad de títulos y al mismo cambio. En España, la regulación de las aplicaciones se recoge en el RD 1416/1991 sobre operaciones bursátiles especiales y transmisiones extrabursátiles de valores cotizados y cambios medios ponderados, y la Orden Ministerial de 5 de diciembre de 1991 sobre operaciones bursátiles especiales. El sistema de contratación de una aplicación sería el de viva voz en corro, y las operaciones de signo contrario sólo podrían casarse si en ese momento no existen contrapartidas al mismo precio o a otro más favorable. Sin embargo, la norma permite que se realicen aplicaciones fuera del horario y del sistema habitual de contratación, si se cumplen una serie de requisitos de precio y volumen, y se procede a su comunicación inmediata a las autoridades supervisoras del mercado.</w:t>
      </w:r>
    </w:p>
    <w:p w14:paraId="194C31EF" w14:textId="7777777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Aportación o inversión mínima </w:t>
      </w:r>
    </w:p>
    <w:p w14:paraId="1B246981"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cantidad necesaria para poder adquirir o invertir por primera vez en determinados productos (renta fija, fondos de inversión...). En ocasiones se convierte en un dato relevante; por ejemplo, si traspasamos capital de un fondo de inversión a otro y la cantidad traspasada es inferior a la aportación mínima que exige el fondo de destino, el traspaso puede ser rechazado, con los consiguientes efectos fiscales para el inversor.</w:t>
      </w:r>
    </w:p>
    <w:p w14:paraId="47DAAC4E" w14:textId="061C86C5" w:rsidR="00E15816" w:rsidRPr="00CF1B34" w:rsidRDefault="00E1581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Aportación a los planes de Pensiones</w:t>
      </w:r>
    </w:p>
    <w:p w14:paraId="0F6AE5EC" w14:textId="65041C2C" w:rsidR="002910DE" w:rsidRPr="00CF1B34" w:rsidRDefault="002910DE" w:rsidP="0005621A">
      <w:pPr>
        <w:ind w:left="708"/>
        <w:jc w:val="both"/>
        <w:rPr>
          <w:rFonts w:ascii="Arial" w:hAnsi="Arial" w:cs="Arial"/>
          <w:b/>
          <w:bCs/>
          <w:color w:val="004773"/>
          <w:sz w:val="22"/>
          <w:szCs w:val="22"/>
          <w:lang w:val="es-ES_tradnl"/>
        </w:rPr>
      </w:pPr>
      <w:r w:rsidRPr="00CF1B34">
        <w:rPr>
          <w:rFonts w:ascii="Arial" w:hAnsi="Arial" w:cs="Arial"/>
          <w:lang w:val="es-ES_tradnl"/>
        </w:rPr>
        <w:t>Los planes de pensiones son productos con vocación de largo plazo y en los que realizarás aportaciones de forma más o menos constante según tu plan financiero global. Te explicamos las alternativas que tienes al invertir ese dinero, los límites que marca el Estado y los beneficios fiscales de estas aportaciones</w:t>
      </w:r>
    </w:p>
    <w:p w14:paraId="076A2986" w14:textId="77777777" w:rsidR="002910DE" w:rsidRPr="00CF1B34" w:rsidRDefault="002910DE"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Existen </w:t>
      </w:r>
      <w:r w:rsidRPr="00CF1B34">
        <w:rPr>
          <w:rStyle w:val="Textoennegrita"/>
          <w:rFonts w:ascii="Arial" w:hAnsi="Arial" w:cs="Arial"/>
          <w:color w:val="333333"/>
          <w:sz w:val="22"/>
          <w:szCs w:val="22"/>
          <w:shd w:val="clear" w:color="auto" w:fill="FFFFFF"/>
          <w:lang w:val="es-ES_tradnl"/>
        </w:rPr>
        <w:t>diferentes tipos de planes de pensiones</w:t>
      </w:r>
      <w:r w:rsidRPr="00CF1B34">
        <w:rPr>
          <w:rFonts w:ascii="Arial" w:hAnsi="Arial" w:cs="Arial"/>
          <w:color w:val="333333"/>
          <w:sz w:val="22"/>
          <w:szCs w:val="22"/>
          <w:shd w:val="clear" w:color="auto" w:fill="FFFFFF"/>
          <w:lang w:val="es-ES_tradnl"/>
        </w:rPr>
        <w:t> según dónde inviertan o cómo funcionen</w:t>
      </w:r>
      <w:r w:rsidRPr="00CF1B34">
        <w:rPr>
          <w:rStyle w:val="Textoennegrita"/>
          <w:rFonts w:ascii="Arial" w:hAnsi="Arial" w:cs="Arial"/>
          <w:color w:val="333333"/>
          <w:sz w:val="22"/>
          <w:szCs w:val="22"/>
          <w:shd w:val="clear" w:color="auto" w:fill="FFFFFF"/>
          <w:lang w:val="es-ES_tradnl"/>
        </w:rPr>
        <w:t>. La distinción más clara se da entre los planes de aportación definida y los planes de prestación definida</w:t>
      </w:r>
      <w:r w:rsidRPr="00CF1B34">
        <w:rPr>
          <w:rFonts w:ascii="Arial" w:hAnsi="Arial" w:cs="Arial"/>
          <w:color w:val="333333"/>
          <w:sz w:val="22"/>
          <w:szCs w:val="22"/>
          <w:shd w:val="clear" w:color="auto" w:fill="FFFFFF"/>
          <w:lang w:val="es-ES_tradnl"/>
        </w:rPr>
        <w:t>.</w:t>
      </w:r>
    </w:p>
    <w:p w14:paraId="3DF2CCBA" w14:textId="77777777" w:rsidR="002910DE" w:rsidRPr="00CF1B34" w:rsidRDefault="002910DE"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En los primeros se conoce de antemano el dinero o parte del capital que se va a aportar, pero no el beneficio que se va a obtener, mientras que en los segundos el ahorrador sí sabe la rentabilidad que le dará su dinero -las prestaciones que recibirá-.</w:t>
      </w:r>
    </w:p>
    <w:p w14:paraId="26A4D3EA" w14:textId="77777777" w:rsidR="002910DE" w:rsidRPr="00CF1B34" w:rsidRDefault="002910DE"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En los </w:t>
      </w:r>
      <w:r w:rsidRPr="00CF1B34">
        <w:rPr>
          <w:rFonts w:ascii="Arial" w:hAnsi="Arial" w:cs="Arial"/>
          <w:b/>
          <w:bCs/>
          <w:color w:val="333333"/>
          <w:sz w:val="22"/>
          <w:szCs w:val="22"/>
          <w:lang w:val="es-ES_tradnl"/>
        </w:rPr>
        <w:t>Planes de Aportación Definida,</w:t>
      </w:r>
      <w:r w:rsidRPr="00CF1B34">
        <w:rPr>
          <w:rFonts w:ascii="Arial" w:hAnsi="Arial" w:cs="Arial"/>
          <w:color w:val="333333"/>
          <w:sz w:val="22"/>
          <w:szCs w:val="22"/>
          <w:lang w:val="es-ES_tradnl"/>
        </w:rPr>
        <w:t> que son los que se ponen a disposición del público en el Sistema Individual y los que podrás contratar libremente sin restricciones en cualquier entidad financiera. En este caso </w:t>
      </w:r>
      <w:r w:rsidRPr="00CF1B34">
        <w:rPr>
          <w:rFonts w:ascii="Arial" w:hAnsi="Arial" w:cs="Arial"/>
          <w:b/>
          <w:bCs/>
          <w:color w:val="333333"/>
          <w:sz w:val="22"/>
          <w:szCs w:val="22"/>
          <w:lang w:val="es-ES_tradnl"/>
        </w:rPr>
        <w:t>existen dos clases de aportaciones:</w:t>
      </w:r>
    </w:p>
    <w:p w14:paraId="1C627168" w14:textId="77777777" w:rsidR="002910DE" w:rsidRPr="00CF1B34" w:rsidRDefault="002910DE" w:rsidP="004F7A62">
      <w:pPr>
        <w:numPr>
          <w:ilvl w:val="0"/>
          <w:numId w:val="9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Aportaciones periódicas.</w:t>
      </w:r>
      <w:r w:rsidRPr="00CF1B34">
        <w:rPr>
          <w:rFonts w:ascii="Arial" w:hAnsi="Arial" w:cs="Arial"/>
          <w:color w:val="333333"/>
          <w:sz w:val="22"/>
          <w:szCs w:val="22"/>
          <w:lang w:val="es-ES_tradnl"/>
        </w:rPr>
        <w:t> Son aquellas que se pagan de forma mensual, trimestral, semestral o anual. Pueden ser todos los años de la misma cuantía o tener algún tipo de incremento cada año, a elección del partícipe.</w:t>
      </w:r>
    </w:p>
    <w:p w14:paraId="5450EFB4" w14:textId="2A22F753" w:rsidR="002910DE" w:rsidRPr="00CF1B34" w:rsidRDefault="002910DE" w:rsidP="004F7A62">
      <w:pPr>
        <w:numPr>
          <w:ilvl w:val="0"/>
          <w:numId w:val="9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Aportaciones extraordinarias. </w:t>
      </w:r>
      <w:r w:rsidRPr="00CF1B34">
        <w:rPr>
          <w:rFonts w:ascii="Arial" w:hAnsi="Arial" w:cs="Arial"/>
          <w:color w:val="333333"/>
          <w:sz w:val="22"/>
          <w:szCs w:val="22"/>
          <w:lang w:val="es-ES_tradnl"/>
        </w:rPr>
        <w:t>Son aquellas que el partícipe puede realizar en el momento en que lo desee y que por cuestiones fiscales suelen centrarse en los últimos meses del año.</w:t>
      </w:r>
    </w:p>
    <w:p w14:paraId="64A804E6" w14:textId="77777777" w:rsidR="002910DE" w:rsidRPr="00CF1B34" w:rsidRDefault="002910DE" w:rsidP="0005621A">
      <w:pPr>
        <w:ind w:left="708"/>
        <w:jc w:val="both"/>
        <w:rPr>
          <w:rFonts w:ascii="Arial" w:hAnsi="Arial" w:cs="Arial"/>
          <w:b/>
          <w:bCs/>
          <w:sz w:val="22"/>
          <w:szCs w:val="22"/>
          <w:lang w:val="es-ES_tradnl"/>
        </w:rPr>
      </w:pPr>
      <w:r w:rsidRPr="00CF1B34">
        <w:rPr>
          <w:rStyle w:val="Textoennegrita"/>
          <w:rFonts w:ascii="Arial" w:hAnsi="Arial" w:cs="Arial"/>
          <w:b w:val="0"/>
          <w:bCs w:val="0"/>
          <w:color w:val="333333"/>
          <w:sz w:val="22"/>
          <w:szCs w:val="22"/>
          <w:shd w:val="clear" w:color="auto" w:fill="FFFFFF"/>
          <w:lang w:val="es-ES_tradnl"/>
        </w:rPr>
        <w:t>La Ley regula cuales serán los importes máximos de aportaciones que se pueden realizar por año</w:t>
      </w:r>
    </w:p>
    <w:p w14:paraId="7D56D405" w14:textId="77777777" w:rsidR="002910DE" w:rsidRPr="00CF1B34" w:rsidRDefault="002910DE"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shd w:val="clear" w:color="auto" w:fill="FFFFFF"/>
          <w:lang w:val="es-ES_tradnl"/>
        </w:rPr>
        <w:t>Con la reforma fiscal desde 2015 el panorama cambia </w:t>
      </w:r>
      <w:r w:rsidRPr="00CF1B34">
        <w:rPr>
          <w:rFonts w:ascii="Arial" w:hAnsi="Arial" w:cs="Arial"/>
          <w:color w:val="333333"/>
          <w:sz w:val="22"/>
          <w:szCs w:val="22"/>
          <w:shd w:val="clear" w:color="auto" w:fill="FFFFFF"/>
          <w:lang w:val="es-ES_tradnl"/>
        </w:rPr>
        <w:t>y se eliminan las distinciones según la edad. </w:t>
      </w:r>
      <w:r w:rsidRPr="00CF1B34">
        <w:rPr>
          <w:rFonts w:ascii="Arial" w:hAnsi="Arial" w:cs="Arial"/>
          <w:b/>
          <w:bCs/>
          <w:color w:val="333333"/>
          <w:sz w:val="22"/>
          <w:szCs w:val="22"/>
          <w:shd w:val="clear" w:color="auto" w:fill="FFFFFF"/>
          <w:lang w:val="es-ES_tradnl"/>
        </w:rPr>
        <w:t>Ahora mismo el límite para las aportaciones anuales está fijado en 8.000 euros por partícipe</w:t>
      </w:r>
      <w:r w:rsidRPr="00CF1B34">
        <w:rPr>
          <w:rFonts w:ascii="Arial" w:hAnsi="Arial" w:cs="Arial"/>
          <w:color w:val="333333"/>
          <w:sz w:val="22"/>
          <w:szCs w:val="22"/>
          <w:shd w:val="clear" w:color="auto" w:fill="FFFFFF"/>
          <w:lang w:val="es-ES_tradnl"/>
        </w:rPr>
        <w:t xml:space="preserve">, independientemente de que tenga más o menos de 50 años. Lo que sí se mantiene a efectos de IRPF son los límites en función de los ingresos. Es decir, que por mucho que hayas aportado 8.000 euros, la cantidad que exceda del 40% </w:t>
      </w:r>
      <w:r w:rsidRPr="00CF1B34">
        <w:rPr>
          <w:rFonts w:ascii="Arial" w:hAnsi="Arial" w:cs="Arial"/>
          <w:color w:val="333333"/>
          <w:sz w:val="22"/>
          <w:szCs w:val="22"/>
          <w:shd w:val="clear" w:color="auto" w:fill="FFFFFF"/>
          <w:lang w:val="es-ES_tradnl"/>
        </w:rPr>
        <w:lastRenderedPageBreak/>
        <w:t>de tus ingresos si eres menor de 50 años no podrá utilizarla en el IRPF, pero sí trasladarla al año siguiente.</w:t>
      </w:r>
    </w:p>
    <w:p w14:paraId="34319D4F" w14:textId="1A63E74F" w:rsidR="00032A3B" w:rsidRPr="00CF1B34" w:rsidRDefault="00032A3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Aportación productos de servicios</w:t>
      </w:r>
    </w:p>
    <w:p w14:paraId="79AADF9A" w14:textId="77777777" w:rsidR="00032A3B" w:rsidRPr="00CF1B34" w:rsidRDefault="00032A3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porcentaje que representan los productos de servicios sobre el margen total operacional.</w:t>
      </w:r>
    </w:p>
    <w:p w14:paraId="5EF03EDF" w14:textId="04B9312C"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Apreciación</w:t>
      </w:r>
    </w:p>
    <w:p w14:paraId="41A8D604" w14:textId="0F15D6D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Incremento del valor de un activo</w:t>
      </w:r>
      <w:r w:rsidR="00032A3B" w:rsidRPr="00CF1B34">
        <w:rPr>
          <w:rFonts w:ascii="Arial" w:hAnsi="Arial" w:cs="Arial"/>
          <w:color w:val="212529"/>
          <w:sz w:val="22"/>
          <w:szCs w:val="22"/>
          <w:lang w:val="es-ES_tradnl"/>
        </w:rPr>
        <w:t>.</w:t>
      </w:r>
      <w:r w:rsidR="003748D2" w:rsidRPr="00CF1B34">
        <w:rPr>
          <w:rFonts w:ascii="Arial" w:hAnsi="Arial" w:cs="Arial"/>
          <w:color w:val="212529"/>
          <w:sz w:val="22"/>
          <w:szCs w:val="22"/>
          <w:lang w:val="es-ES_tradnl"/>
        </w:rPr>
        <w:t xml:space="preserve"> Aumento del precio de la moneda nacional expresado en moneda extranjera.</w:t>
      </w:r>
    </w:p>
    <w:p w14:paraId="3228B498" w14:textId="4B91C986" w:rsidR="00032A3B" w:rsidRPr="00CF1B34" w:rsidRDefault="00032A3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Arbitraje </w:t>
      </w:r>
    </w:p>
    <w:p w14:paraId="3EE9D689" w14:textId="3E7BBE78" w:rsidR="00032A3B" w:rsidRPr="00CF1B34" w:rsidRDefault="003F13C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ámbito de los mercados financieros</w:t>
      </w:r>
      <w:r w:rsidR="00E124CE" w:rsidRPr="00CF1B34">
        <w:rPr>
          <w:rFonts w:ascii="Arial" w:hAnsi="Arial" w:cs="Arial"/>
          <w:color w:val="212529"/>
          <w:sz w:val="22"/>
          <w:szCs w:val="22"/>
          <w:lang w:val="es-ES_tradnl"/>
        </w:rPr>
        <w:t xml:space="preserve">, se aplica a las operaciones simultaneas de compra y de venta realizadas sobre un mismo producto, divisa o instrumento financiero en diferentes mercados y plazos, al objeto de obtener beneficios por las eventuales diferencias entre sus correspondientes valores de mercado. Así </w:t>
      </w:r>
      <w:proofErr w:type="gramStart"/>
      <w:r w:rsidR="00E124CE" w:rsidRPr="00CF1B34">
        <w:rPr>
          <w:rFonts w:ascii="Arial" w:hAnsi="Arial" w:cs="Arial"/>
          <w:color w:val="212529"/>
          <w:sz w:val="22"/>
          <w:szCs w:val="22"/>
          <w:lang w:val="es-ES_tradnl"/>
        </w:rPr>
        <w:t>pues</w:t>
      </w:r>
      <w:proofErr w:type="gramEnd"/>
      <w:r w:rsidR="00E124CE" w:rsidRPr="00CF1B34">
        <w:rPr>
          <w:rFonts w:ascii="Arial" w:hAnsi="Arial" w:cs="Arial"/>
          <w:color w:val="212529"/>
          <w:sz w:val="22"/>
          <w:szCs w:val="22"/>
          <w:lang w:val="es-ES_tradnl"/>
        </w:rPr>
        <w:t xml:space="preserve"> el arbitraje consiste en encontrar ineficacias de los mercados, que mediante tal arbitraje tienden a minimizarse.</w:t>
      </w:r>
    </w:p>
    <w:p w14:paraId="05272B9A" w14:textId="5EA50B20"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Arbitraje financiero</w:t>
      </w:r>
    </w:p>
    <w:p w14:paraId="4AC065BF"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Operaciones realizadas para sacar ventaja de las situaciones de ineficiencia en los mercados. Se trata de aprovechar las diferencias de cotización de valores que en algún sentido se puedan considerar similares y que coticen en la misma bolsa, o de un mismo valor que esté cotizando en bolsas diferentes. También puede hacerse arbitraje en el mercado de derivados, en el de renta fija, entre el de derivados y el de contado, entre el mercado primario y el </w:t>
      </w:r>
      <w:proofErr w:type="gramStart"/>
      <w:r w:rsidRPr="00CF1B34">
        <w:rPr>
          <w:rFonts w:ascii="Arial" w:hAnsi="Arial" w:cs="Arial"/>
          <w:color w:val="212529"/>
          <w:sz w:val="22"/>
          <w:szCs w:val="22"/>
          <w:lang w:val="es-ES_tradnl"/>
        </w:rPr>
        <w:t>secundario..</w:t>
      </w:r>
      <w:proofErr w:type="gramEnd"/>
      <w:r w:rsidRPr="00CF1B34">
        <w:rPr>
          <w:rFonts w:ascii="Arial" w:hAnsi="Arial" w:cs="Arial"/>
          <w:color w:val="212529"/>
          <w:sz w:val="22"/>
          <w:szCs w:val="22"/>
          <w:lang w:val="es-ES_tradnl"/>
        </w:rPr>
        <w:t>El arbitrajista venderá el más caro y comprará el más barato, con lo que la posible ineficiencia termina por desaparecer, o reducirse al límite de los costes de transacción.</w:t>
      </w:r>
    </w:p>
    <w:p w14:paraId="61CFB3B2" w14:textId="75E9C6D9" w:rsidR="00032A3B" w:rsidRPr="00CF1B34" w:rsidRDefault="00032A3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Aro-Ward</w:t>
      </w:r>
    </w:p>
    <w:p w14:paraId="375F8BD9" w14:textId="77777777" w:rsidR="00E124CE" w:rsidRPr="00CF1B34" w:rsidRDefault="001A234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las opciones asiáticas. El precio de strike será la media aritmética o la media aritmética ponderada de los precios del subyacente (respectivamente) durante la opción</w:t>
      </w:r>
    </w:p>
    <w:p w14:paraId="48E38EFF" w14:textId="136A6E80" w:rsidR="003748D2" w:rsidRPr="00CF1B34" w:rsidRDefault="003748D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Arrendamiento financiero</w:t>
      </w:r>
    </w:p>
    <w:p w14:paraId="17B9AFF5" w14:textId="77777777" w:rsidR="000A0A26" w:rsidRPr="00CF1B34" w:rsidRDefault="003748D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Contra</w:t>
      </w:r>
      <w:r w:rsidR="000A0A26" w:rsidRPr="00CF1B34">
        <w:rPr>
          <w:rFonts w:ascii="Arial" w:hAnsi="Arial" w:cs="Arial"/>
          <w:color w:val="000000" w:themeColor="text1"/>
          <w:sz w:val="22"/>
          <w:szCs w:val="22"/>
          <w:lang w:val="es-ES_tradnl"/>
        </w:rPr>
        <w:t>t</w:t>
      </w:r>
      <w:r w:rsidRPr="00CF1B34">
        <w:rPr>
          <w:rFonts w:ascii="Arial" w:hAnsi="Arial" w:cs="Arial"/>
          <w:color w:val="000000" w:themeColor="text1"/>
          <w:sz w:val="22"/>
          <w:szCs w:val="22"/>
          <w:lang w:val="es-ES_tradnl"/>
        </w:rPr>
        <w:t>o mediante el cual una empresa obtiene determinados bienes o derechos de arrendam</w:t>
      </w:r>
      <w:r w:rsidR="000A0A26" w:rsidRPr="00CF1B34">
        <w:rPr>
          <w:rFonts w:ascii="Arial" w:hAnsi="Arial" w:cs="Arial"/>
          <w:color w:val="000000" w:themeColor="text1"/>
          <w:sz w:val="22"/>
          <w:szCs w:val="22"/>
          <w:lang w:val="es-ES_tradnl"/>
        </w:rPr>
        <w:t>ie</w:t>
      </w:r>
      <w:r w:rsidRPr="00CF1B34">
        <w:rPr>
          <w:rFonts w:ascii="Arial" w:hAnsi="Arial" w:cs="Arial"/>
          <w:color w:val="000000" w:themeColor="text1"/>
          <w:sz w:val="22"/>
          <w:szCs w:val="22"/>
          <w:lang w:val="es-ES_tradnl"/>
        </w:rPr>
        <w:t>nto de una institución fina</w:t>
      </w:r>
      <w:r w:rsidR="000A0A26" w:rsidRPr="00CF1B34">
        <w:rPr>
          <w:rFonts w:ascii="Arial" w:hAnsi="Arial" w:cs="Arial"/>
          <w:color w:val="000000" w:themeColor="text1"/>
          <w:sz w:val="22"/>
          <w:szCs w:val="22"/>
          <w:lang w:val="es-ES_tradnl"/>
        </w:rPr>
        <w:t>n</w:t>
      </w:r>
      <w:r w:rsidRPr="00CF1B34">
        <w:rPr>
          <w:rFonts w:ascii="Arial" w:hAnsi="Arial" w:cs="Arial"/>
          <w:color w:val="000000" w:themeColor="text1"/>
          <w:sz w:val="22"/>
          <w:szCs w:val="22"/>
          <w:lang w:val="es-ES_tradnl"/>
        </w:rPr>
        <w:t>ciera</w:t>
      </w:r>
      <w:r w:rsidR="000A0A26" w:rsidRPr="00CF1B34">
        <w:rPr>
          <w:rFonts w:ascii="Arial" w:hAnsi="Arial" w:cs="Arial"/>
          <w:color w:val="000000" w:themeColor="text1"/>
          <w:sz w:val="22"/>
          <w:szCs w:val="22"/>
          <w:lang w:val="es-ES_tradnl"/>
        </w:rPr>
        <w:t xml:space="preserve"> que cobra una cuota y ofrece la opción de compra por el valor residual del activo al vencimiento del contrato, dada la naturaleza temporal de este.</w:t>
      </w:r>
    </w:p>
    <w:p w14:paraId="520C3012" w14:textId="1D5D94AE"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Asamblea de obligacionistas</w:t>
      </w:r>
    </w:p>
    <w:p w14:paraId="389CFAA8" w14:textId="08BAFD86"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La Ley de Sociedades Anónimas regula esta figura como reunión de todos los obligacionistas. Tiene la facultad de acordar lo necesario para la mejor defensa de sus legítimos intereses frente a la sociedad emisora, modificar las garantías establecidas, de acuerdo con la misma, destituir o nombrar al comisario, ejercer las acciones judiciales que procedan y aprobar los gastos generados en la defensa de los intereses comunes. Pueden convocarla los administradores de la sociedad o el comisario; éste, además, deberá convocarla siempre que lo soliciten obligacionistas que representen al menos la </w:t>
      </w:r>
      <w:r w:rsidRPr="00CF1B34">
        <w:rPr>
          <w:rFonts w:ascii="Arial" w:hAnsi="Arial" w:cs="Arial"/>
          <w:color w:val="212529"/>
          <w:sz w:val="22"/>
          <w:szCs w:val="22"/>
          <w:lang w:val="es-ES_tradnl"/>
        </w:rPr>
        <w:lastRenderedPageBreak/>
        <w:t>vigésima parte de las obligaciones emitidas y no amortizadas.</w:t>
      </w:r>
      <w:r w:rsidR="003A241E" w:rsidRPr="00CF1B34">
        <w:rPr>
          <w:rFonts w:ascii="Arial" w:hAnsi="Arial" w:cs="Arial"/>
          <w:color w:val="212529"/>
          <w:sz w:val="22"/>
          <w:szCs w:val="22"/>
          <w:lang w:val="es-ES_tradnl"/>
        </w:rPr>
        <w:t xml:space="preserve"> </w:t>
      </w:r>
      <w:hyperlink r:id="rId39" w:tgtFrame="_self" w:history="1">
        <w:r w:rsidRPr="00CF1B34">
          <w:rPr>
            <w:rFonts w:ascii="Arial" w:hAnsi="Arial" w:cs="Arial"/>
            <w:b/>
            <w:bCs/>
            <w:color w:val="2F5496" w:themeColor="accent1" w:themeShade="BF"/>
            <w:sz w:val="22"/>
            <w:szCs w:val="22"/>
            <w:u w:val="single"/>
            <w:lang w:val="es-ES_tradnl"/>
          </w:rPr>
          <w:t>Ver sindicato de obligacionistas</w:t>
        </w:r>
      </w:hyperlink>
      <w:r w:rsidRPr="00CF1B34">
        <w:rPr>
          <w:rFonts w:ascii="Arial" w:hAnsi="Arial" w:cs="Arial"/>
          <w:color w:val="2F5496" w:themeColor="accent1" w:themeShade="BF"/>
          <w:sz w:val="22"/>
          <w:szCs w:val="22"/>
          <w:lang w:val="es-ES_tradnl"/>
        </w:rPr>
        <w:t>.</w:t>
      </w:r>
    </w:p>
    <w:p w14:paraId="7948C9E2" w14:textId="7777777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Aseguramiento de una emisión</w:t>
      </w:r>
    </w:p>
    <w:p w14:paraId="7875CE8C" w14:textId="77777777"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Acuerdo por el cual las entidades colocadoras de una emisión se comprometen con la sociedad emisora, a cambio del cobro de una comisión complementaria, a adquirir los valores que no puedan colocar entre el público. De esta forma el emisor sabe que podrá disponer de la totalidad de los fondos que componen la emisión. En España, pueden actuar como aseguradoras las sociedades de valores, las entidades oficiales de crédito y los bancos y las cajas de ahorros. </w:t>
      </w:r>
    </w:p>
    <w:p w14:paraId="5A81BCFB" w14:textId="7777777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Asignación</w:t>
      </w:r>
    </w:p>
    <w:p w14:paraId="58B2F9EB" w14:textId="4A27CE35" w:rsidR="005C789F"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Término empleado en las ofertas públicas de valores para hacer referencia al proceso de reparto de valores entre los solicitantes. Cuando la cantidad demandada por el público supera la oferta se denomina “prorrateo”, y suele realizarse según normas preestablecidas en las condiciones de la emisión, descritas en la nota de valores del folleto informativo.</w:t>
      </w:r>
      <w:r w:rsidR="00EF672B" w:rsidRPr="00CF1B34">
        <w:rPr>
          <w:rFonts w:ascii="Arial" w:hAnsi="Arial" w:cs="Arial"/>
          <w:color w:val="212529"/>
          <w:sz w:val="22"/>
          <w:szCs w:val="22"/>
          <w:lang w:val="es-ES_tradnl"/>
        </w:rPr>
        <w:t xml:space="preserve"> </w:t>
      </w:r>
      <w:hyperlink r:id="rId40" w:tgtFrame="_self" w:history="1">
        <w:r w:rsidRPr="00CF1B34">
          <w:rPr>
            <w:rFonts w:ascii="Arial" w:hAnsi="Arial" w:cs="Arial"/>
            <w:b/>
            <w:bCs/>
            <w:color w:val="2F5496" w:themeColor="accent1" w:themeShade="BF"/>
            <w:sz w:val="22"/>
            <w:szCs w:val="22"/>
            <w:u w:val="single"/>
            <w:lang w:val="es-ES_tradnl"/>
          </w:rPr>
          <w:t>Ver prorrateo</w:t>
        </w:r>
      </w:hyperlink>
      <w:r w:rsidRPr="00CF1B34">
        <w:rPr>
          <w:rFonts w:ascii="Arial" w:hAnsi="Arial" w:cs="Arial"/>
          <w:color w:val="2F5496" w:themeColor="accent1" w:themeShade="BF"/>
          <w:sz w:val="22"/>
          <w:szCs w:val="22"/>
          <w:lang w:val="es-ES_tradnl"/>
        </w:rPr>
        <w:t>.</w:t>
      </w:r>
    </w:p>
    <w:p w14:paraId="295A757B" w14:textId="77777777" w:rsidR="00BB35CF" w:rsidRPr="00CF1B34" w:rsidRDefault="00BB35C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ASNEF (Asociación Nacional de Establecimientos Financieros de Credito)</w:t>
      </w:r>
    </w:p>
    <w:p w14:paraId="0000BB08" w14:textId="77777777" w:rsidR="001947F4" w:rsidRPr="00CF1B34" w:rsidRDefault="00BB35CF"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b w:val="0"/>
          <w:bCs w:val="0"/>
          <w:i/>
          <w:iCs/>
          <w:color w:val="333333"/>
          <w:sz w:val="22"/>
          <w:szCs w:val="22"/>
          <w:lang w:val="es-ES_tradnl"/>
        </w:rPr>
        <w:t>Ser moroso no significa ser incumplidor por elección y ni siquiera significa que tengan verdaderas deudas.</w:t>
      </w:r>
      <w:r w:rsidRPr="00CF1B34">
        <w:rPr>
          <w:rStyle w:val="nfasis"/>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Ya que pueden caer por error en la</w:t>
      </w:r>
      <w:r w:rsidRPr="00CF1B34">
        <w:rPr>
          <w:rFonts w:ascii="Arial" w:hAnsi="Arial" w:cs="Arial"/>
          <w:b/>
          <w:bCs/>
          <w:color w:val="333333"/>
          <w:sz w:val="22"/>
          <w:szCs w:val="22"/>
          <w:lang w:val="es-ES_tradnl"/>
        </w:rPr>
        <w:t xml:space="preserve"> </w:t>
      </w:r>
      <w:hyperlink r:id="rId41" w:history="1">
        <w:r w:rsidRPr="00CF1B34">
          <w:rPr>
            <w:rStyle w:val="Textoennegrita"/>
            <w:rFonts w:ascii="Arial" w:hAnsi="Arial" w:cs="Arial"/>
            <w:b w:val="0"/>
            <w:bCs w:val="0"/>
            <w:color w:val="000000"/>
            <w:sz w:val="22"/>
            <w:szCs w:val="22"/>
            <w:lang w:val="es-ES_tradnl"/>
          </w:rPr>
          <w:t>lista de morosos,</w:t>
        </w:r>
      </w:hyperlink>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y no a muchos más que al mismo</w:t>
      </w:r>
      <w:r w:rsidRPr="00CF1B34">
        <w:rPr>
          <w:rFonts w:ascii="Arial" w:hAnsi="Arial" w:cs="Arial"/>
          <w:b/>
          <w:bCs/>
          <w:color w:val="333333"/>
          <w:sz w:val="22"/>
          <w:szCs w:val="22"/>
          <w:lang w:val="es-ES_tradnl"/>
        </w:rPr>
        <w:t xml:space="preserve"> </w:t>
      </w:r>
      <w:r w:rsidRPr="00CF1B34">
        <w:rPr>
          <w:rStyle w:val="Textoennegrita"/>
          <w:rFonts w:ascii="Arial" w:hAnsi="Arial" w:cs="Arial"/>
          <w:b w:val="0"/>
          <w:bCs w:val="0"/>
          <w:color w:val="333333"/>
          <w:sz w:val="22"/>
          <w:szCs w:val="22"/>
          <w:lang w:val="es-ES_tradnl"/>
        </w:rPr>
        <w:t>moroso</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 xml:space="preserve">y su entorno le preocupa si son inocentes y así como se suman a las listas de </w:t>
      </w:r>
      <w:hyperlink r:id="rId42" w:history="1">
        <w:r w:rsidRPr="00CF1B34">
          <w:rPr>
            <w:rStyle w:val="Hipervnculo"/>
            <w:rFonts w:ascii="Arial" w:hAnsi="Arial" w:cs="Arial"/>
            <w:color w:val="000000"/>
            <w:sz w:val="22"/>
            <w:szCs w:val="22"/>
            <w:lang w:val="es-ES_tradnl"/>
          </w:rPr>
          <w:t>ASNEF</w:t>
        </w:r>
      </w:hyperlink>
      <w:r w:rsidRPr="00CF1B34">
        <w:rPr>
          <w:rStyle w:val="Textoennegrita"/>
          <w:rFonts w:ascii="Arial" w:hAnsi="Arial" w:cs="Arial"/>
          <w:b w:val="0"/>
          <w:bCs w:val="0"/>
          <w:color w:val="333333"/>
          <w:sz w:val="22"/>
          <w:szCs w:val="22"/>
          <w:lang w:val="es-ES_tradnl"/>
        </w:rPr>
        <w:t>– EQUIFAX y RAI</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por</w:t>
      </w:r>
      <w:r w:rsidRPr="00CF1B34">
        <w:rPr>
          <w:rStyle w:val="Textoennegrita"/>
          <w:rFonts w:ascii="Arial" w:hAnsi="Arial" w:cs="Arial"/>
          <w:b w:val="0"/>
          <w:bCs w:val="0"/>
          <w:color w:val="333333"/>
          <w:sz w:val="22"/>
          <w:szCs w:val="22"/>
          <w:lang w:val="es-ES_tradnl"/>
        </w:rPr>
        <w:t xml:space="preserve"> contraer deudas</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por no poder pagar también lo hacen los que ingresan por error esto hace que también suban los</w:t>
      </w:r>
      <w:r w:rsidRPr="00CF1B34">
        <w:rPr>
          <w:rStyle w:val="Textoennegrita"/>
          <w:rFonts w:ascii="Arial" w:hAnsi="Arial" w:cs="Arial"/>
          <w:b w:val="0"/>
          <w:bCs w:val="0"/>
          <w:color w:val="333333"/>
          <w:sz w:val="22"/>
          <w:szCs w:val="22"/>
          <w:lang w:val="es-ES_tradnl"/>
        </w:rPr>
        <w:t xml:space="preserve"> contribuyentes</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que quedan atrapados son incluidas incorrectamente.</w:t>
      </w:r>
    </w:p>
    <w:p w14:paraId="1656879D" w14:textId="36635AEC"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Asset allocation</w:t>
      </w:r>
      <w:r w:rsidR="007D4231" w:rsidRPr="00CF1B34">
        <w:rPr>
          <w:rFonts w:ascii="Arial" w:hAnsi="Arial" w:cs="Arial"/>
          <w:b/>
          <w:bCs/>
          <w:color w:val="004773"/>
          <w:sz w:val="22"/>
          <w:szCs w:val="22"/>
          <w:lang w:val="es-ES_tradnl"/>
        </w:rPr>
        <w:t xml:space="preserve"> </w:t>
      </w:r>
    </w:p>
    <w:p w14:paraId="109D4477" w14:textId="2B923A0B"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Se denomina así a la diversificación de las inversiones entre distintos productos o mercados, con el fin de mejorar el rendimiento y/o controlar el riesgo del agregado.</w:t>
      </w:r>
      <w:r w:rsidR="00EF672B" w:rsidRPr="00CF1B34">
        <w:rPr>
          <w:rFonts w:ascii="Arial" w:hAnsi="Arial" w:cs="Arial"/>
          <w:color w:val="212529"/>
          <w:sz w:val="22"/>
          <w:szCs w:val="22"/>
          <w:lang w:val="es-ES_tradnl"/>
        </w:rPr>
        <w:t xml:space="preserve"> </w:t>
      </w:r>
      <w:hyperlink r:id="rId43" w:tgtFrame="_self" w:history="1">
        <w:r w:rsidRPr="00CF1B34">
          <w:rPr>
            <w:rFonts w:ascii="Arial" w:hAnsi="Arial" w:cs="Arial"/>
            <w:b/>
            <w:bCs/>
            <w:color w:val="2F5496" w:themeColor="accent1" w:themeShade="BF"/>
            <w:sz w:val="22"/>
            <w:szCs w:val="22"/>
            <w:u w:val="single"/>
            <w:lang w:val="es-ES_tradnl"/>
          </w:rPr>
          <w:t>Ver diversificación de riesgos</w:t>
        </w:r>
      </w:hyperlink>
      <w:r w:rsidRPr="00CF1B34">
        <w:rPr>
          <w:rFonts w:ascii="Arial" w:hAnsi="Arial" w:cs="Arial"/>
          <w:color w:val="2F5496" w:themeColor="accent1" w:themeShade="BF"/>
          <w:sz w:val="22"/>
          <w:szCs w:val="22"/>
          <w:lang w:val="es-ES_tradnl"/>
        </w:rPr>
        <w:t>.</w:t>
      </w:r>
    </w:p>
    <w:p w14:paraId="4093C06C" w14:textId="1043F6CE" w:rsidR="001A2346" w:rsidRPr="00CF1B34" w:rsidRDefault="000A0A2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Asociación Latinoamericana de integración (ALADI)</w:t>
      </w:r>
    </w:p>
    <w:p w14:paraId="5DB13DE6" w14:textId="77777777" w:rsidR="004F1118" w:rsidRPr="00CF1B34" w:rsidRDefault="007D423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Asociación que agrupa a las naciones de America Latina, que funciona desde los años 60. Actualmente se limita a servir de marco para la </w:t>
      </w:r>
      <w:proofErr w:type="gramStart"/>
      <w:r w:rsidR="004F1118" w:rsidRPr="00CF1B34">
        <w:rPr>
          <w:rFonts w:ascii="Arial" w:hAnsi="Arial" w:cs="Arial"/>
          <w:color w:val="000000" w:themeColor="text1"/>
          <w:sz w:val="22"/>
          <w:szCs w:val="22"/>
          <w:lang w:val="es-ES_tradnl"/>
        </w:rPr>
        <w:t xml:space="preserve">celebración </w:t>
      </w:r>
      <w:r w:rsidRPr="00CF1B34">
        <w:rPr>
          <w:rFonts w:ascii="Arial" w:hAnsi="Arial" w:cs="Arial"/>
          <w:color w:val="000000" w:themeColor="text1"/>
          <w:sz w:val="22"/>
          <w:szCs w:val="22"/>
          <w:lang w:val="es-ES_tradnl"/>
        </w:rPr>
        <w:t xml:space="preserve"> “</w:t>
      </w:r>
      <w:proofErr w:type="gramEnd"/>
      <w:r w:rsidRPr="00CF1B34">
        <w:rPr>
          <w:rFonts w:ascii="Arial" w:hAnsi="Arial" w:cs="Arial"/>
          <w:color w:val="000000" w:themeColor="text1"/>
          <w:sz w:val="22"/>
          <w:szCs w:val="22"/>
          <w:lang w:val="es-ES_tradnl"/>
        </w:rPr>
        <w:t>acuerdos bilaterales de alcance parcial</w:t>
      </w:r>
      <w:r w:rsidR="004F1118" w:rsidRPr="00CF1B34">
        <w:rPr>
          <w:rFonts w:ascii="Arial" w:hAnsi="Arial" w:cs="Arial"/>
          <w:color w:val="000000" w:themeColor="text1"/>
          <w:sz w:val="22"/>
          <w:szCs w:val="22"/>
          <w:lang w:val="es-ES_tradnl"/>
        </w:rPr>
        <w:t>”: márgenes de preferencia arancelaria, facilitar los pagos para el comercio inter-regional y acuerdos de complementación económica.</w:t>
      </w:r>
    </w:p>
    <w:p w14:paraId="6345E085" w14:textId="16C01B31" w:rsidR="000A0A26" w:rsidRPr="00CF1B34" w:rsidRDefault="000A0A2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ATM</w:t>
      </w:r>
    </w:p>
    <w:p w14:paraId="5CAB71D1" w14:textId="77777777" w:rsidR="0059334D" w:rsidRPr="00CF1B34" w:rsidRDefault="000A0A2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Automatic Teller Machine = cajero automatico</w:t>
      </w:r>
      <w:r w:rsidR="0059334D" w:rsidRPr="00CF1B34">
        <w:rPr>
          <w:rFonts w:ascii="Arial" w:hAnsi="Arial" w:cs="Arial"/>
          <w:color w:val="000000" w:themeColor="text1"/>
          <w:sz w:val="22"/>
          <w:szCs w:val="22"/>
          <w:lang w:val="es-ES_tradnl"/>
        </w:rPr>
        <w:t>.</w:t>
      </w:r>
    </w:p>
    <w:p w14:paraId="4A9747E3" w14:textId="5F242691" w:rsidR="001A2346" w:rsidRPr="00CF1B34" w:rsidRDefault="001A234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AUSBANC</w:t>
      </w:r>
    </w:p>
    <w:p w14:paraId="26C26D07" w14:textId="77777777" w:rsidR="001500D1" w:rsidRPr="00CF1B34" w:rsidRDefault="001A234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Acrónimo que responde Asociación de Usuarios de la Banca</w:t>
      </w:r>
      <w:r w:rsidR="001500D1" w:rsidRPr="00CF1B34">
        <w:rPr>
          <w:rFonts w:ascii="Arial" w:hAnsi="Arial" w:cs="Arial"/>
          <w:color w:val="000000" w:themeColor="text1"/>
          <w:sz w:val="22"/>
          <w:szCs w:val="22"/>
          <w:lang w:val="es-ES_tradnl"/>
        </w:rPr>
        <w:t>.</w:t>
      </w:r>
    </w:p>
    <w:p w14:paraId="7C584612" w14:textId="2DC6C69F"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Autocartera</w:t>
      </w:r>
    </w:p>
    <w:p w14:paraId="3EFE9D0E" w14:textId="6911A7D3" w:rsidR="00EE1E4E"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Cartera de una sociedad formada por sus propias acciones, que se recompran en el mercado en las condiciones autorizadas por la Junta General de Accionistas. En España, el valor nominal de la autocartera de las sociedades cotizadas no puede superar el 10% </w:t>
      </w:r>
      <w:r w:rsidRPr="00CF1B34">
        <w:rPr>
          <w:rFonts w:ascii="Arial" w:hAnsi="Arial" w:cs="Arial"/>
          <w:color w:val="212529"/>
          <w:sz w:val="22"/>
          <w:szCs w:val="22"/>
          <w:lang w:val="es-ES_tradnl"/>
        </w:rPr>
        <w:lastRenderedPageBreak/>
        <w:t>del capital social. Las acciones en autocartera no incorporan derechos políticos, y de los económicos sólo conservan el derecho de asignación gratuita de acciones, en ampliaciones de capital liberadas.</w:t>
      </w:r>
    </w:p>
    <w:p w14:paraId="0FD34251" w14:textId="3263D39F" w:rsidR="001947F4" w:rsidRPr="00CF1B34" w:rsidRDefault="001947F4"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Autoridad Bancaria Europea</w:t>
      </w:r>
    </w:p>
    <w:p w14:paraId="20A5C72A" w14:textId="42D758DF" w:rsidR="001947F4" w:rsidRPr="00CF1B34" w:rsidRDefault="001947F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Se planea crear la </w:t>
      </w:r>
      <w:r w:rsidRPr="00CF1B34">
        <w:rPr>
          <w:rStyle w:val="Textoennegrita"/>
          <w:rFonts w:ascii="Arial" w:hAnsi="Arial" w:cs="Arial"/>
          <w:color w:val="333333"/>
          <w:sz w:val="22"/>
          <w:szCs w:val="22"/>
          <w:lang w:val="es-ES_tradnl"/>
        </w:rPr>
        <w:t>Autoridad Bancaria Europea (ABE)</w:t>
      </w:r>
      <w:r w:rsidRPr="00CF1B34">
        <w:rPr>
          <w:rFonts w:ascii="Arial" w:hAnsi="Arial" w:cs="Arial"/>
          <w:color w:val="333333"/>
          <w:sz w:val="22"/>
          <w:szCs w:val="22"/>
          <w:lang w:val="es-ES_tradnl"/>
        </w:rPr>
        <w:t xml:space="preserve"> o, en inglés la </w:t>
      </w:r>
      <w:r w:rsidRPr="00CF1B34">
        <w:rPr>
          <w:rStyle w:val="nfasis"/>
          <w:rFonts w:ascii="Arial" w:hAnsi="Arial" w:cs="Arial"/>
          <w:color w:val="333333"/>
          <w:sz w:val="22"/>
          <w:szCs w:val="22"/>
          <w:lang w:val="es-ES_tradnl"/>
        </w:rPr>
        <w:t>European Bank Authority (EBA)</w:t>
      </w:r>
      <w:r w:rsidRPr="00CF1B34">
        <w:rPr>
          <w:rFonts w:ascii="Arial" w:hAnsi="Arial" w:cs="Arial"/>
          <w:color w:val="333333"/>
          <w:sz w:val="22"/>
          <w:szCs w:val="22"/>
          <w:lang w:val="es-ES_tradnl"/>
        </w:rPr>
        <w:t>, con el objetivo de</w:t>
      </w:r>
      <w:r w:rsidRPr="00CF1B34">
        <w:rPr>
          <w:rStyle w:val="Textoennegrita"/>
          <w:rFonts w:ascii="Arial" w:hAnsi="Arial" w:cs="Arial"/>
          <w:color w:val="333333"/>
          <w:sz w:val="22"/>
          <w:szCs w:val="22"/>
          <w:lang w:val="es-ES_tradnl"/>
        </w:rPr>
        <w:t xml:space="preserve"> subsanar las deficiencias de la supervisión financiera europea</w:t>
      </w:r>
      <w:r w:rsidRPr="00CF1B34">
        <w:rPr>
          <w:rFonts w:ascii="Arial" w:hAnsi="Arial" w:cs="Arial"/>
          <w:color w:val="333333"/>
          <w:sz w:val="22"/>
          <w:szCs w:val="22"/>
          <w:lang w:val="es-ES_tradnl"/>
        </w:rPr>
        <w:t xml:space="preserve">, que aparecieron después de la reciente </w:t>
      </w:r>
      <w:hyperlink r:id="rId44" w:history="1">
        <w:r w:rsidRPr="00CF1B34">
          <w:rPr>
            <w:rStyle w:val="Hipervnculo"/>
            <w:rFonts w:ascii="Arial" w:hAnsi="Arial" w:cs="Arial"/>
            <w:color w:val="DC143C"/>
            <w:sz w:val="22"/>
            <w:szCs w:val="22"/>
            <w:lang w:val="es-ES_tradnl"/>
          </w:rPr>
          <w:t>crisis financiera</w:t>
        </w:r>
      </w:hyperlink>
      <w:r w:rsidRPr="00CF1B34">
        <w:rPr>
          <w:rFonts w:ascii="Arial" w:hAnsi="Arial" w:cs="Arial"/>
          <w:color w:val="333333"/>
          <w:sz w:val="22"/>
          <w:szCs w:val="22"/>
          <w:lang w:val="es-ES_tradnl"/>
        </w:rPr>
        <w:t>.</w:t>
      </w:r>
    </w:p>
    <w:p w14:paraId="12D6561A" w14:textId="03E169B3" w:rsidR="001947F4" w:rsidRPr="00CF1B34" w:rsidRDefault="001947F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En base a lo dicho, la </w:t>
      </w:r>
      <w:hyperlink r:id="rId45" w:history="1">
        <w:r w:rsidRPr="00CF1B34">
          <w:rPr>
            <w:rStyle w:val="Hipervnculo"/>
            <w:rFonts w:ascii="Arial" w:hAnsi="Arial" w:cs="Arial"/>
            <w:color w:val="DC143C"/>
            <w:sz w:val="22"/>
            <w:szCs w:val="22"/>
            <w:lang w:val="es-ES_tradnl"/>
          </w:rPr>
          <w:t>Comisión de la Unión</w:t>
        </w:r>
      </w:hyperlink>
      <w:r w:rsidRPr="00CF1B34">
        <w:rPr>
          <w:rFonts w:ascii="Arial" w:hAnsi="Arial" w:cs="Arial"/>
          <w:color w:val="333333"/>
          <w:sz w:val="22"/>
          <w:szCs w:val="22"/>
          <w:lang w:val="es-ES_tradnl"/>
        </w:rPr>
        <w:t xml:space="preserve"> ha presentado una batería de propuestas para establecer un sistema europeo de supervisión más eficiente, integrado y sostenible.</w:t>
      </w:r>
    </w:p>
    <w:p w14:paraId="571FE15F" w14:textId="77777777" w:rsidR="001947F4" w:rsidRPr="00CF1B34" w:rsidRDefault="001947F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Asimismo, se basará en un </w:t>
      </w:r>
      <w:hyperlink r:id="rId46" w:history="1">
        <w:r w:rsidRPr="00CF1B34">
          <w:rPr>
            <w:rStyle w:val="Hipervnculo"/>
            <w:rFonts w:ascii="Arial" w:hAnsi="Arial" w:cs="Arial"/>
            <w:b/>
            <w:bCs/>
            <w:color w:val="DC143C"/>
            <w:sz w:val="22"/>
            <w:szCs w:val="22"/>
            <w:lang w:val="es-ES_tradnl"/>
          </w:rPr>
          <w:t>Sistema Europeo de Supervisores Financieros</w:t>
        </w:r>
      </w:hyperlink>
      <w:r w:rsidRPr="00CF1B34">
        <w:rPr>
          <w:rStyle w:val="Textoennegrita"/>
          <w:rFonts w:ascii="Arial" w:hAnsi="Arial" w:cs="Arial"/>
          <w:color w:val="333333"/>
          <w:sz w:val="22"/>
          <w:szCs w:val="22"/>
          <w:lang w:val="es-ES_tradnl"/>
        </w:rPr>
        <w:t xml:space="preserve"> (SESF),</w:t>
      </w:r>
      <w:r w:rsidRPr="00CF1B34">
        <w:rPr>
          <w:rFonts w:ascii="Arial" w:hAnsi="Arial" w:cs="Arial"/>
          <w:color w:val="333333"/>
          <w:sz w:val="22"/>
          <w:szCs w:val="22"/>
          <w:lang w:val="es-ES_tradnl"/>
        </w:rPr>
        <w:t xml:space="preserve"> el cual consta de una red de supervisores financieros nacionales que laborarán en coordinación con las nuevas </w:t>
      </w:r>
      <w:r w:rsidRPr="00CF1B34">
        <w:rPr>
          <w:rStyle w:val="Textoennegrita"/>
          <w:rFonts w:ascii="Arial" w:hAnsi="Arial" w:cs="Arial"/>
          <w:color w:val="333333"/>
          <w:sz w:val="22"/>
          <w:szCs w:val="22"/>
          <w:lang w:val="es-ES_tradnl"/>
        </w:rPr>
        <w:t>Autoridades Europeas de Supervisión (AES).</w:t>
      </w:r>
    </w:p>
    <w:p w14:paraId="2E341F73" w14:textId="6B7779D2" w:rsidR="00EE1E4E" w:rsidRPr="00CF1B34" w:rsidRDefault="00EE1E4E"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Autorizado de una cuenta</w:t>
      </w:r>
    </w:p>
    <w:p w14:paraId="20A74656" w14:textId="2FD2C5E8" w:rsidR="00EE1E4E" w:rsidRPr="00CF1B34" w:rsidRDefault="00EE1E4E" w:rsidP="0005621A">
      <w:pPr>
        <w:ind w:left="708"/>
        <w:jc w:val="both"/>
        <w:rPr>
          <w:rFonts w:ascii="Arial" w:hAnsi="Arial" w:cs="Arial"/>
          <w:sz w:val="22"/>
          <w:szCs w:val="22"/>
          <w:lang w:val="es-ES_tradnl"/>
        </w:rPr>
      </w:pPr>
      <w:r w:rsidRPr="00CF1B34">
        <w:rPr>
          <w:rFonts w:ascii="Arial" w:hAnsi="Arial" w:cs="Arial"/>
          <w:sz w:val="22"/>
          <w:szCs w:val="22"/>
          <w:lang w:val="es-ES_tradnl"/>
        </w:rPr>
        <w:t>El autorizado de una</w:t>
      </w:r>
      <w:r w:rsidR="00EF672B" w:rsidRPr="00CF1B34">
        <w:rPr>
          <w:rStyle w:val="apple-converted-space"/>
          <w:rFonts w:ascii="Arial" w:hAnsi="Arial" w:cs="Arial"/>
          <w:sz w:val="22"/>
          <w:szCs w:val="22"/>
          <w:lang w:val="es-ES_tradnl"/>
        </w:rPr>
        <w:t xml:space="preserve"> </w:t>
      </w:r>
      <w:hyperlink r:id="rId47" w:history="1">
        <w:r w:rsidRPr="00CF1B34">
          <w:rPr>
            <w:rStyle w:val="Hipervnculo"/>
            <w:rFonts w:ascii="Arial" w:hAnsi="Arial" w:cs="Arial"/>
            <w:b/>
            <w:bCs/>
            <w:color w:val="2F5496" w:themeColor="accent1" w:themeShade="BF"/>
            <w:sz w:val="22"/>
            <w:szCs w:val="22"/>
            <w:lang w:val="es-ES_tradnl"/>
          </w:rPr>
          <w:t>cuenta bancaria</w:t>
        </w:r>
      </w:hyperlink>
      <w:r w:rsidR="00EF672B" w:rsidRPr="00CF1B34">
        <w:rPr>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es aquella persona a quien el titular nombra para que pueda disponer de los fondos en su nombre. Realmente no se trata del propietario, por lo que no tendrá que responder por las deudas o patrimonio de la cuenta.</w:t>
      </w:r>
    </w:p>
    <w:p w14:paraId="042AF537" w14:textId="5549421B" w:rsidR="00EE1E4E" w:rsidRPr="00CF1B34" w:rsidRDefault="00EE1E4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cambio, este sujeto podrá realizar gran parte de la operativa diaria que una cuenta permite: disponer del saldo, firmar talones y reintegros, realizar transferencias y traspasos... Además, podrá solicitar información sin contar con la aprobación del titular; recordemos que en muchos casos estos representantes son nombrados cuando los titulares no se encuentran en facultades de decidir u operar en la cuenta (por enfermedad grave, defunción, etc.).</w:t>
      </w:r>
    </w:p>
    <w:p w14:paraId="26067662" w14:textId="65604522" w:rsidR="00EE1E4E" w:rsidRPr="00CF1B34" w:rsidRDefault="00EE1E4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Lo que no podrá hacer un autorizado es cancelar algún producto del titular, bloquear o modificar los requisitos de la cuenta; solicitar tarjetas de débito o crédito a su nombre, o incluso disponer de la misma en caso de que el titular fallezca.</w:t>
      </w:r>
    </w:p>
    <w:p w14:paraId="485A8C65" w14:textId="66A3692B"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Aval</w:t>
      </w:r>
    </w:p>
    <w:p w14:paraId="54C8DC5A" w14:textId="0625F9C7" w:rsidR="000B61DA" w:rsidRPr="00CF1B34" w:rsidRDefault="000B61DA"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Garantía presentada por un tercero (avalista) que se obliga a pagar o cumplir un compromiso comercial, en el caso de que no pueda cumplirlo el que lo asumió. En el ámbito del mercado de valores, un ejemplo de aval se da en las ofertas públicas de adquisición (OPA): es obligatorio que el oferente presente un aval para asegurar el pago a los accionistas que acudan a la oferta. En este caso los avalistas suelen ser una o varias entidades de crédito, que proporcionan el efectivo necesario para liquidar la operación.</w:t>
      </w:r>
      <w:r w:rsidR="00871D2D" w:rsidRPr="00CF1B34">
        <w:rPr>
          <w:rFonts w:ascii="Arial" w:hAnsi="Arial" w:cs="Arial"/>
          <w:color w:val="212529"/>
          <w:sz w:val="22"/>
          <w:szCs w:val="22"/>
          <w:lang w:val="es-ES_tradnl"/>
        </w:rPr>
        <w:t xml:space="preserve"> </w:t>
      </w:r>
      <w:hyperlink r:id="rId48" w:tgtFrame="_self" w:history="1">
        <w:r w:rsidRPr="00CF1B34">
          <w:rPr>
            <w:rFonts w:ascii="Arial" w:hAnsi="Arial" w:cs="Arial"/>
            <w:b/>
            <w:bCs/>
            <w:color w:val="2F5496" w:themeColor="accent1" w:themeShade="BF"/>
            <w:sz w:val="22"/>
            <w:szCs w:val="22"/>
            <w:u w:val="single"/>
            <w:lang w:val="es-ES_tradnl"/>
          </w:rPr>
          <w:t>Ver oferta pública de adquisición</w:t>
        </w:r>
      </w:hyperlink>
      <w:r w:rsidRPr="00CF1B34">
        <w:rPr>
          <w:rFonts w:ascii="Arial" w:hAnsi="Arial" w:cs="Arial"/>
          <w:color w:val="2F5496" w:themeColor="accent1" w:themeShade="BF"/>
          <w:sz w:val="22"/>
          <w:szCs w:val="22"/>
          <w:lang w:val="es-ES_tradnl"/>
        </w:rPr>
        <w:t>. </w:t>
      </w:r>
    </w:p>
    <w:p w14:paraId="649B819D" w14:textId="502F6D61" w:rsidR="00871D2D" w:rsidRPr="00CF1B34" w:rsidRDefault="00871D2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Avalista (hipotecas)</w:t>
      </w:r>
    </w:p>
    <w:p w14:paraId="5B64F2FB" w14:textId="13A0AB9A" w:rsidR="00871D2D" w:rsidRPr="00CF1B34" w:rsidRDefault="00871D2D" w:rsidP="0005621A">
      <w:pPr>
        <w:pStyle w:val="NormalWeb"/>
        <w:shd w:val="clear" w:color="auto" w:fill="FFFFFF"/>
        <w:spacing w:before="0" w:beforeAutospacing="0" w:after="165" w:afterAutospacing="0"/>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Los </w:t>
      </w:r>
      <w:r w:rsidRPr="00CF1B34">
        <w:rPr>
          <w:rStyle w:val="Textoennegrita"/>
          <w:rFonts w:ascii="Arial" w:hAnsi="Arial" w:cs="Arial"/>
          <w:color w:val="333333"/>
          <w:sz w:val="22"/>
          <w:szCs w:val="22"/>
          <w:lang w:val="es-ES_tradnl"/>
        </w:rPr>
        <w:t>bancos suelen exigir un avalista en hipotecas</w:t>
      </w:r>
      <w:r w:rsidRPr="00CF1B34">
        <w:rPr>
          <w:rFonts w:ascii="Arial" w:hAnsi="Arial" w:cs="Arial"/>
          <w:color w:val="333333"/>
          <w:sz w:val="22"/>
          <w:szCs w:val="22"/>
          <w:lang w:val="es-ES_tradnl"/>
        </w:rPr>
        <w:t xml:space="preserve"> cuando la persona a la que se le concede el crédito a </w:t>
      </w:r>
      <w:r w:rsidRPr="00CF1B34">
        <w:rPr>
          <w:rStyle w:val="Textoennegrita"/>
          <w:rFonts w:ascii="Arial" w:hAnsi="Arial" w:cs="Arial"/>
          <w:color w:val="333333"/>
          <w:sz w:val="22"/>
          <w:szCs w:val="22"/>
          <w:lang w:val="es-ES_tradnl"/>
        </w:rPr>
        <w:t>personas de poca solvencia</w:t>
      </w:r>
      <w:r w:rsidRPr="00CF1B34">
        <w:rPr>
          <w:rFonts w:ascii="Arial" w:hAnsi="Arial" w:cs="Arial"/>
          <w:color w:val="333333"/>
          <w:sz w:val="22"/>
          <w:szCs w:val="22"/>
          <w:lang w:val="es-ES_tradnl"/>
        </w:rPr>
        <w:t xml:space="preserve">, cuando </w:t>
      </w:r>
      <w:r w:rsidRPr="00CF1B34">
        <w:rPr>
          <w:rStyle w:val="Textoennegrita"/>
          <w:rFonts w:ascii="Arial" w:hAnsi="Arial" w:cs="Arial"/>
          <w:color w:val="333333"/>
          <w:sz w:val="22"/>
          <w:szCs w:val="22"/>
          <w:lang w:val="es-ES_tradnl"/>
        </w:rPr>
        <w:t>no tiene domiciliada la nómina</w:t>
      </w:r>
      <w:r w:rsidRPr="00CF1B34">
        <w:rPr>
          <w:rFonts w:ascii="Arial" w:hAnsi="Arial" w:cs="Arial"/>
          <w:color w:val="333333"/>
          <w:sz w:val="22"/>
          <w:szCs w:val="22"/>
          <w:lang w:val="es-ES_tradnl"/>
        </w:rPr>
        <w:t xml:space="preserve"> en esa entidad o cuando el </w:t>
      </w:r>
      <w:r w:rsidRPr="00CF1B34">
        <w:rPr>
          <w:rStyle w:val="Textoennegrita"/>
          <w:rFonts w:ascii="Arial" w:hAnsi="Arial" w:cs="Arial"/>
          <w:color w:val="333333"/>
          <w:sz w:val="22"/>
          <w:szCs w:val="22"/>
          <w:lang w:val="es-ES_tradnl"/>
        </w:rPr>
        <w:t>porcentaje de financiación supere el máximo estándar</w:t>
      </w:r>
      <w:r w:rsidRPr="00CF1B34">
        <w:rPr>
          <w:rFonts w:ascii="Arial" w:hAnsi="Arial" w:cs="Arial"/>
          <w:color w:val="333333"/>
          <w:sz w:val="22"/>
          <w:szCs w:val="22"/>
          <w:lang w:val="es-ES_tradnl"/>
        </w:rPr>
        <w:t xml:space="preserve"> (las </w:t>
      </w:r>
      <w:r w:rsidR="0007740B"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 xml:space="preserve">denominadas </w:t>
      </w:r>
      <w:hyperlink r:id="rId49" w:history="1">
        <w:r w:rsidRPr="00CF1B34">
          <w:rPr>
            <w:rStyle w:val="Hipervnculo"/>
            <w:rFonts w:ascii="Arial" w:hAnsi="Arial" w:cs="Arial"/>
            <w:color w:val="DC143C"/>
            <w:sz w:val="22"/>
            <w:szCs w:val="22"/>
            <w:lang w:val="es-ES_tradnl"/>
          </w:rPr>
          <w:t>hipotecas 100</w:t>
        </w:r>
      </w:hyperlink>
      <w:r w:rsidRPr="00CF1B34">
        <w:rPr>
          <w:rFonts w:ascii="Arial" w:hAnsi="Arial" w:cs="Arial"/>
          <w:color w:val="333333"/>
          <w:sz w:val="22"/>
          <w:szCs w:val="22"/>
          <w:lang w:val="es-ES_tradnl"/>
        </w:rPr>
        <w:t xml:space="preserve"> que superan el 80% del valor de la </w:t>
      </w:r>
      <w:proofErr w:type="gramStart"/>
      <w:r w:rsidRPr="00CF1B34">
        <w:rPr>
          <w:rFonts w:ascii="Arial" w:hAnsi="Arial" w:cs="Arial"/>
          <w:color w:val="333333"/>
          <w:sz w:val="22"/>
          <w:szCs w:val="22"/>
          <w:lang w:val="es-ES_tradnl"/>
        </w:rPr>
        <w:t>vivienda )</w:t>
      </w:r>
      <w:proofErr w:type="gramEnd"/>
      <w:r w:rsidRPr="00CF1B34">
        <w:rPr>
          <w:rFonts w:ascii="Arial" w:hAnsi="Arial" w:cs="Arial"/>
          <w:color w:val="333333"/>
          <w:sz w:val="22"/>
          <w:szCs w:val="22"/>
          <w:lang w:val="es-ES_tradnl"/>
        </w:rPr>
        <w:t>.</w:t>
      </w:r>
    </w:p>
    <w:p w14:paraId="4ACA6ECF" w14:textId="77777777" w:rsidR="00871D2D" w:rsidRPr="00CF1B34" w:rsidRDefault="00871D2D" w:rsidP="0005621A">
      <w:pPr>
        <w:pStyle w:val="NormalWeb"/>
        <w:shd w:val="clear" w:color="auto" w:fill="FFFFFF"/>
        <w:spacing w:before="0" w:beforeAutospacing="0" w:after="165" w:afterAutospacing="0"/>
        <w:jc w:val="both"/>
        <w:rPr>
          <w:rFonts w:ascii="Arial" w:hAnsi="Arial" w:cs="Arial"/>
          <w:color w:val="333333"/>
          <w:sz w:val="22"/>
          <w:szCs w:val="22"/>
          <w:lang w:val="es-ES_tradnl"/>
        </w:rPr>
      </w:pPr>
      <w:r w:rsidRPr="00CF1B34">
        <w:rPr>
          <w:rFonts w:ascii="Arial" w:hAnsi="Arial" w:cs="Arial"/>
          <w:color w:val="333333"/>
          <w:sz w:val="22"/>
          <w:szCs w:val="22"/>
          <w:lang w:val="es-ES_tradnl"/>
        </w:rPr>
        <w:t>Consejos para avalistas:</w:t>
      </w:r>
    </w:p>
    <w:p w14:paraId="5309DD0E" w14:textId="77777777" w:rsidR="00871D2D" w:rsidRPr="00CF1B34" w:rsidRDefault="00871D2D" w:rsidP="004F7A62">
      <w:pPr>
        <w:numPr>
          <w:ilvl w:val="0"/>
          <w:numId w:val="10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En primer </w:t>
      </w:r>
      <w:proofErr w:type="gramStart"/>
      <w:r w:rsidRPr="00CF1B34">
        <w:rPr>
          <w:rFonts w:ascii="Arial" w:hAnsi="Arial" w:cs="Arial"/>
          <w:color w:val="333333"/>
          <w:sz w:val="22"/>
          <w:szCs w:val="22"/>
          <w:lang w:val="es-ES_tradnl"/>
        </w:rPr>
        <w:t>lugar</w:t>
      </w:r>
      <w:proofErr w:type="gramEnd"/>
      <w:r w:rsidRPr="00CF1B34">
        <w:rPr>
          <w:rFonts w:ascii="Arial" w:hAnsi="Arial" w:cs="Arial"/>
          <w:color w:val="333333"/>
          <w:sz w:val="22"/>
          <w:szCs w:val="22"/>
          <w:lang w:val="es-ES_tradnl"/>
        </w:rPr>
        <w:t xml:space="preserve"> debe saber que el avalista, aunque no debe enfrentar deudas, compromete su patrimonio y puede impedirle acceder a financiación.</w:t>
      </w:r>
    </w:p>
    <w:p w14:paraId="3C724478" w14:textId="49C5E65E" w:rsidR="00871D2D" w:rsidRPr="00CF1B34" w:rsidRDefault="00871D2D" w:rsidP="004F7A62">
      <w:pPr>
        <w:numPr>
          <w:ilvl w:val="0"/>
          <w:numId w:val="10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El avalista sólo pagará si el banco no logra cobrar del titular del préstamo.</w:t>
      </w:r>
    </w:p>
    <w:p w14:paraId="06B97608" w14:textId="15547CB2" w:rsidR="00871D2D" w:rsidRPr="00CF1B34" w:rsidRDefault="00871D2D" w:rsidP="004F7A62">
      <w:pPr>
        <w:numPr>
          <w:ilvl w:val="0"/>
          <w:numId w:val="10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Puede que la entidad financiera pida al avalista un depósito en el banco. Existe una ‘cláusula de compensación de deudas y créditos’ que utiliza el banco a través de un cobro automático de la deuda con el saldo del avalista.</w:t>
      </w:r>
    </w:p>
    <w:p w14:paraId="13F1BA7F" w14:textId="1EF6CA79" w:rsidR="00871D2D" w:rsidRPr="00CF1B34" w:rsidRDefault="00871D2D" w:rsidP="004F7A62">
      <w:pPr>
        <w:numPr>
          <w:ilvl w:val="0"/>
          <w:numId w:val="10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En caso de que el titular del préstamo y el banco quieren cambiar las condiciones del mismo, existen dos opciones, si se modifica a cuantía del préstamo y el tipo de interés, el avalista debe ser informado y decidirá si acepta o no el cambio. Pero si la entidad extiende el plazo para pagar, el avalista no tiene ni por qué enterarse de esta concesión.</w:t>
      </w:r>
    </w:p>
    <w:p w14:paraId="3B8C4658" w14:textId="4242AA15" w:rsidR="00871D2D" w:rsidRPr="00CF1B34" w:rsidRDefault="00871D2D" w:rsidP="004F7A62">
      <w:pPr>
        <w:numPr>
          <w:ilvl w:val="0"/>
          <w:numId w:val="10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Si fallece el avalista. En principio, quien acepta la herencia asume el aval. Como excepción está el hecho de que el avalado sea el heredero, con lo que el contrato se extinguiría.</w:t>
      </w:r>
    </w:p>
    <w:p w14:paraId="0F737E41" w14:textId="77777777" w:rsidR="00871D2D" w:rsidRPr="00CF1B34" w:rsidRDefault="00871D2D" w:rsidP="004F7A62">
      <w:pPr>
        <w:numPr>
          <w:ilvl w:val="0"/>
          <w:numId w:val="10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Si el avalista </w:t>
      </w:r>
      <w:proofErr w:type="gramStart"/>
      <w:r w:rsidRPr="00CF1B34">
        <w:rPr>
          <w:rFonts w:ascii="Arial" w:hAnsi="Arial" w:cs="Arial"/>
          <w:color w:val="333333"/>
          <w:sz w:val="22"/>
          <w:szCs w:val="22"/>
          <w:lang w:val="es-ES_tradnl"/>
        </w:rPr>
        <w:t>paga</w:t>
      </w:r>
      <w:proofErr w:type="gramEnd"/>
      <w:r w:rsidRPr="00CF1B34">
        <w:rPr>
          <w:rFonts w:ascii="Arial" w:hAnsi="Arial" w:cs="Arial"/>
          <w:color w:val="333333"/>
          <w:sz w:val="22"/>
          <w:szCs w:val="22"/>
          <w:lang w:val="es-ES_tradnl"/>
        </w:rPr>
        <w:t xml:space="preserve"> pero no le devuelven el dinero, tiene derecho a subrogarse en la hipoteca, lo que significa que podría pedir la venta del piso para cobrar el aval.</w:t>
      </w:r>
    </w:p>
    <w:p w14:paraId="5CBF46BF" w14:textId="1756658E" w:rsidR="00871D2D" w:rsidRPr="00CF1B34" w:rsidRDefault="00871D2D" w:rsidP="004F7A62">
      <w:pPr>
        <w:numPr>
          <w:ilvl w:val="0"/>
          <w:numId w:val="10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Si los padres son avalistas de sus hijos, en la compra de una casa para ellos a los hijos. Si el hijo no devuelve el dinero al padre que le avaló se produce una donación.</w:t>
      </w:r>
    </w:p>
    <w:p w14:paraId="52F1DCE9" w14:textId="77777777" w:rsidR="00871D2D" w:rsidRPr="00CF1B34" w:rsidRDefault="00871D2D" w:rsidP="004F7A62">
      <w:pPr>
        <w:pStyle w:val="Prrafodelista"/>
        <w:numPr>
          <w:ilvl w:val="0"/>
          <w:numId w:val="101"/>
        </w:numPr>
        <w:pBdr>
          <w:bottom w:val="dotted" w:sz="12" w:space="12" w:color="666666"/>
        </w:pBdr>
        <w:spacing w:after="240"/>
        <w:jc w:val="both"/>
        <w:rPr>
          <w:rFonts w:ascii="Arial" w:hAnsi="Arial" w:cs="Arial"/>
          <w:color w:val="212529"/>
          <w:sz w:val="22"/>
          <w:szCs w:val="22"/>
          <w:lang w:val="es-ES_tradnl"/>
        </w:rPr>
      </w:pPr>
    </w:p>
    <w:p w14:paraId="6882A7F0" w14:textId="77777777" w:rsidR="00871D2D" w:rsidRPr="00CF1B34" w:rsidRDefault="00871D2D" w:rsidP="0005621A">
      <w:pPr>
        <w:pStyle w:val="Prrafodelista"/>
        <w:jc w:val="both"/>
        <w:rPr>
          <w:rFonts w:ascii="Arial" w:hAnsi="Arial" w:cs="Arial"/>
          <w:sz w:val="22"/>
          <w:szCs w:val="22"/>
          <w:lang w:val="es-ES_tradnl"/>
        </w:rPr>
      </w:pPr>
    </w:p>
    <w:p w14:paraId="38BA447C" w14:textId="17A602D7" w:rsidR="000B61DA" w:rsidRPr="00CF1B34" w:rsidRDefault="000B6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Aversión al riesgo</w:t>
      </w:r>
    </w:p>
    <w:p w14:paraId="5CE21014" w14:textId="307D0B66" w:rsidR="000B61DA" w:rsidRPr="00CF1B34" w:rsidRDefault="000B6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actitud de rechazo que experimenta un inversor ante el riesgo financiero, en concreto ante la posibilidad de sufrir pérdidas en el valor de sus activos. El grado de aversión al riesgo determina el perfil del inversor (conservador, medio, arriesgado) y debe ser el punto de partida para elegir un producto de inversión. Por ejemplo, una persona con elevada aversión al riesgo (perfil conservador) tenderá a elegir productos con rendimientos esperados menores, pero más estables. Por el contrario, un inversor arriesgado estará más dispuesto a sufrir eventuales pérdidas a cambio de la posibilidad de obtener beneficios superiores.</w:t>
      </w:r>
      <w:r w:rsidR="00E124CE" w:rsidRPr="00CF1B34">
        <w:rPr>
          <w:rFonts w:ascii="Arial" w:hAnsi="Arial" w:cs="Arial"/>
          <w:color w:val="212529"/>
          <w:sz w:val="22"/>
          <w:szCs w:val="22"/>
          <w:lang w:val="es-ES_tradnl"/>
        </w:rPr>
        <w:t xml:space="preserve"> </w:t>
      </w:r>
      <w:hyperlink r:id="rId50" w:tgtFrame="_self" w:history="1">
        <w:r w:rsidRPr="00CF1B34">
          <w:rPr>
            <w:rFonts w:ascii="Arial" w:hAnsi="Arial" w:cs="Arial"/>
            <w:b/>
            <w:bCs/>
            <w:color w:val="2F5496" w:themeColor="accent1" w:themeShade="BF"/>
            <w:sz w:val="22"/>
            <w:szCs w:val="22"/>
            <w:u w:val="single"/>
            <w:lang w:val="es-ES_tradnl"/>
          </w:rPr>
          <w:t>Ver Riesgo</w:t>
        </w:r>
      </w:hyperlink>
      <w:r w:rsidRPr="00CF1B34">
        <w:rPr>
          <w:rFonts w:ascii="Arial" w:hAnsi="Arial" w:cs="Arial"/>
          <w:color w:val="2F5496" w:themeColor="accent1" w:themeShade="BF"/>
          <w:sz w:val="22"/>
          <w:szCs w:val="22"/>
          <w:lang w:val="es-ES_tradnl"/>
        </w:rPr>
        <w:t>.</w:t>
      </w:r>
    </w:p>
    <w:p w14:paraId="15133B4C" w14:textId="711203FB" w:rsidR="00B65466" w:rsidRPr="00CF1B34" w:rsidRDefault="00B65466" w:rsidP="0005621A">
      <w:pPr>
        <w:jc w:val="both"/>
        <w:rPr>
          <w:rFonts w:ascii="Arial" w:hAnsi="Arial" w:cs="Arial"/>
          <w:sz w:val="22"/>
          <w:szCs w:val="22"/>
          <w:lang w:val="es-ES_tradnl"/>
        </w:rPr>
      </w:pPr>
    </w:p>
    <w:p w14:paraId="5B2FA3E6" w14:textId="77777777" w:rsidR="00871D2D" w:rsidRPr="00CF1B34" w:rsidRDefault="00871D2D" w:rsidP="0005621A">
      <w:pPr>
        <w:jc w:val="both"/>
        <w:rPr>
          <w:rFonts w:ascii="Arial" w:hAnsi="Arial" w:cs="Arial"/>
          <w:sz w:val="22"/>
          <w:szCs w:val="22"/>
          <w:lang w:val="es-ES_tradnl"/>
        </w:rPr>
      </w:pPr>
    </w:p>
    <w:p w14:paraId="6ED336E4" w14:textId="6DFD66EB" w:rsidR="001E0728" w:rsidRPr="00CF1B34" w:rsidRDefault="001E0728" w:rsidP="0005621A">
      <w:pPr>
        <w:jc w:val="both"/>
        <w:rPr>
          <w:rFonts w:ascii="Arial" w:hAnsi="Arial" w:cs="Arial"/>
          <w:color w:val="1F3864" w:themeColor="accent1" w:themeShade="80"/>
          <w:sz w:val="32"/>
          <w:szCs w:val="32"/>
          <w:lang w:val="es-ES_tradnl"/>
        </w:rPr>
      </w:pPr>
      <w:r w:rsidRPr="00CF1B34">
        <w:rPr>
          <w:rFonts w:ascii="Arial" w:hAnsi="Arial" w:cs="Arial"/>
          <w:color w:val="1F3864" w:themeColor="accent1" w:themeShade="80"/>
          <w:sz w:val="32"/>
          <w:szCs w:val="32"/>
          <w:lang w:val="es-ES_tradnl"/>
        </w:rPr>
        <w:t>B</w:t>
      </w:r>
    </w:p>
    <w:p w14:paraId="3831EA7C" w14:textId="79F1EA20" w:rsidR="001E0728" w:rsidRPr="00CF1B34" w:rsidRDefault="001E0728" w:rsidP="0005621A">
      <w:pPr>
        <w:jc w:val="both"/>
        <w:rPr>
          <w:rFonts w:ascii="Arial" w:hAnsi="Arial" w:cs="Arial"/>
          <w:sz w:val="22"/>
          <w:szCs w:val="22"/>
          <w:lang w:val="es-ES_tradnl"/>
        </w:rPr>
      </w:pPr>
    </w:p>
    <w:p w14:paraId="50AFD518" w14:textId="77777777" w:rsidR="003934F4" w:rsidRPr="00CF1B34" w:rsidRDefault="003934F4" w:rsidP="0005621A">
      <w:pPr>
        <w:jc w:val="both"/>
        <w:rPr>
          <w:rFonts w:ascii="Arial" w:hAnsi="Arial" w:cs="Arial"/>
          <w:sz w:val="22"/>
          <w:szCs w:val="22"/>
          <w:lang w:val="es-ES_tradnl"/>
        </w:rPr>
      </w:pPr>
    </w:p>
    <w:p w14:paraId="0B3A4773" w14:textId="4080BA27" w:rsidR="003934F4" w:rsidRPr="00CF1B34" w:rsidRDefault="003934F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Back Office</w:t>
      </w:r>
    </w:p>
    <w:p w14:paraId="2572401D" w14:textId="065A7F9A" w:rsidR="003934F4" w:rsidRPr="00CF1B34" w:rsidRDefault="00F714E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actividades contables</w:t>
      </w:r>
      <w:r w:rsidR="0059480C" w:rsidRPr="00CF1B34">
        <w:rPr>
          <w:rFonts w:ascii="Arial" w:hAnsi="Arial" w:cs="Arial"/>
          <w:color w:val="212529"/>
          <w:sz w:val="22"/>
          <w:szCs w:val="22"/>
          <w:lang w:val="es-ES_tradnl"/>
        </w:rPr>
        <w:t xml:space="preserve">, financieras y administrativas generadas por la confirmación escrita de una operación negociada por los agentes del Front Office de una sociedad </w:t>
      </w:r>
      <w:r w:rsidR="006A5B9B" w:rsidRPr="00CF1B34">
        <w:rPr>
          <w:rFonts w:ascii="Arial" w:hAnsi="Arial" w:cs="Arial"/>
          <w:color w:val="212529"/>
          <w:sz w:val="22"/>
          <w:szCs w:val="22"/>
          <w:lang w:val="es-ES_tradnl"/>
        </w:rPr>
        <w:t>bursátil.</w:t>
      </w:r>
    </w:p>
    <w:p w14:paraId="2A2E0E8C" w14:textId="2AF4A5D0" w:rsidR="006A5B9B" w:rsidRPr="00CF1B34" w:rsidRDefault="006A5B9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Backwardation </w:t>
      </w:r>
    </w:p>
    <w:p w14:paraId="4A2A6E90" w14:textId="77777777" w:rsidR="006A5B9B" w:rsidRPr="00CF1B34" w:rsidRDefault="006A5B9B"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b w:val="0"/>
          <w:bCs w:val="0"/>
          <w:color w:val="333333"/>
          <w:sz w:val="22"/>
          <w:szCs w:val="22"/>
          <w:lang w:val="es-ES_tradnl"/>
        </w:rPr>
        <w:t>Backwardation, literalmente, significa una pendiente descendente con curva hacia adelante (como en una curva de rendimientos invertida). Un backwardation comienza cuando la diferencia entre el precio a plazo y el precio de contado es inferior al costo, o cuando no hay arbitraje de la entrega porque el activo no está disponible para su compra. La condición de mercado frente a backwardation es conocida como aplazamiento de pago, en el que el precio de contado es inferior al precio a plazo.</w:t>
      </w:r>
    </w:p>
    <w:p w14:paraId="59803B17" w14:textId="136CFB5B"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BAI, Beneficio antes de impuestos o beneficio bruto</w:t>
      </w:r>
    </w:p>
    <w:p w14:paraId="2767D45F"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resultado obtenido por una compañía después de restar a los ingresos todos los gastos en que se ha incurrido, con excepción del impuesto de sociedades.</w:t>
      </w:r>
    </w:p>
    <w:p w14:paraId="554B1362"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BAII, Beneficio Antes de Intereses e Impuestos</w:t>
      </w:r>
    </w:p>
    <w:p w14:paraId="3C336C65"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Dato anual que indica la eficiencia operativa de la empresa y la capacidad de los activos para generar rentas. Como no se restan los intereses ni los impuestos, el BAII no muestra el efecto del endeudamiento sobre los resultados de la empresa.</w:t>
      </w:r>
    </w:p>
    <w:p w14:paraId="73DBF44A" w14:textId="71D583EF" w:rsidR="004F1118" w:rsidRPr="00CF1B34" w:rsidRDefault="004F111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Bait</w:t>
      </w:r>
    </w:p>
    <w:p w14:paraId="3167D96F" w14:textId="77777777" w:rsidR="00C73AA3" w:rsidRPr="00CF1B34" w:rsidRDefault="004F111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Beneficio antes de intereses e impuestos. Cifra que aparece en la cuenta de perdidas y ganancias y que es utilizada en muchas herramientas de análisis. Representa los resultados de la empresa durante un ejercicio económico y no muestra los efectos del endeudamiento ni de los impuestos.</w:t>
      </w:r>
    </w:p>
    <w:p w14:paraId="42219731" w14:textId="23D2D4D5" w:rsidR="00C77A88" w:rsidRPr="00CF1B34" w:rsidRDefault="00C77A8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Baja laboral </w:t>
      </w:r>
    </w:p>
    <w:p w14:paraId="4267A3C3" w14:textId="77777777" w:rsidR="0060186F" w:rsidRPr="00CF1B34" w:rsidRDefault="00C77A88" w:rsidP="0005621A">
      <w:pPr>
        <w:pStyle w:val="Sinespaciado"/>
        <w:ind w:left="660"/>
        <w:jc w:val="both"/>
        <w:rPr>
          <w:rStyle w:val="Textoennegrita"/>
          <w:rFonts w:ascii="Arial" w:hAnsi="Arial" w:cs="Arial"/>
          <w:color w:val="4B4F58"/>
          <w:sz w:val="22"/>
          <w:szCs w:val="22"/>
          <w:lang w:val="es-ES_tradnl"/>
        </w:rPr>
      </w:pPr>
      <w:r w:rsidRPr="00CF1B34">
        <w:rPr>
          <w:rFonts w:ascii="Arial" w:hAnsi="Arial" w:cs="Arial"/>
          <w:sz w:val="22"/>
          <w:szCs w:val="22"/>
          <w:lang w:val="es-ES_tradnl"/>
        </w:rPr>
        <w:t>En primer lugar, conviene acotar el concepto de</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incapacidad temporal.</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El término se refiere a la situación en la que se encuentran los</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trabajadores</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impedidos momentáneamente para desarrollar su tarea profesional debido a</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enfermedad común o profesional o accidente,</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sea o no</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laboral,</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mientras reciban asistencia sanitaria de la</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Seguridad Social.</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También tendrán la consideración de situaciones determinantes de</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incapacidad temporal</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los períodos de observación por</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 xml:space="preserve">enfermedad </w:t>
      </w:r>
      <w:r w:rsidR="007E387F" w:rsidRPr="00CF1B34">
        <w:rPr>
          <w:rStyle w:val="Textoennegrita"/>
          <w:rFonts w:ascii="Arial" w:hAnsi="Arial" w:cs="Arial"/>
          <w:color w:val="4B4F58"/>
          <w:sz w:val="22"/>
          <w:szCs w:val="22"/>
          <w:lang w:val="es-ES_tradnl"/>
        </w:rPr>
        <w:t xml:space="preserve">professional </w:t>
      </w:r>
      <w:r w:rsidRPr="00CF1B34">
        <w:rPr>
          <w:rFonts w:ascii="Arial" w:hAnsi="Arial" w:cs="Arial"/>
          <w:sz w:val="22"/>
          <w:szCs w:val="22"/>
          <w:lang w:val="es-ES_tradnl"/>
        </w:rPr>
        <w:t>durante los que se prescriba la</w:t>
      </w:r>
      <w:r w:rsidR="0060186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baja.</w:t>
      </w:r>
    </w:p>
    <w:p w14:paraId="77AE47CC" w14:textId="72D3CCE0" w:rsidR="00C77A88" w:rsidRPr="00CF1B34" w:rsidRDefault="00C77A88" w:rsidP="0005621A">
      <w:pPr>
        <w:pStyle w:val="Sinespaciado"/>
        <w:ind w:left="660"/>
        <w:jc w:val="both"/>
        <w:rPr>
          <w:rFonts w:ascii="Arial" w:hAnsi="Arial" w:cs="Arial"/>
          <w:sz w:val="22"/>
          <w:szCs w:val="22"/>
          <w:lang w:val="es-ES_tradnl"/>
        </w:rPr>
      </w:pPr>
      <w:r w:rsidRPr="00CF1B34">
        <w:rPr>
          <w:rFonts w:ascii="Arial" w:hAnsi="Arial" w:cs="Arial"/>
          <w:sz w:val="22"/>
          <w:szCs w:val="22"/>
          <w:lang w:val="es-ES_tradnl"/>
        </w:rPr>
        <w:t>Existen diferentes</w:t>
      </w:r>
      <w:r w:rsidR="007E387F" w:rsidRPr="00CF1B34">
        <w:rPr>
          <w:rFonts w:ascii="Arial" w:hAnsi="Arial" w:cs="Arial"/>
          <w:b/>
          <w:bCs/>
          <w:sz w:val="22"/>
          <w:szCs w:val="22"/>
          <w:lang w:val="es-ES_tradnl"/>
        </w:rPr>
        <w:t xml:space="preserve"> </w:t>
      </w:r>
      <w:r w:rsidRPr="00CF1B34">
        <w:rPr>
          <w:rFonts w:ascii="Arial" w:hAnsi="Arial" w:cs="Arial"/>
          <w:b/>
          <w:bCs/>
          <w:sz w:val="22"/>
          <w:szCs w:val="22"/>
          <w:lang w:val="es-ES_tradnl"/>
        </w:rPr>
        <w:t>causas justificadas para solicitar la baja laboral</w:t>
      </w:r>
      <w:r w:rsidRPr="00CF1B34">
        <w:rPr>
          <w:rFonts w:ascii="Arial" w:hAnsi="Arial" w:cs="Arial"/>
          <w:sz w:val="22"/>
          <w:szCs w:val="22"/>
          <w:lang w:val="es-ES_tradnl"/>
        </w:rPr>
        <w:t>, pero en cualquier caso debemos ser conscientes que no podemos hacerlo por nuestra propia cuenta y riesgo.</w:t>
      </w:r>
      <w:r w:rsidR="007E387F" w:rsidRPr="00CF1B34">
        <w:rPr>
          <w:rFonts w:ascii="Arial" w:hAnsi="Arial" w:cs="Arial"/>
          <w:sz w:val="22"/>
          <w:szCs w:val="22"/>
          <w:lang w:val="es-ES_tradnl"/>
        </w:rPr>
        <w:t xml:space="preserve"> </w:t>
      </w:r>
      <w:r w:rsidRPr="00CF1B34">
        <w:rPr>
          <w:rFonts w:ascii="Arial" w:hAnsi="Arial" w:cs="Arial"/>
          <w:b/>
          <w:bCs/>
          <w:sz w:val="22"/>
          <w:szCs w:val="22"/>
          <w:lang w:val="es-ES_tradnl"/>
        </w:rPr>
        <w:t xml:space="preserve">Una baja laboral debe de estar acreditada por un </w:t>
      </w:r>
      <w:r w:rsidR="007E387F" w:rsidRPr="00CF1B34">
        <w:rPr>
          <w:rFonts w:ascii="Arial" w:hAnsi="Arial" w:cs="Arial"/>
          <w:b/>
          <w:bCs/>
          <w:sz w:val="22"/>
          <w:szCs w:val="22"/>
          <w:lang w:val="es-ES_tradnl"/>
        </w:rPr>
        <w:t xml:space="preserve">medico </w:t>
      </w:r>
      <w:r w:rsidRPr="00CF1B34">
        <w:rPr>
          <w:rFonts w:ascii="Arial" w:hAnsi="Arial" w:cs="Arial"/>
          <w:sz w:val="22"/>
          <w:szCs w:val="22"/>
          <w:lang w:val="es-ES_tradnl"/>
        </w:rPr>
        <w:t>(siempre que se encuentre motivada por una enfermedad)</w:t>
      </w:r>
      <w:r w:rsidR="007E387F" w:rsidRPr="00CF1B34">
        <w:rPr>
          <w:rFonts w:ascii="Arial" w:hAnsi="Arial" w:cs="Arial"/>
          <w:sz w:val="22"/>
          <w:szCs w:val="22"/>
          <w:lang w:val="es-ES_tradnl"/>
        </w:rPr>
        <w:t xml:space="preserve"> </w:t>
      </w:r>
      <w:r w:rsidRPr="00CF1B34">
        <w:rPr>
          <w:rFonts w:ascii="Arial" w:hAnsi="Arial" w:cs="Arial"/>
          <w:b/>
          <w:bCs/>
          <w:sz w:val="22"/>
          <w:szCs w:val="22"/>
          <w:lang w:val="es-ES_tradnl"/>
        </w:rPr>
        <w:t>o el organismo que corresponda</w:t>
      </w:r>
      <w:r w:rsidRPr="00CF1B34">
        <w:rPr>
          <w:rFonts w:ascii="Arial" w:hAnsi="Arial" w:cs="Arial"/>
          <w:sz w:val="22"/>
          <w:szCs w:val="22"/>
          <w:lang w:val="es-ES_tradnl"/>
        </w:rPr>
        <w:t>. En función del tiempo que se alargue, la</w:t>
      </w:r>
      <w:r w:rsidR="007E387F" w:rsidRPr="00CF1B34">
        <w:rPr>
          <w:rFonts w:ascii="Arial" w:hAnsi="Arial" w:cs="Arial"/>
          <w:sz w:val="22"/>
          <w:szCs w:val="22"/>
          <w:lang w:val="es-ES_tradnl"/>
        </w:rPr>
        <w:t xml:space="preserve"> </w:t>
      </w:r>
      <w:r w:rsidRPr="00CF1B34">
        <w:rPr>
          <w:rFonts w:ascii="Arial" w:hAnsi="Arial" w:cs="Arial"/>
          <w:b/>
          <w:bCs/>
          <w:sz w:val="22"/>
          <w:szCs w:val="22"/>
          <w:lang w:val="es-ES_tradnl"/>
        </w:rPr>
        <w:t>incapacidad temporal</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puede clasificarse en los tipos que figuran a continuación.</w:t>
      </w:r>
    </w:p>
    <w:p w14:paraId="740559DD" w14:textId="77777777" w:rsidR="00C77A88" w:rsidRPr="00CF1B34" w:rsidRDefault="00C77A88" w:rsidP="004F7A62">
      <w:pPr>
        <w:numPr>
          <w:ilvl w:val="0"/>
          <w:numId w:val="95"/>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color w:val="4B4F58"/>
          <w:sz w:val="22"/>
          <w:szCs w:val="22"/>
          <w:lang w:val="es-ES_tradnl"/>
        </w:rPr>
        <w:t>Proceso de duración estimada muy corta: inferior a cinco días naturales.</w:t>
      </w:r>
    </w:p>
    <w:p w14:paraId="0C555DC3" w14:textId="77777777" w:rsidR="00C77A88" w:rsidRPr="00CF1B34" w:rsidRDefault="00C77A88" w:rsidP="004F7A62">
      <w:pPr>
        <w:numPr>
          <w:ilvl w:val="0"/>
          <w:numId w:val="95"/>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color w:val="4B4F58"/>
          <w:sz w:val="22"/>
          <w:szCs w:val="22"/>
          <w:lang w:val="es-ES_tradnl"/>
        </w:rPr>
        <w:t>Proceso de duración estimada corta: de 5 a 30 días naturales.</w:t>
      </w:r>
    </w:p>
    <w:p w14:paraId="41FAB9A9" w14:textId="77777777" w:rsidR="00C77A88" w:rsidRPr="00CF1B34" w:rsidRDefault="00C77A88" w:rsidP="004F7A62">
      <w:pPr>
        <w:numPr>
          <w:ilvl w:val="0"/>
          <w:numId w:val="95"/>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color w:val="4B4F58"/>
          <w:sz w:val="22"/>
          <w:szCs w:val="22"/>
          <w:lang w:val="es-ES_tradnl"/>
        </w:rPr>
        <w:t>Proceso de duración estimada media: de 31 a 60 días naturales.</w:t>
      </w:r>
    </w:p>
    <w:p w14:paraId="4AB16E99" w14:textId="77777777" w:rsidR="00C77A88" w:rsidRPr="00CF1B34" w:rsidRDefault="00C77A88" w:rsidP="004F7A62">
      <w:pPr>
        <w:numPr>
          <w:ilvl w:val="0"/>
          <w:numId w:val="95"/>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color w:val="4B4F58"/>
          <w:sz w:val="22"/>
          <w:szCs w:val="22"/>
          <w:lang w:val="es-ES_tradnl"/>
        </w:rPr>
        <w:t>Proceso de duración estimada larga: de 61 o más días naturales.</w:t>
      </w:r>
    </w:p>
    <w:p w14:paraId="594F2C51" w14:textId="14C41D0D" w:rsidR="00C77A88" w:rsidRPr="00CF1B34" w:rsidRDefault="00C77A88" w:rsidP="0005621A">
      <w:pPr>
        <w:pStyle w:val="Sinespaciado"/>
        <w:ind w:left="660"/>
        <w:jc w:val="both"/>
        <w:rPr>
          <w:rFonts w:ascii="Arial" w:hAnsi="Arial" w:cs="Arial"/>
          <w:sz w:val="22"/>
          <w:szCs w:val="22"/>
          <w:lang w:val="es-ES_tradnl"/>
        </w:rPr>
      </w:pPr>
      <w:r w:rsidRPr="00CF1B34">
        <w:rPr>
          <w:rFonts w:ascii="Arial" w:hAnsi="Arial" w:cs="Arial"/>
          <w:sz w:val="22"/>
          <w:szCs w:val="22"/>
          <w:lang w:val="es-ES_tradnl"/>
        </w:rPr>
        <w:t>Corresponde al facultativo que emite</w:t>
      </w:r>
      <w:r w:rsidR="007E387F" w:rsidRPr="00CF1B34">
        <w:rPr>
          <w:rFonts w:ascii="Arial" w:hAnsi="Arial" w:cs="Arial"/>
          <w:sz w:val="22"/>
          <w:szCs w:val="22"/>
          <w:lang w:val="es-ES_tradnl"/>
        </w:rPr>
        <w:t xml:space="preserve"> </w:t>
      </w:r>
      <w:r w:rsidRPr="00CF1B34">
        <w:rPr>
          <w:rFonts w:ascii="Arial" w:hAnsi="Arial" w:cs="Arial"/>
          <w:b/>
          <w:bCs/>
          <w:sz w:val="22"/>
          <w:szCs w:val="22"/>
          <w:lang w:val="es-ES_tradnl"/>
        </w:rPr>
        <w:t>el parte médico de baja</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y de confirmación determinar, en el momento de su expedición, la duración estimada del proceso. El facultativo podrá alterar esa duración estimada en un momento posterior como consecuencia de la modificación o actualización del diagnóstico o de la evolución sanitaria del</w:t>
      </w:r>
      <w:r w:rsidR="007E387F" w:rsidRPr="00CF1B34">
        <w:rPr>
          <w:rFonts w:ascii="Arial" w:hAnsi="Arial" w:cs="Arial"/>
          <w:sz w:val="22"/>
          <w:szCs w:val="22"/>
          <w:lang w:val="es-ES_tradnl"/>
        </w:rPr>
        <w:t xml:space="preserve"> </w:t>
      </w:r>
      <w:r w:rsidRPr="00CF1B34">
        <w:rPr>
          <w:rFonts w:ascii="Arial" w:hAnsi="Arial" w:cs="Arial"/>
          <w:b/>
          <w:bCs/>
          <w:sz w:val="22"/>
          <w:szCs w:val="22"/>
          <w:lang w:val="es-ES_tradnl"/>
        </w:rPr>
        <w:t xml:space="preserve">trabajador. </w:t>
      </w:r>
      <w:r w:rsidRPr="00CF1B34">
        <w:rPr>
          <w:rFonts w:ascii="Arial" w:hAnsi="Arial" w:cs="Arial"/>
          <w:sz w:val="22"/>
          <w:szCs w:val="22"/>
          <w:lang w:val="es-ES_tradnl"/>
        </w:rPr>
        <w:t>Además, existen varios tipos de</w:t>
      </w:r>
      <w:r w:rsidR="007E387F" w:rsidRPr="00CF1B34">
        <w:rPr>
          <w:rFonts w:ascii="Arial" w:hAnsi="Arial" w:cs="Arial"/>
          <w:sz w:val="22"/>
          <w:szCs w:val="22"/>
          <w:lang w:val="es-ES_tradnl"/>
        </w:rPr>
        <w:t xml:space="preserve"> </w:t>
      </w:r>
      <w:r w:rsidRPr="00CF1B34">
        <w:rPr>
          <w:rFonts w:ascii="Arial" w:hAnsi="Arial" w:cs="Arial"/>
          <w:b/>
          <w:bCs/>
          <w:sz w:val="22"/>
          <w:szCs w:val="22"/>
          <w:lang w:val="es-ES_tradnl"/>
        </w:rPr>
        <w:t>incapacidad laboral</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dependiendo de las circunstancias del</w:t>
      </w:r>
      <w:r w:rsidR="0060186F" w:rsidRPr="00CF1B34">
        <w:rPr>
          <w:rFonts w:ascii="Arial" w:hAnsi="Arial" w:cs="Arial"/>
          <w:sz w:val="22"/>
          <w:szCs w:val="22"/>
          <w:lang w:val="es-ES_tradnl"/>
        </w:rPr>
        <w:t xml:space="preserve"> </w:t>
      </w:r>
      <w:r w:rsidRPr="00CF1B34">
        <w:rPr>
          <w:rFonts w:ascii="Arial" w:hAnsi="Arial" w:cs="Arial"/>
          <w:b/>
          <w:bCs/>
          <w:sz w:val="22"/>
          <w:szCs w:val="22"/>
          <w:lang w:val="es-ES_tradnl"/>
        </w:rPr>
        <w:t>trabajador.</w:t>
      </w:r>
    </w:p>
    <w:p w14:paraId="4D63F212" w14:textId="572A7405" w:rsidR="00C77A88" w:rsidRPr="00CF1B34" w:rsidRDefault="00C77A88" w:rsidP="004F7A62">
      <w:pPr>
        <w:numPr>
          <w:ilvl w:val="0"/>
          <w:numId w:val="96"/>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color w:val="4B4F58"/>
          <w:sz w:val="22"/>
          <w:szCs w:val="22"/>
          <w:lang w:val="es-ES_tradnl"/>
        </w:rPr>
        <w:t>La</w:t>
      </w:r>
      <w:r w:rsidR="007E387F" w:rsidRPr="00CF1B34">
        <w:rPr>
          <w:rFonts w:ascii="Arial" w:hAnsi="Arial" w:cs="Arial"/>
          <w:color w:val="4B4F58"/>
          <w:sz w:val="22"/>
          <w:szCs w:val="22"/>
          <w:lang w:val="es-ES_tradnl"/>
        </w:rPr>
        <w:t xml:space="preserve"> </w:t>
      </w:r>
      <w:r w:rsidRPr="00CF1B34">
        <w:rPr>
          <w:rFonts w:ascii="Arial" w:hAnsi="Arial" w:cs="Arial"/>
          <w:b/>
          <w:bCs/>
          <w:color w:val="4B4F58"/>
          <w:sz w:val="22"/>
          <w:szCs w:val="22"/>
          <w:lang w:val="es-ES_tradnl"/>
        </w:rPr>
        <w:t>incapacidad temporal transitoria,</w:t>
      </w:r>
      <w:r w:rsidR="007E387F"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es decir, la</w:t>
      </w:r>
      <w:r w:rsidR="007E387F" w:rsidRPr="00CF1B34">
        <w:rPr>
          <w:rFonts w:ascii="Arial" w:hAnsi="Arial" w:cs="Arial"/>
          <w:color w:val="4B4F58"/>
          <w:sz w:val="22"/>
          <w:szCs w:val="22"/>
          <w:lang w:val="es-ES_tradnl"/>
        </w:rPr>
        <w:t xml:space="preserve"> </w:t>
      </w:r>
      <w:r w:rsidRPr="00CF1B34">
        <w:rPr>
          <w:rFonts w:ascii="Arial" w:hAnsi="Arial" w:cs="Arial"/>
          <w:b/>
          <w:bCs/>
          <w:color w:val="4B4F58"/>
          <w:sz w:val="22"/>
          <w:szCs w:val="22"/>
          <w:lang w:val="es-ES_tradnl"/>
        </w:rPr>
        <w:t>baja médica</w:t>
      </w:r>
      <w:r w:rsidR="007E387F"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habitual.</w:t>
      </w:r>
    </w:p>
    <w:p w14:paraId="0E4A83CB" w14:textId="5E4F86D5" w:rsidR="00C77A88" w:rsidRPr="00CF1B34" w:rsidRDefault="00C77A88" w:rsidP="004F7A62">
      <w:pPr>
        <w:numPr>
          <w:ilvl w:val="0"/>
          <w:numId w:val="96"/>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color w:val="4B4F58"/>
          <w:sz w:val="22"/>
          <w:szCs w:val="22"/>
          <w:lang w:val="es-ES_tradnl"/>
        </w:rPr>
        <w:t>La</w:t>
      </w:r>
      <w:r w:rsidR="007E387F" w:rsidRPr="00CF1B34">
        <w:rPr>
          <w:rFonts w:ascii="Arial" w:hAnsi="Arial" w:cs="Arial"/>
          <w:color w:val="4B4F58"/>
          <w:sz w:val="22"/>
          <w:szCs w:val="22"/>
          <w:lang w:val="es-ES_tradnl"/>
        </w:rPr>
        <w:t xml:space="preserve"> </w:t>
      </w:r>
      <w:r w:rsidRPr="00CF1B34">
        <w:rPr>
          <w:rFonts w:ascii="Arial" w:hAnsi="Arial" w:cs="Arial"/>
          <w:b/>
          <w:bCs/>
          <w:color w:val="4B4F58"/>
          <w:sz w:val="22"/>
          <w:szCs w:val="22"/>
          <w:lang w:val="es-ES_tradnl"/>
        </w:rPr>
        <w:t>incapacidad permanente,</w:t>
      </w:r>
      <w:r w:rsidR="007E387F"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que puede ser de cuatro tipos.</w:t>
      </w:r>
    </w:p>
    <w:p w14:paraId="5BAEC1C2" w14:textId="48134436" w:rsidR="00C77A88" w:rsidRPr="00CF1B34" w:rsidRDefault="00C77A88" w:rsidP="004F7A62">
      <w:pPr>
        <w:numPr>
          <w:ilvl w:val="0"/>
          <w:numId w:val="97"/>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color w:val="4B4F58"/>
          <w:sz w:val="22"/>
          <w:szCs w:val="22"/>
          <w:lang w:val="es-ES_tradnl"/>
        </w:rPr>
        <w:t>En grado parcial: cuando la</w:t>
      </w:r>
      <w:r w:rsidR="007E387F" w:rsidRPr="00CF1B34">
        <w:rPr>
          <w:rFonts w:ascii="Arial" w:hAnsi="Arial" w:cs="Arial"/>
          <w:b/>
          <w:bCs/>
          <w:color w:val="4B4F58"/>
          <w:sz w:val="22"/>
          <w:szCs w:val="22"/>
          <w:lang w:val="es-ES_tradnl"/>
        </w:rPr>
        <w:t xml:space="preserve"> i</w:t>
      </w:r>
      <w:r w:rsidRPr="00CF1B34">
        <w:rPr>
          <w:rFonts w:ascii="Arial" w:hAnsi="Arial" w:cs="Arial"/>
          <w:b/>
          <w:bCs/>
          <w:color w:val="4B4F58"/>
          <w:sz w:val="22"/>
          <w:szCs w:val="22"/>
          <w:lang w:val="es-ES_tradnl"/>
        </w:rPr>
        <w:t>ncapacidad del trabajador</w:t>
      </w:r>
      <w:r w:rsidR="007E387F"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le ocasiona una disminución no inferior al 33% en su rendimiento normal para la profesión que ejerce, sin impedirle realizar las tareas fundamentales de dicha profesión.</w:t>
      </w:r>
    </w:p>
    <w:p w14:paraId="5A4C2676" w14:textId="7AA5BDA0" w:rsidR="00C77A88" w:rsidRPr="00CF1B34" w:rsidRDefault="00C77A88" w:rsidP="004F7A62">
      <w:pPr>
        <w:numPr>
          <w:ilvl w:val="0"/>
          <w:numId w:val="97"/>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color w:val="4B4F58"/>
          <w:sz w:val="22"/>
          <w:szCs w:val="22"/>
          <w:lang w:val="es-ES_tradnl"/>
        </w:rPr>
        <w:t>La</w:t>
      </w:r>
      <w:r w:rsidR="007E387F" w:rsidRPr="00CF1B34">
        <w:rPr>
          <w:rFonts w:ascii="Arial" w:hAnsi="Arial" w:cs="Arial"/>
          <w:color w:val="4B4F58"/>
          <w:sz w:val="22"/>
          <w:szCs w:val="22"/>
          <w:lang w:val="es-ES_tradnl"/>
        </w:rPr>
        <w:t xml:space="preserve"> </w:t>
      </w:r>
      <w:r w:rsidRPr="00CF1B34">
        <w:rPr>
          <w:rFonts w:ascii="Arial" w:hAnsi="Arial" w:cs="Arial"/>
          <w:b/>
          <w:bCs/>
          <w:color w:val="4B4F58"/>
          <w:sz w:val="22"/>
          <w:szCs w:val="22"/>
          <w:lang w:val="es-ES_tradnl"/>
        </w:rPr>
        <w:t>incapacidad permanente total para la profesión habitual (IPT),</w:t>
      </w:r>
      <w:r w:rsidR="007E387F"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que se da cuando las lesiones que padece el</w:t>
      </w:r>
      <w:r w:rsidR="007E387F" w:rsidRPr="00CF1B34">
        <w:rPr>
          <w:rFonts w:ascii="Arial" w:hAnsi="Arial" w:cs="Arial"/>
          <w:color w:val="4B4F58"/>
          <w:sz w:val="22"/>
          <w:szCs w:val="22"/>
          <w:lang w:val="es-ES_tradnl"/>
        </w:rPr>
        <w:t xml:space="preserve"> </w:t>
      </w:r>
      <w:r w:rsidRPr="00CF1B34">
        <w:rPr>
          <w:rFonts w:ascii="Arial" w:hAnsi="Arial" w:cs="Arial"/>
          <w:b/>
          <w:bCs/>
          <w:color w:val="4B4F58"/>
          <w:sz w:val="22"/>
          <w:szCs w:val="22"/>
          <w:lang w:val="es-ES_tradnl"/>
        </w:rPr>
        <w:t>trabajador,</w:t>
      </w:r>
      <w:r w:rsidR="007E387F"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le inhabilitan para la realización de las tareas fundamentales de su profesión habitual, pero le permite dedicarse a otra distinta.</w:t>
      </w:r>
    </w:p>
    <w:p w14:paraId="366C67CA" w14:textId="0D3D4EA1" w:rsidR="00C77A88" w:rsidRPr="00CF1B34" w:rsidRDefault="00C77A88" w:rsidP="004F7A62">
      <w:pPr>
        <w:numPr>
          <w:ilvl w:val="0"/>
          <w:numId w:val="97"/>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color w:val="4B4F58"/>
          <w:sz w:val="22"/>
          <w:szCs w:val="22"/>
          <w:lang w:val="es-ES_tradnl"/>
        </w:rPr>
        <w:t>La</w:t>
      </w:r>
      <w:r w:rsidR="007E387F" w:rsidRPr="00CF1B34">
        <w:rPr>
          <w:rFonts w:ascii="Arial" w:hAnsi="Arial" w:cs="Arial"/>
          <w:b/>
          <w:bCs/>
          <w:color w:val="4B4F58"/>
          <w:sz w:val="22"/>
          <w:szCs w:val="22"/>
          <w:lang w:val="es-ES_tradnl"/>
        </w:rPr>
        <w:t xml:space="preserve"> </w:t>
      </w:r>
      <w:r w:rsidRPr="00CF1B34">
        <w:rPr>
          <w:rFonts w:ascii="Arial" w:hAnsi="Arial" w:cs="Arial"/>
          <w:b/>
          <w:bCs/>
          <w:color w:val="4B4F58"/>
          <w:sz w:val="22"/>
          <w:szCs w:val="22"/>
          <w:lang w:val="es-ES_tradnl"/>
        </w:rPr>
        <w:t>incapacidad permanente absoluta (IPA):</w:t>
      </w:r>
      <w:r w:rsidR="007E387F"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es la situación que inhabilita por completo al trabajador para toda profesión u oficio.</w:t>
      </w:r>
    </w:p>
    <w:p w14:paraId="28C55547" w14:textId="3FE4870C" w:rsidR="00C77A88" w:rsidRPr="00CF1B34" w:rsidRDefault="00C77A88" w:rsidP="004F7A62">
      <w:pPr>
        <w:numPr>
          <w:ilvl w:val="0"/>
          <w:numId w:val="97"/>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b/>
          <w:bCs/>
          <w:color w:val="4B4F58"/>
          <w:sz w:val="22"/>
          <w:szCs w:val="22"/>
          <w:lang w:val="es-ES_tradnl"/>
        </w:rPr>
        <w:t>Gran invalidez (GI),</w:t>
      </w:r>
      <w:r w:rsidR="007E387F"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cuando el trabajador afectado de</w:t>
      </w:r>
      <w:r w:rsidR="007E387F" w:rsidRPr="00CF1B34">
        <w:rPr>
          <w:rFonts w:ascii="Arial" w:hAnsi="Arial" w:cs="Arial"/>
          <w:color w:val="4B4F58"/>
          <w:sz w:val="22"/>
          <w:szCs w:val="22"/>
          <w:lang w:val="es-ES_tradnl"/>
        </w:rPr>
        <w:t xml:space="preserve"> </w:t>
      </w:r>
      <w:r w:rsidRPr="00CF1B34">
        <w:rPr>
          <w:rFonts w:ascii="Arial" w:hAnsi="Arial" w:cs="Arial"/>
          <w:b/>
          <w:bCs/>
          <w:color w:val="4B4F58"/>
          <w:sz w:val="22"/>
          <w:szCs w:val="22"/>
          <w:lang w:val="es-ES_tradnl"/>
        </w:rPr>
        <w:t>incapacidad permanente en grado absoluto,</w:t>
      </w:r>
      <w:r w:rsidR="007E387F"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que necesita de la asistencia de otra persona para realizar los actos más esenciales de la vida cotidiana, como lavarse, comer, asearse, salir a la calle, etc</w:t>
      </w:r>
      <w:r w:rsidR="007E387F" w:rsidRPr="00CF1B34">
        <w:rPr>
          <w:rFonts w:ascii="Arial" w:hAnsi="Arial" w:cs="Arial"/>
          <w:color w:val="4B4F58"/>
          <w:sz w:val="22"/>
          <w:szCs w:val="22"/>
          <w:lang w:val="es-ES_tradnl"/>
        </w:rPr>
        <w:t>.</w:t>
      </w:r>
    </w:p>
    <w:p w14:paraId="605A3E06" w14:textId="0D973A3E" w:rsidR="00C77A88" w:rsidRPr="00CF1B34" w:rsidRDefault="00C77A88" w:rsidP="0005621A">
      <w:pPr>
        <w:pStyle w:val="Sinespaciado"/>
        <w:ind w:left="660"/>
        <w:jc w:val="both"/>
        <w:rPr>
          <w:rStyle w:val="Textoennegrita"/>
          <w:rFonts w:ascii="Arial" w:hAnsi="Arial" w:cs="Arial"/>
          <w:color w:val="4B4F58"/>
          <w:sz w:val="22"/>
          <w:szCs w:val="22"/>
          <w:lang w:val="es-ES_tradnl"/>
        </w:rPr>
      </w:pPr>
      <w:r w:rsidRPr="00CF1B34">
        <w:rPr>
          <w:rFonts w:ascii="Arial" w:hAnsi="Arial" w:cs="Arial"/>
          <w:sz w:val="22"/>
          <w:szCs w:val="22"/>
          <w:lang w:val="es-ES_tradnl"/>
        </w:rPr>
        <w:t>Dejando a un lado</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la maternidad y la paternidad,</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las</w:t>
      </w:r>
      <w:r w:rsidR="007E387F" w:rsidRPr="00CF1B34">
        <w:rPr>
          <w:rStyle w:val="Textoennegrita"/>
          <w:rFonts w:ascii="Arial" w:hAnsi="Arial" w:cs="Arial"/>
          <w:color w:val="4B4F58"/>
          <w:sz w:val="22"/>
          <w:szCs w:val="22"/>
          <w:lang w:val="es-ES_tradnl"/>
        </w:rPr>
        <w:t xml:space="preserve"> i</w:t>
      </w:r>
      <w:r w:rsidRPr="00CF1B34">
        <w:rPr>
          <w:rStyle w:val="Textoennegrita"/>
          <w:rFonts w:ascii="Arial" w:hAnsi="Arial" w:cs="Arial"/>
          <w:color w:val="4B4F58"/>
          <w:sz w:val="22"/>
          <w:szCs w:val="22"/>
          <w:lang w:val="es-ES_tradnl"/>
        </w:rPr>
        <w:t>ncapacidades temporales</w:t>
      </w:r>
      <w:r w:rsidRPr="00CF1B34">
        <w:rPr>
          <w:rFonts w:ascii="Arial" w:hAnsi="Arial" w:cs="Arial"/>
          <w:sz w:val="22"/>
          <w:szCs w:val="22"/>
          <w:lang w:val="es-ES_tradnl"/>
        </w:rPr>
        <w:t> más comunes son producidas por la</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depresión y la lumbalgia,</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es decir, que provienen del</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estado mental y de la espalda.</w:t>
      </w:r>
    </w:p>
    <w:p w14:paraId="06F9DD27" w14:textId="6E2E21C4" w:rsidR="00C77A88" w:rsidRPr="00CF1B34" w:rsidRDefault="00C77A88" w:rsidP="0005621A">
      <w:pPr>
        <w:pStyle w:val="Sinespaciado"/>
        <w:ind w:left="660"/>
        <w:jc w:val="both"/>
        <w:rPr>
          <w:rFonts w:ascii="Arial" w:hAnsi="Arial" w:cs="Arial"/>
          <w:sz w:val="22"/>
          <w:szCs w:val="22"/>
          <w:lang w:val="es-ES_tradnl"/>
        </w:rPr>
      </w:pPr>
      <w:r w:rsidRPr="00CF1B34">
        <w:rPr>
          <w:rFonts w:ascii="Arial" w:hAnsi="Arial" w:cs="Arial"/>
          <w:sz w:val="22"/>
          <w:szCs w:val="22"/>
          <w:lang w:val="es-ES_tradnl"/>
        </w:rPr>
        <w:t>En el caso de una</w:t>
      </w:r>
      <w:r w:rsidR="007E387F" w:rsidRPr="00CF1B34">
        <w:rPr>
          <w:rFonts w:ascii="Arial" w:hAnsi="Arial" w:cs="Arial"/>
          <w:sz w:val="22"/>
          <w:szCs w:val="22"/>
          <w:lang w:val="es-ES_tradnl"/>
        </w:rPr>
        <w:t xml:space="preserve"> </w:t>
      </w:r>
      <w:r w:rsidRPr="00CF1B34">
        <w:rPr>
          <w:rStyle w:val="Textoennegrita"/>
          <w:rFonts w:ascii="Arial" w:hAnsi="Arial" w:cs="Arial"/>
          <w:color w:val="4B4F58"/>
          <w:sz w:val="22"/>
          <w:szCs w:val="22"/>
          <w:lang w:val="es-ES_tradnl"/>
        </w:rPr>
        <w:t>embarazada,</w:t>
      </w:r>
      <w:r w:rsidR="007E387F" w:rsidRPr="00CF1B34">
        <w:rPr>
          <w:rFonts w:ascii="Arial" w:hAnsi="Arial" w:cs="Arial"/>
          <w:sz w:val="22"/>
          <w:szCs w:val="22"/>
          <w:lang w:val="es-ES_tradnl"/>
        </w:rPr>
        <w:t xml:space="preserve"> </w:t>
      </w:r>
      <w:r w:rsidRPr="00CF1B34">
        <w:rPr>
          <w:rFonts w:ascii="Arial" w:hAnsi="Arial" w:cs="Arial"/>
          <w:sz w:val="22"/>
          <w:szCs w:val="22"/>
          <w:lang w:val="es-ES_tradnl"/>
        </w:rPr>
        <w:t xml:space="preserve">el legislador trata de evitar que la madre vea mermados sus ingresos por el nacimiento del hijo y el cuidado inmediatamente posterior. Son </w:t>
      </w:r>
      <w:r w:rsidRPr="00CF1B34">
        <w:rPr>
          <w:rFonts w:ascii="Arial" w:hAnsi="Arial" w:cs="Arial"/>
          <w:sz w:val="22"/>
          <w:szCs w:val="22"/>
          <w:lang w:val="es-ES_tradnl"/>
        </w:rPr>
        <w:lastRenderedPageBreak/>
        <w:t>dieciséis semanas ininterrumpidas, sumándole otras dos si son gemelos o mellizos.</w:t>
      </w:r>
      <w:r w:rsidR="0060186F" w:rsidRPr="00CF1B34">
        <w:rPr>
          <w:rFonts w:ascii="Arial" w:hAnsi="Arial" w:cs="Arial"/>
          <w:sz w:val="22"/>
          <w:szCs w:val="22"/>
          <w:lang w:val="es-ES_tradnl"/>
        </w:rPr>
        <w:t xml:space="preserve"> Respecto a los hombres, su derecho tiene un recorrido menor y está fijado actualmente en cico semanas.</w:t>
      </w:r>
    </w:p>
    <w:p w14:paraId="1EF6F739" w14:textId="54115233" w:rsidR="007E387F" w:rsidRPr="00CF1B34" w:rsidRDefault="007E387F" w:rsidP="0005621A">
      <w:pPr>
        <w:pStyle w:val="Sinespaciado"/>
        <w:ind w:left="660"/>
        <w:jc w:val="both"/>
        <w:rPr>
          <w:rFonts w:ascii="Arial" w:hAnsi="Arial" w:cs="Arial"/>
          <w:sz w:val="22"/>
          <w:szCs w:val="22"/>
          <w:lang w:val="es-ES_tradnl"/>
        </w:rPr>
      </w:pPr>
      <w:r w:rsidRPr="00CF1B34">
        <w:rPr>
          <w:rFonts w:ascii="Arial" w:hAnsi="Arial" w:cs="Arial"/>
          <w:sz w:val="22"/>
          <w:szCs w:val="22"/>
          <w:lang w:val="es-ES_tradnl"/>
        </w:rPr>
        <w:t>En términos generales, las causas que pueden provocar la incapacidad y la baja por enfermedad son:</w:t>
      </w:r>
    </w:p>
    <w:p w14:paraId="037712AA" w14:textId="77777777" w:rsidR="007E387F" w:rsidRPr="00CF1B34" w:rsidRDefault="007E387F" w:rsidP="004F7A62">
      <w:pPr>
        <w:numPr>
          <w:ilvl w:val="0"/>
          <w:numId w:val="98"/>
        </w:numPr>
        <w:shd w:val="clear" w:color="auto" w:fill="FEF1E5"/>
        <w:ind w:left="1020"/>
        <w:jc w:val="both"/>
        <w:textAlignment w:val="baseline"/>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Enfermedad común o profesional.</w:t>
      </w:r>
    </w:p>
    <w:p w14:paraId="0A13A5C7" w14:textId="77777777" w:rsidR="007E387F" w:rsidRPr="00CF1B34" w:rsidRDefault="007E387F" w:rsidP="004F7A62">
      <w:pPr>
        <w:numPr>
          <w:ilvl w:val="0"/>
          <w:numId w:val="98"/>
        </w:numPr>
        <w:shd w:val="clear" w:color="auto" w:fill="FEF1E5"/>
        <w:ind w:left="1020"/>
        <w:jc w:val="both"/>
        <w:textAlignment w:val="baseline"/>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Accidente, sea o no de trabajo.</w:t>
      </w:r>
    </w:p>
    <w:p w14:paraId="2DCC66EB" w14:textId="75FB3E35" w:rsidR="0060186F" w:rsidRPr="00CF1B34" w:rsidRDefault="007E387F" w:rsidP="004F7A62">
      <w:pPr>
        <w:numPr>
          <w:ilvl w:val="0"/>
          <w:numId w:val="98"/>
        </w:numPr>
        <w:shd w:val="clear" w:color="auto" w:fill="FEF1E5"/>
        <w:ind w:left="1020"/>
        <w:jc w:val="both"/>
        <w:textAlignment w:val="baseline"/>
        <w:rPr>
          <w:rFonts w:ascii="Arial" w:hAnsi="Arial" w:cs="Arial"/>
          <w:color w:val="2F5496" w:themeColor="accent1" w:themeShade="BF"/>
          <w:sz w:val="22"/>
          <w:szCs w:val="22"/>
          <w:lang w:val="es-ES_tradnl"/>
        </w:rPr>
      </w:pPr>
      <w:r w:rsidRPr="00CF1B34">
        <w:rPr>
          <w:rFonts w:ascii="Arial" w:hAnsi="Arial" w:cs="Arial"/>
          <w:color w:val="000000" w:themeColor="text1"/>
          <w:sz w:val="22"/>
          <w:szCs w:val="22"/>
          <w:lang w:val="es-ES_tradnl"/>
        </w:rPr>
        <w:t>Periodos de observación por</w:t>
      </w:r>
      <w:r w:rsidR="006909B9" w:rsidRPr="00CF1B34">
        <w:rPr>
          <w:rFonts w:ascii="Arial" w:hAnsi="Arial" w:cs="Arial"/>
          <w:color w:val="000000" w:themeColor="text1"/>
          <w:sz w:val="22"/>
          <w:szCs w:val="22"/>
          <w:lang w:val="es-ES_tradnl"/>
        </w:rPr>
        <w:t xml:space="preserve"> </w:t>
      </w:r>
      <w:hyperlink r:id="rId51" w:history="1">
        <w:r w:rsidRPr="00CF1B34">
          <w:rPr>
            <w:rStyle w:val="Hipervnculo"/>
            <w:rFonts w:ascii="Arial" w:hAnsi="Arial" w:cs="Arial"/>
            <w:b/>
            <w:bCs/>
            <w:color w:val="2F5496" w:themeColor="accent1" w:themeShade="BF"/>
            <w:sz w:val="22"/>
            <w:szCs w:val="22"/>
            <w:lang w:val="es-ES_tradnl"/>
          </w:rPr>
          <w:t>enfermedad profesional en los que se prescribe la baja del trabajo.</w:t>
        </w:r>
      </w:hyperlink>
    </w:p>
    <w:p w14:paraId="65439ACC" w14:textId="77777777" w:rsidR="0060186F" w:rsidRPr="00CF1B34" w:rsidRDefault="0060186F" w:rsidP="0005621A">
      <w:pPr>
        <w:pStyle w:val="Prrafodelista"/>
        <w:pBdr>
          <w:bottom w:val="dotted" w:sz="12" w:space="12" w:color="666666"/>
        </w:pBdr>
        <w:spacing w:after="240"/>
        <w:jc w:val="both"/>
        <w:rPr>
          <w:rFonts w:ascii="Arial" w:hAnsi="Arial" w:cs="Arial"/>
          <w:color w:val="212529"/>
          <w:sz w:val="22"/>
          <w:szCs w:val="22"/>
          <w:lang w:val="es-ES_tradnl"/>
        </w:rPr>
      </w:pPr>
    </w:p>
    <w:p w14:paraId="1BD237B5" w14:textId="04C172D3"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Bajista</w:t>
      </w:r>
    </w:p>
    <w:p w14:paraId="6AAFEC80"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el ámbito de los mercados, este término indica que existen expectativas de caída en los precios o cotizaciones. De esta forma se crea una presión vendedora que contribuye a fortalecer la tendencia a la baja. </w:t>
      </w:r>
    </w:p>
    <w:p w14:paraId="7A10CADB" w14:textId="429B4261"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Bajo la par</w:t>
      </w:r>
    </w:p>
    <w:p w14:paraId="71432406" w14:textId="746B0BF5"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Un título se emite o cotiza bajo la par cuando el precio es inferior a su valor nominal.</w:t>
      </w:r>
      <w:r w:rsidR="0010431C" w:rsidRPr="00CF1B34">
        <w:rPr>
          <w:rFonts w:ascii="Arial" w:hAnsi="Arial" w:cs="Arial"/>
          <w:color w:val="212529"/>
          <w:sz w:val="22"/>
          <w:szCs w:val="22"/>
          <w:lang w:val="es-ES_tradnl"/>
        </w:rPr>
        <w:t xml:space="preserve"> </w:t>
      </w:r>
      <w:hyperlink r:id="rId52" w:tgtFrame="_self" w:history="1">
        <w:r w:rsidRPr="00CF1B34">
          <w:rPr>
            <w:rFonts w:ascii="Arial" w:hAnsi="Arial" w:cs="Arial"/>
            <w:b/>
            <w:bCs/>
            <w:color w:val="2F5496" w:themeColor="accent1" w:themeShade="BF"/>
            <w:sz w:val="22"/>
            <w:szCs w:val="22"/>
            <w:u w:val="single"/>
            <w:lang w:val="es-ES_tradnl"/>
          </w:rPr>
          <w:t>Ver Valor nominal</w:t>
        </w:r>
      </w:hyperlink>
      <w:r w:rsidRPr="00CF1B34">
        <w:rPr>
          <w:rFonts w:ascii="Arial" w:hAnsi="Arial" w:cs="Arial"/>
          <w:color w:val="2F5496" w:themeColor="accent1" w:themeShade="BF"/>
          <w:sz w:val="22"/>
          <w:szCs w:val="22"/>
          <w:lang w:val="es-ES_tradnl"/>
        </w:rPr>
        <w:t>.</w:t>
      </w:r>
    </w:p>
    <w:p w14:paraId="37C9ECBF"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Balance</w:t>
      </w:r>
    </w:p>
    <w:p w14:paraId="588C2AE2" w14:textId="6C886C8A"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Documento contable que indica la situación económica y financiera de una sociedad a una fecha determinada. Está compuesto por dos partes que han de tener idéntico valor: el activo (conjunto de bienes y derechos) y el pasivo (recursos propios y ajenos con los que se financia el activo). </w:t>
      </w:r>
      <w:r w:rsidRPr="00CF1B34">
        <w:rPr>
          <w:rFonts w:ascii="Arial" w:hAnsi="Arial" w:cs="Arial"/>
          <w:color w:val="2F5496" w:themeColor="accent1" w:themeShade="BF"/>
          <w:sz w:val="22"/>
          <w:szCs w:val="22"/>
          <w:lang w:val="es-ES_tradnl"/>
        </w:rPr>
        <w:t>Ver</w:t>
      </w:r>
      <w:r w:rsidR="0010431C" w:rsidRPr="00CF1B34">
        <w:rPr>
          <w:rFonts w:ascii="Arial" w:hAnsi="Arial" w:cs="Arial"/>
          <w:color w:val="2F5496" w:themeColor="accent1" w:themeShade="BF"/>
          <w:sz w:val="22"/>
          <w:szCs w:val="22"/>
          <w:lang w:val="es-ES_tradnl"/>
        </w:rPr>
        <w:t xml:space="preserve"> </w:t>
      </w:r>
      <w:hyperlink r:id="rId53" w:tgtFrame="_self" w:history="1">
        <w:r w:rsidRPr="00CF1B34">
          <w:rPr>
            <w:rFonts w:ascii="Arial" w:hAnsi="Arial" w:cs="Arial"/>
            <w:b/>
            <w:bCs/>
            <w:color w:val="2F5496" w:themeColor="accent1" w:themeShade="BF"/>
            <w:sz w:val="22"/>
            <w:szCs w:val="22"/>
            <w:u w:val="single"/>
            <w:lang w:val="es-ES_tradnl"/>
          </w:rPr>
          <w:t>activo</w:t>
        </w:r>
      </w:hyperlink>
      <w:r w:rsidR="0010431C" w:rsidRPr="00CF1B34">
        <w:rPr>
          <w:rFonts w:ascii="Arial" w:hAnsi="Arial" w:cs="Arial"/>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w:t>
      </w:r>
      <w:r w:rsidR="0010431C" w:rsidRPr="00CF1B34">
        <w:rPr>
          <w:rFonts w:ascii="Arial" w:hAnsi="Arial" w:cs="Arial"/>
          <w:color w:val="2F5496" w:themeColor="accent1" w:themeShade="BF"/>
          <w:sz w:val="22"/>
          <w:szCs w:val="22"/>
          <w:lang w:val="es-ES_tradnl"/>
        </w:rPr>
        <w:t xml:space="preserve"> </w:t>
      </w:r>
      <w:hyperlink r:id="rId54" w:tgtFrame="_self" w:history="1">
        <w:r w:rsidRPr="00CF1B34">
          <w:rPr>
            <w:rFonts w:ascii="Arial" w:hAnsi="Arial" w:cs="Arial"/>
            <w:b/>
            <w:bCs/>
            <w:color w:val="2F5496" w:themeColor="accent1" w:themeShade="BF"/>
            <w:sz w:val="22"/>
            <w:szCs w:val="22"/>
            <w:u w:val="single"/>
            <w:lang w:val="es-ES_tradnl"/>
          </w:rPr>
          <w:t>pasivo</w:t>
        </w:r>
      </w:hyperlink>
      <w:r w:rsidRPr="00CF1B34">
        <w:rPr>
          <w:rFonts w:ascii="Arial" w:hAnsi="Arial" w:cs="Arial"/>
          <w:color w:val="2F5496" w:themeColor="accent1" w:themeShade="BF"/>
          <w:sz w:val="22"/>
          <w:szCs w:val="22"/>
          <w:lang w:val="es-ES_tradnl"/>
        </w:rPr>
        <w:t>.</w:t>
      </w:r>
    </w:p>
    <w:p w14:paraId="6DB82941" w14:textId="340A4472"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Balance de situación</w:t>
      </w:r>
    </w:p>
    <w:p w14:paraId="4F31BF50" w14:textId="77777777" w:rsidR="0059480C" w:rsidRPr="00CF1B34" w:rsidRDefault="0059480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Informe contable que refleja la situación patrimonial de una empresa en un momento concreto.</w:t>
      </w:r>
    </w:p>
    <w:p w14:paraId="14561598" w14:textId="66A0A8C1"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Balanza de pagos</w:t>
      </w:r>
    </w:p>
    <w:p w14:paraId="45871480"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Registro que recoge todas las transacciones que realiza un país con el exterior en un periodo de tiempo. Incluye tanto los intercambios de bienes y servicios (transacciones reales) como los movimientos de capital (transacciones financieras). </w:t>
      </w:r>
    </w:p>
    <w:p w14:paraId="5785AC8E" w14:textId="6E15E15C" w:rsidR="0010431C"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Balanza por cuenta corriente</w:t>
      </w:r>
    </w:p>
    <w:p w14:paraId="3AB05908" w14:textId="77777777" w:rsidR="00B7314B" w:rsidRPr="00CF1B34" w:rsidRDefault="0014699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Suma de los </w:t>
      </w:r>
      <w:r w:rsidR="00B7314B" w:rsidRPr="00CF1B34">
        <w:rPr>
          <w:rFonts w:ascii="Arial" w:hAnsi="Arial" w:cs="Arial"/>
          <w:color w:val="000000" w:themeColor="text1"/>
          <w:sz w:val="22"/>
          <w:szCs w:val="22"/>
          <w:lang w:val="es-ES_tradnl"/>
        </w:rPr>
        <w:t>ingresos y pagos de las anotaciones por intercambios de bienes y servicios y operaciones por transferencias. Su saldo mide las repercusiones del sector exterior en el PIB y es el principal indicador de la competitividad de una economía.</w:t>
      </w:r>
    </w:p>
    <w:p w14:paraId="0116E367" w14:textId="6372E99B"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Banca universal</w:t>
      </w:r>
    </w:p>
    <w:p w14:paraId="2CA670D2" w14:textId="5562B8B1" w:rsidR="00B7314B" w:rsidRPr="00CF1B34" w:rsidRDefault="00B7314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Forma de organización del negocio bancario que se basa en la oferta de todos los productos, servicios y operaciones disponibles hacia todos los clientes potenciales y en todos los mercados de operación.</w:t>
      </w:r>
    </w:p>
    <w:p w14:paraId="60033187" w14:textId="6B627278" w:rsidR="00C73AA3" w:rsidRPr="00CF1B34" w:rsidRDefault="00C73AA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Banco Central</w:t>
      </w:r>
    </w:p>
    <w:p w14:paraId="28161436" w14:textId="77777777" w:rsidR="00C73AA3" w:rsidRPr="00CF1B34" w:rsidRDefault="00C73AA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lastRenderedPageBreak/>
        <w:t>Banco que administra el funcionamiento del sistema financiero de un país. Es el encargado de la emisión de moneda, de la supervisión del sistema, de la emisión deuda pública, de las reservas y de las divisas de un país.</w:t>
      </w:r>
    </w:p>
    <w:p w14:paraId="6A2A59C0" w14:textId="798693A4"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Banco Central Europeo</w:t>
      </w:r>
    </w:p>
    <w:p w14:paraId="75C20020" w14:textId="38EBD4F6"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Órgano responsable de la política monetaria de los países del área euro. Su principal cometido es garantizar la estabilidad de precios, al tiempo que apoya las políticas económicas generales de la Unión Europea con el fin de contribuir a los objetivos comunitarios. El BCE debe actuar con independencia respecto a los gobiernos nacionales y a las demás instituciones u organismos comunitarios. Su sede está en la ciudad alemana de Frankfurt.</w:t>
      </w:r>
    </w:p>
    <w:p w14:paraId="3DBD5ED9" w14:textId="4A55C2C6" w:rsidR="00C73AA3" w:rsidRPr="00CF1B34" w:rsidRDefault="00C73AA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Banco Comercial</w:t>
      </w:r>
    </w:p>
    <w:p w14:paraId="59E5F01D" w14:textId="77777777" w:rsidR="00C73AA3" w:rsidRPr="00CF1B34" w:rsidRDefault="00C73AA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Es un establecimiento de origen privado o público, debidamente autorizado por la ley, que se encarga de concentrar y regular las operaciones de crédito. En otras palabras, admite dinero en forma de depósito, para poder (conjuntamente con sus recursos) conceder préstamos, descuentos y, en general, todo tipo de operaciones bancarias.</w:t>
      </w:r>
    </w:p>
    <w:p w14:paraId="1740B780" w14:textId="40B644CA"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Banco de España</w:t>
      </w:r>
    </w:p>
    <w:p w14:paraId="6EB434DB" w14:textId="77777777" w:rsidR="00335A14" w:rsidRPr="00CF1B34" w:rsidRDefault="00335A1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banco central español. Se encarga de emitir los billetes y vigilar el buen funcionamiento del sistema financiero supervisando a bancos y cajas de ahorros. Su misión más importante es la de dirigir la política monetaria, mediante el alza o la baja de los tipos de interés. A partir de 1995 es autónomo para dirigir la política monetaria sin depender del. Gobierno.</w:t>
      </w:r>
    </w:p>
    <w:p w14:paraId="249756EB" w14:textId="0B0F5B83"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Banco de negocios</w:t>
      </w:r>
    </w:p>
    <w:p w14:paraId="1E47396C" w14:textId="33888F0F" w:rsidR="00865349" w:rsidRPr="00CF1B34" w:rsidRDefault="00335A1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Banco al por mayor especializado en negocio de asesoramiento e intermediación de valores de renta fija y variable, fusiones y adquisiciones, ge</w:t>
      </w:r>
      <w:r w:rsidR="00865349" w:rsidRPr="00CF1B34">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ti</w:t>
      </w:r>
      <w:r w:rsidR="006909B9" w:rsidRPr="00CF1B34">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 de patrimonios, etc. Por</w:t>
      </w:r>
      <w:r w:rsidR="00865349"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ejemplo, en España se conoce el BBV Privanza, BSN-Banif, Merrill</w:t>
      </w:r>
      <w:r w:rsidR="00865349" w:rsidRPr="00CF1B34">
        <w:rPr>
          <w:rFonts w:ascii="Arial" w:hAnsi="Arial" w:cs="Arial"/>
          <w:color w:val="000000" w:themeColor="text1"/>
          <w:sz w:val="22"/>
          <w:szCs w:val="22"/>
          <w:lang w:val="es-ES_tradnl"/>
        </w:rPr>
        <w:t xml:space="preserve"> Lynch …</w:t>
      </w:r>
    </w:p>
    <w:p w14:paraId="24063006" w14:textId="2A5637AB" w:rsidR="00C73AA3" w:rsidRPr="00CF1B34" w:rsidRDefault="00C73AA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Banco Interamericano de desarrollo (BID)</w:t>
      </w:r>
    </w:p>
    <w:p w14:paraId="3A2EA6A7" w14:textId="77777777" w:rsidR="003A6DD8" w:rsidRPr="00CF1B34" w:rsidRDefault="003A6DD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Fue creado en 1959 por los países latinoamericanos en orden a promover la inversión de capitales públicos y privados en proyectos de desarrollo del hemisferio, y para cooperar con los países miembros a orientar su política hacia una mejor utilización de sus recursos. El Banco también tiene miembros extra-regionales que junto con los Estados Unidos y Canadá actúan como proveedores de recursos. Colombia es miembro desde su fundación. Dicha entidad actúa como un banco regional de desarrollo. Existen bancos regionales de desarrollo de similares características para otras regiones del mundo, por ejemplo: el Banco Asiático de Desarrollo (BAD), el Banco Africano de Desarrollo (BAFD) y el Banco de Desarrollo del Caribe (BDC).</w:t>
      </w:r>
    </w:p>
    <w:p w14:paraId="263D82BF" w14:textId="17BAC2B0" w:rsidR="006909B9" w:rsidRPr="00CF1B34" w:rsidRDefault="006909B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Banco malo</w:t>
      </w:r>
    </w:p>
    <w:p w14:paraId="60805362" w14:textId="6851D900" w:rsidR="009C09FA" w:rsidRPr="00CF1B34" w:rsidRDefault="009C09FA"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Style w:val="Textoennegrita"/>
          <w:rFonts w:ascii="Arial" w:hAnsi="Arial" w:cs="Arial"/>
          <w:b w:val="0"/>
          <w:bCs w:val="0"/>
          <w:color w:val="333333"/>
          <w:sz w:val="22"/>
          <w:szCs w:val="22"/>
          <w:lang w:val="es-ES_tradnl"/>
        </w:rPr>
        <w:t>El banco malo «realiza una limpieza» de los activos tóxicos de los balances del sistema financiero, comprándolos a precios de mercado y obligando a los bancos a amortizarlos</w:t>
      </w:r>
      <w:r w:rsidRPr="00CF1B34">
        <w:rPr>
          <w:rFonts w:ascii="Arial" w:hAnsi="Arial" w:cs="Arial"/>
          <w:color w:val="333333"/>
          <w:sz w:val="22"/>
          <w:szCs w:val="22"/>
          <w:lang w:val="es-ES_tradnl"/>
        </w:rPr>
        <w:t>.</w:t>
      </w:r>
    </w:p>
    <w:p w14:paraId="360BB8E9" w14:textId="2088BE58" w:rsidR="009C09FA" w:rsidRPr="00CF1B34" w:rsidRDefault="009C09FA"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capital que dotaría a este banco malo correspondería a un porcentaje (20%) del total de las </w:t>
      </w:r>
      <w:hyperlink r:id="rId55" w:history="1">
        <w:r w:rsidRPr="00CF1B34">
          <w:rPr>
            <w:rStyle w:val="Hipervnculo"/>
            <w:rFonts w:ascii="Arial" w:hAnsi="Arial" w:cs="Arial"/>
            <w:color w:val="DC143C"/>
            <w:sz w:val="22"/>
            <w:szCs w:val="22"/>
            <w:lang w:val="es-ES_tradnl"/>
          </w:rPr>
          <w:t>hipotecas</w:t>
        </w:r>
      </w:hyperlink>
      <w:r w:rsidRPr="00CF1B34">
        <w:rPr>
          <w:rFonts w:ascii="Arial" w:hAnsi="Arial" w:cs="Arial"/>
          <w:color w:val="333333"/>
          <w:sz w:val="22"/>
          <w:szCs w:val="22"/>
          <w:lang w:val="es-ES_tradnl"/>
        </w:rPr>
        <w:t xml:space="preserve"> otorgadas por </w:t>
      </w:r>
      <w:hyperlink r:id="rId56" w:history="1">
        <w:r w:rsidRPr="00CF1B34">
          <w:rPr>
            <w:rStyle w:val="Hipervnculo"/>
            <w:rFonts w:ascii="Arial" w:hAnsi="Arial" w:cs="Arial"/>
            <w:color w:val="DC143C"/>
            <w:sz w:val="22"/>
            <w:szCs w:val="22"/>
            <w:lang w:val="es-ES_tradnl"/>
          </w:rPr>
          <w:t>bancos y cajas de ahorros españoles</w:t>
        </w:r>
      </w:hyperlink>
      <w:r w:rsidRPr="00CF1B34">
        <w:rPr>
          <w:rFonts w:ascii="Arial" w:hAnsi="Arial" w:cs="Arial"/>
          <w:color w:val="333333"/>
          <w:sz w:val="22"/>
          <w:szCs w:val="22"/>
          <w:lang w:val="es-ES_tradnl"/>
        </w:rPr>
        <w:t xml:space="preserve">. Este activos inmobiliarios, en gran parte, responsables de esta </w:t>
      </w:r>
      <w:hyperlink r:id="rId57" w:history="1">
        <w:r w:rsidRPr="00CF1B34">
          <w:rPr>
            <w:rStyle w:val="Hipervnculo"/>
            <w:rFonts w:ascii="Arial" w:hAnsi="Arial" w:cs="Arial"/>
            <w:color w:val="DC143C"/>
            <w:sz w:val="22"/>
            <w:szCs w:val="22"/>
            <w:lang w:val="es-ES_tradnl"/>
          </w:rPr>
          <w:t>situación de alta morosidad</w:t>
        </w:r>
      </w:hyperlink>
      <w:r w:rsidRPr="00CF1B34">
        <w:rPr>
          <w:rFonts w:ascii="Arial" w:hAnsi="Arial" w:cs="Arial"/>
          <w:color w:val="333333"/>
          <w:sz w:val="22"/>
          <w:szCs w:val="22"/>
          <w:lang w:val="es-ES_tradnl"/>
        </w:rPr>
        <w:t xml:space="preserve"> se han depreciado.</w:t>
      </w:r>
    </w:p>
    <w:p w14:paraId="6250729B" w14:textId="77777777" w:rsidR="009C09FA" w:rsidRPr="00CF1B34" w:rsidRDefault="009C09F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lastRenderedPageBreak/>
        <w:t>Por lo tanto, el banco malo funciona como el encargado de adquirir, en nombre del Estado, activos malos pagándolos con dinero bueno, o con deuda pública negociable, y gestiona su venta posterior.</w:t>
      </w:r>
    </w:p>
    <w:p w14:paraId="4835C6C6" w14:textId="1650E448" w:rsidR="003A6DD8" w:rsidRPr="00CF1B34" w:rsidRDefault="003A6DD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Banco Mundial</w:t>
      </w:r>
    </w:p>
    <w:p w14:paraId="799A686F" w14:textId="77777777" w:rsidR="003A6DD8" w:rsidRPr="00CF1B34" w:rsidRDefault="003A6DD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Organismo financiero multilateral que presta dinero a países para financiar proyectos de fomento del desarrollo económico.</w:t>
      </w:r>
    </w:p>
    <w:p w14:paraId="6A3E1029" w14:textId="090581F6"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Banco personal</w:t>
      </w:r>
    </w:p>
    <w:p w14:paraId="072D12E0" w14:textId="77777777" w:rsidR="00865349" w:rsidRPr="00CF1B34" w:rsidRDefault="0086534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Estos bancos se dedican exclusivamente a la gestión de inversiones de sus clientes. Son bancos especializados en invertir y conseguir las mejores ventajas financieras y fiscales para sus clientes.</w:t>
      </w:r>
    </w:p>
    <w:p w14:paraId="3BFEEDC0" w14:textId="738AC945"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Bancos </w:t>
      </w:r>
    </w:p>
    <w:p w14:paraId="348C8CEB" w14:textId="77777777" w:rsidR="00AE3DB5" w:rsidRPr="00CF1B34" w:rsidRDefault="0086534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Los bancos son entidades con capacidad par captar dinero en forma de cuentas corrientes, depósitos, etc., que luego convertirán en créditos para aquellos que necesiten recursos. Son, en si mismos, un mercado. Estan en todas las partes del sistema financiero, ya que ellos también son emisores cuando necesitan financiarse e intermediarios de los mercados. Son </w:t>
      </w:r>
      <w:r w:rsidR="00AE3DB5" w:rsidRPr="00CF1B34">
        <w:rPr>
          <w:rFonts w:ascii="Arial" w:hAnsi="Arial" w:cs="Arial"/>
          <w:color w:val="000000" w:themeColor="text1"/>
          <w:sz w:val="22"/>
          <w:szCs w:val="22"/>
          <w:lang w:val="es-ES_tradnl"/>
        </w:rPr>
        <w:t>también inversores, ya que compran activos financieros para ellos mismos.</w:t>
      </w:r>
    </w:p>
    <w:p w14:paraId="5EE23295" w14:textId="10036AB8" w:rsidR="009C09FA" w:rsidRPr="00CF1B34" w:rsidRDefault="009C09F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Bandas de Bollinger</w:t>
      </w:r>
    </w:p>
    <w:p w14:paraId="04CD8E2D" w14:textId="6548A095" w:rsidR="00C56933" w:rsidRPr="00CF1B34" w:rsidRDefault="00C56933"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Las </w:t>
      </w:r>
      <w:r w:rsidRPr="00CF1B34">
        <w:rPr>
          <w:rFonts w:ascii="Arial" w:hAnsi="Arial" w:cs="Arial"/>
          <w:b/>
          <w:bCs/>
          <w:color w:val="333333"/>
          <w:sz w:val="22"/>
          <w:szCs w:val="22"/>
          <w:lang w:val="es-ES_tradnl"/>
        </w:rPr>
        <w:t>Bandas de Bollinger</w:t>
      </w:r>
      <w:r w:rsidRPr="00CF1B34">
        <w:rPr>
          <w:rFonts w:ascii="Arial" w:hAnsi="Arial" w:cs="Arial"/>
          <w:color w:val="333333"/>
          <w:sz w:val="22"/>
          <w:szCs w:val="22"/>
          <w:lang w:val="es-ES_tradnl"/>
        </w:rPr>
        <w:t xml:space="preserve">, es una técnica creada por </w:t>
      </w:r>
      <w:r w:rsidRPr="00CF1B34">
        <w:rPr>
          <w:rFonts w:ascii="Arial" w:hAnsi="Arial" w:cs="Arial"/>
          <w:b/>
          <w:bCs/>
          <w:color w:val="333333"/>
          <w:sz w:val="22"/>
          <w:szCs w:val="22"/>
          <w:lang w:val="es-ES_tradnl"/>
        </w:rPr>
        <w:t>John Bollinger</w:t>
      </w:r>
      <w:r w:rsidRPr="00CF1B34">
        <w:rPr>
          <w:rFonts w:ascii="Arial" w:hAnsi="Arial" w:cs="Arial"/>
          <w:color w:val="333333"/>
          <w:sz w:val="22"/>
          <w:szCs w:val="22"/>
          <w:lang w:val="es-ES_tradnl"/>
        </w:rPr>
        <w:t xml:space="preserve"> en la decada de los años 1980, y es una </w:t>
      </w:r>
      <w:r w:rsidRPr="00CF1B34">
        <w:rPr>
          <w:rFonts w:ascii="Arial" w:hAnsi="Arial" w:cs="Arial"/>
          <w:b/>
          <w:bCs/>
          <w:color w:val="333333"/>
          <w:sz w:val="22"/>
          <w:szCs w:val="22"/>
          <w:lang w:val="es-ES_tradnl"/>
        </w:rPr>
        <w:t>herramienta muy utilizada para el análisis técnico</w:t>
      </w:r>
      <w:r w:rsidRPr="00CF1B34">
        <w:rPr>
          <w:rFonts w:ascii="Arial" w:hAnsi="Arial" w:cs="Arial"/>
          <w:color w:val="333333"/>
          <w:sz w:val="22"/>
          <w:szCs w:val="22"/>
          <w:lang w:val="es-ES_tradnl"/>
        </w:rPr>
        <w:t xml:space="preserve"> de los mercados financieros.</w:t>
      </w:r>
    </w:p>
    <w:p w14:paraId="0718D172" w14:textId="77777777" w:rsidR="00C56933" w:rsidRPr="00CF1B34" w:rsidRDefault="00C569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El uso de las Bandas de Bollinger en e </w:t>
      </w:r>
      <w:hyperlink r:id="rId58" w:history="1">
        <w:r w:rsidRPr="00CF1B34">
          <w:rPr>
            <w:rFonts w:ascii="Arial" w:hAnsi="Arial" w:cs="Arial"/>
            <w:b/>
            <w:bCs/>
            <w:color w:val="DC143C"/>
            <w:sz w:val="22"/>
            <w:szCs w:val="22"/>
            <w:u w:val="single"/>
            <w:lang w:val="es-ES_tradnl"/>
          </w:rPr>
          <w:t>mercado de divisas</w:t>
        </w:r>
      </w:hyperlink>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 xml:space="preserve">se basa en el hecho de que los precios por lo general permanecen dentro de los límites superiores e inferiores, con lo cual el tamaño de las Bollinger va a variar de acuerdo a la </w:t>
      </w:r>
      <w:r w:rsidRPr="00CF1B34">
        <w:rPr>
          <w:rFonts w:ascii="Arial" w:hAnsi="Arial" w:cs="Arial"/>
          <w:b/>
          <w:bCs/>
          <w:color w:val="333333"/>
          <w:sz w:val="22"/>
          <w:szCs w:val="22"/>
          <w:lang w:val="es-ES_tradnl"/>
        </w:rPr>
        <w:t>volatilidad de los precios</w:t>
      </w:r>
      <w:r w:rsidRPr="00CF1B34">
        <w:rPr>
          <w:rFonts w:ascii="Arial" w:hAnsi="Arial" w:cs="Arial"/>
          <w:color w:val="333333"/>
          <w:sz w:val="22"/>
          <w:szCs w:val="22"/>
          <w:lang w:val="es-ES_tradnl"/>
        </w:rPr>
        <w:t>.</w:t>
      </w:r>
    </w:p>
    <w:p w14:paraId="5E27ADA5" w14:textId="290CD734" w:rsidR="00C56933" w:rsidRPr="00CF1B34" w:rsidRDefault="00C569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Banderas forex</w:t>
      </w:r>
    </w:p>
    <w:p w14:paraId="719D76A5" w14:textId="77777777" w:rsidR="00C56933" w:rsidRPr="00CF1B34" w:rsidRDefault="00C56933"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La Bandera Forex nos habla de los altos y bajos de una divisa, normalmente en un periodo de tiempo basado en el </w:t>
      </w:r>
      <w:r w:rsidRPr="00CF1B34">
        <w:rPr>
          <w:rStyle w:val="Textoennegrita"/>
          <w:rFonts w:ascii="Arial" w:hAnsi="Arial" w:cs="Arial"/>
          <w:color w:val="333333"/>
          <w:sz w:val="22"/>
          <w:szCs w:val="22"/>
          <w:lang w:val="es-ES_tradnl"/>
        </w:rPr>
        <w:t>corto plazo.</w:t>
      </w:r>
    </w:p>
    <w:p w14:paraId="40DD7B5F" w14:textId="77777777" w:rsidR="00C56933" w:rsidRPr="00CF1B34" w:rsidRDefault="00C56933"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Se dice que las banderas son figuras de medio camino porque</w:t>
      </w:r>
      <w:r w:rsidRPr="00CF1B34">
        <w:rPr>
          <w:rStyle w:val="Textoennegrita"/>
          <w:rFonts w:ascii="Arial" w:hAnsi="Arial" w:cs="Arial"/>
          <w:color w:val="333333"/>
          <w:sz w:val="22"/>
          <w:szCs w:val="22"/>
          <w:lang w:val="es-ES_tradnl"/>
        </w:rPr>
        <w:t> aparecen frecuentemente en medio del recorrido de una tendencia alcista o bajista</w:t>
      </w:r>
      <w:r w:rsidRPr="00CF1B34">
        <w:rPr>
          <w:rFonts w:ascii="Arial" w:hAnsi="Arial" w:cs="Arial"/>
          <w:color w:val="333333"/>
          <w:sz w:val="22"/>
          <w:szCs w:val="22"/>
          <w:lang w:val="es-ES_tradnl"/>
        </w:rPr>
        <w:t> en una operación de divisas, compuestas por componen de un rango de fluctuación estrecho entre dos bandas.</w:t>
      </w:r>
    </w:p>
    <w:p w14:paraId="5E9DAA69" w14:textId="77777777" w:rsidR="00C56933" w:rsidRPr="00CF1B34" w:rsidRDefault="00C569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Esta figura resulta indicadora de que ha llegado el momento de “moverse” esto es comprar o vender divisas.</w:t>
      </w:r>
    </w:p>
    <w:p w14:paraId="0E403BBF" w14:textId="589BE42D"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Banderitas y estandartes</w:t>
      </w:r>
    </w:p>
    <w:p w14:paraId="79DC4FC0" w14:textId="07F9A22A" w:rsidR="00AE3DB5" w:rsidRPr="00CF1B34" w:rsidRDefault="00AE3DB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figuras chartistas de consolidación de tendencia principal. La banderita suele formarse en tendencias alcistas, casi siempre después de un subida brusca y con</w:t>
      </w:r>
      <w:r w:rsidR="00E440F4"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 xml:space="preserve">fuerte volumen. A </w:t>
      </w:r>
      <w:proofErr w:type="gramStart"/>
      <w:r w:rsidRPr="00CF1B34">
        <w:rPr>
          <w:rFonts w:ascii="Arial" w:hAnsi="Arial" w:cs="Arial"/>
          <w:color w:val="000000" w:themeColor="text1"/>
          <w:sz w:val="22"/>
          <w:szCs w:val="22"/>
          <w:lang w:val="es-ES_tradnl"/>
        </w:rPr>
        <w:t>continuación</w:t>
      </w:r>
      <w:proofErr w:type="gramEnd"/>
      <w:r w:rsidRPr="00CF1B34">
        <w:rPr>
          <w:rFonts w:ascii="Arial" w:hAnsi="Arial" w:cs="Arial"/>
          <w:color w:val="000000" w:themeColor="text1"/>
          <w:sz w:val="22"/>
          <w:szCs w:val="22"/>
          <w:lang w:val="es-ES_tradnl"/>
        </w:rPr>
        <w:t xml:space="preserve"> los precios fluctúan ligeramente a la baja, tomando apariencia de bandera. El estandarte es una variación de las banderitas que se forma cuando el estrechamiento de los precios se produce de forma triangular.</w:t>
      </w:r>
    </w:p>
    <w:p w14:paraId="1710CA25" w14:textId="2343147E"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Barreras de entrada y salida</w:t>
      </w:r>
    </w:p>
    <w:p w14:paraId="50828871" w14:textId="77777777" w:rsidR="00EB2DEF" w:rsidRPr="00CF1B34" w:rsidRDefault="00AE3DB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Impedimentos legales o de cualquier otro tipo (tecnología, dimensión, cobertura geográfica, etc.) para el acceso de huevos concurrentes a un determinado mercado o para </w:t>
      </w:r>
      <w:r w:rsidR="00EB2DEF" w:rsidRPr="00CF1B34">
        <w:rPr>
          <w:rFonts w:ascii="Arial" w:hAnsi="Arial" w:cs="Arial"/>
          <w:color w:val="000000" w:themeColor="text1"/>
          <w:sz w:val="22"/>
          <w:szCs w:val="22"/>
          <w:lang w:val="es-ES_tradnl"/>
        </w:rPr>
        <w:t>el</w:t>
      </w:r>
      <w:r w:rsidRPr="00CF1B34">
        <w:rPr>
          <w:rFonts w:ascii="Arial" w:hAnsi="Arial" w:cs="Arial"/>
          <w:color w:val="000000" w:themeColor="text1"/>
          <w:sz w:val="22"/>
          <w:szCs w:val="22"/>
          <w:lang w:val="es-ES_tradnl"/>
        </w:rPr>
        <w:t xml:space="preserve"> abando</w:t>
      </w:r>
      <w:r w:rsidR="00EB2DEF" w:rsidRPr="00CF1B34">
        <w:rPr>
          <w:rFonts w:ascii="Arial" w:hAnsi="Arial" w:cs="Arial"/>
          <w:color w:val="000000" w:themeColor="text1"/>
          <w:sz w:val="22"/>
          <w:szCs w:val="22"/>
          <w:lang w:val="es-ES_tradnl"/>
        </w:rPr>
        <w:t>no de este</w:t>
      </w:r>
    </w:p>
    <w:p w14:paraId="2E8BC29D" w14:textId="249BF5FE"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Base del bono</w:t>
      </w:r>
    </w:p>
    <w:p w14:paraId="42B5C598"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los períodos de referencia para el cálculo de los intereses devengados de un valor de renta fija. La base de cálculo consiste en un cociente cuyo numerador es el número de días que hay entre dos fechas, y el denominador, el año financiero. Puesto que los períodos naturales no tienen por qué coincidir con los financieros (hay años de 366 días y meses de 28, 30 o 31 días), los mercados han establecido una serie de convenciones; el efecto económico de elegir una u otra puede llegar a ser apreciable.</w:t>
      </w:r>
    </w:p>
    <w:p w14:paraId="4A7D76FF" w14:textId="326508CB"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Base de un contrato de futuro</w:t>
      </w:r>
    </w:p>
    <w:p w14:paraId="03B3ACF3" w14:textId="77777777" w:rsidR="00EB2DEF" w:rsidRPr="00CF1B34" w:rsidRDefault="00EB2D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base de un contrato de futuro es la diferencia entre cotización de futuro y la cotización del activo subyacente. En la fecha de vencimiento del contrato, la base debe ser cero.</w:t>
      </w:r>
    </w:p>
    <w:p w14:paraId="6A923695" w14:textId="224C2D54" w:rsidR="00DC0324" w:rsidRPr="00CF1B34" w:rsidRDefault="00DC032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Bases de cotización </w:t>
      </w:r>
    </w:p>
    <w:p w14:paraId="20C1697A" w14:textId="489F8859" w:rsidR="00DC0324" w:rsidRPr="00CF1B34" w:rsidRDefault="00DC0324"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Todas las empresas y trabajadores están obligados a</w:t>
      </w:r>
      <w:r w:rsidRPr="00CF1B34">
        <w:rPr>
          <w:rFonts w:ascii="Arial" w:hAnsi="Arial" w:cs="Arial"/>
          <w:b/>
          <w:bCs/>
          <w:color w:val="333333"/>
          <w:sz w:val="22"/>
          <w:szCs w:val="22"/>
          <w:lang w:val="es-ES_tradnl"/>
        </w:rPr>
        <w:t xml:space="preserve"> cotizar  a la Seguridad Social </w:t>
      </w:r>
      <w:r w:rsidRPr="00CF1B34">
        <w:rPr>
          <w:rFonts w:ascii="Arial" w:hAnsi="Arial" w:cs="Arial"/>
          <w:color w:val="333333"/>
          <w:sz w:val="22"/>
          <w:szCs w:val="22"/>
          <w:lang w:val="es-ES_tradnl"/>
        </w:rPr>
        <w:t xml:space="preserve">ciertas cantidades de su salario, que además después se reflejan en </w:t>
      </w:r>
      <w:hyperlink r:id="rId59" w:tgtFrame="_blank" w:history="1">
        <w:r w:rsidRPr="00CF1B34">
          <w:rPr>
            <w:rFonts w:ascii="Arial" w:hAnsi="Arial" w:cs="Arial"/>
            <w:color w:val="DC143C"/>
            <w:sz w:val="22"/>
            <w:szCs w:val="22"/>
            <w:u w:val="single"/>
            <w:lang w:val="es-ES_tradnl"/>
          </w:rPr>
          <w:t>la nómina</w:t>
        </w:r>
      </w:hyperlink>
      <w:r w:rsidRPr="00CF1B34">
        <w:rPr>
          <w:rFonts w:ascii="Arial" w:hAnsi="Arial" w:cs="Arial"/>
          <w:color w:val="333333"/>
          <w:sz w:val="22"/>
          <w:szCs w:val="22"/>
          <w:lang w:val="es-ES_tradnl"/>
        </w:rPr>
        <w:t xml:space="preserve">. Estas aportaciones a la </w:t>
      </w:r>
      <w:hyperlink r:id="rId60" w:history="1">
        <w:r w:rsidRPr="00CF1B34">
          <w:rPr>
            <w:rFonts w:ascii="Arial" w:hAnsi="Arial" w:cs="Arial"/>
            <w:color w:val="DC143C"/>
            <w:sz w:val="22"/>
            <w:szCs w:val="22"/>
            <w:u w:val="single"/>
            <w:lang w:val="es-ES_tradnl"/>
          </w:rPr>
          <w:t>Seguridad Social</w:t>
        </w:r>
      </w:hyperlink>
      <w:r w:rsidRPr="00CF1B34">
        <w:rPr>
          <w:rFonts w:ascii="Arial" w:hAnsi="Arial" w:cs="Arial"/>
          <w:color w:val="333333"/>
          <w:sz w:val="22"/>
          <w:szCs w:val="22"/>
          <w:lang w:val="es-ES_tradnl"/>
        </w:rPr>
        <w:t xml:space="preserve"> se determinan en función de unas </w:t>
      </w:r>
      <w:r w:rsidRPr="00CF1B34">
        <w:rPr>
          <w:rFonts w:ascii="Arial" w:hAnsi="Arial" w:cs="Arial"/>
          <w:b/>
          <w:bCs/>
          <w:color w:val="333333"/>
          <w:sz w:val="22"/>
          <w:szCs w:val="22"/>
          <w:lang w:val="es-ES_tradnl"/>
        </w:rPr>
        <w:t>bases de cotización</w:t>
      </w:r>
      <w:r w:rsidRPr="00CF1B34">
        <w:rPr>
          <w:rFonts w:ascii="Arial" w:hAnsi="Arial" w:cs="Arial"/>
          <w:color w:val="333333"/>
          <w:sz w:val="22"/>
          <w:szCs w:val="22"/>
          <w:lang w:val="es-ES_tradnl"/>
        </w:rPr>
        <w:t>.</w:t>
      </w:r>
    </w:p>
    <w:p w14:paraId="21292A88" w14:textId="6518B9D6" w:rsidR="00DC0324" w:rsidRPr="00CF1B34" w:rsidRDefault="00DC032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Las </w:t>
      </w:r>
      <w:r w:rsidRPr="00CF1B34">
        <w:rPr>
          <w:rFonts w:ascii="Arial" w:hAnsi="Arial" w:cs="Arial"/>
          <w:b/>
          <w:bCs/>
          <w:color w:val="333333"/>
          <w:sz w:val="22"/>
          <w:szCs w:val="22"/>
          <w:lang w:val="es-ES_tradnl"/>
        </w:rPr>
        <w:t>bases de cotización</w:t>
      </w:r>
      <w:r w:rsidRPr="00CF1B34">
        <w:rPr>
          <w:rFonts w:ascii="Arial" w:hAnsi="Arial" w:cs="Arial"/>
          <w:color w:val="333333"/>
          <w:sz w:val="22"/>
          <w:szCs w:val="22"/>
          <w:lang w:val="es-ES_tradnl"/>
        </w:rPr>
        <w:t xml:space="preserve"> están regidas por una serie de porcentajes legalmente establecidos y que varían todos los años. Existen diferentes regímenes dentro de la Seguridad y cada uno cuenta con sus bases de cotización. </w:t>
      </w:r>
    </w:p>
    <w:p w14:paraId="6645164E" w14:textId="524BFFC2" w:rsidR="00DC0324" w:rsidRPr="00CF1B34" w:rsidRDefault="00DC032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En el caso de los trabajadores adscritos al </w:t>
      </w:r>
      <w:r w:rsidRPr="00CF1B34">
        <w:rPr>
          <w:rStyle w:val="Textoennegrita"/>
          <w:rFonts w:ascii="Arial" w:hAnsi="Arial" w:cs="Arial"/>
          <w:color w:val="333333"/>
          <w:sz w:val="22"/>
          <w:szCs w:val="22"/>
          <w:lang w:val="es-ES_tradnl"/>
        </w:rPr>
        <w:t>Régimen General de la Seguridad Social</w:t>
      </w:r>
      <w:r w:rsidRPr="00CF1B34">
        <w:rPr>
          <w:rFonts w:ascii="Arial" w:hAnsi="Arial" w:cs="Arial"/>
          <w:color w:val="333333"/>
          <w:sz w:val="22"/>
          <w:szCs w:val="22"/>
          <w:lang w:val="es-ES_tradnl"/>
        </w:rPr>
        <w:t xml:space="preserve"> (el más común, como su propio nombre indica), se tendrán en cuenta para determinar la </w:t>
      </w:r>
      <w:r w:rsidRPr="00CF1B34">
        <w:rPr>
          <w:rStyle w:val="Textoennegrita"/>
          <w:rFonts w:ascii="Arial" w:hAnsi="Arial" w:cs="Arial"/>
          <w:color w:val="333333"/>
          <w:sz w:val="22"/>
          <w:szCs w:val="22"/>
          <w:lang w:val="es-ES_tradnl"/>
        </w:rPr>
        <w:t>base de cotización</w:t>
      </w:r>
      <w:r w:rsidRPr="00CF1B34">
        <w:rPr>
          <w:rFonts w:ascii="Arial" w:hAnsi="Arial" w:cs="Arial"/>
          <w:color w:val="333333"/>
          <w:sz w:val="22"/>
          <w:szCs w:val="22"/>
          <w:lang w:val="es-ES_tradnl"/>
        </w:rPr>
        <w:t xml:space="preserve"> la remuneración total que reciba el trabajador excluyendo, eso sí algunos elementos que no se computarán en la base de cotización como son </w:t>
      </w:r>
      <w:r w:rsidRPr="00CF1B34">
        <w:rPr>
          <w:rStyle w:val="Textoennegrita"/>
          <w:rFonts w:ascii="Arial" w:hAnsi="Arial" w:cs="Arial"/>
          <w:color w:val="333333"/>
          <w:sz w:val="22"/>
          <w:szCs w:val="22"/>
          <w:lang w:val="es-ES_tradnl"/>
        </w:rPr>
        <w:t xml:space="preserve">dietas y asignaciones para gastos de viaje, gastos de locomoción, plus de distancia y plus de transporte urbano, </w:t>
      </w:r>
      <w:r w:rsidRPr="00CF1B34">
        <w:rPr>
          <w:rFonts w:ascii="Arial" w:hAnsi="Arial" w:cs="Arial"/>
          <w:color w:val="333333"/>
          <w:sz w:val="22"/>
          <w:szCs w:val="22"/>
          <w:lang w:val="es-ES_tradnl"/>
        </w:rPr>
        <w:t xml:space="preserve">las </w:t>
      </w:r>
      <w:r w:rsidRPr="00CF1B34">
        <w:rPr>
          <w:rStyle w:val="Textoennegrita"/>
          <w:rFonts w:ascii="Arial" w:hAnsi="Arial" w:cs="Arial"/>
          <w:color w:val="333333"/>
          <w:sz w:val="22"/>
          <w:szCs w:val="22"/>
          <w:lang w:val="es-ES_tradnl"/>
        </w:rPr>
        <w:t>indemnizaciones por fallecimiento, y las indemnizaciones correspondientes a traslados, suspensiones, despidos y ceses</w:t>
      </w:r>
      <w:r w:rsidRPr="00CF1B34">
        <w:rPr>
          <w:rFonts w:ascii="Arial" w:hAnsi="Arial" w:cs="Arial"/>
          <w:color w:val="333333"/>
          <w:sz w:val="22"/>
          <w:szCs w:val="22"/>
          <w:lang w:val="es-ES_tradnl"/>
        </w:rPr>
        <w:t xml:space="preserve">; y la cantidades que se abonen en concepto de </w:t>
      </w:r>
      <w:r w:rsidRPr="00CF1B34">
        <w:rPr>
          <w:rStyle w:val="Textoennegrita"/>
          <w:rFonts w:ascii="Arial" w:hAnsi="Arial" w:cs="Arial"/>
          <w:color w:val="333333"/>
          <w:sz w:val="22"/>
          <w:szCs w:val="22"/>
          <w:lang w:val="es-ES_tradnl"/>
        </w:rPr>
        <w:t>quebranto de moneda</w:t>
      </w:r>
      <w:r w:rsidRPr="00CF1B34">
        <w:rPr>
          <w:rFonts w:ascii="Arial" w:hAnsi="Arial" w:cs="Arial"/>
          <w:color w:val="333333"/>
          <w:sz w:val="22"/>
          <w:szCs w:val="22"/>
          <w:lang w:val="es-ES_tradnl"/>
        </w:rPr>
        <w:t xml:space="preserve">, por </w:t>
      </w:r>
      <w:r w:rsidRPr="00CF1B34">
        <w:rPr>
          <w:rStyle w:val="Textoennegrita"/>
          <w:rFonts w:ascii="Arial" w:hAnsi="Arial" w:cs="Arial"/>
          <w:color w:val="333333"/>
          <w:sz w:val="22"/>
          <w:szCs w:val="22"/>
          <w:lang w:val="es-ES_tradnl"/>
        </w:rPr>
        <w:t>desgaste de</w:t>
      </w:r>
      <w:r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útiles y herramientas</w:t>
      </w:r>
      <w:r w:rsidRPr="00CF1B34">
        <w:rPr>
          <w:rFonts w:ascii="Arial" w:hAnsi="Arial" w:cs="Arial"/>
          <w:color w:val="333333"/>
          <w:sz w:val="22"/>
          <w:szCs w:val="22"/>
          <w:lang w:val="es-ES_tradnl"/>
        </w:rPr>
        <w:t xml:space="preserve"> de trabajo y las previstas para la adquisición de </w:t>
      </w:r>
      <w:r w:rsidRPr="00CF1B34">
        <w:rPr>
          <w:rStyle w:val="Textoennegrita"/>
          <w:rFonts w:ascii="Arial" w:hAnsi="Arial" w:cs="Arial"/>
          <w:color w:val="333333"/>
          <w:sz w:val="22"/>
          <w:szCs w:val="22"/>
          <w:lang w:val="es-ES_tradnl"/>
        </w:rPr>
        <w:t>prendas de trabajo</w:t>
      </w:r>
      <w:r w:rsidRPr="00CF1B34">
        <w:rPr>
          <w:rFonts w:ascii="Arial" w:hAnsi="Arial" w:cs="Arial"/>
          <w:color w:val="333333"/>
          <w:sz w:val="22"/>
          <w:szCs w:val="22"/>
          <w:lang w:val="es-ES_tradnl"/>
        </w:rPr>
        <w:t>.</w:t>
      </w:r>
    </w:p>
    <w:p w14:paraId="03758EEC" w14:textId="77777777" w:rsidR="00DC0324" w:rsidRPr="00CF1B34" w:rsidRDefault="00DC0324"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Los elementos que sirven como base de cotización se pueden dividir en:</w:t>
      </w:r>
    </w:p>
    <w:p w14:paraId="4FF8AC61" w14:textId="77777777" w:rsidR="00DC0324" w:rsidRPr="00CF1B34" w:rsidRDefault="00DC032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Contingencias comunes</w:t>
      </w:r>
      <w:r w:rsidRPr="00CF1B34">
        <w:rPr>
          <w:rFonts w:ascii="Arial" w:hAnsi="Arial" w:cs="Arial"/>
          <w:color w:val="333333"/>
          <w:sz w:val="22"/>
          <w:szCs w:val="22"/>
          <w:lang w:val="es-ES_tradnl"/>
        </w:rPr>
        <w:t>, que suma la remuneración mensual una vez excluídos los conceptos no cotizables y añadido la parte correspondiente al prorrateo de la paga extraordinaria (si se diera el caso).</w:t>
      </w:r>
    </w:p>
    <w:p w14:paraId="11F9EB5E" w14:textId="77777777" w:rsidR="00DC0324" w:rsidRPr="00CF1B34" w:rsidRDefault="00DC032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Contingencias profesional</w:t>
      </w:r>
      <w:r w:rsidRPr="00CF1B34">
        <w:rPr>
          <w:rFonts w:ascii="Arial" w:hAnsi="Arial" w:cs="Arial"/>
          <w:color w:val="333333"/>
          <w:sz w:val="22"/>
          <w:szCs w:val="22"/>
          <w:lang w:val="es-ES_tradnl"/>
        </w:rPr>
        <w:t xml:space="preserve">, cubre los riesgos en caso de accidentes de trabajo y enfermedades profesionales y se calcula como las contingencias </w:t>
      </w:r>
      <w:proofErr w:type="gramStart"/>
      <w:r w:rsidRPr="00CF1B34">
        <w:rPr>
          <w:rFonts w:ascii="Arial" w:hAnsi="Arial" w:cs="Arial"/>
          <w:color w:val="333333"/>
          <w:sz w:val="22"/>
          <w:szCs w:val="22"/>
          <w:lang w:val="es-ES_tradnl"/>
        </w:rPr>
        <w:t>comunes</w:t>
      </w:r>
      <w:proofErr w:type="gramEnd"/>
      <w:r w:rsidRPr="00CF1B34">
        <w:rPr>
          <w:rFonts w:ascii="Arial" w:hAnsi="Arial" w:cs="Arial"/>
          <w:color w:val="333333"/>
          <w:sz w:val="22"/>
          <w:szCs w:val="22"/>
          <w:lang w:val="es-ES_tradnl"/>
        </w:rPr>
        <w:t xml:space="preserve"> pero sumando las horas extraordinarias.</w:t>
      </w:r>
    </w:p>
    <w:p w14:paraId="08811F04" w14:textId="77777777" w:rsidR="00DC0324" w:rsidRPr="00CF1B34" w:rsidRDefault="00DC0324"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lang w:val="es-ES_tradnl"/>
        </w:rPr>
        <w:t>Base por desempleo, formación profesional y Fogasa</w:t>
      </w:r>
      <w:r w:rsidRPr="00CF1B34">
        <w:rPr>
          <w:rFonts w:ascii="Arial" w:hAnsi="Arial" w:cs="Arial"/>
          <w:color w:val="333333"/>
          <w:sz w:val="22"/>
          <w:szCs w:val="22"/>
          <w:lang w:val="es-ES_tradnl"/>
        </w:rPr>
        <w:t>, se calcula según las reglas de las contingencias profesionales.</w:t>
      </w:r>
    </w:p>
    <w:p w14:paraId="2BFE1965" w14:textId="4D4977A7" w:rsidR="003A6DD8" w:rsidRPr="00CF1B34" w:rsidRDefault="003A6DD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Bear (oso)</w:t>
      </w:r>
    </w:p>
    <w:p w14:paraId="7AE00CDF" w14:textId="77777777" w:rsidR="003A6DD8" w:rsidRPr="00CF1B34" w:rsidRDefault="003A6DD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Símbolo anglosajón que expresa la baja de las cotizaciones.</w:t>
      </w:r>
    </w:p>
    <w:p w14:paraId="526A39C6" w14:textId="5EB015D4"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Benchmark</w:t>
      </w:r>
    </w:p>
    <w:p w14:paraId="50374DCD" w14:textId="18EEC031"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una referencia que se usa para hacer comparaciones. En el ámbito financiero, cualquier índice que se tome como referencia para valorar la eficiencia en la gestión de una cartera</w:t>
      </w:r>
      <w:r w:rsidR="006B66E7" w:rsidRPr="00CF1B34">
        <w:rPr>
          <w:rFonts w:ascii="Arial" w:hAnsi="Arial" w:cs="Arial"/>
          <w:color w:val="212529"/>
          <w:sz w:val="22"/>
          <w:szCs w:val="22"/>
          <w:lang w:val="es-ES_tradnl"/>
        </w:rPr>
        <w:t xml:space="preserve"> o una inversion</w:t>
      </w:r>
      <w:r w:rsidRPr="00CF1B34">
        <w:rPr>
          <w:rFonts w:ascii="Arial" w:hAnsi="Arial" w:cs="Arial"/>
          <w:color w:val="212529"/>
          <w:sz w:val="22"/>
          <w:szCs w:val="22"/>
          <w:lang w:val="es-ES_tradnl"/>
        </w:rPr>
        <w:t>, es un benchmark. Por ejemplo, para una cartera invertida en renta variable española, el benchmark más frecuente es el Ibex-35, y una buena gestión consistiría en superar la revalorización del índice o en perder menos que su devaluación.</w:t>
      </w:r>
    </w:p>
    <w:p w14:paraId="2684C0BC" w14:textId="6B768D07" w:rsidR="003A6DD8" w:rsidRPr="00CF1B34" w:rsidRDefault="003A6DD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Beneficiario</w:t>
      </w:r>
    </w:p>
    <w:p w14:paraId="0A566603" w14:textId="77777777" w:rsidR="00B90893" w:rsidRPr="00CF1B34" w:rsidRDefault="00B9089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El Beneficiario es a favor de quien se debe cumplir la obligación. Es el acreedor ante quien se garantiza la obligación del fiado</w:t>
      </w:r>
    </w:p>
    <w:p w14:paraId="74B08863" w14:textId="510AEAED"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Beneficio bruto</w:t>
      </w:r>
    </w:p>
    <w:p w14:paraId="336D32C7"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resultado de una sociedad (obtenido por diferencia entre ingresos y gastos), antes de restar las amortizaciones y los impuestos.</w:t>
      </w:r>
    </w:p>
    <w:p w14:paraId="6B86118A" w14:textId="67D9F14E"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Beneficio de explotación</w:t>
      </w:r>
    </w:p>
    <w:p w14:paraId="7D43ADC4" w14:textId="77777777" w:rsidR="00EB2DEF" w:rsidRPr="00CF1B34" w:rsidRDefault="00EB2D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Ventas netas menos coste de venta y gasto de explotación que incluyen: gasto de personal, otros gastos de explotación, otros ingresos de explotación, amortizaciones, provisiones.</w:t>
      </w:r>
    </w:p>
    <w:p w14:paraId="7F41DD06" w14:textId="2CD09DD0"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Beneficio neto</w:t>
      </w:r>
    </w:p>
    <w:p w14:paraId="1CC91C21"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resultado obtenido por una compañía, después de restar al total de ingresos todos los gastos (incluidos amortizaciones e impuestos).</w:t>
      </w:r>
    </w:p>
    <w:p w14:paraId="6A48D5A8" w14:textId="2D025CD5"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Beneficio por acción</w:t>
      </w:r>
      <w:r w:rsidR="00D25ECD" w:rsidRPr="00CF1B34">
        <w:rPr>
          <w:rFonts w:ascii="Arial" w:hAnsi="Arial" w:cs="Arial"/>
          <w:b/>
          <w:bCs/>
          <w:color w:val="004773"/>
          <w:sz w:val="22"/>
          <w:szCs w:val="22"/>
          <w:lang w:val="es-ES_tradnl"/>
        </w:rPr>
        <w:t xml:space="preserve"> (BPA)</w:t>
      </w:r>
    </w:p>
    <w:p w14:paraId="07398CAA" w14:textId="77777777" w:rsidR="001E0728" w:rsidRPr="00CF1B34" w:rsidRDefault="001E0728"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Ratio que relaciona el beneficio neto (después de intereses e impuestos) con el número de acciones en circulación. En definitiva, indica la remuneración teórica que la empresa ofrece a las acciones ordinarias. Si se han producido ampliaciones de capital, será necesario aplicar un factor de ajuste. </w:t>
      </w:r>
      <w:hyperlink r:id="rId61" w:tgtFrame="_self" w:history="1">
        <w:r w:rsidRPr="00CF1B34">
          <w:rPr>
            <w:rFonts w:ascii="Arial" w:hAnsi="Arial" w:cs="Arial"/>
            <w:b/>
            <w:bCs/>
            <w:color w:val="2F5496" w:themeColor="accent1" w:themeShade="BF"/>
            <w:sz w:val="22"/>
            <w:szCs w:val="22"/>
            <w:u w:val="single"/>
            <w:lang w:val="es-ES_tradnl"/>
          </w:rPr>
          <w:t>Ver ratio bursátil</w:t>
        </w:r>
      </w:hyperlink>
      <w:r w:rsidRPr="00CF1B34">
        <w:rPr>
          <w:rFonts w:ascii="Arial" w:hAnsi="Arial" w:cs="Arial"/>
          <w:color w:val="2F5496" w:themeColor="accent1" w:themeShade="BF"/>
          <w:sz w:val="22"/>
          <w:szCs w:val="22"/>
          <w:lang w:val="es-ES_tradnl"/>
        </w:rPr>
        <w:t>.</w:t>
      </w:r>
    </w:p>
    <w:p w14:paraId="53DF36BF" w14:textId="196AFE64" w:rsidR="00D25ECD" w:rsidRPr="00CF1B34" w:rsidRDefault="00D25EC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Beneficios empresariale</w:t>
      </w:r>
      <w:r w:rsidR="004C0986" w:rsidRPr="00CF1B34">
        <w:rPr>
          <w:rFonts w:ascii="Arial" w:hAnsi="Arial" w:cs="Arial"/>
          <w:b/>
          <w:bCs/>
          <w:color w:val="004773"/>
          <w:sz w:val="22"/>
          <w:szCs w:val="22"/>
          <w:lang w:val="es-ES_tradnl"/>
        </w:rPr>
        <w:t>s</w:t>
      </w:r>
    </w:p>
    <w:p w14:paraId="356D4B91" w14:textId="77777777" w:rsidR="002535E3" w:rsidRPr="00CF1B34" w:rsidRDefault="002535E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las ganancias que obtienen las empresas en su actividad, no todas las empresas obtienen </w:t>
      </w:r>
      <w:proofErr w:type="gramStart"/>
      <w:r w:rsidRPr="00CF1B34">
        <w:rPr>
          <w:rFonts w:ascii="Arial" w:hAnsi="Arial" w:cs="Arial"/>
          <w:color w:val="000000" w:themeColor="text1"/>
          <w:sz w:val="22"/>
          <w:szCs w:val="22"/>
          <w:lang w:val="es-ES_tradnl"/>
        </w:rPr>
        <w:t>beneficios</w:t>
      </w:r>
      <w:proofErr w:type="gramEnd"/>
      <w:r w:rsidRPr="00CF1B34">
        <w:rPr>
          <w:rFonts w:ascii="Arial" w:hAnsi="Arial" w:cs="Arial"/>
          <w:color w:val="000000" w:themeColor="text1"/>
          <w:sz w:val="22"/>
          <w:szCs w:val="22"/>
          <w:lang w:val="es-ES_tradnl"/>
        </w:rPr>
        <w:t xml:space="preserve"> sino que también las hay con perdidas. Una parte de los beneficios que obtienen los reparten entre sus accionistas. Los beneficios son el apoyo y el sustento de las subidas de las empresas en bolsa.</w:t>
      </w:r>
    </w:p>
    <w:p w14:paraId="45D6082F" w14:textId="69A981D1"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Beneficios no distribuidos</w:t>
      </w:r>
    </w:p>
    <w:p w14:paraId="011C8125" w14:textId="03FD3D5C" w:rsidR="006B66E7"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parte del resultado distribuible (después de impuestos) que no se reparte en forma de dividendos, sino que permanece en la empresa (generalmente se aplica a la constitución de reservas). La no distribución de beneficios responde a una decisión estratégica de la empresa (adoptada por la Junta General de accionistas), que puede estimar conveniente un aumento de los recursos propios.</w:t>
      </w:r>
    </w:p>
    <w:p w14:paraId="26C51985" w14:textId="14A5803C" w:rsidR="00AE5CAA" w:rsidRPr="00CF1B34" w:rsidRDefault="00AE5CAA"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Beneficios sociales</w:t>
      </w:r>
    </w:p>
    <w:p w14:paraId="00AF4D0F" w14:textId="1B3E9E08" w:rsidR="00732C02" w:rsidRPr="00CF1B34" w:rsidRDefault="00DF5DC0"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shd w:val="clear" w:color="auto" w:fill="FFFFFF"/>
          <w:lang w:val="es-ES_tradnl"/>
        </w:rPr>
        <w:t>Beneficios Sociales:</w:t>
      </w:r>
      <w:r w:rsidR="00732C02" w:rsidRPr="00CF1B34">
        <w:rPr>
          <w:rFonts w:ascii="Arial" w:hAnsi="Arial" w:cs="Arial"/>
          <w:color w:val="333333"/>
          <w:sz w:val="22"/>
          <w:szCs w:val="22"/>
          <w:shd w:val="clear" w:color="auto" w:fill="FFFFFF"/>
          <w:lang w:val="es-ES_tradnl"/>
        </w:rPr>
        <w:t xml:space="preserve"> </w:t>
      </w:r>
      <w:r w:rsidRPr="00CF1B34">
        <w:rPr>
          <w:rStyle w:val="nfasis"/>
          <w:rFonts w:ascii="Arial" w:hAnsi="Arial" w:cs="Arial"/>
          <w:color w:val="333333"/>
          <w:sz w:val="22"/>
          <w:szCs w:val="22"/>
          <w:shd w:val="clear" w:color="auto" w:fill="FFFFFF"/>
          <w:lang w:val="es-ES_tradnl"/>
        </w:rPr>
        <w:t xml:space="preserve">son las prestaciones no en metálico, no retributivas, ni acumulables o reemplazables por dinero que el empresario ofrece al trabajador de forma directa, o a </w:t>
      </w:r>
      <w:r w:rsidRPr="00CF1B34">
        <w:rPr>
          <w:rStyle w:val="nfasis"/>
          <w:rFonts w:ascii="Arial" w:hAnsi="Arial" w:cs="Arial"/>
          <w:color w:val="333333"/>
          <w:sz w:val="22"/>
          <w:szCs w:val="22"/>
          <w:shd w:val="clear" w:color="auto" w:fill="FFFFFF"/>
          <w:lang w:val="es-ES_tradnl"/>
        </w:rPr>
        <w:lastRenderedPageBreak/>
        <w:t>través de un tercero</w:t>
      </w:r>
      <w:r w:rsidRPr="00CF1B34">
        <w:rPr>
          <w:rFonts w:ascii="Arial" w:hAnsi="Arial" w:cs="Arial"/>
          <w:color w:val="333333"/>
          <w:sz w:val="22"/>
          <w:szCs w:val="22"/>
          <w:shd w:val="clear" w:color="auto" w:fill="FFFFFF"/>
          <w:lang w:val="es-ES_tradnl"/>
        </w:rPr>
        <w:t>, con la finalidad de mejorar la calidad de vida del empleado o de las personas a su cargo.</w:t>
      </w:r>
      <w:r w:rsidR="00732C02" w:rsidRPr="00CF1B34">
        <w:rPr>
          <w:rFonts w:ascii="Arial" w:hAnsi="Arial" w:cs="Arial"/>
          <w:color w:val="333333"/>
          <w:sz w:val="22"/>
          <w:szCs w:val="22"/>
          <w:lang w:val="es-ES_tradnl"/>
        </w:rPr>
        <w:t xml:space="preserve"> </w:t>
      </w:r>
    </w:p>
    <w:p w14:paraId="4400599D" w14:textId="7FA082D5" w:rsidR="00732C02" w:rsidRPr="00CF1B34" w:rsidRDefault="00732C0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Si pensamos en los motivos que pueden tener las empresas para implementar estos beneficios, debemos señalar a las </w:t>
      </w:r>
      <w:r w:rsidRPr="00CF1B34">
        <w:rPr>
          <w:rStyle w:val="Textoennegrita"/>
          <w:rFonts w:ascii="Arial" w:hAnsi="Arial" w:cs="Arial"/>
          <w:color w:val="333333"/>
          <w:sz w:val="22"/>
          <w:szCs w:val="22"/>
          <w:lang w:val="es-ES_tradnl"/>
        </w:rPr>
        <w:t>exigencias sindicales, la posibilidad de deducciones fiscales, la propia legislación laboral y las limitaciones gubernamentales a los salarios elevados.</w:t>
      </w:r>
    </w:p>
    <w:p w14:paraId="2CB85F05" w14:textId="69E33A89" w:rsidR="00732C02" w:rsidRPr="00CF1B34" w:rsidRDefault="00732C02" w:rsidP="0005621A">
      <w:pPr>
        <w:ind w:left="708"/>
        <w:jc w:val="both"/>
        <w:rPr>
          <w:rFonts w:ascii="Arial" w:hAnsi="Arial" w:cs="Arial"/>
          <w:sz w:val="22"/>
          <w:szCs w:val="22"/>
          <w:lang w:val="es-ES_tradnl"/>
        </w:rPr>
      </w:pPr>
      <w:r w:rsidRPr="00CF1B34">
        <w:rPr>
          <w:rFonts w:ascii="Arial" w:hAnsi="Arial" w:cs="Arial"/>
          <w:color w:val="333333"/>
          <w:sz w:val="22"/>
          <w:szCs w:val="22"/>
          <w:lang w:val="es-ES_tradnl"/>
        </w:rPr>
        <w:t xml:space="preserve">El principio básico de los beneficios sociales para el negocio está en el </w:t>
      </w:r>
      <w:r w:rsidRPr="00CF1B34">
        <w:rPr>
          <w:rStyle w:val="nfasis"/>
          <w:rFonts w:ascii="Arial" w:hAnsi="Arial" w:cs="Arial"/>
          <w:color w:val="333333"/>
          <w:sz w:val="22"/>
          <w:szCs w:val="22"/>
          <w:lang w:val="es-ES_tradnl"/>
        </w:rPr>
        <w:t>balance entre su coste, y el beneficio tangible o intangible para la empresa.</w:t>
      </w:r>
      <w:r w:rsidRPr="00CF1B34">
        <w:rPr>
          <w:rFonts w:ascii="Arial" w:hAnsi="Arial" w:cs="Arial"/>
          <w:color w:val="333333"/>
          <w:sz w:val="22"/>
          <w:szCs w:val="22"/>
          <w:shd w:val="clear" w:color="auto" w:fill="FFFFFF"/>
          <w:lang w:val="es-ES_tradnl"/>
        </w:rPr>
        <w:t xml:space="preserve"> Los beneficios sociales se conciben </w:t>
      </w:r>
      <w:r w:rsidRPr="00CF1B34">
        <w:rPr>
          <w:rStyle w:val="Textoennegrita"/>
          <w:rFonts w:ascii="Arial" w:hAnsi="Arial" w:cs="Arial"/>
          <w:color w:val="333333"/>
          <w:sz w:val="22"/>
          <w:szCs w:val="22"/>
          <w:shd w:val="clear" w:color="auto" w:fill="FFFFFF"/>
          <w:lang w:val="es-ES_tradnl"/>
        </w:rPr>
        <w:t xml:space="preserve">como una herramienta de motivación que mejora las condiciones laborales y el ambiente de trabajo. </w:t>
      </w:r>
      <w:r w:rsidRPr="00CF1B34">
        <w:rPr>
          <w:rFonts w:ascii="Arial" w:hAnsi="Arial" w:cs="Arial"/>
          <w:color w:val="333333"/>
          <w:sz w:val="22"/>
          <w:szCs w:val="22"/>
          <w:shd w:val="clear" w:color="auto" w:fill="FFFFFF"/>
          <w:lang w:val="es-ES_tradnl"/>
        </w:rPr>
        <w:t xml:space="preserve">A </w:t>
      </w:r>
      <w:proofErr w:type="gramStart"/>
      <w:r w:rsidRPr="00CF1B34">
        <w:rPr>
          <w:rFonts w:ascii="Arial" w:hAnsi="Arial" w:cs="Arial"/>
          <w:color w:val="333333"/>
          <w:sz w:val="22"/>
          <w:szCs w:val="22"/>
          <w:shd w:val="clear" w:color="auto" w:fill="FFFFFF"/>
          <w:lang w:val="es-ES_tradnl"/>
        </w:rPr>
        <w:t>continuación</w:t>
      </w:r>
      <w:proofErr w:type="gramEnd"/>
      <w:r w:rsidRPr="00CF1B34">
        <w:rPr>
          <w:rFonts w:ascii="Arial" w:hAnsi="Arial" w:cs="Arial"/>
          <w:color w:val="333333"/>
          <w:sz w:val="22"/>
          <w:szCs w:val="22"/>
          <w:shd w:val="clear" w:color="auto" w:fill="FFFFFF"/>
          <w:lang w:val="es-ES_tradnl"/>
        </w:rPr>
        <w:t xml:space="preserve"> un listado de los beneficios sociales más comunes:</w:t>
      </w:r>
    </w:p>
    <w:p w14:paraId="28817E4B" w14:textId="1B36AE99"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w:t>
      </w:r>
      <w:hyperlink r:id="rId62" w:history="1">
        <w:r w:rsidRPr="00CF1B34">
          <w:rPr>
            <w:rStyle w:val="Hipervnculo"/>
            <w:rFonts w:ascii="Arial" w:hAnsi="Arial" w:cs="Arial"/>
            <w:b/>
            <w:bCs/>
            <w:color w:val="2F5496" w:themeColor="accent1" w:themeShade="BF"/>
            <w:sz w:val="22"/>
            <w:szCs w:val="22"/>
            <w:u w:val="none"/>
            <w:lang w:val="es-ES_tradnl"/>
          </w:rPr>
          <w:t>Seguros médicos</w:t>
        </w:r>
      </w:hyperlink>
      <w:r w:rsidRPr="00CF1B34">
        <w:rPr>
          <w:rFonts w:ascii="Arial" w:hAnsi="Arial" w:cs="Arial"/>
          <w:b/>
          <w:bCs/>
          <w:color w:val="2F5496" w:themeColor="accent1" w:themeShade="BF"/>
          <w:sz w:val="22"/>
          <w:szCs w:val="22"/>
          <w:lang w:val="es-ES_tradnl"/>
        </w:rPr>
        <w:t>,</w:t>
      </w:r>
      <w:r w:rsidRPr="00CF1B34">
        <w:rPr>
          <w:rFonts w:ascii="Arial" w:hAnsi="Arial" w:cs="Arial"/>
          <w:color w:val="2F5496" w:themeColor="accent1" w:themeShade="BF"/>
          <w:sz w:val="22"/>
          <w:szCs w:val="22"/>
          <w:lang w:val="es-ES_tradnl"/>
        </w:rPr>
        <w:t xml:space="preserve"> </w:t>
      </w:r>
      <w:r w:rsidRPr="00CF1B34">
        <w:rPr>
          <w:rFonts w:ascii="Arial" w:hAnsi="Arial" w:cs="Arial"/>
          <w:color w:val="333333"/>
          <w:sz w:val="22"/>
          <w:szCs w:val="22"/>
          <w:lang w:val="es-ES_tradnl"/>
        </w:rPr>
        <w:t>además del seguro social obligatorio</w:t>
      </w:r>
    </w:p>
    <w:p w14:paraId="0AD6C749"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Servicios dentales</w:t>
      </w:r>
    </w:p>
    <w:p w14:paraId="6CA7EC4C" w14:textId="77777777" w:rsidR="00732C02" w:rsidRPr="00CF1B34" w:rsidRDefault="00732C0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Comedor de la empresa, vales de comida hasta un tope máximo por día de trabajo que fije la autoridad de aplicación.</w:t>
      </w:r>
    </w:p>
    <w:p w14:paraId="012102F8" w14:textId="77777777" w:rsidR="00732C02" w:rsidRPr="00CF1B34" w:rsidRDefault="00732C0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Reintegro de gastos de medicamentos y gastos médicos y odontológicos del trabajador y su familia que asumiera el empleador, previa presentación de comprobantes emitidos por farmacias, médico u odontólogo, debidamente documentados.</w:t>
      </w:r>
    </w:p>
    <w:p w14:paraId="6A7B922C" w14:textId="2C34D74B" w:rsidR="00732C02" w:rsidRPr="00CF1B34" w:rsidRDefault="00732C0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Provisión de ropa de trabajo y de cualquier otro elemento vinculado a la  sus tareas.</w:t>
      </w:r>
    </w:p>
    <w:p w14:paraId="21A39707" w14:textId="77777777" w:rsidR="00732C02" w:rsidRPr="00CF1B34" w:rsidRDefault="00732C0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Los reintegros documentados con comprobantes de gastos de guardería y/o sala maternal, que utilicen los trabajadores con hijos de hasta 6 años de edad cuando la empresa no contare con esas instalaciones.</w:t>
      </w:r>
    </w:p>
    <w:p w14:paraId="1BE59BD8" w14:textId="77777777" w:rsidR="00732C02" w:rsidRPr="00CF1B34" w:rsidRDefault="00732C0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 La provisión de útiles escolares y guardapolvos para los hijos del trabajador otorgados al inicio del periodo </w:t>
      </w:r>
      <w:proofErr w:type="gramStart"/>
      <w:r w:rsidRPr="00CF1B34">
        <w:rPr>
          <w:rFonts w:ascii="Arial" w:hAnsi="Arial" w:cs="Arial"/>
          <w:color w:val="333333"/>
          <w:sz w:val="22"/>
          <w:szCs w:val="22"/>
          <w:lang w:val="es-ES_tradnl"/>
        </w:rPr>
        <w:t>escolar .</w:t>
      </w:r>
      <w:proofErr w:type="gramEnd"/>
    </w:p>
    <w:p w14:paraId="52987F11"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Cursos o seminarios de formación especializada</w:t>
      </w:r>
    </w:p>
    <w:p w14:paraId="3F4F8199"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Retribución laboral con acciones o ’stock options’.</w:t>
      </w:r>
    </w:p>
    <w:p w14:paraId="682B9CED" w14:textId="77777777" w:rsidR="00732C02" w:rsidRPr="00CF1B34" w:rsidRDefault="00732C0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Pago de gastos de sepelios de familiares a cargo del trabajador debidamente documentados.</w:t>
      </w:r>
    </w:p>
    <w:p w14:paraId="6C3021D6"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Búsqueda y acomodo de casa.</w:t>
      </w:r>
    </w:p>
    <w:p w14:paraId="0D8F049C"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Seguros contra accidentes</w:t>
      </w:r>
    </w:p>
    <w:p w14:paraId="42B07D82"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Planes de impulso a las actividades deportivas.</w:t>
      </w:r>
    </w:p>
    <w:p w14:paraId="07CBBDD8"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Prestaciones especiales para los periodos de vacaciones.</w:t>
      </w:r>
    </w:p>
    <w:p w14:paraId="2E3EC43D"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Coche de empresa y/o cheques gasolina</w:t>
      </w:r>
    </w:p>
    <w:p w14:paraId="38FB178D" w14:textId="7E80DD06"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w:t>
      </w:r>
      <w:hyperlink r:id="rId63" w:history="1">
        <w:r w:rsidRPr="00CF1B34">
          <w:rPr>
            <w:rStyle w:val="Hipervnculo"/>
            <w:rFonts w:ascii="Arial" w:hAnsi="Arial" w:cs="Arial"/>
            <w:color w:val="2F5496" w:themeColor="accent1" w:themeShade="BF"/>
            <w:sz w:val="22"/>
            <w:szCs w:val="22"/>
            <w:u w:val="none"/>
            <w:lang w:val="es-ES_tradnl"/>
          </w:rPr>
          <w:t>Móvil de empresa</w:t>
        </w:r>
      </w:hyperlink>
      <w:r w:rsidRPr="00CF1B34">
        <w:rPr>
          <w:rFonts w:ascii="Arial" w:hAnsi="Arial" w:cs="Arial"/>
          <w:color w:val="2F5496" w:themeColor="accent1" w:themeShade="BF"/>
          <w:sz w:val="22"/>
          <w:szCs w:val="22"/>
          <w:lang w:val="es-ES_tradnl"/>
        </w:rPr>
        <w:t>.</w:t>
      </w:r>
    </w:p>
    <w:p w14:paraId="13C34954"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Portátil de empresa y conexión a Internet</w:t>
      </w:r>
    </w:p>
    <w:p w14:paraId="45E0CB78" w14:textId="77777777" w:rsidR="00732C02" w:rsidRPr="00CF1B34" w:rsidRDefault="00732C0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Descuentos en proveedores</w:t>
      </w:r>
    </w:p>
    <w:p w14:paraId="069B489A" w14:textId="77777777" w:rsidR="00732C02" w:rsidRPr="00CF1B34" w:rsidRDefault="00732C0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Obviamente, dependiendo de la jerarquía de cada empleado, se otorgarán mayores beneficios que a otros.</w:t>
      </w:r>
    </w:p>
    <w:p w14:paraId="17CC45AE" w14:textId="5E259DD2" w:rsidR="006B66E7" w:rsidRPr="00CF1B34" w:rsidRDefault="006B66E7"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Beta (â)</w:t>
      </w:r>
    </w:p>
    <w:p w14:paraId="1299ED1F" w14:textId="77777777" w:rsidR="006B66E7" w:rsidRPr="00CF1B34" w:rsidRDefault="006B66E7"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La beta en un fondo de inversión es un indicador que mide la variabilidad o sensibilidad de la productividad de dicho fondo en comparación con la variabilidad de la rentabilidad del índice de referencia generado por fluctuaciones del mercado.</w:t>
      </w:r>
    </w:p>
    <w:p w14:paraId="19018C08" w14:textId="3C0CA22F" w:rsidR="006B66E7" w:rsidRPr="00CF1B34" w:rsidRDefault="006B66E7"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beta mide si un fondo en concreto es más o menos inestable respecto a su índice de referencia, logrando con ello, que un gestor pueda saber la exposición al mercado a la que se está enfrentando. La beta no mide el riesgo absoluto del fondo, pero sí el relativo.</w:t>
      </w:r>
    </w:p>
    <w:p w14:paraId="5C47F5F8" w14:textId="3BCCEDE3" w:rsidR="003F1088" w:rsidRPr="00CF1B34" w:rsidRDefault="006B66E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Una beta mayor de 1 implica mayores variaciones que su índice de referencia tanto al alza como a la baja. Una beta de 1 significa que se mueve igual que el mercado. Una beta menor a 1 implica menores movimientos que el mercado.</w:t>
      </w:r>
    </w:p>
    <w:p w14:paraId="5D165E77" w14:textId="77777777" w:rsidR="003F1088" w:rsidRPr="00CF1B34" w:rsidRDefault="003F1088"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BIC</w:t>
      </w:r>
    </w:p>
    <w:p w14:paraId="2343F8B7" w14:textId="5710D51F" w:rsidR="003F1088" w:rsidRPr="00CF1B34" w:rsidRDefault="003F108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El</w:t>
      </w:r>
      <w:r w:rsidRPr="00CF1B34">
        <w:rPr>
          <w:rStyle w:val="apple-converted-space"/>
          <w:rFonts w:ascii="Arial" w:hAnsi="Arial" w:cs="Arial"/>
          <w:color w:val="191B1C"/>
          <w:sz w:val="22"/>
          <w:szCs w:val="22"/>
          <w:lang w:val="es-ES_tradnl"/>
        </w:rPr>
        <w:t> </w:t>
      </w:r>
      <w:r w:rsidRPr="00CF1B34">
        <w:rPr>
          <w:rStyle w:val="Textoennegrita"/>
          <w:rFonts w:ascii="Arial" w:hAnsi="Arial" w:cs="Arial"/>
          <w:color w:val="191B1C"/>
          <w:sz w:val="22"/>
          <w:szCs w:val="22"/>
          <w:lang w:val="es-ES_tradnl"/>
        </w:rPr>
        <w:t>código BIC</w:t>
      </w:r>
      <w:r w:rsidRPr="00CF1B34">
        <w:rPr>
          <w:rStyle w:val="apple-converted-space"/>
          <w:rFonts w:ascii="Arial" w:hAnsi="Arial" w:cs="Arial"/>
          <w:color w:val="191B1C"/>
          <w:sz w:val="22"/>
          <w:szCs w:val="22"/>
          <w:lang w:val="es-ES_tradnl"/>
        </w:rPr>
        <w:t> </w:t>
      </w:r>
      <w:r w:rsidRPr="00CF1B34">
        <w:rPr>
          <w:rFonts w:ascii="Arial" w:hAnsi="Arial" w:cs="Arial"/>
          <w:color w:val="191B1C"/>
          <w:sz w:val="22"/>
          <w:szCs w:val="22"/>
          <w:lang w:val="es-ES_tradnl"/>
        </w:rPr>
        <w:t>(Bank Identifier Code) o</w:t>
      </w:r>
      <w:r w:rsidRPr="00CF1B34">
        <w:rPr>
          <w:rStyle w:val="apple-converted-space"/>
          <w:rFonts w:ascii="Arial" w:hAnsi="Arial" w:cs="Arial"/>
          <w:color w:val="191B1C"/>
          <w:sz w:val="22"/>
          <w:szCs w:val="22"/>
          <w:lang w:val="es-ES_tradnl"/>
        </w:rPr>
        <w:t> </w:t>
      </w:r>
      <w:r w:rsidRPr="00CF1B34">
        <w:rPr>
          <w:rStyle w:val="Textoennegrita"/>
          <w:rFonts w:ascii="Arial" w:hAnsi="Arial" w:cs="Arial"/>
          <w:color w:val="191B1C"/>
          <w:sz w:val="22"/>
          <w:szCs w:val="22"/>
          <w:lang w:val="es-ES_tradnl"/>
        </w:rPr>
        <w:t>SWIFT</w:t>
      </w:r>
      <w:r w:rsidRPr="00CF1B34">
        <w:rPr>
          <w:rStyle w:val="apple-converted-space"/>
          <w:rFonts w:ascii="Arial" w:hAnsi="Arial" w:cs="Arial"/>
          <w:color w:val="191B1C"/>
          <w:sz w:val="22"/>
          <w:szCs w:val="22"/>
          <w:lang w:val="es-ES_tradnl"/>
        </w:rPr>
        <w:t> </w:t>
      </w:r>
      <w:r w:rsidRPr="00CF1B34">
        <w:rPr>
          <w:rFonts w:ascii="Arial" w:hAnsi="Arial" w:cs="Arial"/>
          <w:color w:val="191B1C"/>
          <w:sz w:val="22"/>
          <w:szCs w:val="22"/>
          <w:lang w:val="es-ES_tradnl"/>
        </w:rPr>
        <w:t>(Society for World Interbank Financial Telecommunication), es una serie alfanumérica que sirve para identificar y comprobar un número de cuenta. Se utiliza sobre todo para emitir transferencias fuera de la Unión Europea, y es un complemento informativo del IBAN (en inglés International Bank Account Number), ya que permite emitir a la entidad emisora un mensaje cifrado para que la entidad receptora sepa que recibirá la transferencia y pueda confirmarla. Para entendernos, esta serie permite a los bancos tratar los pagos de manera directa, ágil y sin costes, lo que a su vez abarata el coste para sus clientes.</w:t>
      </w:r>
    </w:p>
    <w:p w14:paraId="379D4E84" w14:textId="198876D8"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Bid price, Ask price</w:t>
      </w:r>
    </w:p>
    <w:p w14:paraId="28D9E6EF" w14:textId="77777777" w:rsidR="001E0728" w:rsidRPr="00CF1B34" w:rsidRDefault="001E0728"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Son los precios de demanda y oferta, es decir, los que determinan la cotización de un valor. Bid es el precio más alto que el comprador está dispuesto a pagar, y ask el precio más bajo al que el vendedor está dispuesto a vender. La diferencia entre ambos es lo que se denomina spread, margen o diferencial de precios, el cual constituye un buen indicador de la liquidez de un valor. </w:t>
      </w:r>
      <w:hyperlink r:id="rId64" w:tgtFrame="_self" w:history="1">
        <w:r w:rsidRPr="00CF1B34">
          <w:rPr>
            <w:rFonts w:ascii="Arial" w:hAnsi="Arial" w:cs="Arial"/>
            <w:b/>
            <w:bCs/>
            <w:color w:val="2F5496" w:themeColor="accent1" w:themeShade="BF"/>
            <w:sz w:val="22"/>
            <w:szCs w:val="22"/>
            <w:u w:val="single"/>
            <w:lang w:val="es-ES_tradnl"/>
          </w:rPr>
          <w:t>Ver Spread</w:t>
        </w:r>
      </w:hyperlink>
      <w:r w:rsidRPr="00CF1B34">
        <w:rPr>
          <w:rFonts w:ascii="Arial" w:hAnsi="Arial" w:cs="Arial"/>
          <w:color w:val="2F5496" w:themeColor="accent1" w:themeShade="BF"/>
          <w:sz w:val="22"/>
          <w:szCs w:val="22"/>
          <w:lang w:val="es-ES_tradnl"/>
        </w:rPr>
        <w:t>.</w:t>
      </w:r>
    </w:p>
    <w:p w14:paraId="6D4CFDD3" w14:textId="7089B708" w:rsidR="00C618C8" w:rsidRPr="00CF1B34" w:rsidRDefault="004C098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Bienes tangibles</w:t>
      </w:r>
    </w:p>
    <w:p w14:paraId="56950589" w14:textId="77777777" w:rsidR="00B61EAE" w:rsidRPr="00CF1B34" w:rsidRDefault="0012595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inverso</w:t>
      </w:r>
      <w:r w:rsidR="00B61EAE" w:rsidRPr="00CF1B34">
        <w:rPr>
          <w:rFonts w:ascii="Arial" w:hAnsi="Arial" w:cs="Arial"/>
          <w:color w:val="000000" w:themeColor="text1"/>
          <w:sz w:val="22"/>
          <w:szCs w:val="22"/>
          <w:lang w:val="es-ES_tradnl"/>
        </w:rPr>
        <w:t>r puede optar entre comprar productos financieros o adquirir bienes tangibles como son los inmuebles. Normalmente los bienes tangibles ofrecen como gran ventaja su gran capacidad para incluir en su precio la elevación del coste de la vida, es decir, la inflación. Los activos financieros para ser atractivos exigen que la inflación del país este controlada.</w:t>
      </w:r>
    </w:p>
    <w:p w14:paraId="2CF50759" w14:textId="77777777" w:rsidR="00924BE5" w:rsidRPr="00CF1B34" w:rsidRDefault="00924BE5"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Bizum</w:t>
      </w:r>
    </w:p>
    <w:p w14:paraId="4F27B002" w14:textId="201C3701" w:rsidR="00924BE5" w:rsidRPr="00CF1B34" w:rsidRDefault="00924BE5" w:rsidP="0005621A">
      <w:pPr>
        <w:pStyle w:val="NormalWeb"/>
        <w:spacing w:before="0" w:beforeAutospacing="0"/>
        <w:ind w:left="708" w:firstLine="12"/>
        <w:jc w:val="both"/>
        <w:rPr>
          <w:rFonts w:ascii="Arial" w:hAnsi="Arial" w:cs="Arial"/>
          <w:color w:val="191B1C"/>
          <w:sz w:val="22"/>
          <w:szCs w:val="22"/>
          <w:lang w:val="es-ES_tradnl"/>
        </w:rPr>
      </w:pPr>
      <w:r w:rsidRPr="00CF1B34">
        <w:rPr>
          <w:rFonts w:ascii="Arial" w:hAnsi="Arial" w:cs="Arial"/>
          <w:color w:val="191B1C"/>
          <w:sz w:val="22"/>
          <w:szCs w:val="22"/>
          <w:lang w:val="es-ES_tradnl"/>
        </w:rPr>
        <w:t>Bizum es una</w:t>
      </w:r>
      <w:r w:rsidR="008B5DEA" w:rsidRPr="00CF1B34">
        <w:rPr>
          <w:rStyle w:val="apple-converted-space"/>
          <w:rFonts w:ascii="Arial" w:hAnsi="Arial" w:cs="Arial"/>
          <w:color w:val="191B1C"/>
          <w:sz w:val="22"/>
          <w:szCs w:val="22"/>
          <w:lang w:val="es-ES_tradnl"/>
        </w:rPr>
        <w:t xml:space="preserve"> </w:t>
      </w:r>
      <w:r w:rsidRPr="00CF1B34">
        <w:rPr>
          <w:rStyle w:val="Textoennegrita"/>
          <w:rFonts w:ascii="Arial" w:hAnsi="Arial" w:cs="Arial"/>
          <w:color w:val="191B1C"/>
          <w:sz w:val="22"/>
          <w:szCs w:val="22"/>
          <w:lang w:val="es-ES_tradnl"/>
        </w:rPr>
        <w:t>aplicación que sirve para enviar y recibir dinero entre particulares utilizando el teléfono móvil</w:t>
      </w:r>
      <w:r w:rsidRPr="00CF1B34">
        <w:rPr>
          <w:rFonts w:ascii="Arial" w:hAnsi="Arial" w:cs="Arial"/>
          <w:color w:val="191B1C"/>
          <w:sz w:val="22"/>
          <w:szCs w:val="22"/>
          <w:lang w:val="es-ES_tradnl"/>
        </w:rPr>
        <w:t>, de forma instantánea y sin coste ni comisiones. El hecho de permitir realizar transferencias de manera cómoda, rápida y segura le ha dado un éxito casi inmediato.</w:t>
      </w:r>
    </w:p>
    <w:p w14:paraId="2C470AF9" w14:textId="51B53FE4" w:rsidR="00C618C8" w:rsidRPr="00CF1B34" w:rsidRDefault="00924BE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A la hora de realizar cualquier operación no es necesario introducir los números de cuenta, ni tampoco el código IBAN, ya que, al asociar nuestra</w:t>
      </w:r>
      <w:r w:rsidR="008B5DEA" w:rsidRPr="00CF1B34">
        <w:rPr>
          <w:rStyle w:val="apple-converted-space"/>
          <w:rFonts w:ascii="Arial" w:hAnsi="Arial" w:cs="Arial"/>
          <w:color w:val="191B1C"/>
          <w:sz w:val="22"/>
          <w:szCs w:val="22"/>
          <w:lang w:val="es-ES_tradnl"/>
        </w:rPr>
        <w:t xml:space="preserve"> </w:t>
      </w:r>
      <w:hyperlink r:id="rId65" w:history="1">
        <w:r w:rsidRPr="00CF1B34">
          <w:rPr>
            <w:rStyle w:val="Hipervnculo"/>
            <w:rFonts w:ascii="Arial" w:hAnsi="Arial" w:cs="Arial"/>
            <w:b/>
            <w:bCs/>
            <w:color w:val="2F5496" w:themeColor="accent1" w:themeShade="BF"/>
            <w:sz w:val="22"/>
            <w:szCs w:val="22"/>
            <w:lang w:val="es-ES_tradnl"/>
          </w:rPr>
          <w:t>cuenta bancaria</w:t>
        </w:r>
      </w:hyperlink>
      <w:r w:rsidR="008B5DEA"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a nuestro número de teléfono, bastará con tener el contacto del destinatario de la transferencia en nuestra agenda para realizar el traspaso de dinero, como si de un mero mensaje de texto o whatsapp se tratara.</w:t>
      </w:r>
    </w:p>
    <w:p w14:paraId="7FEA7F40" w14:textId="77777777" w:rsidR="007209F8" w:rsidRPr="00CF1B34" w:rsidRDefault="007209F8" w:rsidP="0005621A">
      <w:pPr>
        <w:jc w:val="both"/>
        <w:rPr>
          <w:rFonts w:ascii="Arial" w:hAnsi="Arial" w:cs="Arial"/>
          <w:b/>
          <w:bCs/>
          <w:color w:val="004773"/>
          <w:sz w:val="22"/>
          <w:szCs w:val="22"/>
          <w:lang w:val="es-ES_tradnl"/>
        </w:rPr>
      </w:pPr>
    </w:p>
    <w:p w14:paraId="71281450" w14:textId="0AD747CF" w:rsidR="008B5DEA" w:rsidRPr="00CF1B34" w:rsidRDefault="008B5DE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Black Friday</w:t>
      </w:r>
    </w:p>
    <w:p w14:paraId="0C0B8D24" w14:textId="1BB627BA" w:rsidR="007209F8" w:rsidRPr="00CF1B34" w:rsidRDefault="007209F8" w:rsidP="0005621A">
      <w:pPr>
        <w:pStyle w:val="NormalWeb"/>
        <w:shd w:val="clear" w:color="auto" w:fill="FFFFFF"/>
        <w:spacing w:before="0" w:beforeAutospacing="0"/>
        <w:ind w:left="708"/>
        <w:jc w:val="both"/>
        <w:rPr>
          <w:rFonts w:ascii="Arial" w:hAnsi="Arial" w:cs="Arial"/>
          <w:color w:val="000000"/>
          <w:sz w:val="22"/>
          <w:szCs w:val="22"/>
          <w:lang w:val="es-ES_tradnl"/>
        </w:rPr>
      </w:pPr>
      <w:r w:rsidRPr="00CF1B34">
        <w:rPr>
          <w:rFonts w:ascii="Arial" w:hAnsi="Arial" w:cs="Arial"/>
          <w:color w:val="000000"/>
          <w:sz w:val="22"/>
          <w:szCs w:val="22"/>
          <w:lang w:val="es-ES_tradnl"/>
        </w:rPr>
        <w:t>El Black Friday, también conocido como “Viernes Negro”, es un día que inaugura la temporada de compras navideñas con significativas rebajas en muchas tiendas minoristas y grandes almacenes. Se celebra el día después del Día de Acción de Gracias (Thanksgiving Day) en Estados Unidos, es decir, el cuarto jueves del mes de noviembre.</w:t>
      </w:r>
    </w:p>
    <w:p w14:paraId="32325CA5" w14:textId="77777777" w:rsidR="007209F8" w:rsidRPr="00CF1B34" w:rsidRDefault="007209F8" w:rsidP="0005621A">
      <w:pPr>
        <w:pStyle w:val="NormalWeb"/>
        <w:shd w:val="clear" w:color="auto" w:fill="FFFFFF"/>
        <w:ind w:left="708"/>
        <w:jc w:val="both"/>
        <w:rPr>
          <w:rFonts w:ascii="Arial" w:hAnsi="Arial" w:cs="Arial"/>
          <w:color w:val="000000"/>
          <w:sz w:val="22"/>
          <w:szCs w:val="22"/>
          <w:lang w:val="es-ES_tradnl"/>
        </w:rPr>
      </w:pPr>
      <w:r w:rsidRPr="00CF1B34">
        <w:rPr>
          <w:rFonts w:ascii="Arial" w:hAnsi="Arial" w:cs="Arial"/>
          <w:color w:val="000000"/>
          <w:sz w:val="22"/>
          <w:szCs w:val="22"/>
          <w:lang w:val="es-ES_tradnl"/>
        </w:rPr>
        <w:t>Originado en Estados Unidos, este fenómeno del comercio minorista se caracteriza por un gran aumento de la economía de los comercios, ya que los consumidores aprovechan para adelantar sus compras de Navidad. En los últimos tiempos, esta costumbre se ha extendido internacionalmente, especialmente en países como Australia, Canadá, Reino Unido, Irlanda, Alemania, Italia, Grecia, Nueva Zelanda, India, Noruega, Suecia, Francia, España, Irán, Israel, Brasil y México.</w:t>
      </w:r>
    </w:p>
    <w:p w14:paraId="5118F31E" w14:textId="77777777" w:rsidR="007209F8" w:rsidRPr="00CF1B34" w:rsidRDefault="007209F8" w:rsidP="0005621A">
      <w:pPr>
        <w:pStyle w:val="NormalWeb"/>
        <w:shd w:val="clear" w:color="auto" w:fill="FFFFFF"/>
        <w:ind w:left="708"/>
        <w:jc w:val="both"/>
        <w:rPr>
          <w:rFonts w:ascii="Arial" w:hAnsi="Arial" w:cs="Arial"/>
          <w:color w:val="000000"/>
          <w:sz w:val="22"/>
          <w:szCs w:val="22"/>
          <w:lang w:val="es-ES_tradnl"/>
        </w:rPr>
      </w:pPr>
      <w:r w:rsidRPr="00CF1B34">
        <w:rPr>
          <w:rFonts w:ascii="Arial" w:hAnsi="Arial" w:cs="Arial"/>
          <w:color w:val="000000"/>
          <w:sz w:val="22"/>
          <w:szCs w:val="22"/>
          <w:lang w:val="es-ES_tradnl"/>
        </w:rPr>
        <w:t>En Argentina, el Black Friday se celebra el 22 de noviembre de 2024, según se indica en algunas fuentes. Se considera el primer día para hacer las compras Navideñas, y los comerciantes ofrecen descuentos significativos en una amplia variedad de productos, desde ropa y electrónica hasta juguetes y regalos.</w:t>
      </w:r>
    </w:p>
    <w:p w14:paraId="6DA459E2" w14:textId="77777777" w:rsidR="007209F8" w:rsidRPr="00CF1B34" w:rsidRDefault="007209F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lang w:val="es-ES_tradnl"/>
        </w:rPr>
        <w:t>En resumen, el Black Friday es un día de grandes descuentos y rebajas que marca el inicio de la temporada de compras navideñas, con el objetivo de incentivar a los consumidores a adelantar sus compras y fomentar la economía de los comercios.</w:t>
      </w:r>
    </w:p>
    <w:p w14:paraId="6F490A90" w14:textId="5B34508A" w:rsidR="004C0986" w:rsidRPr="00CF1B34" w:rsidRDefault="004C098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Blanqueo de dinero</w:t>
      </w:r>
    </w:p>
    <w:p w14:paraId="6C2CD228" w14:textId="77777777" w:rsidR="00880E57" w:rsidRPr="00CF1B34" w:rsidRDefault="00B61EAE" w:rsidP="0005621A">
      <w:pPr>
        <w:pStyle w:val="Sinespaciado"/>
        <w:ind w:left="708"/>
        <w:jc w:val="both"/>
        <w:rPr>
          <w:rFonts w:ascii="Arial" w:hAnsi="Arial" w:cs="Arial"/>
          <w:lang w:val="es-ES_tradnl"/>
        </w:rPr>
      </w:pPr>
      <w:r w:rsidRPr="00CF1B34">
        <w:rPr>
          <w:rFonts w:ascii="Arial" w:hAnsi="Arial" w:cs="Arial"/>
          <w:lang w:val="es-ES_tradnl"/>
        </w:rPr>
        <w:t>Consiste en legalizar el dinero fiscalmente opaco, proveniente tanto de operaciones lícitas como ilícitas</w:t>
      </w:r>
      <w:r w:rsidR="00880E57" w:rsidRPr="00CF1B34">
        <w:rPr>
          <w:rFonts w:ascii="Arial" w:hAnsi="Arial" w:cs="Arial"/>
          <w:lang w:val="es-ES_tradnl"/>
        </w:rPr>
        <w:t xml:space="preserve"> (evasiones fiscales, delitos tributarios, y otras actividades de tipo criminal: extorsión, trabajo ilegal, terrorismo, etc.)</w:t>
      </w:r>
    </w:p>
    <w:p w14:paraId="672B2587" w14:textId="71F7FFC8" w:rsidR="00880E57" w:rsidRPr="00CF1B34" w:rsidRDefault="00880E57" w:rsidP="0005621A">
      <w:pPr>
        <w:pStyle w:val="Sinespaciado"/>
        <w:ind w:firstLine="708"/>
        <w:jc w:val="both"/>
        <w:rPr>
          <w:rFonts w:ascii="Arial" w:hAnsi="Arial" w:cs="Arial"/>
          <w:lang w:val="es-ES_tradnl"/>
        </w:rPr>
      </w:pPr>
      <w:r w:rsidRPr="00CF1B34">
        <w:rPr>
          <w:rFonts w:ascii="Arial" w:hAnsi="Arial" w:cs="Arial"/>
          <w:lang w:val="es-ES_tradnl"/>
        </w:rPr>
        <w:t xml:space="preserve">Métodos y Técnicas: </w:t>
      </w:r>
    </w:p>
    <w:p w14:paraId="068B5D6E" w14:textId="77777777" w:rsidR="008B5DEA"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Estructurar: los individuos que forman parte del lavado, dividen los montos para alcanzar aquél en el cual las transacciones no son registrables.</w:t>
      </w:r>
    </w:p>
    <w:p w14:paraId="2B8BF990" w14:textId="77777777" w:rsidR="008B5DEA"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Complicidad de un funcionario: la colaboración de empleados de instituciones financieras con el lavado de dinero.</w:t>
      </w:r>
    </w:p>
    <w:p w14:paraId="33F1D06C" w14:textId="77777777" w:rsidR="008B5DEA"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Mezclar: ésta es una forma legal para no explicar las altas sumas de dinero. Todo lo recaudado de actividades ilegales va a parar al estado de resultados de una empresa.</w:t>
      </w:r>
    </w:p>
    <w:p w14:paraId="5ED5812B" w14:textId="77777777" w:rsidR="008B5DEA"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Compañías de fachada: se crean empresas y/o compañías legales, las cuales se utilizan como fachada para llevar a cabo el lavado de dinero.</w:t>
      </w:r>
    </w:p>
    <w:p w14:paraId="3FC948D4" w14:textId="77777777" w:rsidR="008B5DEA"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Compras de bienes en efectivo: como por ejemplo autos, bienes raíces, etc.</w:t>
      </w:r>
    </w:p>
    <w:p w14:paraId="27FBD0AC" w14:textId="77777777" w:rsidR="008B5DEA"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Contrabando de efectivo: es el transporte del dinero conseguido del lavado, hacia el exterior.</w:t>
      </w:r>
    </w:p>
    <w:p w14:paraId="0281204B" w14:textId="77777777" w:rsidR="008B5DEA"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Transferencias electrónicas: mover fondos provenientes del lavado de dinero de un lado para otro, mediante la Web, para no dar cuenta de las altas sumas de efectivo en movimiento.</w:t>
      </w:r>
    </w:p>
    <w:p w14:paraId="2EC08D80" w14:textId="77777777" w:rsidR="008B5DEA"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Ventas fraudulentas de bienes inmuebles: compras de bienes a un precio muy por el debajo del costo real de la propiedad y la diferencia del monto real se le paga al vendedor ilegalmente, para luego vender la propiedad en el precio que corresponde y así comprobar ingresos.</w:t>
      </w:r>
    </w:p>
    <w:p w14:paraId="2C014072" w14:textId="77777777" w:rsidR="008B5DEA"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Establecimiento de compañías nominales: se crean compañías de portafolio, las que sólo existen en el papel y sirven como máscara para las actividades ilícitas.</w:t>
      </w:r>
    </w:p>
    <w:p w14:paraId="4143E156" w14:textId="45F1D08A" w:rsidR="00880E57" w:rsidRPr="00CF1B34" w:rsidRDefault="008B5DEA" w:rsidP="004F7A62">
      <w:pPr>
        <w:numPr>
          <w:ilvl w:val="0"/>
          <w:numId w:val="99"/>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 xml:space="preserve">Garantías de </w:t>
      </w:r>
      <w:hyperlink r:id="rId66" w:history="1">
        <w:r w:rsidRPr="00CF1B34">
          <w:rPr>
            <w:rStyle w:val="Hipervnculo"/>
            <w:rFonts w:ascii="Arial" w:hAnsi="Arial" w:cs="Arial"/>
            <w:b/>
            <w:bCs/>
            <w:color w:val="DC143C"/>
            <w:sz w:val="22"/>
            <w:szCs w:val="22"/>
            <w:u w:val="none"/>
            <w:lang w:val="es-ES_tradnl"/>
          </w:rPr>
          <w:t>préstamos</w:t>
        </w:r>
      </w:hyperlink>
      <w:r w:rsidRPr="00CF1B34">
        <w:rPr>
          <w:rStyle w:val="Textoennegrita"/>
          <w:rFonts w:ascii="Arial" w:hAnsi="Arial" w:cs="Arial"/>
          <w:color w:val="333333"/>
          <w:sz w:val="22"/>
          <w:szCs w:val="22"/>
          <w:lang w:val="es-ES_tradnl"/>
        </w:rPr>
        <w:t>:</w:t>
      </w:r>
      <w:r w:rsidRPr="00CF1B34">
        <w:rPr>
          <w:rFonts w:ascii="Arial" w:hAnsi="Arial" w:cs="Arial"/>
          <w:color w:val="333333"/>
          <w:sz w:val="22"/>
          <w:szCs w:val="22"/>
          <w:lang w:val="es-ES_tradnl"/>
        </w:rPr>
        <w:t xml:space="preserve"> Se adquieren préstamos de forma legal, con estos el blanqueador obtiene bienes los cuales a los ojos de las autoridades han sido alcanzados con dinero lícito. El ejemplo más claro es el </w:t>
      </w:r>
      <w:hyperlink r:id="rId67" w:history="1">
        <w:r w:rsidRPr="00CF1B34">
          <w:rPr>
            <w:rStyle w:val="Hipervnculo"/>
            <w:rFonts w:ascii="Arial" w:hAnsi="Arial" w:cs="Arial"/>
            <w:color w:val="DC143C"/>
            <w:sz w:val="22"/>
            <w:szCs w:val="22"/>
            <w:u w:val="none"/>
            <w:lang w:val="es-ES_tradnl"/>
          </w:rPr>
          <w:t>back to back</w:t>
        </w:r>
      </w:hyperlink>
      <w:r w:rsidRPr="00CF1B34">
        <w:rPr>
          <w:rFonts w:ascii="Arial" w:hAnsi="Arial" w:cs="Arial"/>
          <w:color w:val="333333"/>
          <w:sz w:val="22"/>
          <w:szCs w:val="22"/>
          <w:lang w:val="es-ES_tradnl"/>
        </w:rPr>
        <w:t>.</w:t>
      </w:r>
    </w:p>
    <w:p w14:paraId="1177B867" w14:textId="77777777" w:rsidR="00052075" w:rsidRPr="00CF1B34" w:rsidRDefault="00052075" w:rsidP="0005621A">
      <w:pPr>
        <w:pStyle w:val="Prrafodelista"/>
        <w:pBdr>
          <w:bottom w:val="dotted" w:sz="12" w:space="12" w:color="666666"/>
        </w:pBdr>
        <w:spacing w:after="240"/>
        <w:jc w:val="both"/>
        <w:rPr>
          <w:rFonts w:ascii="Arial" w:hAnsi="Arial" w:cs="Arial"/>
          <w:color w:val="212529"/>
          <w:sz w:val="22"/>
          <w:szCs w:val="22"/>
          <w:lang w:val="es-ES_tradnl"/>
        </w:rPr>
      </w:pPr>
    </w:p>
    <w:p w14:paraId="4A7D3584" w14:textId="33A9A513"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Blanqueo ecológico (ecoblanqueo)</w:t>
      </w:r>
    </w:p>
    <w:p w14:paraId="407AE8DD" w14:textId="219DE263"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Prácticas para obtener una ventaja competitiva desleal comercializando un producto financiero, o promocionando las características de una empresa, como respetuoso con el medio ambiente cuando, en realidad, no cumple los requisitos medioambientales básicos. En inglés se conoce con el término de </w:t>
      </w:r>
      <w:r w:rsidR="00F714EC" w:rsidRPr="00CF1B34">
        <w:rPr>
          <w:rFonts w:ascii="Arial" w:hAnsi="Arial" w:cs="Arial"/>
          <w:color w:val="212529"/>
          <w:sz w:val="22"/>
          <w:szCs w:val="22"/>
          <w:lang w:val="es-ES_tradnl"/>
        </w:rPr>
        <w:t xml:space="preserve">Green </w:t>
      </w:r>
      <w:r w:rsidR="008B5DEA" w:rsidRPr="00CF1B34">
        <w:rPr>
          <w:rFonts w:ascii="Arial" w:hAnsi="Arial" w:cs="Arial"/>
          <w:color w:val="212529"/>
          <w:sz w:val="22"/>
          <w:szCs w:val="22"/>
          <w:lang w:val="es-ES_tradnl"/>
        </w:rPr>
        <w:t>W</w:t>
      </w:r>
      <w:r w:rsidRPr="00CF1B34">
        <w:rPr>
          <w:rFonts w:ascii="Arial" w:hAnsi="Arial" w:cs="Arial"/>
          <w:color w:val="212529"/>
          <w:sz w:val="22"/>
          <w:szCs w:val="22"/>
          <w:lang w:val="es-ES_tradnl"/>
        </w:rPr>
        <w:t>ashing. </w:t>
      </w:r>
    </w:p>
    <w:p w14:paraId="46442CF1"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Blindajes</w:t>
      </w:r>
    </w:p>
    <w:p w14:paraId="407CFE68"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Acuerdos tomados por las Juntas Generales de Accionistas de las sociedades anónimas, por los que se modifican los estatutos societarios con el fin de establecer limitaciones al derecho de voto de los accionistas (hasta un porcentaje determinado, con independencia del capital que posean) o de fijar mayorías muy reforzadas para modificar dichos acuerdos de limitación. Su finalidad es salvaguardar la composición del Consejo de Administración y asegurar el control efectivo de la sociedad por parte de un accionista o grupo de accionistas, ya que una eventual OPA no podría prosperar sin su respaldo. El Código Unificado de Buen Gobierno recomienda que se eliminen de los estatutos los blindajes que impidan o dificulten un posible cambio de control de la sociedad.</w:t>
      </w:r>
    </w:p>
    <w:p w14:paraId="1638A1FE"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Blow out</w:t>
      </w:r>
    </w:p>
    <w:p w14:paraId="15AB4852"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Venta rápida de acciones recién emitidas, que se ofrecen a precios muy elevados para disuadir a otros potenciales inversores de hacer sus ofertas. La sociedad emisora consigue un mejor precio, pero para los inversores es más difícil conseguir títulos.</w:t>
      </w:r>
    </w:p>
    <w:p w14:paraId="7E21233E" w14:textId="1C98DD37" w:rsidR="00B90893" w:rsidRPr="00CF1B34" w:rsidRDefault="00B9089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Blue Chip</w:t>
      </w:r>
    </w:p>
    <w:p w14:paraId="5D13610C" w14:textId="77777777" w:rsidR="00B90893" w:rsidRPr="00CF1B34" w:rsidRDefault="00B9089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expresión utilizada para caracterizar los grandes valores del mercado americano, en particular los que figuran en el índice Dow Jones. Su nombre procede del de la sala (sala azul) en la que eran cotizados los títulos.</w:t>
      </w:r>
    </w:p>
    <w:p w14:paraId="67022A5C" w14:textId="62B7F1A0"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Bola de nieve</w:t>
      </w:r>
    </w:p>
    <w:p w14:paraId="591FEA94"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Adquisición regular de acciones de una empresa, por el procedimiento de suscribir acciones en todas las ampliaciones de capital.</w:t>
      </w:r>
    </w:p>
    <w:p w14:paraId="3B92DA5A" w14:textId="7F3688D7" w:rsidR="004C0986" w:rsidRPr="00CF1B34" w:rsidRDefault="00FE66D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w:t>
      </w:r>
      <w:r w:rsidR="004C0986" w:rsidRPr="00CF1B34">
        <w:rPr>
          <w:rFonts w:ascii="Arial" w:hAnsi="Arial" w:cs="Arial"/>
          <w:b/>
          <w:bCs/>
          <w:color w:val="004773"/>
          <w:sz w:val="22"/>
          <w:szCs w:val="22"/>
          <w:lang w:val="es-ES_tradnl"/>
        </w:rPr>
        <w:t>oleta</w:t>
      </w:r>
      <w:r w:rsidRPr="00CF1B34">
        <w:rPr>
          <w:rFonts w:ascii="Arial" w:hAnsi="Arial" w:cs="Arial"/>
          <w:b/>
          <w:bCs/>
          <w:color w:val="004773"/>
          <w:sz w:val="22"/>
          <w:szCs w:val="22"/>
          <w:lang w:val="es-ES_tradnl"/>
        </w:rPr>
        <w:t>.</w:t>
      </w:r>
    </w:p>
    <w:p w14:paraId="7947EE3A" w14:textId="77777777" w:rsidR="00FE66DD" w:rsidRPr="00CF1B34" w:rsidRDefault="00FE66D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hoja (física o electrónica) que rellena en su totalidad el cambista con los datos de la operación que acaba de realizar</w:t>
      </w:r>
    </w:p>
    <w:p w14:paraId="387723D5" w14:textId="06884E38"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Boletín de cotización oficial</w:t>
      </w:r>
    </w:p>
    <w:p w14:paraId="4DA663B7"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Publicación de las Bolsas de valores, que con carácter oficial difunde datos y circunstancias relacionados con la operativa bursátil: títulos admitidos a negociación, cotizaciones y fecha de las mismas, volúmenes contratados, modificaciones en los derechos de suscripción preferente, exclusiones de la negociación, etc.</w:t>
      </w:r>
    </w:p>
    <w:p w14:paraId="3BE34FDF" w14:textId="3A5688C6" w:rsidR="004C0986" w:rsidRPr="00CF1B34" w:rsidRDefault="004C098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Bolsa </w:t>
      </w:r>
    </w:p>
    <w:p w14:paraId="50156A86" w14:textId="77777777" w:rsidR="00D516C9" w:rsidRPr="00CF1B34" w:rsidRDefault="00D516C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En las bolsas se negocian preferentemente las acciones de las compañías, son los lugares físicos o electrónicos donde se dan cita la oferta y la demanda para comprar o </w:t>
      </w:r>
      <w:r w:rsidRPr="00CF1B34">
        <w:rPr>
          <w:rFonts w:ascii="Arial" w:hAnsi="Arial" w:cs="Arial"/>
          <w:color w:val="000000" w:themeColor="text1"/>
          <w:sz w:val="22"/>
          <w:szCs w:val="22"/>
          <w:lang w:val="es-ES_tradnl"/>
        </w:rPr>
        <w:lastRenderedPageBreak/>
        <w:t>vender acciones de compañías. En las bolsas tambien se negocian activos de renta fija de los mas diversos inversores</w:t>
      </w:r>
    </w:p>
    <w:p w14:paraId="034C4C4F" w14:textId="023E2E02"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Bolsa a domicilio</w:t>
      </w:r>
    </w:p>
    <w:p w14:paraId="1F03A128" w14:textId="6FBC0459" w:rsidR="00B953FB"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Denominación informal con la que se hace referencia a las posibilidades de consultar información bursátil en tiempo real y realizar operaciones a través de un intermediario financiero, por medios informáticos.</w:t>
      </w:r>
    </w:p>
    <w:p w14:paraId="2CE4E98C" w14:textId="77777777" w:rsidR="00B953FB" w:rsidRPr="00CF1B34" w:rsidRDefault="00B953FB"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Bolsa de Madrid</w:t>
      </w:r>
      <w:r w:rsidRPr="00CF1B34">
        <w:rPr>
          <w:rStyle w:val="apple-converted-space"/>
          <w:rFonts w:ascii="Arial" w:hAnsi="Arial" w:cs="Arial"/>
          <w:color w:val="2F5496" w:themeColor="accent1" w:themeShade="BF"/>
          <w:sz w:val="22"/>
          <w:szCs w:val="22"/>
          <w:lang w:val="es-ES_tradnl"/>
        </w:rPr>
        <w:t> </w:t>
      </w:r>
    </w:p>
    <w:p w14:paraId="64E07AE5" w14:textId="77777777" w:rsidR="00B953FB" w:rsidRPr="00CF1B34" w:rsidRDefault="00B953FB" w:rsidP="0005621A">
      <w:pPr>
        <w:pStyle w:val="NormalWeb"/>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Es el</w:t>
      </w:r>
      <w:r w:rsidRPr="00CF1B34">
        <w:rPr>
          <w:rStyle w:val="apple-converted-space"/>
          <w:rFonts w:ascii="Arial" w:hAnsi="Arial" w:cs="Arial"/>
          <w:color w:val="191B1C"/>
          <w:sz w:val="22"/>
          <w:szCs w:val="22"/>
          <w:lang w:val="es-ES_tradnl"/>
        </w:rPr>
        <w:t> </w:t>
      </w:r>
      <w:r w:rsidRPr="00CF1B34">
        <w:rPr>
          <w:rStyle w:val="Textoennegrita"/>
          <w:rFonts w:ascii="Arial" w:hAnsi="Arial" w:cs="Arial"/>
          <w:color w:val="191B1C"/>
          <w:sz w:val="22"/>
          <w:szCs w:val="22"/>
          <w:lang w:val="es-ES_tradnl"/>
        </w:rPr>
        <w:t>mercado de valores más importante de nuestro país</w:t>
      </w:r>
      <w:r w:rsidRPr="00CF1B34">
        <w:rPr>
          <w:rFonts w:ascii="Arial" w:hAnsi="Arial" w:cs="Arial"/>
          <w:color w:val="191B1C"/>
          <w:sz w:val="22"/>
          <w:szCs w:val="22"/>
          <w:lang w:val="es-ES_tradnl"/>
        </w:rPr>
        <w:t>. Está integrada en Bolsas y Mercados Españoles (BME), e incluso cuenta con su propio índice como alternativa al IBEX, el Índice General de la Bolsa de Madrid (IGBM).</w:t>
      </w:r>
    </w:p>
    <w:p w14:paraId="5B8F429C" w14:textId="1AFFC13F" w:rsidR="00B953FB" w:rsidRPr="00CF1B34" w:rsidRDefault="00B953F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Este organismo reconoce la regulación del mercado como referencia y establece estrictos mecanismos a operadores e intermediarios. Además, está adscrito a la Directiva de Mercados de Instrumentos Financieros y convive con otros nuevos sistemas, como el SMN</w:t>
      </w:r>
      <w:r w:rsidRPr="00CF1B34">
        <w:rPr>
          <w:rFonts w:ascii="Arial" w:hAnsi="Arial" w:cs="Arial"/>
          <w:color w:val="191B1C"/>
          <w:lang w:val="es-ES_tradnl"/>
        </w:rPr>
        <w:t>.</w:t>
      </w:r>
    </w:p>
    <w:p w14:paraId="3726F664" w14:textId="0F842515"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Bolsa de valores</w:t>
      </w:r>
    </w:p>
    <w:p w14:paraId="6CC73DC1"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España, las Bolsas de valores son mercados organizados, sujetos a regulación oficial y supervisados por la CNMV. Tienen la exclusiva para la negociación de acciones y valores convertibles o que otorguen derecho de suscripción. También se contrata renta fija, tanto pública como privada, así como warrants, certificados y fondos cotizados (ETF, exchange traded funds). En España coexisten cuatro Bolsas tradicionales (Madrid, Barcelona, Bilbao y Valencia, integradas en el holding BME) y un sistema continuo de contratación para todas ellas, la plataforma Sistema de Interconexión Bursátil Español (SIBE). </w:t>
      </w:r>
    </w:p>
    <w:p w14:paraId="329916BE"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Bolsas y Mercados Españoles, Sociedad Holding de Mercados y Sistemas Financieros (BME)</w:t>
      </w:r>
    </w:p>
    <w:p w14:paraId="40504CDE" w14:textId="759EE6D2" w:rsidR="00B953FB"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Sociedad holding constituida en 2002 que aglutina a todas las entidades españolas relacionadas con la negociación, compensación y liquidación de valores. Lo integran las cuatro Bolsas (Madrid, Barcelona, Bilbao y Valencia); los segmentos Latibex y MAB; el mercado AIAF y el sistema de negociación Senaf, ambos para la renta fija; el mercado de derivados MEFF y su cámara de contrapartida Meffclear y el depositario central de valores Iberclear. La sociedad ostenta, de forma directa o indirecta, la propiedad de todas o algunas de las sociedades que administran los mercados secundarios y los sistemas de compensación y liquidación españoles.</w:t>
      </w:r>
    </w:p>
    <w:p w14:paraId="1E7C1B55" w14:textId="77777777" w:rsidR="00B953FB" w:rsidRPr="00CF1B34" w:rsidRDefault="00B953FB"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Bonificaciones hipotecarias</w:t>
      </w:r>
    </w:p>
    <w:p w14:paraId="32E34F61" w14:textId="6C09E9CB" w:rsidR="00B953FB" w:rsidRPr="00CF1B34" w:rsidRDefault="00B953F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La</w:t>
      </w:r>
      <w:r w:rsidRPr="00CF1B34">
        <w:rPr>
          <w:rStyle w:val="apple-converted-space"/>
          <w:rFonts w:ascii="Arial" w:hAnsi="Arial" w:cs="Arial"/>
          <w:color w:val="191B1C"/>
          <w:sz w:val="22"/>
          <w:szCs w:val="22"/>
          <w:lang w:val="es-ES_tradnl"/>
        </w:rPr>
        <w:t> </w:t>
      </w:r>
      <w:r w:rsidRPr="00CF1B34">
        <w:rPr>
          <w:rStyle w:val="Textoennegrita"/>
          <w:rFonts w:ascii="Arial" w:hAnsi="Arial" w:cs="Arial"/>
          <w:color w:val="191B1C"/>
          <w:sz w:val="22"/>
          <w:szCs w:val="22"/>
          <w:lang w:val="es-ES_tradnl"/>
        </w:rPr>
        <w:t>bonificación hipotecaria</w:t>
      </w:r>
      <w:r w:rsidRPr="00CF1B34">
        <w:rPr>
          <w:rStyle w:val="apple-converted-space"/>
          <w:rFonts w:ascii="Arial" w:hAnsi="Arial" w:cs="Arial"/>
          <w:color w:val="191B1C"/>
          <w:sz w:val="22"/>
          <w:szCs w:val="22"/>
          <w:lang w:val="es-ES_tradnl"/>
        </w:rPr>
        <w:t> </w:t>
      </w:r>
      <w:r w:rsidRPr="00CF1B34">
        <w:rPr>
          <w:rFonts w:ascii="Arial" w:hAnsi="Arial" w:cs="Arial"/>
          <w:color w:val="191B1C"/>
          <w:sz w:val="22"/>
          <w:szCs w:val="22"/>
          <w:lang w:val="es-ES_tradnl"/>
        </w:rPr>
        <w:t>es la cantidad de intereses que nos descontará el banco al contraer un préstamo hipotecario, y además contratar otros productos de venta combinada con la entidad. También se conoce con el nombre de hipotecas bonificadas. Bonificarse el préstamo es una buena opción para que este nos resulte más económico; no olvidemos que asumiremos un compromiso que durará mucho tiempo, y cuanto menos sea la carga, mejor podremos asumirlo.</w:t>
      </w:r>
    </w:p>
    <w:p w14:paraId="4071B223" w14:textId="1C1D80CF"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Bonista</w:t>
      </w:r>
    </w:p>
    <w:p w14:paraId="64CBB5D0"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Persona o entidad que ostenta la titularidad de un valor de renta fija (bonos, obligaciones...), lo que le convierte en acreedor de la sociedad emisora.</w:t>
      </w:r>
    </w:p>
    <w:p w14:paraId="760AE93D"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alcista</w:t>
      </w:r>
    </w:p>
    <w:p w14:paraId="1BA2D2F5"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Bono u obligación cuyo cupón incorpora un componente fijo y otro referenciado a un índice bursátil, con el que se establece una relación directa: el interés aumenta a medida que crece dicho índice.</w:t>
      </w:r>
    </w:p>
    <w:p w14:paraId="70631F5E" w14:textId="6AE73126" w:rsidR="004C0986" w:rsidRPr="00CF1B34" w:rsidRDefault="004C098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de las Administraciones Publicas</w:t>
      </w:r>
    </w:p>
    <w:p w14:paraId="41132C55" w14:textId="48329493" w:rsidR="004C0986" w:rsidRPr="00CF1B34" w:rsidRDefault="00C024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los bonos emitidos </w:t>
      </w:r>
      <w:r w:rsidR="00B32177" w:rsidRPr="00CF1B34">
        <w:rPr>
          <w:rFonts w:ascii="Arial" w:hAnsi="Arial" w:cs="Arial"/>
          <w:color w:val="000000" w:themeColor="text1"/>
          <w:sz w:val="22"/>
          <w:szCs w:val="22"/>
          <w:lang w:val="es-ES_tradnl"/>
        </w:rPr>
        <w:t xml:space="preserve">por las Administraciones  Públicas para financiar proyectos de inversión. Ej: </w:t>
      </w:r>
      <w:r w:rsidR="00B90893" w:rsidRPr="00CF1B34">
        <w:rPr>
          <w:rFonts w:ascii="Arial" w:hAnsi="Arial" w:cs="Arial"/>
          <w:color w:val="000000" w:themeColor="text1"/>
          <w:sz w:val="22"/>
          <w:szCs w:val="22"/>
          <w:lang w:val="es-ES_tradnl"/>
        </w:rPr>
        <w:t>O</w:t>
      </w:r>
      <w:r w:rsidR="00B32177" w:rsidRPr="00CF1B34">
        <w:rPr>
          <w:rFonts w:ascii="Arial" w:hAnsi="Arial" w:cs="Arial"/>
          <w:color w:val="000000" w:themeColor="text1"/>
          <w:sz w:val="22"/>
          <w:szCs w:val="22"/>
          <w:lang w:val="es-ES_tradnl"/>
        </w:rPr>
        <w:t>bligaciones de la Xunta de Galicia cupón 4,25%.</w:t>
      </w:r>
    </w:p>
    <w:p w14:paraId="5083B5FA" w14:textId="7377415B"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bajista</w:t>
      </w:r>
    </w:p>
    <w:p w14:paraId="67E921C4"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Bono cuyo cupón incorpora un componente fijo y otro referenciado a un índice bursátil, con el que se establece una relación inversa: el interés disminuye a medida que crece dicho índice.</w:t>
      </w:r>
    </w:p>
    <w:p w14:paraId="75C15642" w14:textId="51140985"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basura</w:t>
      </w:r>
      <w:r w:rsidR="004C0986" w:rsidRPr="00CF1B34">
        <w:rPr>
          <w:rFonts w:ascii="Arial" w:hAnsi="Arial" w:cs="Arial"/>
          <w:b/>
          <w:bCs/>
          <w:color w:val="004773"/>
          <w:sz w:val="22"/>
          <w:szCs w:val="22"/>
          <w:lang w:val="es-ES_tradnl"/>
        </w:rPr>
        <w:t xml:space="preserve"> (junk bonds)</w:t>
      </w:r>
    </w:p>
    <w:p w14:paraId="4F3052B2" w14:textId="77777777" w:rsidR="0078069E" w:rsidRPr="00CF1B34" w:rsidRDefault="001E0728" w:rsidP="0005621A">
      <w:pPr>
        <w:ind w:left="708"/>
        <w:jc w:val="both"/>
        <w:rPr>
          <w:rFonts w:ascii="Arial" w:hAnsi="Arial" w:cs="Arial"/>
          <w:sz w:val="22"/>
          <w:szCs w:val="22"/>
          <w:lang w:val="es-ES_tradnl"/>
        </w:rPr>
      </w:pPr>
      <w:r w:rsidRPr="00CF1B34">
        <w:rPr>
          <w:rFonts w:ascii="Arial" w:hAnsi="Arial" w:cs="Arial"/>
          <w:sz w:val="22"/>
          <w:szCs w:val="22"/>
          <w:lang w:val="es-ES_tradnl"/>
        </w:rPr>
        <w:t>Valores surgidos en el mercado norteamericano, que también se están generalizando en el ámbito europeo; son emitidos por empresas de solvencia más o menos dudosa, que ofrecen altos rendimientos a cambio del elevado riesgo que asume el inversor. En Europa se denominan ´bonos de alto rendimiento</w:t>
      </w:r>
      <w:r w:rsidR="00BE75FF" w:rsidRPr="00CF1B34">
        <w:rPr>
          <w:rFonts w:ascii="Arial" w:hAnsi="Arial" w:cs="Arial"/>
          <w:sz w:val="22"/>
          <w:szCs w:val="22"/>
          <w:lang w:val="es-ES_tradnl"/>
        </w:rPr>
        <w:t>.</w:t>
      </w:r>
      <w:r w:rsidR="0078069E" w:rsidRPr="00CF1B34">
        <w:rPr>
          <w:rFonts w:ascii="Arial" w:hAnsi="Arial" w:cs="Arial"/>
          <w:sz w:val="22"/>
          <w:szCs w:val="22"/>
          <w:lang w:val="es-ES_tradnl"/>
        </w:rPr>
        <w:t xml:space="preserve"> </w:t>
      </w:r>
    </w:p>
    <w:p w14:paraId="1FBE2A0C" w14:textId="5BEBCCC7" w:rsidR="0078069E" w:rsidRPr="00CF1B34" w:rsidRDefault="0078069E" w:rsidP="0005621A">
      <w:pPr>
        <w:ind w:firstLine="708"/>
        <w:jc w:val="both"/>
        <w:rPr>
          <w:rFonts w:ascii="Arial" w:hAnsi="Arial" w:cs="Arial"/>
          <w:b/>
          <w:bCs/>
          <w:sz w:val="22"/>
          <w:szCs w:val="22"/>
          <w:lang w:val="es-ES_tradnl"/>
        </w:rPr>
      </w:pPr>
      <w:r w:rsidRPr="00CF1B34">
        <w:rPr>
          <w:rFonts w:ascii="Arial" w:hAnsi="Arial" w:cs="Arial"/>
          <w:b/>
          <w:bCs/>
          <w:sz w:val="22"/>
          <w:szCs w:val="22"/>
          <w:lang w:val="es-ES_tradnl"/>
        </w:rPr>
        <w:t>Características principales:</w:t>
      </w:r>
    </w:p>
    <w:p w14:paraId="5D5FE02E" w14:textId="77777777" w:rsidR="0078069E" w:rsidRPr="00CF1B34" w:rsidRDefault="0078069E" w:rsidP="0005621A">
      <w:pPr>
        <w:ind w:left="708"/>
        <w:jc w:val="both"/>
        <w:rPr>
          <w:rFonts w:ascii="Arial" w:hAnsi="Arial" w:cs="Arial"/>
          <w:sz w:val="22"/>
          <w:szCs w:val="22"/>
          <w:lang w:val="es-ES_tradnl"/>
        </w:rPr>
      </w:pPr>
      <w:r w:rsidRPr="00CF1B34">
        <w:rPr>
          <w:rFonts w:ascii="Arial" w:hAnsi="Arial" w:cs="Arial"/>
          <w:sz w:val="22"/>
          <w:szCs w:val="22"/>
          <w:lang w:val="es-ES_tradnl"/>
        </w:rPr>
        <w:t>Calificación inferior al grado de inversión por parte de las agencias de calificación crediticia</w:t>
      </w:r>
    </w:p>
    <w:p w14:paraId="42282C0A" w14:textId="77777777" w:rsidR="0078069E" w:rsidRPr="00CF1B34" w:rsidRDefault="0078069E" w:rsidP="0005621A">
      <w:pPr>
        <w:ind w:firstLine="708"/>
        <w:jc w:val="both"/>
        <w:rPr>
          <w:rFonts w:ascii="Arial" w:hAnsi="Arial" w:cs="Arial"/>
          <w:sz w:val="22"/>
          <w:szCs w:val="22"/>
          <w:lang w:val="es-ES_tradnl"/>
        </w:rPr>
      </w:pPr>
      <w:r w:rsidRPr="00CF1B34">
        <w:rPr>
          <w:rFonts w:ascii="Arial" w:hAnsi="Arial" w:cs="Arial"/>
          <w:sz w:val="22"/>
          <w:szCs w:val="22"/>
          <w:lang w:val="es-ES_tradnl"/>
        </w:rPr>
        <w:t>Mayor riesgo de impago o de eventos crediticios</w:t>
      </w:r>
    </w:p>
    <w:p w14:paraId="1A2E419E" w14:textId="77777777" w:rsidR="0078069E" w:rsidRPr="00CF1B34" w:rsidRDefault="0078069E" w:rsidP="0005621A">
      <w:pPr>
        <w:ind w:firstLine="708"/>
        <w:jc w:val="both"/>
        <w:rPr>
          <w:rFonts w:ascii="Arial" w:hAnsi="Arial" w:cs="Arial"/>
          <w:sz w:val="22"/>
          <w:szCs w:val="22"/>
          <w:lang w:val="es-ES_tradnl"/>
        </w:rPr>
      </w:pPr>
      <w:r w:rsidRPr="00CF1B34">
        <w:rPr>
          <w:rFonts w:ascii="Arial" w:hAnsi="Arial" w:cs="Arial"/>
          <w:sz w:val="22"/>
          <w:szCs w:val="22"/>
          <w:lang w:val="es-ES_tradnl"/>
        </w:rPr>
        <w:t>Mayor rendimiento que los bonos con grado de inversión</w:t>
      </w:r>
    </w:p>
    <w:p w14:paraId="7B9816E6" w14:textId="77777777" w:rsidR="0078069E" w:rsidRPr="00CF1B34" w:rsidRDefault="0078069E" w:rsidP="0005621A">
      <w:pPr>
        <w:ind w:left="708"/>
        <w:jc w:val="both"/>
        <w:rPr>
          <w:rFonts w:ascii="Arial" w:hAnsi="Arial" w:cs="Arial"/>
          <w:sz w:val="22"/>
          <w:szCs w:val="22"/>
          <w:lang w:val="es-ES_tradnl"/>
        </w:rPr>
      </w:pPr>
      <w:r w:rsidRPr="00CF1B34">
        <w:rPr>
          <w:rFonts w:ascii="Arial" w:hAnsi="Arial" w:cs="Arial"/>
          <w:sz w:val="22"/>
          <w:szCs w:val="22"/>
          <w:lang w:val="es-ES_tradnl"/>
        </w:rPr>
        <w:t>A menudo se utilizan para financiar adquisiciones apalancadas, fusiones o empresas en dificultades.</w:t>
      </w:r>
    </w:p>
    <w:p w14:paraId="14B360DB" w14:textId="001BD9F8" w:rsidR="0078069E" w:rsidRPr="00CF1B34" w:rsidRDefault="0078069E" w:rsidP="0005621A">
      <w:pPr>
        <w:ind w:firstLine="708"/>
        <w:jc w:val="both"/>
        <w:rPr>
          <w:rFonts w:ascii="Arial" w:hAnsi="Arial" w:cs="Arial"/>
          <w:b/>
          <w:bCs/>
          <w:sz w:val="22"/>
          <w:szCs w:val="22"/>
          <w:lang w:val="es-ES_tradnl"/>
        </w:rPr>
      </w:pPr>
      <w:r w:rsidRPr="00CF1B34">
        <w:rPr>
          <w:rFonts w:ascii="Arial" w:hAnsi="Arial" w:cs="Arial"/>
          <w:b/>
          <w:bCs/>
          <w:sz w:val="22"/>
          <w:szCs w:val="22"/>
          <w:lang w:val="es-ES_tradnl"/>
        </w:rPr>
        <w:t>Hechos destacables:</w:t>
      </w:r>
    </w:p>
    <w:p w14:paraId="0BACD4B4" w14:textId="77777777" w:rsidR="0078069E" w:rsidRPr="00CF1B34" w:rsidRDefault="0078069E" w:rsidP="0005621A">
      <w:pPr>
        <w:ind w:left="708"/>
        <w:jc w:val="both"/>
        <w:rPr>
          <w:rFonts w:ascii="Arial" w:hAnsi="Arial" w:cs="Arial"/>
          <w:sz w:val="22"/>
          <w:szCs w:val="22"/>
          <w:lang w:val="es-ES_tradnl"/>
        </w:rPr>
      </w:pPr>
      <w:r w:rsidRPr="00CF1B34">
        <w:rPr>
          <w:rFonts w:ascii="Arial" w:hAnsi="Arial" w:cs="Arial"/>
          <w:sz w:val="22"/>
          <w:szCs w:val="22"/>
          <w:lang w:val="es-ES_tradnl"/>
        </w:rPr>
        <w:t>Los precios de los bonos basura más arriesgados han alcanzado sus niveles más altos en una década.</w:t>
      </w:r>
    </w:p>
    <w:p w14:paraId="0068AFD2" w14:textId="77777777" w:rsidR="0078069E" w:rsidRPr="00CF1B34" w:rsidRDefault="0078069E" w:rsidP="0005621A">
      <w:pPr>
        <w:ind w:firstLine="708"/>
        <w:jc w:val="both"/>
        <w:rPr>
          <w:rFonts w:ascii="Arial" w:hAnsi="Arial" w:cs="Arial"/>
          <w:sz w:val="22"/>
          <w:szCs w:val="22"/>
          <w:lang w:val="es-ES_tradnl"/>
        </w:rPr>
      </w:pPr>
      <w:r w:rsidRPr="00CF1B34">
        <w:rPr>
          <w:rFonts w:ascii="Arial" w:hAnsi="Arial" w:cs="Arial"/>
          <w:sz w:val="22"/>
          <w:szCs w:val="22"/>
          <w:lang w:val="es-ES_tradnl"/>
        </w:rPr>
        <w:t>El rendimiento medio de los bonos basura ronda el 5,6%.</w:t>
      </w:r>
    </w:p>
    <w:p w14:paraId="4B2DC821" w14:textId="77777777" w:rsidR="0078069E" w:rsidRPr="00CF1B34" w:rsidRDefault="0078069E" w:rsidP="0005621A">
      <w:pPr>
        <w:ind w:left="708"/>
        <w:jc w:val="both"/>
        <w:rPr>
          <w:rFonts w:ascii="Arial" w:hAnsi="Arial" w:cs="Arial"/>
          <w:sz w:val="22"/>
          <w:szCs w:val="22"/>
          <w:lang w:val="es-ES_tradnl"/>
        </w:rPr>
      </w:pPr>
      <w:r w:rsidRPr="00CF1B34">
        <w:rPr>
          <w:rFonts w:ascii="Arial" w:hAnsi="Arial" w:cs="Arial"/>
          <w:sz w:val="22"/>
          <w:szCs w:val="22"/>
          <w:lang w:val="es-ES_tradnl"/>
        </w:rPr>
        <w:t>Muchas empresas de servicios públicos han visto rebajada su calificación crediticia a la categoría de bonos basura.</w:t>
      </w:r>
    </w:p>
    <w:p w14:paraId="0B1092F7" w14:textId="77777777" w:rsidR="0078069E" w:rsidRPr="00CF1B34" w:rsidRDefault="0078069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Los bonos basura pueden ser peligrosos para el patrimonio de un inversor, ya que conllevan un mayor riesgo de impago y una posible pérdida de capital si una empresa quiebra.</w:t>
      </w:r>
    </w:p>
    <w:p w14:paraId="32E8F77F"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bolsa</w:t>
      </w:r>
    </w:p>
    <w:p w14:paraId="2E6B9902"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Bono cuya rentabilidad se vincula a la evolución de un determinado índice bursátil; en España suele usarse como referencia el Ibex 35.</w:t>
      </w:r>
    </w:p>
    <w:p w14:paraId="37320B48" w14:textId="6B5BF949" w:rsidR="000B24BA" w:rsidRPr="00CF1B34" w:rsidRDefault="000B24B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canjeable</w:t>
      </w:r>
    </w:p>
    <w:p w14:paraId="78C3BCAA" w14:textId="0EE1A1AB" w:rsidR="000B24BA" w:rsidRPr="00CF1B34" w:rsidRDefault="00B3217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Estos bonos son un producto intermedio entre acciones y los bonos. Son un producto anfibio porque vive dos vidas, una en la renta fija y otra si se desea en la renta variable. La sociedad lanza una emisión de bonos con una rentabilidad fija y establece la posibilidad de convertir el dinero de esos bo</w:t>
      </w:r>
      <w:r w:rsidR="00D86024" w:rsidRPr="00CF1B34">
        <w:rPr>
          <w:rFonts w:ascii="Arial" w:hAnsi="Arial" w:cs="Arial"/>
          <w:color w:val="000000" w:themeColor="text1"/>
          <w:sz w:val="22"/>
          <w:szCs w:val="22"/>
          <w:lang w:val="es-ES_tradnl"/>
        </w:rPr>
        <w:t>n</w:t>
      </w:r>
      <w:r w:rsidRPr="00CF1B34">
        <w:rPr>
          <w:rFonts w:ascii="Arial" w:hAnsi="Arial" w:cs="Arial"/>
          <w:color w:val="000000" w:themeColor="text1"/>
          <w:sz w:val="22"/>
          <w:szCs w:val="22"/>
          <w:lang w:val="es-ES_tradnl"/>
        </w:rPr>
        <w:t>os en acciones. Estos canjes suelen tener descuento respecto al pre</w:t>
      </w:r>
      <w:r w:rsidR="00D86024" w:rsidRPr="00CF1B34">
        <w:rPr>
          <w:rFonts w:ascii="Arial" w:hAnsi="Arial" w:cs="Arial"/>
          <w:color w:val="000000" w:themeColor="text1"/>
          <w:sz w:val="22"/>
          <w:szCs w:val="22"/>
          <w:lang w:val="es-ES_tradnl"/>
        </w:rPr>
        <w:t>c</w:t>
      </w:r>
      <w:r w:rsidRPr="00CF1B34">
        <w:rPr>
          <w:rFonts w:ascii="Arial" w:hAnsi="Arial" w:cs="Arial"/>
          <w:color w:val="000000" w:themeColor="text1"/>
          <w:sz w:val="22"/>
          <w:szCs w:val="22"/>
          <w:lang w:val="es-ES_tradnl"/>
        </w:rPr>
        <w:t>io de las acciones en el mercado</w:t>
      </w:r>
      <w:r w:rsidR="00D86024" w:rsidRPr="00CF1B34">
        <w:rPr>
          <w:rFonts w:ascii="Arial" w:hAnsi="Arial" w:cs="Arial"/>
          <w:color w:val="000000" w:themeColor="text1"/>
          <w:sz w:val="22"/>
          <w:szCs w:val="22"/>
          <w:lang w:val="es-ES_tradnl"/>
        </w:rPr>
        <w:t xml:space="preserve">. A diferencia de los bonos </w:t>
      </w:r>
      <w:r w:rsidR="00D86024" w:rsidRPr="00CF1B34">
        <w:rPr>
          <w:rFonts w:ascii="Arial" w:hAnsi="Arial" w:cs="Arial"/>
          <w:color w:val="000000" w:themeColor="text1"/>
          <w:sz w:val="22"/>
          <w:szCs w:val="22"/>
          <w:lang w:val="es-ES_tradnl"/>
        </w:rPr>
        <w:lastRenderedPageBreak/>
        <w:t>convertibles, en los canjeables los bonos por acciones viejas, es decir ya en circulación y con todos los derechos económicos.</w:t>
      </w:r>
    </w:p>
    <w:p w14:paraId="70D99B58" w14:textId="705144A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convertible</w:t>
      </w:r>
    </w:p>
    <w:p w14:paraId="672972F5" w14:textId="4AD20BEC"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bonos en cuyas condiciones de emisión se contempla la posibilidad de su conversión futura en acciones de la sociedad emisora o de otra sociedad, a un precio establecido.</w:t>
      </w:r>
      <w:r w:rsidR="008E5189" w:rsidRPr="00CF1B34">
        <w:rPr>
          <w:rFonts w:ascii="Arial" w:hAnsi="Arial" w:cs="Arial"/>
          <w:color w:val="212529"/>
          <w:sz w:val="22"/>
          <w:szCs w:val="22"/>
          <w:lang w:val="es-ES_tradnl"/>
        </w:rPr>
        <w:t xml:space="preserve"> </w:t>
      </w:r>
      <w:hyperlink r:id="rId68" w:tgtFrame="_self" w:history="1">
        <w:r w:rsidRPr="00CF1B34">
          <w:rPr>
            <w:rFonts w:ascii="Arial" w:hAnsi="Arial" w:cs="Arial"/>
            <w:b/>
            <w:bCs/>
            <w:color w:val="2F5496" w:themeColor="accent1" w:themeShade="BF"/>
            <w:sz w:val="22"/>
            <w:szCs w:val="22"/>
            <w:u w:val="single"/>
            <w:lang w:val="es-ES_tradnl"/>
          </w:rPr>
          <w:t>Ver obligaciones convertibles</w:t>
        </w:r>
      </w:hyperlink>
      <w:r w:rsidRPr="00CF1B34">
        <w:rPr>
          <w:rFonts w:ascii="Arial" w:hAnsi="Arial" w:cs="Arial"/>
          <w:color w:val="2F5496" w:themeColor="accent1" w:themeShade="BF"/>
          <w:sz w:val="22"/>
          <w:szCs w:val="22"/>
          <w:lang w:val="es-ES_tradnl"/>
        </w:rPr>
        <w:t>.</w:t>
      </w:r>
    </w:p>
    <w:p w14:paraId="1AB31AE6" w14:textId="413AE99A" w:rsidR="000B24BA" w:rsidRPr="00CF1B34" w:rsidRDefault="000B24B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de empresa</w:t>
      </w:r>
    </w:p>
    <w:p w14:paraId="3D03979D" w14:textId="6F3A3B8C" w:rsidR="00592E8B" w:rsidRPr="00CF1B34" w:rsidRDefault="00592E8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los bonos emitidos por una empresa para financiar sus proyectos de inversión. Ej: Jazztel del 13% vto año 2009</w:t>
      </w:r>
      <w:r w:rsidR="0078069E" w:rsidRPr="00CF1B34">
        <w:rPr>
          <w:rFonts w:ascii="Arial" w:hAnsi="Arial" w:cs="Arial"/>
          <w:color w:val="000000" w:themeColor="text1"/>
          <w:sz w:val="22"/>
          <w:szCs w:val="22"/>
          <w:lang w:val="es-ES_tradnl"/>
        </w:rPr>
        <w:t>.</w:t>
      </w:r>
    </w:p>
    <w:p w14:paraId="3C2C01BD" w14:textId="17821ECA"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del Estado</w:t>
      </w:r>
      <w:r w:rsidR="00027981" w:rsidRPr="00CF1B34">
        <w:rPr>
          <w:rFonts w:ascii="Arial" w:hAnsi="Arial" w:cs="Arial"/>
          <w:b/>
          <w:bCs/>
          <w:color w:val="004773"/>
          <w:sz w:val="22"/>
          <w:szCs w:val="22"/>
          <w:lang w:val="es-ES_tradnl"/>
        </w:rPr>
        <w:t xml:space="preserve"> (públicos)</w:t>
      </w:r>
    </w:p>
    <w:p w14:paraId="7F4B763D"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Principal instrumento de renta fija a medio plazo emitido por el Estado. Los hay a 3 y 5 años. A lo largo de su vida, estos activos ofrecen un tipo de interés fijo que se abona mediante cupones anuales.</w:t>
      </w:r>
    </w:p>
    <w:p w14:paraId="60A0B364" w14:textId="3684F69A" w:rsidR="004C0986" w:rsidRPr="00CF1B34" w:rsidRDefault="004C098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hipotecario</w:t>
      </w:r>
    </w:p>
    <w:p w14:paraId="4DE268BA" w14:textId="77777777" w:rsidR="00071324" w:rsidRPr="00CF1B34" w:rsidRDefault="008E25B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 trata</w:t>
      </w:r>
      <w:r w:rsidR="002D2475" w:rsidRPr="00CF1B34">
        <w:rPr>
          <w:rFonts w:ascii="Arial" w:hAnsi="Arial" w:cs="Arial"/>
          <w:color w:val="000000" w:themeColor="text1"/>
          <w:sz w:val="22"/>
          <w:szCs w:val="22"/>
          <w:lang w:val="es-ES_tradnl"/>
        </w:rPr>
        <w:t xml:space="preserve"> de activos financieros garantizados por un crédito o grupo de créditos hipotecarios que se vinculen específicamente a su emisión en escritura pública correspondiente. No puede tener un vencimiento medio superior al de tales créditos vinculados. Ej: Emisión del Banco Hipotecario de España de cupón variable y vencimiento 22 de julio del 2004</w:t>
      </w:r>
      <w:r w:rsidR="00071324" w:rsidRPr="00CF1B34">
        <w:rPr>
          <w:rFonts w:ascii="Arial" w:hAnsi="Arial" w:cs="Arial"/>
          <w:color w:val="000000" w:themeColor="text1"/>
          <w:sz w:val="22"/>
          <w:szCs w:val="22"/>
          <w:lang w:val="es-ES_tradnl"/>
        </w:rPr>
        <w:t>.</w:t>
      </w:r>
    </w:p>
    <w:p w14:paraId="7854F4DC" w14:textId="0C208500" w:rsidR="004C0986" w:rsidRPr="00CF1B34" w:rsidRDefault="004C098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indiciado</w:t>
      </w:r>
    </w:p>
    <w:p w14:paraId="37058AEB" w14:textId="77777777" w:rsidR="00071324" w:rsidRPr="00CF1B34" w:rsidRDefault="0007132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un bono cuyo pago de cupón y su reembolso esta referenciado a la variación del índice del coste de la vida, tasa de inflación. El bono va manteniendo en todo momento el nivel adquisitivo del tenedor.</w:t>
      </w:r>
    </w:p>
    <w:p w14:paraId="476D5E4D" w14:textId="01A7D140" w:rsidR="000B24BA" w:rsidRPr="00CF1B34" w:rsidRDefault="000B24B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matador</w:t>
      </w:r>
    </w:p>
    <w:p w14:paraId="139C3B5A" w14:textId="77777777" w:rsidR="00533665" w:rsidRPr="00CF1B34" w:rsidRDefault="0053366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Estos bonos los emiten organismos supranacionales o empresas multinacionales. Son bonos para el inversor extranjero, y se denominan matador, torero, como seña distintiva de que son españoles. Estos inversores para captar dinero optan por la moneda española y sus tipos de interés. Supone diversificar su deuda y asi eligen captas sus recursos en euros(pesetas).  El emisor no solo paga los </w:t>
      </w:r>
      <w:proofErr w:type="gramStart"/>
      <w:r w:rsidRPr="00CF1B34">
        <w:rPr>
          <w:rFonts w:ascii="Arial" w:hAnsi="Arial" w:cs="Arial"/>
          <w:color w:val="000000" w:themeColor="text1"/>
          <w:sz w:val="22"/>
          <w:szCs w:val="22"/>
          <w:lang w:val="es-ES_tradnl"/>
        </w:rPr>
        <w:t>intereses</w:t>
      </w:r>
      <w:proofErr w:type="gramEnd"/>
      <w:r w:rsidRPr="00CF1B34">
        <w:rPr>
          <w:rFonts w:ascii="Arial" w:hAnsi="Arial" w:cs="Arial"/>
          <w:color w:val="000000" w:themeColor="text1"/>
          <w:sz w:val="22"/>
          <w:szCs w:val="22"/>
          <w:lang w:val="es-ES_tradnl"/>
        </w:rPr>
        <w:t xml:space="preserve"> sino que corre el riesgo de la fluctuación de la cotización del euro (peseta) respecto de la propia moneda.</w:t>
      </w:r>
    </w:p>
    <w:p w14:paraId="0D040669" w14:textId="4442611A"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nocional</w:t>
      </w:r>
    </w:p>
    <w:p w14:paraId="6E76B48C"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Bono teórico, cuyas características se establecen para que sirva como activo subyacente estandarizado en contratos de futuros sobre tipos de interés.</w:t>
      </w:r>
    </w:p>
    <w:p w14:paraId="615F16FA" w14:textId="7578DE2C" w:rsidR="000B24BA" w:rsidRPr="00CF1B34" w:rsidRDefault="000B24B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samurai</w:t>
      </w:r>
    </w:p>
    <w:p w14:paraId="6CA00947" w14:textId="77777777" w:rsidR="00832E84" w:rsidRPr="00CF1B34" w:rsidRDefault="00832E8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iguales a los bonos matador pero en este </w:t>
      </w:r>
      <w:proofErr w:type="gramStart"/>
      <w:r w:rsidRPr="00CF1B34">
        <w:rPr>
          <w:rFonts w:ascii="Arial" w:hAnsi="Arial" w:cs="Arial"/>
          <w:color w:val="000000" w:themeColor="text1"/>
          <w:sz w:val="22"/>
          <w:szCs w:val="22"/>
          <w:lang w:val="es-ES_tradnl"/>
        </w:rPr>
        <w:t>caso ,</w:t>
      </w:r>
      <w:proofErr w:type="gramEnd"/>
      <w:r w:rsidRPr="00CF1B34">
        <w:rPr>
          <w:rFonts w:ascii="Arial" w:hAnsi="Arial" w:cs="Arial"/>
          <w:color w:val="000000" w:themeColor="text1"/>
          <w:sz w:val="22"/>
          <w:szCs w:val="22"/>
          <w:lang w:val="es-ES_tradnl"/>
        </w:rPr>
        <w:t xml:space="preserve"> se emiten en yenes.</w:t>
      </w:r>
    </w:p>
    <w:p w14:paraId="5AF946DC" w14:textId="26C1DE35"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segregable</w:t>
      </w:r>
    </w:p>
    <w:p w14:paraId="28204442"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Valor de renta fija con cupones periódicos, para el que es posible la negociación separada, como valores independientes, del principal y de cada uno de los cupones. Los valores segregados reciben el nombre de strips (ver definición).</w:t>
      </w:r>
    </w:p>
    <w:p w14:paraId="78E765C0"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 simple</w:t>
      </w:r>
    </w:p>
    <w:p w14:paraId="6037656B"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Valores mobiliarios de renta fija, similares a las </w:t>
      </w:r>
      <w:proofErr w:type="gramStart"/>
      <w:r w:rsidRPr="00CF1B34">
        <w:rPr>
          <w:rFonts w:ascii="Arial" w:hAnsi="Arial" w:cs="Arial"/>
          <w:color w:val="212529"/>
          <w:sz w:val="22"/>
          <w:szCs w:val="22"/>
          <w:lang w:val="es-ES_tradnl"/>
        </w:rPr>
        <w:t>obligaciones</w:t>
      </w:r>
      <w:proofErr w:type="gramEnd"/>
      <w:r w:rsidRPr="00CF1B34">
        <w:rPr>
          <w:rFonts w:ascii="Arial" w:hAnsi="Arial" w:cs="Arial"/>
          <w:color w:val="212529"/>
          <w:sz w:val="22"/>
          <w:szCs w:val="22"/>
          <w:lang w:val="es-ES_tradnl"/>
        </w:rPr>
        <w:t xml:space="preserve"> pero con menores plazos de vigencia (entre 3 y 5 años, por lo general). </w:t>
      </w:r>
      <w:hyperlink r:id="rId69" w:tgtFrame="_self" w:history="1">
        <w:r w:rsidRPr="00CF1B34">
          <w:rPr>
            <w:rFonts w:ascii="Arial" w:hAnsi="Arial" w:cs="Arial"/>
            <w:b/>
            <w:bCs/>
            <w:color w:val="2F5496" w:themeColor="accent1" w:themeShade="BF"/>
            <w:sz w:val="22"/>
            <w:szCs w:val="22"/>
            <w:u w:val="single"/>
            <w:lang w:val="es-ES_tradnl"/>
          </w:rPr>
          <w:t>Ver obligación</w:t>
        </w:r>
      </w:hyperlink>
      <w:r w:rsidRPr="00CF1B34">
        <w:rPr>
          <w:rFonts w:ascii="Arial" w:hAnsi="Arial" w:cs="Arial"/>
          <w:color w:val="2F5496" w:themeColor="accent1" w:themeShade="BF"/>
          <w:sz w:val="22"/>
          <w:szCs w:val="22"/>
          <w:lang w:val="es-ES_tradnl"/>
        </w:rPr>
        <w:t>.</w:t>
      </w:r>
    </w:p>
    <w:p w14:paraId="483A9EA6"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Bonos cupón cero</w:t>
      </w:r>
    </w:p>
    <w:p w14:paraId="0BE52BE9"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Valores de renta fija que no pagan intereses periódicos durante su vigencia. La rentabilidad para el inversor viene determinada por la diferencia entre el precio de adquisición y el precio de reembolso. Es habitual que se emitan al descuento. </w:t>
      </w:r>
      <w:hyperlink r:id="rId70" w:tgtFrame="_self" w:history="1">
        <w:r w:rsidRPr="00CF1B34">
          <w:rPr>
            <w:rFonts w:ascii="Arial" w:hAnsi="Arial" w:cs="Arial"/>
            <w:b/>
            <w:bCs/>
            <w:color w:val="2F5496" w:themeColor="accent1" w:themeShade="BF"/>
            <w:sz w:val="22"/>
            <w:szCs w:val="22"/>
            <w:u w:val="single"/>
            <w:lang w:val="es-ES_tradnl"/>
          </w:rPr>
          <w:t>Ver Emisión al descuento</w:t>
        </w:r>
      </w:hyperlink>
      <w:r w:rsidRPr="00CF1B34">
        <w:rPr>
          <w:rFonts w:ascii="Arial" w:hAnsi="Arial" w:cs="Arial"/>
          <w:color w:val="2F5496" w:themeColor="accent1" w:themeShade="BF"/>
          <w:sz w:val="22"/>
          <w:szCs w:val="22"/>
          <w:lang w:val="es-ES_tradnl"/>
        </w:rPr>
        <w:t>.</w:t>
      </w:r>
    </w:p>
    <w:p w14:paraId="71D248CE" w14:textId="7777777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Bonos indiciados, referenciados o indexados</w:t>
      </w:r>
    </w:p>
    <w:p w14:paraId="2B400BC3"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Títulos de renta fija cuya rentabilidad se haya ligada a la evolución de un índice, cesta de acciones, etc. El inversor debe tener en cuenta </w:t>
      </w:r>
      <w:proofErr w:type="gramStart"/>
      <w:r w:rsidRPr="00CF1B34">
        <w:rPr>
          <w:rFonts w:ascii="Arial" w:hAnsi="Arial" w:cs="Arial"/>
          <w:color w:val="212529"/>
          <w:sz w:val="22"/>
          <w:szCs w:val="22"/>
          <w:lang w:val="es-ES_tradnl"/>
        </w:rPr>
        <w:t>que</w:t>
      </w:r>
      <w:proofErr w:type="gramEnd"/>
      <w:r w:rsidRPr="00CF1B34">
        <w:rPr>
          <w:rFonts w:ascii="Arial" w:hAnsi="Arial" w:cs="Arial"/>
          <w:color w:val="212529"/>
          <w:sz w:val="22"/>
          <w:szCs w:val="22"/>
          <w:lang w:val="es-ES_tradnl"/>
        </w:rPr>
        <w:t xml:space="preserve"> si la evolución de dichas referencias es desfavorable, podría no recibir ningún rendimiento o incluso obtener pérdidas. En estos casos, además de afectarles la evolución de los tipos de interés, se asume el riesgo de la evolución del índice o de la cotización de la cesta de acciones de referencia. </w:t>
      </w:r>
    </w:p>
    <w:p w14:paraId="6AB3A2B2" w14:textId="3DEC320F" w:rsidR="000B24BA" w:rsidRPr="00CF1B34" w:rsidRDefault="000B24B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Bonos titulizados</w:t>
      </w:r>
    </w:p>
    <w:p w14:paraId="28460221" w14:textId="77777777" w:rsidR="00D32E1E" w:rsidRPr="00CF1B34" w:rsidRDefault="00832E8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Estos bonos son una novedad en nuestro país, y actualmente sólo son hipotecarios, su garantía esta en las hipotecas. Consisten en que un banco o una caja de ahorros convierten una serie de créditos hipotecarios homogéneos en una emisión</w:t>
      </w:r>
      <w:r w:rsidR="00D32E1E"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de bonos. De este modo el prestatario de la hipoteca</w:t>
      </w:r>
      <w:r w:rsidR="00D32E1E"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esta pagándolos interese</w:t>
      </w:r>
      <w:r w:rsidR="00D32E1E" w:rsidRPr="00CF1B34">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 xml:space="preserve"> de los tenedores de los bonos asi como devolviéndoles el capital invertido. Estos bonos son muy conocidos en Estados Unidos donde la desintermediación entre bancos y cajas de ahorros es muy frecuente.</w:t>
      </w:r>
    </w:p>
    <w:p w14:paraId="530FF44E" w14:textId="3A5475A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Bonos verdes y sociales</w:t>
      </w:r>
    </w:p>
    <w:p w14:paraId="261C4495"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emisiones de deuda pública o privada, emitidos a medio y largo plazo para financiar proyectos que poseen uno o más objetivos medioambientales o que financian actividades de tipo social.</w:t>
      </w:r>
    </w:p>
    <w:p w14:paraId="2D1C1192" w14:textId="2CF00E07" w:rsidR="008E5189" w:rsidRPr="00CF1B34" w:rsidRDefault="008E518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Borrador de la renta</w:t>
      </w:r>
    </w:p>
    <w:p w14:paraId="31751D45" w14:textId="65FED24C" w:rsidR="0000290C" w:rsidRPr="00CF1B34" w:rsidRDefault="008E5189" w:rsidP="0005621A">
      <w:pPr>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El</w:t>
      </w:r>
      <w:r w:rsidRPr="00CF1B34">
        <w:rPr>
          <w:rFonts w:ascii="Arial" w:hAnsi="Arial" w:cs="Arial"/>
          <w:sz w:val="22"/>
          <w:szCs w:val="22"/>
          <w:lang w:val="es-ES_tradnl"/>
        </w:rPr>
        <w:t xml:space="preserve"> borrador de la rennta </w:t>
      </w:r>
      <w:r w:rsidRPr="00CF1B34">
        <w:rPr>
          <w:rFonts w:ascii="Arial" w:hAnsi="Arial" w:cs="Arial"/>
          <w:color w:val="333333"/>
          <w:sz w:val="22"/>
          <w:szCs w:val="22"/>
          <w:shd w:val="clear" w:color="auto" w:fill="FFFFFF"/>
          <w:lang w:val="es-ES_tradnl"/>
        </w:rPr>
        <w:t>es una predeclaración de IRPF. Es la renta rellenada por la Agencia Tributaria bajo sus criterios y con los datos que la administración posee sobre nuestros ingresos y movimientos bancarios.</w:t>
      </w:r>
      <w:r w:rsidR="0000290C" w:rsidRPr="00CF1B34">
        <w:rPr>
          <w:rFonts w:ascii="Arial" w:hAnsi="Arial" w:cs="Arial"/>
          <w:color w:val="333333"/>
          <w:sz w:val="22"/>
          <w:szCs w:val="22"/>
          <w:shd w:val="clear" w:color="auto" w:fill="FFFFFF"/>
          <w:lang w:val="es-ES_tradnl"/>
        </w:rPr>
        <w:t xml:space="preserve"> Hacienda no tiene por qué conocer o incluir todas tus circunstancias. Es fácil que la AEAT no esté al tanto de que te has casado y quieres hacer la declaración conjunta o de que has sido padre. Del mismo modo, también es habitual que obvie detalles como el piso en el que vives de alquiler u otros elementos y deducciones que te ayudarían a pagar menos impuestos.</w:t>
      </w:r>
    </w:p>
    <w:p w14:paraId="4BCB03AD" w14:textId="60A458E0" w:rsidR="0000290C" w:rsidRPr="00CF1B34" w:rsidRDefault="0000290C"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Estos son los </w:t>
      </w:r>
      <w:r w:rsidRPr="00CF1B34">
        <w:rPr>
          <w:rFonts w:ascii="Arial" w:hAnsi="Arial" w:cs="Arial"/>
          <w:b/>
          <w:bCs/>
          <w:color w:val="333333"/>
          <w:sz w:val="22"/>
          <w:szCs w:val="22"/>
          <w:lang w:val="es-ES_tradnl"/>
        </w:rPr>
        <w:t xml:space="preserve">requisitos para solicitar la predeclaración de la renta </w:t>
      </w:r>
      <w:r w:rsidRPr="00CF1B34">
        <w:rPr>
          <w:rFonts w:ascii="Arial" w:hAnsi="Arial" w:cs="Arial"/>
          <w:color w:val="333333"/>
          <w:sz w:val="22"/>
          <w:szCs w:val="22"/>
          <w:lang w:val="es-ES_tradnl"/>
        </w:rPr>
        <w:t>a Hacienda, sólo quienes hayan obtenido los siguientes tipos de renta podrán hacerlo:</w:t>
      </w:r>
    </w:p>
    <w:p w14:paraId="4658E4E1" w14:textId="77777777" w:rsidR="0000290C" w:rsidRPr="00CF1B34" w:rsidRDefault="0000290C" w:rsidP="004F7A62">
      <w:pPr>
        <w:numPr>
          <w:ilvl w:val="0"/>
          <w:numId w:val="10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Rendimientos del trabajo. Se trataría de tu sueldo y también del paro, por ejemplo</w:t>
      </w:r>
    </w:p>
    <w:p w14:paraId="5B516E31" w14:textId="77777777" w:rsidR="0000290C" w:rsidRPr="00CF1B34" w:rsidRDefault="0000290C" w:rsidP="004F7A62">
      <w:pPr>
        <w:numPr>
          <w:ilvl w:val="0"/>
          <w:numId w:val="10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Rendimientos del capital mobiliario sujetos a retención o a ingreso a cuenta, así como derivados de letras del tesoro.</w:t>
      </w:r>
    </w:p>
    <w:p w14:paraId="5DFD4190" w14:textId="77777777" w:rsidR="0000290C" w:rsidRPr="00CF1B34" w:rsidRDefault="0000290C" w:rsidP="004F7A62">
      <w:pPr>
        <w:numPr>
          <w:ilvl w:val="0"/>
          <w:numId w:val="10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Imputación de rentas inmobiliarias -el dinero que Hacienda considera que ganas por el mero hecho de tener vivienda, aunque esté vacía- siempre que procedan, como máximo, de ocho inmuebles. A estos efectos no se tiene en cuenta la vivienda habitual, ni los garajes o trasteros, con un máximo de 4 inmuebles.</w:t>
      </w:r>
    </w:p>
    <w:p w14:paraId="57C92381" w14:textId="77777777" w:rsidR="0000290C" w:rsidRPr="00CF1B34" w:rsidRDefault="0000290C" w:rsidP="004F7A62">
      <w:pPr>
        <w:numPr>
          <w:ilvl w:val="0"/>
          <w:numId w:val="10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Ganancias patrimoniales sometidas a retención o ingreso a cuenta, así como subvenciones para la adquisición de vivienda habitual y otras subvenciones no vinculadas con actividades económicas.</w:t>
      </w:r>
    </w:p>
    <w:p w14:paraId="5A63DECF" w14:textId="77777777" w:rsidR="0000290C" w:rsidRPr="00CF1B34" w:rsidRDefault="0000290C" w:rsidP="004F7A62">
      <w:pPr>
        <w:numPr>
          <w:ilvl w:val="0"/>
          <w:numId w:val="10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Transmisión de valores públicos que al amortizarlos hayan tenido ganancia de rendimiento cero.</w:t>
      </w:r>
    </w:p>
    <w:p w14:paraId="446787F6" w14:textId="77777777" w:rsidR="0000290C" w:rsidRPr="00CF1B34" w:rsidRDefault="0000290C" w:rsidP="004F7A62">
      <w:pPr>
        <w:numPr>
          <w:ilvl w:val="0"/>
          <w:numId w:val="10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Pérdidas patrimoniales derivadas de Instituciones de Inversión Colectiva. Estas incluyen, por ejemplo, las pérdidas en fondos de inversión.</w:t>
      </w:r>
    </w:p>
    <w:p w14:paraId="52D7BD43" w14:textId="2633D994" w:rsidR="0000290C" w:rsidRPr="00CF1B34" w:rsidRDefault="0000290C" w:rsidP="004F7A62">
      <w:pPr>
        <w:numPr>
          <w:ilvl w:val="0"/>
          <w:numId w:val="10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Rendimientos de capital mobiliario o inmobiliario de entidades en régimen de atribución de renta.</w:t>
      </w:r>
    </w:p>
    <w:p w14:paraId="12144B31" w14:textId="77777777" w:rsidR="00C24E54" w:rsidRPr="00CF1B34" w:rsidRDefault="00C24E54" w:rsidP="0005621A">
      <w:pPr>
        <w:pStyle w:val="Prrafodelista"/>
        <w:pBdr>
          <w:bottom w:val="dotted" w:sz="12" w:space="12" w:color="666666"/>
        </w:pBdr>
        <w:spacing w:after="240"/>
        <w:jc w:val="both"/>
        <w:rPr>
          <w:rFonts w:ascii="Arial" w:hAnsi="Arial" w:cs="Arial"/>
          <w:color w:val="212529"/>
          <w:sz w:val="22"/>
          <w:szCs w:val="22"/>
          <w:lang w:val="es-ES_tradnl"/>
        </w:rPr>
      </w:pPr>
    </w:p>
    <w:p w14:paraId="27B2FDCD" w14:textId="6E3D0BE4" w:rsidR="00243883" w:rsidRPr="00CF1B34" w:rsidRDefault="0024388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BOVESPA </w:t>
      </w:r>
    </w:p>
    <w:p w14:paraId="28CC7E5E" w14:textId="0EE73373" w:rsidR="00243883" w:rsidRPr="00CF1B34" w:rsidRDefault="0024388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La</w:t>
      </w:r>
      <w:r w:rsidRPr="00CF1B34">
        <w:rPr>
          <w:rStyle w:val="Textoennegrita"/>
          <w:rFonts w:ascii="Arial" w:hAnsi="Arial" w:cs="Arial"/>
          <w:color w:val="333333"/>
          <w:sz w:val="22"/>
          <w:szCs w:val="22"/>
          <w:shd w:val="clear" w:color="auto" w:fill="FFFFFF"/>
          <w:lang w:val="es-ES_tradnl"/>
        </w:rPr>
        <w:t xml:space="preserve"> Bovespa</w:t>
      </w:r>
      <w:r w:rsidRPr="00CF1B34">
        <w:rPr>
          <w:rFonts w:ascii="Arial" w:hAnsi="Arial" w:cs="Arial"/>
          <w:color w:val="333333"/>
          <w:sz w:val="22"/>
          <w:szCs w:val="22"/>
          <w:shd w:val="clear" w:color="auto" w:fill="FFFFFF"/>
          <w:lang w:val="es-ES_tradnl"/>
        </w:rPr>
        <w:t xml:space="preserve"> es la </w:t>
      </w:r>
      <w:r w:rsidRPr="00CF1B34">
        <w:rPr>
          <w:rStyle w:val="Textoennegrita"/>
          <w:rFonts w:ascii="Arial" w:hAnsi="Arial" w:cs="Arial"/>
          <w:color w:val="333333"/>
          <w:sz w:val="22"/>
          <w:szCs w:val="22"/>
          <w:shd w:val="clear" w:color="auto" w:fill="FFFFFF"/>
          <w:lang w:val="es-ES_tradnl"/>
        </w:rPr>
        <w:t>Bolsa de Valores de Sao Paulo</w:t>
      </w:r>
      <w:r w:rsidRPr="00CF1B34">
        <w:rPr>
          <w:rFonts w:ascii="Arial" w:hAnsi="Arial" w:cs="Arial"/>
          <w:color w:val="333333"/>
          <w:sz w:val="22"/>
          <w:szCs w:val="22"/>
          <w:shd w:val="clear" w:color="auto" w:fill="FFFFFF"/>
          <w:lang w:val="es-ES_tradnl"/>
        </w:rPr>
        <w:t>, y actualmente una de las mayores bolsas de valores del mundo. Se encuentra situada en el corazón de la mayor ciudad brasileña, Sao Paulo</w:t>
      </w:r>
    </w:p>
    <w:p w14:paraId="6A475A60" w14:textId="77777777" w:rsidR="00243883" w:rsidRPr="00CF1B34" w:rsidRDefault="0024388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Esta importante Bolsa de Valores fue fundada el 23 de agosto de 1890, y ha sido parte importante de la historia de la bolsa de valores y la economía brasileña. Hasta mitad de los años 60, Bovespa y las otras bolsas de valores brasileñas eran empresas estatales, dependientes de la secretaría de finanzas y los brokers eran empleados públicos.</w:t>
      </w:r>
    </w:p>
    <w:p w14:paraId="1DBF0C14" w14:textId="77777777" w:rsidR="00243883" w:rsidRPr="00CF1B34" w:rsidRDefault="0024388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La Bovespa se encuentra unida a todos las bolsas brasileñas, incluida la de Río de Janeiro, donde se intercambian los valores del gobierno.</w:t>
      </w:r>
    </w:p>
    <w:p w14:paraId="257FBF5A" w14:textId="258D60D7"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Brecha de rendimiento</w:t>
      </w:r>
    </w:p>
    <w:p w14:paraId="30DCB484" w14:textId="54F88C0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diferencia entre el rendimiento medio que prop</w:t>
      </w:r>
      <w:r w:rsidR="000B24BA" w:rsidRPr="00CF1B34">
        <w:rPr>
          <w:rFonts w:ascii="Arial" w:hAnsi="Arial" w:cs="Arial"/>
          <w:color w:val="212529"/>
          <w:sz w:val="22"/>
          <w:szCs w:val="22"/>
          <w:lang w:val="es-ES_tradnl"/>
        </w:rPr>
        <w:t>or</w:t>
      </w:r>
      <w:r w:rsidRPr="00CF1B34">
        <w:rPr>
          <w:rFonts w:ascii="Arial" w:hAnsi="Arial" w:cs="Arial"/>
          <w:color w:val="212529"/>
          <w:sz w:val="22"/>
          <w:szCs w:val="22"/>
          <w:lang w:val="es-ES_tradnl"/>
        </w:rPr>
        <w:t>cionan las acciones (a través de los dividendos) y el que se obtiene de la renta fija a largo plazo, durante un período de tiempo determinado. Gráficamente se expresa mediante una curva que permite comparar el comportamiento de ambos tipos de valores.</w:t>
      </w:r>
    </w:p>
    <w:p w14:paraId="58539C24" w14:textId="4215AF39" w:rsidR="00243883" w:rsidRPr="00CF1B34" w:rsidRDefault="0024388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Bretton Woods (sistema)</w:t>
      </w:r>
    </w:p>
    <w:p w14:paraId="7D3A72C3" w14:textId="0FC803DE" w:rsidR="009B6C64" w:rsidRPr="00CF1B34" w:rsidRDefault="00243883" w:rsidP="0005621A">
      <w:pPr>
        <w:ind w:left="708"/>
        <w:jc w:val="both"/>
        <w:rPr>
          <w:rFonts w:ascii="Arial" w:hAnsi="Arial" w:cs="Arial"/>
          <w:sz w:val="22"/>
          <w:szCs w:val="22"/>
          <w:lang w:val="es-ES_tradnl"/>
        </w:rPr>
      </w:pPr>
      <w:r w:rsidRPr="00CF1B34">
        <w:rPr>
          <w:rStyle w:val="Textoennegrita"/>
          <w:rFonts w:ascii="Arial" w:hAnsi="Arial" w:cs="Arial"/>
          <w:b w:val="0"/>
          <w:bCs w:val="0"/>
          <w:color w:val="333333"/>
          <w:sz w:val="22"/>
          <w:szCs w:val="22"/>
          <w:shd w:val="clear" w:color="auto" w:fill="FFFFFF"/>
          <w:lang w:val="es-ES_tradnl"/>
        </w:rPr>
        <w:t>Durante la Segunda Guerra Mundial, los Estados Unidos imaginaban un orden económico mundial para la posguerra en la que los EEUU pudiesen penetrar en mercados que estuviesen previamente cerrados, así como abrir nuevas oportunidades a las inversiones estadounidenses en el extranjero, eliminando las restricciones de flujo de capital internacional.</w:t>
      </w:r>
      <w:r w:rsidR="009B6C64" w:rsidRPr="00CF1B34">
        <w:rPr>
          <w:rStyle w:val="Textoennegrita"/>
          <w:rFonts w:ascii="Arial" w:hAnsi="Arial" w:cs="Arial"/>
          <w:b w:val="0"/>
          <w:bCs w:val="0"/>
          <w:color w:val="333333"/>
          <w:sz w:val="22"/>
          <w:szCs w:val="22"/>
          <w:shd w:val="clear" w:color="auto" w:fill="FFFFFF"/>
          <w:lang w:val="es-ES_tradnl"/>
        </w:rPr>
        <w:t xml:space="preserve"> </w:t>
      </w:r>
      <w:r w:rsidR="009B6C64" w:rsidRPr="00CF1B34">
        <w:rPr>
          <w:rFonts w:ascii="Arial" w:hAnsi="Arial" w:cs="Arial"/>
          <w:color w:val="333333"/>
          <w:sz w:val="22"/>
          <w:szCs w:val="22"/>
          <w:shd w:val="clear" w:color="auto" w:fill="FFFFFF"/>
          <w:lang w:val="es-ES_tradnl"/>
        </w:rPr>
        <w:t>En este marco fue que durante dos años y medio se fueron esbozando las propuestas para la reconstrucción de posguerra por parte de los Tesoros de los EE.UU. y el Reino Unido, que se trataron en la Conferencia de Bretton Woods un hito clave en las finanzas mundiales modernas.</w:t>
      </w:r>
    </w:p>
    <w:p w14:paraId="5FB4A459" w14:textId="35CC3222" w:rsidR="009B6C64" w:rsidRPr="00CF1B34" w:rsidRDefault="009B6C6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 Conferencia </w:t>
      </w:r>
      <w:r w:rsidRPr="00CF1B34">
        <w:rPr>
          <w:rStyle w:val="Textoennegrita"/>
          <w:rFonts w:ascii="Arial" w:hAnsi="Arial" w:cs="Arial"/>
          <w:color w:val="333333"/>
          <w:sz w:val="22"/>
          <w:szCs w:val="22"/>
          <w:lang w:val="es-ES_tradnl"/>
        </w:rPr>
        <w:t>definió las reglas de funcionamiento precisas para fijar las relaciones monetarias internacionales</w:t>
      </w:r>
      <w:r w:rsidRPr="00CF1B34">
        <w:rPr>
          <w:rFonts w:ascii="Arial" w:hAnsi="Arial" w:cs="Arial"/>
          <w:color w:val="333333"/>
          <w:sz w:val="22"/>
          <w:szCs w:val="22"/>
          <w:lang w:val="es-ES_tradnl"/>
        </w:rPr>
        <w:t xml:space="preserve"> y creó una institución específica, el Fondo Monetario Internacional (FMI), encargado de vigilar esas reglas.</w:t>
      </w:r>
    </w:p>
    <w:p w14:paraId="3011E61D" w14:textId="5405849C" w:rsidR="009B6C64" w:rsidRPr="00CF1B34" w:rsidRDefault="009B6C6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sistema resultante se basaba en un </w:t>
      </w:r>
      <w:r w:rsidRPr="00CF1B34">
        <w:rPr>
          <w:rStyle w:val="Textoennegrita"/>
          <w:rFonts w:ascii="Arial" w:hAnsi="Arial" w:cs="Arial"/>
          <w:color w:val="333333"/>
          <w:sz w:val="22"/>
          <w:szCs w:val="22"/>
          <w:lang w:val="es-ES_tradnl"/>
        </w:rPr>
        <w:t xml:space="preserve">patrón de cambio </w:t>
      </w:r>
      <w:r w:rsidRPr="00CF1B34">
        <w:rPr>
          <w:rFonts w:ascii="Arial" w:hAnsi="Arial" w:cs="Arial"/>
          <w:color w:val="333333"/>
          <w:sz w:val="22"/>
          <w:szCs w:val="22"/>
          <w:lang w:val="es-ES_tradnl"/>
        </w:rPr>
        <w:t xml:space="preserve">oro, a su vez basado en el dólar. EE.UU. debía mantener el precio del oro en 35,00 dólares por onza y se le concedió la facultad de cambiar dólares por oro a ese precio sin restricciones ni limitaciones. Al mantenerse fijo el precio de una moneda (el dólar), los demás países deberían fijar el </w:t>
      </w:r>
      <w:r w:rsidRPr="00CF1B34">
        <w:rPr>
          <w:rFonts w:ascii="Arial" w:hAnsi="Arial" w:cs="Arial"/>
          <w:color w:val="333333"/>
          <w:sz w:val="22"/>
          <w:szCs w:val="22"/>
          <w:lang w:val="es-ES_tradnl"/>
        </w:rPr>
        <w:lastRenderedPageBreak/>
        <w:t>precio de sus monedas con relación a aquella, y de ser necesario, intervenir dentro de los mercados cambiarios con el fin de mantener los tipos de cambio dentro de una banda de fluctuación del 1%.</w:t>
      </w:r>
    </w:p>
    <w:p w14:paraId="1386F697" w14:textId="77777777" w:rsidR="009B6C64" w:rsidRPr="00CF1B34" w:rsidRDefault="009B6C64"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En consecuencia, </w:t>
      </w:r>
      <w:r w:rsidRPr="00CF1B34">
        <w:rPr>
          <w:rStyle w:val="Textoennegrita"/>
          <w:rFonts w:ascii="Arial" w:hAnsi="Arial" w:cs="Arial"/>
          <w:color w:val="333333"/>
          <w:sz w:val="22"/>
          <w:szCs w:val="22"/>
          <w:shd w:val="clear" w:color="auto" w:fill="FFFFFF"/>
          <w:lang w:val="es-ES_tradnl"/>
        </w:rPr>
        <w:t>EE.UU. era el único país obligado a mantener la convertibilidad su moneda en oro</w:t>
      </w:r>
      <w:r w:rsidRPr="00CF1B34">
        <w:rPr>
          <w:rFonts w:ascii="Arial" w:hAnsi="Arial" w:cs="Arial"/>
          <w:color w:val="333333"/>
          <w:sz w:val="22"/>
          <w:szCs w:val="22"/>
          <w:shd w:val="clear" w:color="auto" w:fill="FFFFFF"/>
          <w:lang w:val="es-ES_tradnl"/>
        </w:rPr>
        <w:t> (poseía entonces los dos tercios de las reservas mundiales oficiales en oro), mientras que el resto de los países tenía que fijar la paridad de su moneda con respecto al dólar.</w:t>
      </w:r>
    </w:p>
    <w:p w14:paraId="55FCC06C" w14:textId="77777777" w:rsidR="00221087" w:rsidRPr="00CF1B34" w:rsidRDefault="009B6C6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El </w:t>
      </w:r>
      <w:r w:rsidRPr="00CF1B34">
        <w:rPr>
          <w:rStyle w:val="Textoennegrita"/>
          <w:rFonts w:ascii="Arial" w:hAnsi="Arial" w:cs="Arial"/>
          <w:color w:val="333333"/>
          <w:sz w:val="22"/>
          <w:szCs w:val="22"/>
          <w:shd w:val="clear" w:color="auto" w:fill="FFFFFF"/>
          <w:lang w:val="es-ES_tradnl"/>
        </w:rPr>
        <w:t>sistema de Bretton Woods</w:t>
      </w:r>
      <w:r w:rsidRPr="00CF1B34">
        <w:rPr>
          <w:rFonts w:ascii="Arial" w:hAnsi="Arial" w:cs="Arial"/>
          <w:color w:val="333333"/>
          <w:sz w:val="22"/>
          <w:szCs w:val="22"/>
          <w:shd w:val="clear" w:color="auto" w:fill="FFFFFF"/>
          <w:lang w:val="es-ES_tradnl"/>
        </w:rPr>
        <w:t> funcionó bien en los años 40 y 50, pero sufrió presiones en los 60. Estados Unidos abandonó el patrón oro en diciembre de 1971.</w:t>
      </w:r>
    </w:p>
    <w:p w14:paraId="5C6ECEC4" w14:textId="3F1C403C" w:rsidR="00221087" w:rsidRPr="00CF1B34" w:rsidRDefault="0022108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BRICs</w:t>
      </w:r>
    </w:p>
    <w:p w14:paraId="1C2C2BCD" w14:textId="2ED127F9" w:rsidR="00221087" w:rsidRPr="00CF1B34" w:rsidRDefault="00221087"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En los últimos años, un </w:t>
      </w:r>
      <w:r w:rsidRPr="00CF1B34">
        <w:rPr>
          <w:rFonts w:ascii="Arial" w:hAnsi="Arial" w:cs="Arial"/>
          <w:b/>
          <w:bCs/>
          <w:color w:val="333333"/>
          <w:sz w:val="22"/>
          <w:szCs w:val="22"/>
          <w:lang w:val="es-ES_tradnl"/>
        </w:rPr>
        <w:t>grupo de cuatro países denominado emergentes dado el alto crecimiento de la economía</w:t>
      </w:r>
      <w:r w:rsidRPr="00CF1B34">
        <w:rPr>
          <w:rFonts w:ascii="Arial" w:hAnsi="Arial" w:cs="Arial"/>
          <w:color w:val="333333"/>
          <w:sz w:val="22"/>
          <w:szCs w:val="22"/>
          <w:lang w:val="es-ES_tradnl"/>
        </w:rPr>
        <w:t xml:space="preserve">, comenzó a tener </w:t>
      </w:r>
      <w:r w:rsidRPr="00CF1B34">
        <w:rPr>
          <w:rFonts w:ascii="Arial" w:hAnsi="Arial" w:cs="Arial"/>
          <w:b/>
          <w:bCs/>
          <w:color w:val="333333"/>
          <w:sz w:val="22"/>
          <w:szCs w:val="22"/>
          <w:lang w:val="es-ES_tradnl"/>
        </w:rPr>
        <w:t>fuerte incidencia sobre la economía mundial</w:t>
      </w:r>
      <w:r w:rsidRPr="00CF1B34">
        <w:rPr>
          <w:rFonts w:ascii="Arial" w:hAnsi="Arial" w:cs="Arial"/>
          <w:color w:val="333333"/>
          <w:sz w:val="22"/>
          <w:szCs w:val="22"/>
          <w:lang w:val="es-ES_tradnl"/>
        </w:rPr>
        <w:t xml:space="preserve">, a través del importante comercio </w:t>
      </w:r>
      <w:r w:rsidRPr="00CF1B34">
        <w:rPr>
          <w:rFonts w:ascii="Arial" w:hAnsi="Arial" w:cs="Arial"/>
          <w:b/>
          <w:bCs/>
          <w:color w:val="333333"/>
          <w:sz w:val="22"/>
          <w:szCs w:val="22"/>
          <w:lang w:val="es-ES_tradnl"/>
        </w:rPr>
        <w:t>internacional con los países desarrollados</w:t>
      </w:r>
      <w:r w:rsidRPr="00CF1B34">
        <w:rPr>
          <w:rFonts w:ascii="Arial" w:hAnsi="Arial" w:cs="Arial"/>
          <w:color w:val="333333"/>
          <w:sz w:val="22"/>
          <w:szCs w:val="22"/>
          <w:lang w:val="es-ES_tradnl"/>
        </w:rPr>
        <w:t>.</w:t>
      </w:r>
    </w:p>
    <w:p w14:paraId="659914C3" w14:textId="4486B35C" w:rsidR="00221087" w:rsidRPr="00CF1B34" w:rsidRDefault="00221087"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Estos cuatro países son </w:t>
      </w:r>
      <w:r w:rsidRPr="00CF1B34">
        <w:rPr>
          <w:rFonts w:ascii="Arial" w:hAnsi="Arial" w:cs="Arial"/>
          <w:b/>
          <w:bCs/>
          <w:color w:val="333333"/>
          <w:sz w:val="22"/>
          <w:szCs w:val="22"/>
          <w:lang w:val="es-ES_tradnl"/>
        </w:rPr>
        <w:t>Brasil, Rusia, India y China</w:t>
      </w:r>
      <w:r w:rsidRPr="00CF1B34">
        <w:rPr>
          <w:rFonts w:ascii="Arial" w:hAnsi="Arial" w:cs="Arial"/>
          <w:color w:val="333333"/>
          <w:sz w:val="22"/>
          <w:szCs w:val="22"/>
          <w:lang w:val="es-ES_tradnl"/>
        </w:rPr>
        <w:t xml:space="preserve">, son informalmente denominados </w:t>
      </w:r>
      <w:hyperlink r:id="rId71" w:history="1">
        <w:r w:rsidRPr="00CF1B34">
          <w:rPr>
            <w:rFonts w:ascii="Arial" w:hAnsi="Arial" w:cs="Arial"/>
            <w:b/>
            <w:bCs/>
            <w:color w:val="DC143C"/>
            <w:sz w:val="22"/>
            <w:szCs w:val="22"/>
            <w:u w:val="single"/>
            <w:lang w:val="es-ES_tradnl"/>
          </w:rPr>
          <w:t>BRIC</w:t>
        </w:r>
      </w:hyperlink>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(sus iniciales), luego que el Banco Goldman Sachs los llamara de esa manera.</w:t>
      </w:r>
    </w:p>
    <w:p w14:paraId="4AE757FD" w14:textId="2A0CF3A6" w:rsidR="00221087" w:rsidRPr="00CF1B34" w:rsidRDefault="00221087"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Si bien </w:t>
      </w:r>
      <w:hyperlink r:id="rId72" w:history="1">
        <w:r w:rsidRPr="00CF1B34">
          <w:rPr>
            <w:rStyle w:val="Hipervnculo"/>
            <w:rFonts w:ascii="Arial" w:hAnsi="Arial" w:cs="Arial"/>
            <w:b/>
            <w:bCs/>
            <w:color w:val="DC143C"/>
            <w:sz w:val="22"/>
            <w:szCs w:val="22"/>
            <w:u w:val="none"/>
            <w:lang w:val="es-ES_tradnl"/>
          </w:rPr>
          <w:t>China</w:t>
        </w:r>
      </w:hyperlink>
      <w:r w:rsidRPr="00CF1B34">
        <w:rPr>
          <w:rStyle w:val="Textoennegrita"/>
          <w:rFonts w:ascii="Arial" w:hAnsi="Arial" w:cs="Arial"/>
          <w:color w:val="333333"/>
          <w:sz w:val="22"/>
          <w:szCs w:val="22"/>
          <w:shd w:val="clear" w:color="auto" w:fill="FFFFFF"/>
          <w:lang w:val="es-ES_tradnl"/>
        </w:rPr>
        <w:t xml:space="preserve"> pasó a ser la tercer potencia mundial económica</w:t>
      </w:r>
      <w:r w:rsidRPr="00CF1B34">
        <w:rPr>
          <w:rFonts w:ascii="Arial" w:hAnsi="Arial" w:cs="Arial"/>
          <w:color w:val="333333"/>
          <w:sz w:val="22"/>
          <w:szCs w:val="22"/>
          <w:shd w:val="clear" w:color="auto" w:fill="FFFFFF"/>
          <w:lang w:val="es-ES_tradnl"/>
        </w:rPr>
        <w:t xml:space="preserve">, es considerada igualmente un país emergente para muchos. Aún puede crecer mucho más, su </w:t>
      </w:r>
      <w:r w:rsidRPr="00CF1B34">
        <w:rPr>
          <w:rStyle w:val="Textoennegrita"/>
          <w:rFonts w:ascii="Arial" w:hAnsi="Arial" w:cs="Arial"/>
          <w:color w:val="333333"/>
          <w:sz w:val="22"/>
          <w:szCs w:val="22"/>
          <w:shd w:val="clear" w:color="auto" w:fill="FFFFFF"/>
          <w:lang w:val="es-ES_tradnl"/>
        </w:rPr>
        <w:t xml:space="preserve">PBI está muy por debajo del de </w:t>
      </w:r>
      <w:hyperlink r:id="rId73" w:history="1">
        <w:r w:rsidRPr="00CF1B34">
          <w:rPr>
            <w:rStyle w:val="Hipervnculo"/>
            <w:rFonts w:ascii="Arial" w:hAnsi="Arial" w:cs="Arial"/>
            <w:b/>
            <w:bCs/>
            <w:color w:val="DC143C"/>
            <w:sz w:val="22"/>
            <w:szCs w:val="22"/>
            <w:u w:val="none"/>
            <w:lang w:val="es-ES_tradnl"/>
          </w:rPr>
          <w:t>EE.UU</w:t>
        </w:r>
      </w:hyperlink>
      <w:r w:rsidRPr="00CF1B34">
        <w:rPr>
          <w:rFonts w:ascii="Arial" w:hAnsi="Arial" w:cs="Arial"/>
          <w:color w:val="333333"/>
          <w:sz w:val="22"/>
          <w:szCs w:val="22"/>
          <w:shd w:val="clear" w:color="auto" w:fill="FFFFFF"/>
          <w:lang w:val="es-ES_tradnl"/>
        </w:rPr>
        <w:t xml:space="preserve">. Estos </w:t>
      </w:r>
      <w:r w:rsidRPr="00CF1B34">
        <w:rPr>
          <w:rStyle w:val="Textoennegrita"/>
          <w:rFonts w:ascii="Arial" w:hAnsi="Arial" w:cs="Arial"/>
          <w:color w:val="333333"/>
          <w:sz w:val="22"/>
          <w:szCs w:val="22"/>
          <w:shd w:val="clear" w:color="auto" w:fill="FFFFFF"/>
          <w:lang w:val="es-ES_tradnl"/>
        </w:rPr>
        <w:t xml:space="preserve">cuatro países suman la mitad de la población mundial, el 23% del </w:t>
      </w:r>
      <w:hyperlink r:id="rId74" w:history="1">
        <w:r w:rsidRPr="00CF1B34">
          <w:rPr>
            <w:rStyle w:val="Hipervnculo"/>
            <w:rFonts w:ascii="Arial" w:hAnsi="Arial" w:cs="Arial"/>
            <w:b/>
            <w:bCs/>
            <w:color w:val="DC143C"/>
            <w:sz w:val="22"/>
            <w:szCs w:val="22"/>
            <w:u w:val="none"/>
            <w:lang w:val="es-ES_tradnl"/>
          </w:rPr>
          <w:t>PIB del mundo</w:t>
        </w:r>
      </w:hyperlink>
      <w:r w:rsidRPr="00CF1B34">
        <w:rPr>
          <w:rStyle w:val="Textoennegrita"/>
          <w:rFonts w:ascii="Arial" w:hAnsi="Arial" w:cs="Arial"/>
          <w:color w:val="333333"/>
          <w:sz w:val="22"/>
          <w:szCs w:val="22"/>
          <w:shd w:val="clear" w:color="auto" w:fill="FFFFFF"/>
          <w:lang w:val="es-ES_tradnl"/>
        </w:rPr>
        <w:t xml:space="preserve"> y más del 40% de la superficie del planeta</w:t>
      </w:r>
      <w:r w:rsidRPr="00CF1B34">
        <w:rPr>
          <w:rFonts w:ascii="Arial" w:hAnsi="Arial" w:cs="Arial"/>
          <w:color w:val="333333"/>
          <w:sz w:val="22"/>
          <w:szCs w:val="22"/>
          <w:shd w:val="clear" w:color="auto" w:fill="FFFFFF"/>
          <w:lang w:val="es-ES_tradnl"/>
        </w:rPr>
        <w:t>.</w:t>
      </w:r>
    </w:p>
    <w:p w14:paraId="22F6661E" w14:textId="69D42E32" w:rsidR="00221087" w:rsidRPr="00CF1B34" w:rsidRDefault="00221087"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Los cuatro países del BRIC</w:t>
      </w:r>
      <w:r w:rsidR="00AD23E3"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reclaman un mayor protagonismo en las decisiones mundiales y coinciden en una agenda de cinco puntos</w:t>
      </w:r>
      <w:r w:rsidRPr="00CF1B34">
        <w:rPr>
          <w:rFonts w:ascii="Arial" w:hAnsi="Arial" w:cs="Arial"/>
          <w:color w:val="333333"/>
          <w:sz w:val="22"/>
          <w:szCs w:val="22"/>
          <w:lang w:val="es-ES_tradnl"/>
        </w:rPr>
        <w:t>:</w:t>
      </w:r>
    </w:p>
    <w:p w14:paraId="61B84D86" w14:textId="7682EDD9" w:rsidR="00221087" w:rsidRPr="00CF1B34" w:rsidRDefault="00221087" w:rsidP="004F7A62">
      <w:pPr>
        <w:numPr>
          <w:ilvl w:val="0"/>
          <w:numId w:val="10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Debate sobre el dólar como moneda de reserva</w:t>
      </w:r>
    </w:p>
    <w:p w14:paraId="59CBB653" w14:textId="660F3B5B" w:rsidR="00221087" w:rsidRPr="00CF1B34" w:rsidRDefault="00221087" w:rsidP="004F7A62">
      <w:pPr>
        <w:numPr>
          <w:ilvl w:val="0"/>
          <w:numId w:val="10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El papel de organismos como el G-20 y el propio BRIC</w:t>
      </w:r>
    </w:p>
    <w:p w14:paraId="5DFBBEB7" w14:textId="77777777" w:rsidR="00221087" w:rsidRPr="00CF1B34" w:rsidRDefault="00221087" w:rsidP="004F7A62">
      <w:pPr>
        <w:pStyle w:val="Prrafodelista"/>
        <w:numPr>
          <w:ilvl w:val="0"/>
          <w:numId w:val="103"/>
        </w:numPr>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Garantías para la seguridad, con una reconsideración del papel del Consejo de Seguridad de Naciones Unidas</w:t>
      </w:r>
    </w:p>
    <w:p w14:paraId="040C8012" w14:textId="77777777" w:rsidR="00221087" w:rsidRPr="00CF1B34" w:rsidRDefault="00221087" w:rsidP="004F7A62">
      <w:pPr>
        <w:pStyle w:val="Prrafodelista"/>
        <w:numPr>
          <w:ilvl w:val="0"/>
          <w:numId w:val="103"/>
        </w:numPr>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Que la agenda de no proliferación nuclear sea paralela a nuevas conversaciones sobre desarme</w:t>
      </w:r>
    </w:p>
    <w:p w14:paraId="17C50EC1" w14:textId="6941C0FB" w:rsidR="005C05E7" w:rsidRPr="00CF1B34" w:rsidRDefault="005C05E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A pesar de sus intereses comunes, y sobre todo, del protagonismo y relevancia que quieren tener sobre las grandes decisiones de Estados Unidos, Japón y Europa,</w:t>
      </w:r>
      <w:r w:rsidR="00AD23E3"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mantienen discrepancias en temas fundamentales, como la posición de la Organización Mundial del Comercio (OMC) respecto al proteccionismo agrícola, que India y China defienden a capa y espada para proteger su agricultura familiar, mientras que los intereses de Brasil, gran exportador de alimentos, por ejemplo, van claramente en la otra dirección</w:t>
      </w:r>
      <w:r w:rsidRPr="00CF1B34">
        <w:rPr>
          <w:rFonts w:ascii="Arial" w:hAnsi="Arial" w:cs="Arial"/>
          <w:color w:val="333333"/>
          <w:sz w:val="22"/>
          <w:szCs w:val="22"/>
          <w:lang w:val="es-ES_tradnl"/>
        </w:rPr>
        <w:t>.</w:t>
      </w:r>
    </w:p>
    <w:p w14:paraId="1E05F71C" w14:textId="091F89F9"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Broker</w:t>
      </w:r>
    </w:p>
    <w:p w14:paraId="65E5A7C4" w14:textId="49C20DA3"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Intermediario que sólo puede operar por cuenta de sus clientes; a diferencia del dealer, no puede tomar posiciones propias.</w:t>
      </w:r>
      <w:r w:rsidR="00221087" w:rsidRPr="00CF1B34">
        <w:rPr>
          <w:rFonts w:ascii="Arial" w:hAnsi="Arial" w:cs="Arial"/>
          <w:color w:val="212529"/>
          <w:sz w:val="22"/>
          <w:szCs w:val="22"/>
          <w:lang w:val="es-ES_tradnl"/>
        </w:rPr>
        <w:t xml:space="preserve"> </w:t>
      </w:r>
      <w:hyperlink r:id="rId75" w:tgtFrame="_self" w:history="1">
        <w:r w:rsidRPr="00CF1B34">
          <w:rPr>
            <w:rFonts w:ascii="Arial" w:hAnsi="Arial" w:cs="Arial"/>
            <w:b/>
            <w:bCs/>
            <w:color w:val="2F5496" w:themeColor="accent1" w:themeShade="BF"/>
            <w:sz w:val="22"/>
            <w:szCs w:val="22"/>
            <w:u w:val="single"/>
            <w:lang w:val="es-ES_tradnl"/>
          </w:rPr>
          <w:t>Ver Dealer</w:t>
        </w:r>
      </w:hyperlink>
      <w:r w:rsidRPr="00CF1B34">
        <w:rPr>
          <w:rFonts w:ascii="Arial" w:hAnsi="Arial" w:cs="Arial"/>
          <w:color w:val="2F5496" w:themeColor="accent1" w:themeShade="BF"/>
          <w:sz w:val="22"/>
          <w:szCs w:val="22"/>
          <w:lang w:val="es-ES_tradnl"/>
        </w:rPr>
        <w:t>.</w:t>
      </w:r>
      <w:r w:rsidR="00221087" w:rsidRPr="00CF1B34">
        <w:rPr>
          <w:rFonts w:ascii="Arial" w:hAnsi="Arial" w:cs="Arial"/>
          <w:color w:val="2F5496" w:themeColor="accent1" w:themeShade="BF"/>
          <w:sz w:val="22"/>
          <w:szCs w:val="22"/>
          <w:lang w:val="es-ES_tradnl"/>
        </w:rPr>
        <w:t xml:space="preserve"> </w:t>
      </w:r>
    </w:p>
    <w:p w14:paraId="3661E5B1" w14:textId="2F46B2EC"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Broker ciego</w:t>
      </w:r>
    </w:p>
    <w:p w14:paraId="64B588D2"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una figura característica del mercado de deuda anotada; son entidades que se interponen entre comprador y vendedor, manteniendo el anonimato de ambos. </w:t>
      </w:r>
    </w:p>
    <w:p w14:paraId="2D29749B" w14:textId="15039154" w:rsidR="000B24BA" w:rsidRPr="00CF1B34" w:rsidRDefault="000B24B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Bull (toro)</w:t>
      </w:r>
    </w:p>
    <w:p w14:paraId="5AE806F5" w14:textId="77777777" w:rsidR="00D32E1E" w:rsidRPr="00CF1B34" w:rsidRDefault="00D32E1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Símbolo anglosajón que expresa el alza de las cotizaciones.</w:t>
      </w:r>
    </w:p>
    <w:p w14:paraId="234ED21B" w14:textId="1263FA0A" w:rsidR="001E0728" w:rsidRPr="00CF1B34" w:rsidRDefault="001E07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Burbuja especulativa</w:t>
      </w:r>
    </w:p>
    <w:p w14:paraId="21DF2C47" w14:textId="77777777" w:rsidR="001E0728" w:rsidRPr="00CF1B34" w:rsidRDefault="001E07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Puede darse en cualquier mercado que funcione libremente según el principio de oferta y demanda. La burbuja se produce cuando los precios varían de manera acusada, sin que tales movimientos puedan asociarse a razones objetivas (resultados empresariales, acontecimientos políticos o económicos, etc). En general, se produce un fuerte aumento de la volatilidad.</w:t>
      </w:r>
    </w:p>
    <w:p w14:paraId="48AC59A2" w14:textId="16F765F5" w:rsidR="00B65466" w:rsidRPr="00CF1B34" w:rsidRDefault="00B65466" w:rsidP="0005621A">
      <w:pPr>
        <w:jc w:val="both"/>
        <w:rPr>
          <w:rFonts w:ascii="Arial" w:hAnsi="Arial" w:cs="Arial"/>
          <w:sz w:val="22"/>
          <w:szCs w:val="22"/>
          <w:lang w:val="es-ES_tradnl"/>
        </w:rPr>
      </w:pPr>
    </w:p>
    <w:p w14:paraId="2C0F3422" w14:textId="1359B8E2" w:rsidR="00B65466" w:rsidRPr="00CF1B34" w:rsidRDefault="00C7373E"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C</w:t>
      </w:r>
    </w:p>
    <w:p w14:paraId="353E057A" w14:textId="0A21F73D" w:rsidR="00B65466" w:rsidRPr="00CF1B34" w:rsidRDefault="00B65466" w:rsidP="0005621A">
      <w:pPr>
        <w:jc w:val="both"/>
        <w:rPr>
          <w:rFonts w:ascii="Arial" w:hAnsi="Arial" w:cs="Arial"/>
          <w:sz w:val="22"/>
          <w:szCs w:val="22"/>
          <w:lang w:val="es-ES_tradnl"/>
        </w:rPr>
      </w:pPr>
    </w:p>
    <w:p w14:paraId="5416848C" w14:textId="77777777" w:rsidR="00D32E1E" w:rsidRPr="00CF1B34" w:rsidRDefault="00D32E1E" w:rsidP="0005621A">
      <w:pPr>
        <w:jc w:val="both"/>
        <w:rPr>
          <w:rFonts w:ascii="Arial" w:hAnsi="Arial" w:cs="Arial"/>
          <w:sz w:val="22"/>
          <w:szCs w:val="22"/>
          <w:lang w:val="es-ES_tradnl"/>
        </w:rPr>
      </w:pPr>
    </w:p>
    <w:p w14:paraId="0131BC4E"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Caballero blanco</w:t>
      </w:r>
    </w:p>
    <w:p w14:paraId="6C119BE1"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Empresa a la que recurre una compañía que esté siendo objeto de una OPA hostil, para que la contrarreste presentando otra oferta de adquisición con mejoras sobre la primera (precio más elevado, dirigida a un mayor número de accionistas...). Es decir, la empresa que va a ser adquirida intenta elegir un comprador que por motivos estratégicos o económicos se considere preferible al que ha presentado la OPA hostil. </w:t>
      </w:r>
      <w:hyperlink r:id="rId76" w:tgtFrame="_self" w:history="1">
        <w:r w:rsidRPr="00CF1B34">
          <w:rPr>
            <w:rFonts w:ascii="Arial" w:hAnsi="Arial" w:cs="Arial"/>
            <w:b/>
            <w:bCs/>
            <w:color w:val="2F5496" w:themeColor="accent1" w:themeShade="BF"/>
            <w:sz w:val="22"/>
            <w:szCs w:val="22"/>
            <w:u w:val="single"/>
            <w:lang w:val="es-ES_tradnl"/>
          </w:rPr>
          <w:t>Ver OPA</w:t>
        </w:r>
        <w:r w:rsidRPr="00CF1B34">
          <w:rPr>
            <w:rFonts w:ascii="Arial" w:hAnsi="Arial" w:cs="Arial"/>
            <w:b/>
            <w:bCs/>
            <w:color w:val="2F5496" w:themeColor="accent1" w:themeShade="BF"/>
            <w:sz w:val="22"/>
            <w:szCs w:val="22"/>
            <w:lang w:val="es-ES_tradnl"/>
          </w:rPr>
          <w:t> </w:t>
        </w:r>
      </w:hyperlink>
      <w:r w:rsidRPr="00CF1B34">
        <w:rPr>
          <w:rFonts w:ascii="Arial" w:hAnsi="Arial" w:cs="Arial"/>
          <w:color w:val="2F5496" w:themeColor="accent1" w:themeShade="BF"/>
          <w:sz w:val="22"/>
          <w:szCs w:val="22"/>
          <w:lang w:val="es-ES_tradnl"/>
        </w:rPr>
        <w:t>y </w:t>
      </w:r>
      <w:hyperlink r:id="rId77" w:tgtFrame="_self" w:history="1">
        <w:r w:rsidRPr="00CF1B34">
          <w:rPr>
            <w:rFonts w:ascii="Arial" w:hAnsi="Arial" w:cs="Arial"/>
            <w:b/>
            <w:bCs/>
            <w:color w:val="2F5496" w:themeColor="accent1" w:themeShade="BF"/>
            <w:sz w:val="22"/>
            <w:szCs w:val="22"/>
            <w:u w:val="single"/>
            <w:lang w:val="es-ES_tradnl"/>
          </w:rPr>
          <w:t>OPA hostil</w:t>
        </w:r>
      </w:hyperlink>
      <w:r w:rsidRPr="00CF1B34">
        <w:rPr>
          <w:rFonts w:ascii="Arial" w:hAnsi="Arial" w:cs="Arial"/>
          <w:color w:val="2F5496" w:themeColor="accent1" w:themeShade="BF"/>
          <w:sz w:val="22"/>
          <w:szCs w:val="22"/>
          <w:lang w:val="es-ES_tradnl"/>
        </w:rPr>
        <w:t>.</w:t>
      </w:r>
    </w:p>
    <w:p w14:paraId="7A95F2A2"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Caballero negro</w:t>
      </w:r>
    </w:p>
    <w:p w14:paraId="2CE89175" w14:textId="71210DEB" w:rsidR="00D70EFC" w:rsidRPr="00CF1B34" w:rsidRDefault="00C7373E"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Persona o entidad que lanza una OPA hostil contra una empresa. </w:t>
      </w:r>
      <w:hyperlink r:id="rId78" w:tgtFrame="_self" w:history="1">
        <w:r w:rsidRPr="00CF1B34">
          <w:rPr>
            <w:rFonts w:ascii="Arial" w:hAnsi="Arial" w:cs="Arial"/>
            <w:b/>
            <w:bCs/>
            <w:color w:val="2F5496" w:themeColor="accent1" w:themeShade="BF"/>
            <w:sz w:val="22"/>
            <w:szCs w:val="22"/>
            <w:u w:val="single"/>
            <w:lang w:val="es-ES_tradnl"/>
          </w:rPr>
          <w:t>Ver OPA</w:t>
        </w:r>
        <w:r w:rsidRPr="00CF1B34">
          <w:rPr>
            <w:rFonts w:ascii="Arial" w:hAnsi="Arial" w:cs="Arial"/>
            <w:b/>
            <w:bCs/>
            <w:color w:val="2F5496" w:themeColor="accent1" w:themeShade="BF"/>
            <w:sz w:val="22"/>
            <w:szCs w:val="22"/>
            <w:lang w:val="es-ES_tradnl"/>
          </w:rPr>
          <w:t> </w:t>
        </w:r>
      </w:hyperlink>
      <w:r w:rsidRPr="00CF1B34">
        <w:rPr>
          <w:rFonts w:ascii="Arial" w:hAnsi="Arial" w:cs="Arial"/>
          <w:color w:val="2F5496" w:themeColor="accent1" w:themeShade="BF"/>
          <w:sz w:val="22"/>
          <w:szCs w:val="22"/>
          <w:lang w:val="es-ES_tradnl"/>
        </w:rPr>
        <w:t>y </w:t>
      </w:r>
      <w:hyperlink r:id="rId79" w:tgtFrame="_self" w:history="1">
        <w:r w:rsidRPr="00CF1B34">
          <w:rPr>
            <w:rFonts w:ascii="Arial" w:hAnsi="Arial" w:cs="Arial"/>
            <w:b/>
            <w:bCs/>
            <w:color w:val="2F5496" w:themeColor="accent1" w:themeShade="BF"/>
            <w:sz w:val="22"/>
            <w:szCs w:val="22"/>
            <w:u w:val="single"/>
            <w:lang w:val="es-ES_tradnl"/>
          </w:rPr>
          <w:t>OPA hostil</w:t>
        </w:r>
      </w:hyperlink>
    </w:p>
    <w:p w14:paraId="06C14605" w14:textId="3E85AB4A" w:rsidR="00AD23E3" w:rsidRPr="00CF1B34" w:rsidRDefault="00AD23E3"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Cacao</w:t>
      </w:r>
    </w:p>
    <w:p w14:paraId="5597D7F0" w14:textId="77777777" w:rsidR="00F3054D" w:rsidRPr="00CF1B34" w:rsidRDefault="00AD23E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000000" w:themeColor="text1"/>
          <w:sz w:val="22"/>
          <w:szCs w:val="22"/>
          <w:lang w:val="es-ES_tradnl"/>
        </w:rPr>
        <w:t>Materia prima que ha alcanzado un</w:t>
      </w:r>
      <w:r w:rsidR="00F3054D" w:rsidRPr="00CF1B34">
        <w:rPr>
          <w:rFonts w:ascii="Arial" w:hAnsi="Arial" w:cs="Arial"/>
          <w:b/>
          <w:bCs/>
          <w:color w:val="000000" w:themeColor="text1"/>
          <w:sz w:val="22"/>
          <w:szCs w:val="22"/>
          <w:lang w:val="es-ES_tradnl"/>
        </w:rPr>
        <w:t>a</w:t>
      </w:r>
      <w:r w:rsidRPr="00CF1B34">
        <w:rPr>
          <w:rFonts w:ascii="Arial" w:hAnsi="Arial" w:cs="Arial"/>
          <w:b/>
          <w:bCs/>
          <w:color w:val="000000" w:themeColor="text1"/>
          <w:sz w:val="22"/>
          <w:szCs w:val="22"/>
          <w:lang w:val="es-ES_tradnl"/>
        </w:rPr>
        <w:t xml:space="preserve"> </w:t>
      </w:r>
      <w:r w:rsidR="00F3054D" w:rsidRPr="00CF1B34">
        <w:rPr>
          <w:rFonts w:ascii="Arial" w:hAnsi="Arial" w:cs="Arial"/>
          <w:b/>
          <w:bCs/>
          <w:color w:val="000000" w:themeColor="text1"/>
          <w:sz w:val="22"/>
          <w:szCs w:val="22"/>
          <w:lang w:val="es-ES_tradnl"/>
        </w:rPr>
        <w:t>importante alza en su precio desde 2010.</w:t>
      </w:r>
    </w:p>
    <w:p w14:paraId="0464965C" w14:textId="2E234D65" w:rsidR="00DF08C1" w:rsidRPr="00CF1B34" w:rsidRDefault="00DF08C1"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Cadencia hipoteca</w:t>
      </w:r>
    </w:p>
    <w:p w14:paraId="10D4AB6D" w14:textId="20C0CFF2" w:rsidR="00D70EFC" w:rsidRPr="00CF1B34" w:rsidRDefault="00DF08C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La</w:t>
      </w:r>
      <w:r w:rsidRPr="00CF1B34">
        <w:rPr>
          <w:rStyle w:val="apple-converted-space"/>
          <w:rFonts w:ascii="Arial" w:hAnsi="Arial" w:cs="Arial"/>
          <w:color w:val="191B1C"/>
          <w:sz w:val="22"/>
          <w:szCs w:val="22"/>
          <w:lang w:val="es-ES_tradnl"/>
        </w:rPr>
        <w:t> </w:t>
      </w:r>
      <w:r w:rsidRPr="00CF1B34">
        <w:rPr>
          <w:rStyle w:val="Textoennegrita"/>
          <w:rFonts w:ascii="Arial" w:hAnsi="Arial" w:cs="Arial"/>
          <w:color w:val="191B1C"/>
          <w:sz w:val="22"/>
          <w:szCs w:val="22"/>
          <w:lang w:val="es-ES_tradnl"/>
        </w:rPr>
        <w:t>cadencia</w:t>
      </w:r>
      <w:r w:rsidRPr="00CF1B34">
        <w:rPr>
          <w:rStyle w:val="apple-converted-space"/>
          <w:rFonts w:ascii="Arial" w:hAnsi="Arial" w:cs="Arial"/>
          <w:color w:val="191B1C"/>
          <w:sz w:val="22"/>
          <w:szCs w:val="22"/>
          <w:lang w:val="es-ES_tradnl"/>
        </w:rPr>
        <w:t> </w:t>
      </w:r>
      <w:r w:rsidRPr="00CF1B34">
        <w:rPr>
          <w:rFonts w:ascii="Arial" w:hAnsi="Arial" w:cs="Arial"/>
          <w:color w:val="191B1C"/>
          <w:sz w:val="22"/>
          <w:szCs w:val="22"/>
          <w:lang w:val="es-ES_tradnl"/>
        </w:rPr>
        <w:t>es la periodicidad con la que se revisa el</w:t>
      </w:r>
      <w:r w:rsidRPr="00CF1B34">
        <w:rPr>
          <w:rStyle w:val="apple-converted-space"/>
          <w:rFonts w:ascii="Arial" w:hAnsi="Arial" w:cs="Arial"/>
          <w:color w:val="191B1C"/>
          <w:sz w:val="22"/>
          <w:szCs w:val="22"/>
          <w:lang w:val="es-ES_tradnl"/>
        </w:rPr>
        <w:t> </w:t>
      </w:r>
      <w:r w:rsidRPr="00CF1B34">
        <w:rPr>
          <w:rStyle w:val="Textoennegrita"/>
          <w:rFonts w:ascii="Arial" w:hAnsi="Arial" w:cs="Arial"/>
          <w:color w:val="191B1C"/>
          <w:sz w:val="22"/>
          <w:szCs w:val="22"/>
          <w:lang w:val="es-ES_tradnl"/>
        </w:rPr>
        <w:t>tipo de interés en las hipotecas</w:t>
      </w:r>
      <w:r w:rsidRPr="00CF1B34">
        <w:rPr>
          <w:rStyle w:val="apple-converted-space"/>
          <w:rFonts w:ascii="Arial" w:hAnsi="Arial" w:cs="Arial"/>
          <w:color w:val="191B1C"/>
          <w:sz w:val="22"/>
          <w:szCs w:val="22"/>
          <w:lang w:val="es-ES_tradnl"/>
        </w:rPr>
        <w:t> </w:t>
      </w:r>
      <w:r w:rsidRPr="00CF1B34">
        <w:rPr>
          <w:rFonts w:ascii="Arial" w:hAnsi="Arial" w:cs="Arial"/>
          <w:color w:val="191B1C"/>
          <w:sz w:val="22"/>
          <w:szCs w:val="22"/>
          <w:lang w:val="es-ES_tradnl"/>
        </w:rPr>
        <w:t>de tipo variable. Naturalmente, esto no ocurre si hemos contratado una hipoteca a tipo fijo, puesto que siempre pagaremos la misma cuota, independientemente de la marcha de los mercados.</w:t>
      </w:r>
    </w:p>
    <w:p w14:paraId="5CBE1197" w14:textId="223DEAB4" w:rsidR="00AD23E3" w:rsidRPr="00CF1B34" w:rsidRDefault="00AD23E3"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Café</w:t>
      </w:r>
    </w:p>
    <w:p w14:paraId="2BEBA1C5" w14:textId="77777777" w:rsidR="00F3054D" w:rsidRPr="00CF1B34" w:rsidRDefault="00F3054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000000" w:themeColor="text1"/>
          <w:sz w:val="22"/>
          <w:szCs w:val="22"/>
          <w:lang w:val="es-ES_tradnl"/>
        </w:rPr>
        <w:t xml:space="preserve">Los precios del café también habían subido aun cuando se estaban </w:t>
      </w:r>
      <w:proofErr w:type="gramStart"/>
      <w:r w:rsidRPr="00CF1B34">
        <w:rPr>
          <w:rFonts w:ascii="Arial" w:hAnsi="Arial" w:cs="Arial"/>
          <w:b/>
          <w:bCs/>
          <w:color w:val="000000" w:themeColor="text1"/>
          <w:sz w:val="22"/>
          <w:szCs w:val="22"/>
          <w:lang w:val="es-ES_tradnl"/>
        </w:rPr>
        <w:t>manteniendo</w:t>
      </w:r>
      <w:proofErr w:type="gramEnd"/>
      <w:r w:rsidRPr="00CF1B34">
        <w:rPr>
          <w:rFonts w:ascii="Arial" w:hAnsi="Arial" w:cs="Arial"/>
          <w:b/>
          <w:bCs/>
          <w:color w:val="000000" w:themeColor="text1"/>
          <w:sz w:val="22"/>
          <w:szCs w:val="22"/>
          <w:lang w:val="es-ES_tradnl"/>
        </w:rPr>
        <w:t xml:space="preserve"> pero el anuncio de una mala cosecha en los productores andinos (Colombia especialmente) puede influir en una nueva subida de su precio</w:t>
      </w:r>
      <w:r w:rsidRPr="00CF1B34">
        <w:rPr>
          <w:rFonts w:ascii="Arial" w:hAnsi="Arial" w:cs="Arial"/>
          <w:color w:val="2F5496" w:themeColor="accent1" w:themeShade="BF"/>
          <w:sz w:val="22"/>
          <w:szCs w:val="22"/>
          <w:lang w:val="es-ES_tradnl"/>
        </w:rPr>
        <w:t>.</w:t>
      </w:r>
    </w:p>
    <w:p w14:paraId="4571D69E" w14:textId="675D7FCA" w:rsidR="00D70EFC" w:rsidRPr="00CF1B34" w:rsidRDefault="00D70EFC"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Cajero automático</w:t>
      </w:r>
    </w:p>
    <w:p w14:paraId="72CED9CD" w14:textId="1AD5BEAF" w:rsidR="00DF08C1" w:rsidRPr="00CF1B34" w:rsidRDefault="00D70EF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Un cajero automático, también denominado ATM (Automated Teller Machine), es una máquina que permite realizar distintas operaciones bancarias, a cualquier hora del día y cualquier día de la semana, sin la presencia de ningún empleado del banco.</w:t>
      </w:r>
    </w:p>
    <w:p w14:paraId="352FA323" w14:textId="12959DC1" w:rsidR="00AD23E3" w:rsidRPr="00CF1B34" w:rsidRDefault="00AD23E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Calcular nominas</w:t>
      </w:r>
    </w:p>
    <w:p w14:paraId="0F2CAA8A" w14:textId="47E39F6A" w:rsidR="00F3054D" w:rsidRPr="00CF1B34" w:rsidRDefault="00F3054D" w:rsidP="0005621A">
      <w:pPr>
        <w:pStyle w:val="Sinespaciado"/>
        <w:ind w:left="708"/>
        <w:jc w:val="both"/>
        <w:rPr>
          <w:rFonts w:ascii="Arial" w:hAnsi="Arial" w:cs="Arial"/>
          <w:sz w:val="22"/>
          <w:szCs w:val="22"/>
          <w:lang w:val="es-ES_tradnl"/>
        </w:rPr>
      </w:pPr>
      <w:r w:rsidRPr="00CF1B34">
        <w:rPr>
          <w:rFonts w:ascii="Arial" w:hAnsi="Arial" w:cs="Arial"/>
          <w:sz w:val="22"/>
          <w:szCs w:val="22"/>
          <w:shd w:val="clear" w:color="auto" w:fill="FEF1E5"/>
          <w:lang w:val="es-ES_tradnl"/>
        </w:rPr>
        <w:t>El sueldo es una de las principales razones de cualquier trabajador para cambiar de trabajo o mantenerse en la empresa. Sin embargo, no todo el mundo tiene suficientemente claros los conceptos básicos del entramado salarial y esto supone una clara desventaja a la hora de negociar un contrato. Existen dos opciones, negociar el</w:t>
      </w:r>
      <w:r w:rsidR="00637B94" w:rsidRPr="00CF1B34">
        <w:rPr>
          <w:rFonts w:ascii="Arial" w:hAnsi="Arial" w:cs="Arial"/>
          <w:sz w:val="22"/>
          <w:szCs w:val="22"/>
          <w:shd w:val="clear" w:color="auto" w:fill="FEF1E5"/>
          <w:lang w:val="es-ES_tradnl"/>
        </w:rPr>
        <w:t xml:space="preserve"> </w:t>
      </w:r>
      <w:r w:rsidRPr="00CF1B34">
        <w:rPr>
          <w:rStyle w:val="Textoennegrita"/>
          <w:rFonts w:ascii="Arial" w:hAnsi="Arial" w:cs="Arial"/>
          <w:color w:val="4B4F58"/>
          <w:sz w:val="22"/>
          <w:szCs w:val="22"/>
          <w:shd w:val="clear" w:color="auto" w:fill="FEF1E5"/>
          <w:lang w:val="es-ES_tradnl"/>
        </w:rPr>
        <w:t>salario anual bruto</w:t>
      </w:r>
      <w:r w:rsidR="00637B94" w:rsidRPr="00CF1B34">
        <w:rPr>
          <w:rFonts w:ascii="Arial" w:hAnsi="Arial" w:cs="Arial"/>
          <w:sz w:val="22"/>
          <w:szCs w:val="22"/>
          <w:shd w:val="clear" w:color="auto" w:fill="FEF1E5"/>
          <w:lang w:val="es-ES_tradnl"/>
        </w:rPr>
        <w:t xml:space="preserve"> </w:t>
      </w:r>
      <w:r w:rsidRPr="00CF1B34">
        <w:rPr>
          <w:rFonts w:ascii="Arial" w:hAnsi="Arial" w:cs="Arial"/>
          <w:sz w:val="22"/>
          <w:szCs w:val="22"/>
          <w:shd w:val="clear" w:color="auto" w:fill="FEF1E5"/>
          <w:lang w:val="es-ES_tradnl"/>
        </w:rPr>
        <w:t>o el</w:t>
      </w:r>
      <w:r w:rsidR="00637B94" w:rsidRPr="00CF1B34">
        <w:rPr>
          <w:rFonts w:ascii="Arial" w:hAnsi="Arial" w:cs="Arial"/>
          <w:sz w:val="22"/>
          <w:szCs w:val="22"/>
          <w:shd w:val="clear" w:color="auto" w:fill="FEF1E5"/>
          <w:lang w:val="es-ES_tradnl"/>
        </w:rPr>
        <w:t xml:space="preserve"> </w:t>
      </w:r>
      <w:r w:rsidRPr="00CF1B34">
        <w:rPr>
          <w:rStyle w:val="Textoennegrita"/>
          <w:rFonts w:ascii="Arial" w:hAnsi="Arial" w:cs="Arial"/>
          <w:color w:val="4B4F58"/>
          <w:sz w:val="22"/>
          <w:szCs w:val="22"/>
          <w:shd w:val="clear" w:color="auto" w:fill="FEF1E5"/>
          <w:lang w:val="es-ES_tradnl"/>
        </w:rPr>
        <w:t>sueldo mensual neto</w:t>
      </w:r>
      <w:r w:rsidRPr="00CF1B34">
        <w:rPr>
          <w:rFonts w:ascii="Arial" w:hAnsi="Arial" w:cs="Arial"/>
          <w:sz w:val="22"/>
          <w:szCs w:val="22"/>
          <w:shd w:val="clear" w:color="auto" w:fill="FEF1E5"/>
          <w:lang w:val="es-ES_tradnl"/>
        </w:rPr>
        <w:t xml:space="preserve">. En el primero de los casos las dificultades </w:t>
      </w:r>
      <w:r w:rsidRPr="00CF1B34">
        <w:rPr>
          <w:rFonts w:ascii="Arial" w:hAnsi="Arial" w:cs="Arial"/>
          <w:sz w:val="22"/>
          <w:szCs w:val="22"/>
          <w:shd w:val="clear" w:color="auto" w:fill="FEF1E5"/>
          <w:lang w:val="es-ES_tradnl"/>
        </w:rPr>
        <w:lastRenderedPageBreak/>
        <w:t>llegan a la hora hacer el</w:t>
      </w:r>
      <w:r w:rsidR="00637B94" w:rsidRPr="00CF1B34">
        <w:rPr>
          <w:rFonts w:ascii="Arial" w:hAnsi="Arial" w:cs="Arial"/>
          <w:sz w:val="22"/>
          <w:szCs w:val="22"/>
          <w:shd w:val="clear" w:color="auto" w:fill="FEF1E5"/>
          <w:lang w:val="es-ES_tradnl"/>
        </w:rPr>
        <w:t xml:space="preserve"> </w:t>
      </w:r>
      <w:r w:rsidRPr="00CF1B34">
        <w:rPr>
          <w:rStyle w:val="Textoennegrita"/>
          <w:rFonts w:ascii="Arial" w:hAnsi="Arial" w:cs="Arial"/>
          <w:color w:val="4B4F58"/>
          <w:sz w:val="22"/>
          <w:szCs w:val="22"/>
          <w:shd w:val="clear" w:color="auto" w:fill="FEF1E5"/>
          <w:lang w:val="es-ES_tradnl"/>
        </w:rPr>
        <w:t xml:space="preserve">cálculo de la </w:t>
      </w:r>
      <w:proofErr w:type="gramStart"/>
      <w:r w:rsidRPr="00CF1B34">
        <w:rPr>
          <w:rStyle w:val="Textoennegrita"/>
          <w:rFonts w:ascii="Arial" w:hAnsi="Arial" w:cs="Arial"/>
          <w:color w:val="4B4F58"/>
          <w:sz w:val="22"/>
          <w:szCs w:val="22"/>
          <w:shd w:val="clear" w:color="auto" w:fill="FEF1E5"/>
          <w:lang w:val="es-ES_tradnl"/>
        </w:rPr>
        <w:t>nómina</w:t>
      </w:r>
      <w:r w:rsidR="00637B94" w:rsidRPr="00CF1B34">
        <w:rPr>
          <w:rStyle w:val="Textoennegrita"/>
          <w:rFonts w:ascii="Arial" w:hAnsi="Arial" w:cs="Arial"/>
          <w:color w:val="4B4F58"/>
          <w:sz w:val="22"/>
          <w:szCs w:val="22"/>
          <w:shd w:val="clear" w:color="auto" w:fill="FEF1E5"/>
          <w:lang w:val="es-ES_tradnl"/>
        </w:rPr>
        <w:t xml:space="preserve"> </w:t>
      </w:r>
      <w:r w:rsidRPr="00CF1B34">
        <w:rPr>
          <w:rFonts w:ascii="Arial" w:hAnsi="Arial" w:cs="Arial"/>
          <w:sz w:val="22"/>
          <w:szCs w:val="22"/>
          <w:shd w:val="clear" w:color="auto" w:fill="FEF1E5"/>
          <w:lang w:val="es-ES_tradnl"/>
        </w:rPr>
        <w:t>.</w:t>
      </w:r>
      <w:proofErr w:type="gramEnd"/>
      <w:r w:rsidRPr="00CF1B34">
        <w:rPr>
          <w:rFonts w:ascii="Arial" w:hAnsi="Arial" w:cs="Arial"/>
          <w:sz w:val="22"/>
          <w:szCs w:val="22"/>
          <w:shd w:val="clear" w:color="auto" w:fill="FEF1E5"/>
          <w:lang w:val="es-ES_tradnl"/>
        </w:rPr>
        <w:t xml:space="preserve"> Es decir, cuánto voy a cobrar al mes, que es lo que realmente interesa a la mayoría de personas</w:t>
      </w:r>
    </w:p>
    <w:p w14:paraId="576DA9D4" w14:textId="6D4B017F" w:rsidR="00637B94" w:rsidRPr="00CF1B34" w:rsidRDefault="00637B94"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 xml:space="preserve">El </w:t>
      </w:r>
      <w:r w:rsidRPr="00CF1B34">
        <w:rPr>
          <w:rFonts w:ascii="Arial" w:hAnsi="Arial" w:cs="Arial"/>
          <w:b/>
          <w:bCs/>
          <w:sz w:val="22"/>
          <w:szCs w:val="22"/>
          <w:lang w:val="es-ES_tradnl"/>
        </w:rPr>
        <w:t>salario neto</w:t>
      </w:r>
      <w:r w:rsidRPr="00CF1B34">
        <w:rPr>
          <w:rFonts w:ascii="Arial" w:hAnsi="Arial" w:cs="Arial"/>
          <w:sz w:val="22"/>
          <w:szCs w:val="22"/>
          <w:lang w:val="es-ES_tradnl"/>
        </w:rPr>
        <w:t xml:space="preserve"> se obtiene tras restar al bruto las </w:t>
      </w:r>
      <w:r w:rsidRPr="00CF1B34">
        <w:rPr>
          <w:rFonts w:ascii="Arial" w:hAnsi="Arial" w:cs="Arial"/>
          <w:b/>
          <w:bCs/>
          <w:sz w:val="22"/>
          <w:szCs w:val="22"/>
          <w:lang w:val="es-ES_tradnl"/>
        </w:rPr>
        <w:t>deducciones por el IRPF</w:t>
      </w:r>
      <w:r w:rsidRPr="00CF1B34">
        <w:rPr>
          <w:rFonts w:ascii="Arial" w:hAnsi="Arial" w:cs="Arial"/>
          <w:sz w:val="22"/>
          <w:szCs w:val="22"/>
          <w:lang w:val="es-ES_tradnl"/>
        </w:rPr>
        <w:t xml:space="preserve"> y las aportaciones a la </w:t>
      </w:r>
      <w:hyperlink r:id="rId80" w:history="1">
        <w:r w:rsidRPr="00CF1B34">
          <w:rPr>
            <w:rFonts w:ascii="Arial" w:hAnsi="Arial" w:cs="Arial"/>
            <w:color w:val="0000FF"/>
            <w:sz w:val="22"/>
            <w:szCs w:val="22"/>
            <w:u w:val="single"/>
            <w:lang w:val="es-ES_tradnl"/>
          </w:rPr>
          <w:t>Seguridad Social</w:t>
        </w:r>
      </w:hyperlink>
      <w:r w:rsidRPr="00CF1B34">
        <w:rPr>
          <w:rFonts w:ascii="Arial" w:hAnsi="Arial" w:cs="Arial"/>
          <w:sz w:val="22"/>
          <w:szCs w:val="22"/>
          <w:lang w:val="es-ES_tradnl"/>
        </w:rPr>
        <w:t xml:space="preserve">. Para calcular las </w:t>
      </w:r>
      <w:r w:rsidRPr="00CF1B34">
        <w:rPr>
          <w:rFonts w:ascii="Arial" w:hAnsi="Arial" w:cs="Arial"/>
          <w:b/>
          <w:bCs/>
          <w:sz w:val="22"/>
          <w:szCs w:val="22"/>
          <w:lang w:val="es-ES_tradnl"/>
        </w:rPr>
        <w:t>retenciones de Hacienda</w:t>
      </w:r>
      <w:r w:rsidRPr="00CF1B34">
        <w:rPr>
          <w:rFonts w:ascii="Arial" w:hAnsi="Arial" w:cs="Arial"/>
          <w:sz w:val="22"/>
          <w:szCs w:val="22"/>
          <w:lang w:val="es-ES_tradnl"/>
        </w:rPr>
        <w:t xml:space="preserve">, hay que tener en cuenta el rango salarial, la categoría profesional y las circunstancias personales del empleado (estado civil, número de hijos, minusvalías…). Los dos últimos se recogen el documento (modelo 145) que se suele firmar al entrar en una empresa o al principio de cada ejercicio fiscal. Por su parte la </w:t>
      </w:r>
      <w:r w:rsidRPr="00CF1B34">
        <w:rPr>
          <w:rFonts w:ascii="Arial" w:hAnsi="Arial" w:cs="Arial"/>
          <w:b/>
          <w:bCs/>
          <w:sz w:val="22"/>
          <w:szCs w:val="22"/>
          <w:lang w:val="es-ES_tradnl"/>
        </w:rPr>
        <w:t>Agencia Tributaria</w:t>
      </w:r>
      <w:r w:rsidRPr="00CF1B34">
        <w:rPr>
          <w:rFonts w:ascii="Arial" w:hAnsi="Arial" w:cs="Arial"/>
          <w:sz w:val="22"/>
          <w:szCs w:val="22"/>
          <w:lang w:val="es-ES_tradnl"/>
        </w:rPr>
        <w:t xml:space="preserve"> pone a disposición de los contribuyentes las </w:t>
      </w:r>
      <w:hyperlink r:id="rId81" w:history="1">
        <w:r w:rsidRPr="00CF1B34">
          <w:rPr>
            <w:rFonts w:ascii="Arial" w:hAnsi="Arial" w:cs="Arial"/>
            <w:color w:val="0000FF"/>
            <w:sz w:val="22"/>
            <w:szCs w:val="22"/>
            <w:u w:val="single"/>
            <w:lang w:val="es-ES_tradnl"/>
          </w:rPr>
          <w:t>tablas de retenciones de IRPF</w:t>
        </w:r>
      </w:hyperlink>
      <w:r w:rsidRPr="00CF1B34">
        <w:rPr>
          <w:rFonts w:ascii="Arial" w:hAnsi="Arial" w:cs="Arial"/>
          <w:sz w:val="22"/>
          <w:szCs w:val="22"/>
          <w:lang w:val="es-ES_tradnl"/>
        </w:rPr>
        <w:t xml:space="preserve"> a la que está sujeto cada rango salarial y para después hacer la </w:t>
      </w:r>
      <w:hyperlink r:id="rId82" w:history="1">
        <w:r w:rsidRPr="00CF1B34">
          <w:rPr>
            <w:rFonts w:ascii="Arial" w:hAnsi="Arial" w:cs="Arial"/>
            <w:color w:val="0000FF"/>
            <w:sz w:val="22"/>
            <w:szCs w:val="22"/>
            <w:u w:val="single"/>
            <w:lang w:val="es-ES_tradnl"/>
          </w:rPr>
          <w:t>declaración de la renta.</w:t>
        </w:r>
      </w:hyperlink>
    </w:p>
    <w:p w14:paraId="25190342" w14:textId="142C899A" w:rsidR="00637B94" w:rsidRPr="00CF1B34" w:rsidRDefault="00637B94"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 xml:space="preserve">Por su parte, las </w:t>
      </w:r>
      <w:r w:rsidRPr="00CF1B34">
        <w:rPr>
          <w:rFonts w:ascii="Arial" w:hAnsi="Arial" w:cs="Arial"/>
          <w:b/>
          <w:bCs/>
          <w:sz w:val="22"/>
          <w:szCs w:val="22"/>
          <w:lang w:val="es-ES_tradnl"/>
        </w:rPr>
        <w:t>aportaciones a la Seguridad Social</w:t>
      </w:r>
      <w:r w:rsidRPr="00CF1B34">
        <w:rPr>
          <w:rFonts w:ascii="Arial" w:hAnsi="Arial" w:cs="Arial"/>
          <w:sz w:val="22"/>
          <w:szCs w:val="22"/>
          <w:lang w:val="es-ES_tradnl"/>
        </w:rPr>
        <w:t xml:space="preserve"> también varían en función del sector y salario de cada empleado. Además, se trata de una carga que comparten empresario y trabajador. La página web de la Seguridad Social ofrece la </w:t>
      </w:r>
      <w:hyperlink r:id="rId83" w:history="1">
        <w:r w:rsidRPr="00CF1B34">
          <w:rPr>
            <w:rFonts w:ascii="Arial" w:hAnsi="Arial" w:cs="Arial"/>
            <w:color w:val="0000FF"/>
            <w:sz w:val="22"/>
            <w:szCs w:val="22"/>
            <w:u w:val="single"/>
            <w:lang w:val="es-ES_tradnl"/>
          </w:rPr>
          <w:t>normativa al respecto</w:t>
        </w:r>
      </w:hyperlink>
      <w:r w:rsidRPr="00CF1B34">
        <w:rPr>
          <w:rFonts w:ascii="Arial" w:hAnsi="Arial" w:cs="Arial"/>
          <w:sz w:val="22"/>
          <w:szCs w:val="22"/>
          <w:lang w:val="es-ES_tradnl"/>
        </w:rPr>
        <w:t xml:space="preserve"> y los convenios de cada sector para poder calcularlas, ya que pueden variar de un año a otro.</w:t>
      </w:r>
    </w:p>
    <w:p w14:paraId="4B9EBB44" w14:textId="646407D6" w:rsidR="00637B94" w:rsidRPr="00CF1B34" w:rsidRDefault="00637B94"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 xml:space="preserve">Existen otros elementos que también inciden directamente en el cálculo de </w:t>
      </w:r>
      <w:hyperlink r:id="rId84" w:history="1">
        <w:r w:rsidRPr="00CF1B34">
          <w:rPr>
            <w:rFonts w:ascii="Arial" w:hAnsi="Arial" w:cs="Arial"/>
            <w:b/>
            <w:bCs/>
            <w:sz w:val="22"/>
            <w:szCs w:val="22"/>
            <w:lang w:val="es-ES_tradnl"/>
          </w:rPr>
          <w:t>la nómina</w:t>
        </w:r>
      </w:hyperlink>
      <w:r w:rsidRPr="00CF1B34">
        <w:rPr>
          <w:rFonts w:ascii="Arial" w:hAnsi="Arial" w:cs="Arial"/>
          <w:sz w:val="22"/>
          <w:szCs w:val="22"/>
          <w:lang w:val="es-ES_tradnl"/>
        </w:rPr>
        <w:t xml:space="preserve"> mensual como son el </w:t>
      </w:r>
      <w:r w:rsidRPr="00CF1B34">
        <w:rPr>
          <w:rFonts w:ascii="Arial" w:hAnsi="Arial" w:cs="Arial"/>
          <w:b/>
          <w:bCs/>
          <w:sz w:val="22"/>
          <w:szCs w:val="22"/>
          <w:lang w:val="es-ES_tradnl"/>
        </w:rPr>
        <w:t>número de pagas</w:t>
      </w:r>
      <w:r w:rsidRPr="00CF1B34">
        <w:rPr>
          <w:rFonts w:ascii="Arial" w:hAnsi="Arial" w:cs="Arial"/>
          <w:sz w:val="22"/>
          <w:szCs w:val="22"/>
          <w:lang w:val="es-ES_tradnl"/>
        </w:rPr>
        <w:t xml:space="preserve"> que recibirá el trabajador o los complementos que no cotizan a la Seguridad Social y que por lo tanto incrementa mucho el salario final, aunque después perjudican, por ejemplo, a la hora de </w:t>
      </w:r>
      <w:hyperlink r:id="rId85" w:history="1">
        <w:r w:rsidRPr="00CF1B34">
          <w:rPr>
            <w:rFonts w:ascii="Arial" w:hAnsi="Arial" w:cs="Arial"/>
            <w:color w:val="0000FF"/>
            <w:sz w:val="22"/>
            <w:szCs w:val="22"/>
            <w:u w:val="single"/>
            <w:lang w:val="es-ES_tradnl"/>
          </w:rPr>
          <w:t>cobrar el paro</w:t>
        </w:r>
      </w:hyperlink>
      <w:r w:rsidRPr="00CF1B34">
        <w:rPr>
          <w:rFonts w:ascii="Arial" w:hAnsi="Arial" w:cs="Arial"/>
          <w:sz w:val="22"/>
          <w:szCs w:val="22"/>
          <w:lang w:val="es-ES_tradnl"/>
        </w:rPr>
        <w:t>. Por eso siempre conviene preguntar la disposición de la nómina antes de firmar un contrato.</w:t>
      </w:r>
    </w:p>
    <w:p w14:paraId="2382F3B3" w14:textId="377BD31B" w:rsidR="00637B94" w:rsidRPr="00CF1B34" w:rsidRDefault="00637B94"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 xml:space="preserve">Pero el </w:t>
      </w:r>
      <w:r w:rsidRPr="00CF1B34">
        <w:rPr>
          <w:rFonts w:ascii="Arial" w:hAnsi="Arial" w:cs="Arial"/>
          <w:b/>
          <w:bCs/>
          <w:sz w:val="22"/>
          <w:szCs w:val="22"/>
          <w:lang w:val="es-ES_tradnl"/>
        </w:rPr>
        <w:t>cálculo de nómina</w:t>
      </w:r>
      <w:r w:rsidRPr="00CF1B34">
        <w:rPr>
          <w:rFonts w:ascii="Arial" w:hAnsi="Arial" w:cs="Arial"/>
          <w:sz w:val="22"/>
          <w:szCs w:val="22"/>
          <w:lang w:val="es-ES_tradnl"/>
        </w:rPr>
        <w:t xml:space="preserve"> no termina con la firma del contrato laboral, sino que es un proceso constantemente sujeto a cambios. Al margen de los cambios legislativos en lo que a las retenciones de IRPF se refiere, hay otros aspectos que pueden modificar una nómina. Los más comunes son las </w:t>
      </w:r>
      <w:r w:rsidRPr="00CF1B34">
        <w:rPr>
          <w:rFonts w:ascii="Arial" w:hAnsi="Arial" w:cs="Arial"/>
          <w:b/>
          <w:bCs/>
          <w:sz w:val="22"/>
          <w:szCs w:val="22"/>
          <w:lang w:val="es-ES_tradnl"/>
        </w:rPr>
        <w:t>horas extraordinarias</w:t>
      </w:r>
      <w:r w:rsidRPr="00CF1B34">
        <w:rPr>
          <w:rFonts w:ascii="Arial" w:hAnsi="Arial" w:cs="Arial"/>
          <w:sz w:val="22"/>
          <w:szCs w:val="22"/>
          <w:lang w:val="es-ES_tradnl"/>
        </w:rPr>
        <w:t xml:space="preserve"> (que se computan dentro de los complementos salariales), </w:t>
      </w:r>
      <w:r w:rsidRPr="00CF1B34">
        <w:rPr>
          <w:rFonts w:ascii="Arial" w:hAnsi="Arial" w:cs="Arial"/>
          <w:b/>
          <w:bCs/>
          <w:sz w:val="22"/>
          <w:szCs w:val="22"/>
          <w:lang w:val="es-ES_tradnl"/>
        </w:rPr>
        <w:t>dietas</w:t>
      </w:r>
      <w:r w:rsidRPr="00CF1B34">
        <w:rPr>
          <w:rFonts w:ascii="Arial" w:hAnsi="Arial" w:cs="Arial"/>
          <w:sz w:val="22"/>
          <w:szCs w:val="22"/>
          <w:lang w:val="es-ES_tradnl"/>
        </w:rPr>
        <w:t xml:space="preserve"> (otro complemento salarial pero excluido de cotización) y las </w:t>
      </w:r>
      <w:r w:rsidRPr="00CF1B34">
        <w:rPr>
          <w:rFonts w:ascii="Arial" w:hAnsi="Arial" w:cs="Arial"/>
          <w:b/>
          <w:bCs/>
          <w:sz w:val="22"/>
          <w:szCs w:val="22"/>
          <w:lang w:val="es-ES_tradnl"/>
        </w:rPr>
        <w:t>bajas laborales</w:t>
      </w:r>
      <w:r w:rsidRPr="00CF1B34">
        <w:rPr>
          <w:rFonts w:ascii="Arial" w:hAnsi="Arial" w:cs="Arial"/>
          <w:sz w:val="22"/>
          <w:szCs w:val="22"/>
          <w:lang w:val="es-ES_tradnl"/>
        </w:rPr>
        <w:t xml:space="preserve">. Y es que para </w:t>
      </w:r>
      <w:r w:rsidRPr="00CF1B34">
        <w:rPr>
          <w:rFonts w:ascii="Arial" w:hAnsi="Arial" w:cs="Arial"/>
          <w:b/>
          <w:bCs/>
          <w:sz w:val="22"/>
          <w:szCs w:val="22"/>
          <w:lang w:val="es-ES_tradnl"/>
        </w:rPr>
        <w:t>calcular la nómina tras una baja</w:t>
      </w:r>
      <w:r w:rsidRPr="00CF1B34">
        <w:rPr>
          <w:rFonts w:ascii="Arial" w:hAnsi="Arial" w:cs="Arial"/>
          <w:sz w:val="22"/>
          <w:szCs w:val="22"/>
          <w:lang w:val="es-ES_tradnl"/>
        </w:rPr>
        <w:t xml:space="preserve"> hay que saber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como norma, los tres primeros días de baja no tiene retribución, del cuarto al vigésimo se paga el 60% y a partir de ese momento el 75%, siempre que no haya un convenio específico que mejore estas condiciones.</w:t>
      </w:r>
    </w:p>
    <w:p w14:paraId="59EA7161" w14:textId="77777777" w:rsidR="007842A4" w:rsidRPr="00CF1B34" w:rsidRDefault="00637B9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Por último, el </w:t>
      </w:r>
      <w:r w:rsidRPr="00CF1B34">
        <w:rPr>
          <w:rFonts w:ascii="Arial" w:hAnsi="Arial" w:cs="Arial"/>
          <w:b/>
          <w:bCs/>
          <w:sz w:val="22"/>
          <w:szCs w:val="22"/>
          <w:lang w:val="es-ES_tradnl"/>
        </w:rPr>
        <w:t>cálculo de la nómina</w:t>
      </w:r>
      <w:r w:rsidRPr="00CF1B34">
        <w:rPr>
          <w:rFonts w:ascii="Arial" w:hAnsi="Arial" w:cs="Arial"/>
          <w:sz w:val="22"/>
          <w:szCs w:val="22"/>
          <w:lang w:val="es-ES_tradnl"/>
        </w:rPr>
        <w:t xml:space="preserve"> es también muy útil para el posterior </w:t>
      </w:r>
      <w:r w:rsidRPr="00CF1B34">
        <w:rPr>
          <w:rFonts w:ascii="Arial" w:hAnsi="Arial" w:cs="Arial"/>
          <w:b/>
          <w:bCs/>
          <w:sz w:val="22"/>
          <w:szCs w:val="22"/>
          <w:lang w:val="es-ES_tradnl"/>
        </w:rPr>
        <w:t>cálculo de la prestación por desempleo</w:t>
      </w:r>
      <w:r w:rsidRPr="00CF1B34">
        <w:rPr>
          <w:rFonts w:ascii="Arial" w:hAnsi="Arial" w:cs="Arial"/>
          <w:sz w:val="22"/>
          <w:szCs w:val="22"/>
          <w:lang w:val="es-ES_tradnl"/>
        </w:rPr>
        <w:t xml:space="preserve">. De todas formas, este último se puede conocer simplemente a través del actual </w:t>
      </w:r>
      <w:r w:rsidRPr="00CF1B34">
        <w:rPr>
          <w:rFonts w:ascii="Arial" w:hAnsi="Arial" w:cs="Arial"/>
          <w:b/>
          <w:bCs/>
          <w:sz w:val="22"/>
          <w:szCs w:val="22"/>
          <w:lang w:val="es-ES_tradnl"/>
        </w:rPr>
        <w:t>Servicio Público de Empleo Estatal</w:t>
      </w:r>
      <w:r w:rsidRPr="00CF1B34">
        <w:rPr>
          <w:rFonts w:ascii="Arial" w:hAnsi="Arial" w:cs="Arial"/>
          <w:sz w:val="22"/>
          <w:szCs w:val="22"/>
          <w:lang w:val="es-ES_tradnl"/>
        </w:rPr>
        <w:t xml:space="preserve"> (SEPE), el </w:t>
      </w:r>
      <w:r w:rsidRPr="00CF1B34">
        <w:rPr>
          <w:rFonts w:ascii="Arial" w:hAnsi="Arial" w:cs="Arial"/>
          <w:b/>
          <w:bCs/>
          <w:sz w:val="22"/>
          <w:szCs w:val="22"/>
          <w:lang w:val="es-ES_tradnl"/>
        </w:rPr>
        <w:t xml:space="preserve">antiguo </w:t>
      </w:r>
      <w:hyperlink r:id="rId86" w:history="1">
        <w:r w:rsidRPr="00CF1B34">
          <w:rPr>
            <w:rFonts w:ascii="Arial" w:hAnsi="Arial" w:cs="Arial"/>
            <w:b/>
            <w:bCs/>
            <w:color w:val="0000FF"/>
            <w:sz w:val="22"/>
            <w:szCs w:val="22"/>
            <w:u w:val="single"/>
            <w:lang w:val="es-ES_tradnl"/>
          </w:rPr>
          <w:t>INEM</w:t>
        </w:r>
      </w:hyperlink>
      <w:r w:rsidRPr="00CF1B34">
        <w:rPr>
          <w:rFonts w:ascii="Arial" w:hAnsi="Arial" w:cs="Arial"/>
          <w:sz w:val="22"/>
          <w:szCs w:val="22"/>
          <w:lang w:val="es-ES_tradnl"/>
        </w:rPr>
        <w:t xml:space="preserve">, que ofrece una </w:t>
      </w:r>
      <w:hyperlink r:id="rId87" w:history="1">
        <w:r w:rsidRPr="00CF1B34">
          <w:rPr>
            <w:rFonts w:ascii="Arial" w:hAnsi="Arial" w:cs="Arial"/>
            <w:color w:val="0000FF"/>
            <w:sz w:val="22"/>
            <w:szCs w:val="22"/>
            <w:u w:val="single"/>
            <w:lang w:val="es-ES_tradnl"/>
          </w:rPr>
          <w:t>herramienta para el autocálculo del paro</w:t>
        </w:r>
      </w:hyperlink>
      <w:r w:rsidRPr="00CF1B34">
        <w:rPr>
          <w:rFonts w:ascii="Arial" w:hAnsi="Arial" w:cs="Arial"/>
          <w:sz w:val="22"/>
          <w:szCs w:val="22"/>
          <w:lang w:val="es-ES_tradnl"/>
        </w:rPr>
        <w:t>.</w:t>
      </w:r>
    </w:p>
    <w:p w14:paraId="00BF80E4" w14:textId="573E4811"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Cálculo de días</w:t>
      </w:r>
    </w:p>
    <w:p w14:paraId="21936825" w14:textId="695FC05F" w:rsidR="005A081F"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Convenciones establecidas y aceptadas por los mercados para el cálculo de intereses y rentabilidades en valores de renta fija.</w:t>
      </w:r>
      <w:r w:rsidR="007842A4" w:rsidRPr="00CF1B34">
        <w:rPr>
          <w:rFonts w:ascii="Arial" w:hAnsi="Arial" w:cs="Arial"/>
          <w:color w:val="212529"/>
          <w:sz w:val="22"/>
          <w:szCs w:val="22"/>
          <w:lang w:val="es-ES_tradnl"/>
        </w:rPr>
        <w:t xml:space="preserve"> </w:t>
      </w:r>
      <w:hyperlink r:id="rId88" w:tgtFrame="_self" w:history="1">
        <w:r w:rsidRPr="00CF1B34">
          <w:rPr>
            <w:rFonts w:ascii="Arial" w:hAnsi="Arial" w:cs="Arial"/>
            <w:b/>
            <w:bCs/>
            <w:color w:val="2F5496" w:themeColor="accent1" w:themeShade="BF"/>
            <w:sz w:val="22"/>
            <w:szCs w:val="22"/>
            <w:u w:val="single"/>
            <w:lang w:val="es-ES_tradnl"/>
          </w:rPr>
          <w:t>Ver base del bono</w:t>
        </w:r>
      </w:hyperlink>
      <w:r w:rsidRPr="00CF1B34">
        <w:rPr>
          <w:rFonts w:ascii="Arial" w:hAnsi="Arial" w:cs="Arial"/>
          <w:color w:val="2F5496" w:themeColor="accent1" w:themeShade="BF"/>
          <w:sz w:val="22"/>
          <w:szCs w:val="22"/>
          <w:lang w:val="es-ES_tradnl"/>
        </w:rPr>
        <w:t>.</w:t>
      </w:r>
    </w:p>
    <w:p w14:paraId="66259C92" w14:textId="0880A8CC"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Calentamiento del mercado</w:t>
      </w:r>
    </w:p>
    <w:p w14:paraId="4BF474F7"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Incremento del precio de un valor, inducido de forma artificial por alguien que tiene interés en una revalorización rápida. El calentamiento puede realizarse por medio de compras selectivas, o difundiendo falsos rumores.</w:t>
      </w:r>
    </w:p>
    <w:p w14:paraId="7C37FF18"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Calificación de solvencia</w:t>
      </w:r>
    </w:p>
    <w:p w14:paraId="0B4233FB" w14:textId="382E9732"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Estimación de la solvencia de una compañía, realizada por entidades especializadas. Tal valoración se plasma en el rating, que permite a los inversores evaluar el riesgo de las emisiones y de la propia empresa, generalmente distinguiendo entre las emisiones a corto y a largo plazo. Ver</w:t>
      </w:r>
      <w:r w:rsidR="00F714EC" w:rsidRPr="00CF1B34">
        <w:rPr>
          <w:rFonts w:ascii="Arial" w:hAnsi="Arial" w:cs="Arial"/>
          <w:color w:val="212529"/>
          <w:sz w:val="22"/>
          <w:szCs w:val="22"/>
          <w:lang w:val="es-ES_tradnl"/>
        </w:rPr>
        <w:t xml:space="preserve"> </w:t>
      </w:r>
      <w:hyperlink r:id="rId89" w:tgtFrame="_self" w:history="1">
        <w:r w:rsidRPr="00CF1B34">
          <w:rPr>
            <w:rFonts w:ascii="Arial" w:hAnsi="Arial" w:cs="Arial"/>
            <w:b/>
            <w:bCs/>
            <w:color w:val="2F5496" w:themeColor="accent1" w:themeShade="BF"/>
            <w:sz w:val="22"/>
            <w:szCs w:val="22"/>
            <w:u w:val="single"/>
            <w:lang w:val="es-ES_tradnl"/>
          </w:rPr>
          <w:t>agencia de calificación creditic</w:t>
        </w:r>
        <w:r w:rsidR="00F714EC" w:rsidRPr="00CF1B34">
          <w:rPr>
            <w:rFonts w:ascii="Arial" w:hAnsi="Arial" w:cs="Arial"/>
            <w:b/>
            <w:bCs/>
            <w:color w:val="2F5496" w:themeColor="accent1" w:themeShade="BF"/>
            <w:sz w:val="22"/>
            <w:szCs w:val="22"/>
            <w:u w:val="single"/>
            <w:lang w:val="es-ES_tradnl"/>
          </w:rPr>
          <w:t>i</w:t>
        </w:r>
        <w:r w:rsidRPr="00CF1B34">
          <w:rPr>
            <w:rFonts w:ascii="Arial" w:hAnsi="Arial" w:cs="Arial"/>
            <w:b/>
            <w:bCs/>
            <w:color w:val="2F5496" w:themeColor="accent1" w:themeShade="BF"/>
            <w:sz w:val="22"/>
            <w:szCs w:val="22"/>
            <w:u w:val="single"/>
            <w:lang w:val="es-ES_tradnl"/>
          </w:rPr>
          <w:t>a</w:t>
        </w:r>
      </w:hyperlink>
      <w:r w:rsidR="00F714EC" w:rsidRPr="00CF1B34">
        <w:rPr>
          <w:rFonts w:ascii="Arial" w:hAnsi="Arial" w:cs="Arial"/>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w:t>
      </w:r>
      <w:r w:rsidR="00F714EC" w:rsidRPr="00CF1B34">
        <w:rPr>
          <w:rFonts w:ascii="Arial" w:hAnsi="Arial" w:cs="Arial"/>
          <w:color w:val="2F5496" w:themeColor="accent1" w:themeShade="BF"/>
          <w:sz w:val="22"/>
          <w:szCs w:val="22"/>
          <w:lang w:val="es-ES_tradnl"/>
        </w:rPr>
        <w:t xml:space="preserve"> </w:t>
      </w:r>
      <w:hyperlink r:id="rId90" w:tgtFrame="_self" w:history="1">
        <w:r w:rsidRPr="00CF1B34">
          <w:rPr>
            <w:rFonts w:ascii="Arial" w:hAnsi="Arial" w:cs="Arial"/>
            <w:b/>
            <w:bCs/>
            <w:color w:val="2F5496" w:themeColor="accent1" w:themeShade="BF"/>
            <w:sz w:val="22"/>
            <w:szCs w:val="22"/>
            <w:u w:val="single"/>
            <w:lang w:val="es-ES_tradnl"/>
          </w:rPr>
          <w:t>Rating</w:t>
        </w:r>
      </w:hyperlink>
      <w:r w:rsidRPr="00CF1B34">
        <w:rPr>
          <w:rFonts w:ascii="Arial" w:hAnsi="Arial" w:cs="Arial"/>
          <w:color w:val="2F5496" w:themeColor="accent1" w:themeShade="BF"/>
          <w:sz w:val="22"/>
          <w:szCs w:val="22"/>
          <w:lang w:val="es-ES_tradnl"/>
        </w:rPr>
        <w:t>.</w:t>
      </w:r>
    </w:p>
    <w:p w14:paraId="6B51FFB5" w14:textId="5CB7CA36" w:rsidR="00AF4228" w:rsidRPr="00CF1B34" w:rsidRDefault="00D32E1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Call </w:t>
      </w:r>
    </w:p>
    <w:p w14:paraId="051CAC4F" w14:textId="77777777" w:rsidR="00C274B0" w:rsidRPr="00CF1B34" w:rsidRDefault="00BA66B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Es una opción de compra. Proporciona a su poseedor el derecho, no la obligación, de comprar un activo a un precio establecido y en una fecha determinada. Es decir, el comprador de opciones call asume una posición de compra futura, pero durante la vida del contrato puede elegir si compra o no el activo</w:t>
      </w:r>
      <w:r w:rsidR="00C274B0" w:rsidRPr="00CF1B34">
        <w:rPr>
          <w:rFonts w:ascii="Arial" w:hAnsi="Arial" w:cs="Arial"/>
          <w:color w:val="000000" w:themeColor="text1"/>
          <w:sz w:val="22"/>
          <w:szCs w:val="22"/>
          <w:lang w:val="es-ES_tradnl"/>
        </w:rPr>
        <w:t xml:space="preserve"> subyacente. Por ese derecho a elegir paga una prima. Si finalmente decide no ejercitar la opción, el vendedor se queda con el importe de la prima.</w:t>
      </w:r>
    </w:p>
    <w:p w14:paraId="6BE9FD67" w14:textId="62CFC676" w:rsidR="00D32E1E" w:rsidRPr="00CF1B34" w:rsidRDefault="00D32E1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Cámara de compensación.</w:t>
      </w:r>
    </w:p>
    <w:p w14:paraId="3DE8E940" w14:textId="77777777" w:rsidR="00C274B0" w:rsidRPr="00CF1B34" w:rsidRDefault="00C274B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Organismo que se encarga de compensar los cheques, talones y otros medios de pago que un banco tiene contra otros como resultado de operaciones que en el realizan sus clientes. En la cámara de compensación cada banco salda con los otros títulos u operaciones a su favor y en su contra.</w:t>
      </w:r>
    </w:p>
    <w:p w14:paraId="12C69251" w14:textId="2A85071B" w:rsidR="00D32E1E" w:rsidRPr="00CF1B34" w:rsidRDefault="00BC504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Cámara de compensación MEFF renta variable</w:t>
      </w:r>
    </w:p>
    <w:p w14:paraId="338874C9" w14:textId="6549B2AA" w:rsidR="00BC5043" w:rsidRPr="00CF1B34" w:rsidRDefault="00C274B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órgano de WEFF encargado de garantizar el cump</w:t>
      </w:r>
      <w:r w:rsidR="002C285E" w:rsidRPr="00CF1B34">
        <w:rPr>
          <w:rFonts w:ascii="Arial" w:hAnsi="Arial" w:cs="Arial"/>
          <w:color w:val="000000" w:themeColor="text1"/>
          <w:sz w:val="22"/>
          <w:szCs w:val="22"/>
          <w:lang w:val="es-ES_tradnl"/>
        </w:rPr>
        <w:t>l</w:t>
      </w:r>
      <w:r w:rsidRPr="00CF1B34">
        <w:rPr>
          <w:rFonts w:ascii="Arial" w:hAnsi="Arial" w:cs="Arial"/>
          <w:color w:val="000000" w:themeColor="text1"/>
          <w:sz w:val="22"/>
          <w:szCs w:val="22"/>
          <w:lang w:val="es-ES_tradnl"/>
        </w:rPr>
        <w:t>imiento</w:t>
      </w:r>
      <w:r w:rsidR="002C285E" w:rsidRPr="00CF1B34">
        <w:rPr>
          <w:rFonts w:ascii="Arial" w:hAnsi="Arial" w:cs="Arial"/>
          <w:color w:val="000000" w:themeColor="text1"/>
          <w:sz w:val="22"/>
          <w:szCs w:val="22"/>
          <w:lang w:val="es-ES_tradnl"/>
        </w:rPr>
        <w:t xml:space="preserve"> de lo pactado por cada una de las partes en la transacción. MEFF actua como comprador ante el vendedor y como vendedor ante el comprador. El riesgo de no cumplimiento lo asume la cámara de compensación, al actuar como contrapartida en todas las operaciones.</w:t>
      </w:r>
    </w:p>
    <w:p w14:paraId="1B862868" w14:textId="37A3BF99" w:rsidR="00BC5043" w:rsidRPr="00CF1B34" w:rsidRDefault="00BC504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Cambio comprador</w:t>
      </w:r>
    </w:p>
    <w:p w14:paraId="12D3D902" w14:textId="77777777" w:rsidR="002C285E" w:rsidRPr="00CF1B34" w:rsidRDefault="002C285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Precio de demanda, precio al cual la entidad que cotiza el cambio esta dispuesta a pagar por la moneda de referencia.</w:t>
      </w:r>
    </w:p>
    <w:p w14:paraId="77B248F1" w14:textId="119EECE6" w:rsidR="00BC5043" w:rsidRPr="00CF1B34" w:rsidRDefault="00BC504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Cambio directo</w:t>
      </w:r>
    </w:p>
    <w:p w14:paraId="4A8D3F1A" w14:textId="77777777" w:rsidR="0057235D" w:rsidRPr="00CF1B34" w:rsidRDefault="0057235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que esta referenciado el valor de una unidad monetaria extranjera en términos de moneda nacional.</w:t>
      </w:r>
    </w:p>
    <w:p w14:paraId="6D07403A" w14:textId="6637AE22" w:rsidR="00BC5043" w:rsidRPr="00CF1B34" w:rsidRDefault="00BC504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Cambio vendedor</w:t>
      </w:r>
    </w:p>
    <w:p w14:paraId="43775A7F" w14:textId="77777777" w:rsidR="0057235D" w:rsidRPr="00CF1B34" w:rsidRDefault="0057235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Precio de oferta, precia al cual la entidad que cotiza el cambio esta dispuesta a vender la moneda de referencia.</w:t>
      </w:r>
    </w:p>
    <w:p w14:paraId="452D8240" w14:textId="062C4FFE" w:rsidR="00BC5043" w:rsidRPr="00CF1B34" w:rsidRDefault="00BC504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Canal de tendencia</w:t>
      </w:r>
    </w:p>
    <w:p w14:paraId="24C92E96" w14:textId="77777777" w:rsidR="0057235D" w:rsidRPr="00CF1B34" w:rsidRDefault="0057235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Línea paralela o ligeramente convergente a la línea de tendencia que se construye a partir de los picos que sigue a una corrección secundaria. En caso de una línea de tendencia alcista, a línea paralela que delimita el canal quedara por encima de la línea de tendencia, y en caso bajista quedara por debajo de dicha línea.</w:t>
      </w:r>
    </w:p>
    <w:p w14:paraId="70D92E83" w14:textId="77777777" w:rsidR="00AF4228" w:rsidRPr="00CF1B34" w:rsidRDefault="00AF4228"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Cancelación anticipada</w:t>
      </w:r>
    </w:p>
    <w:p w14:paraId="1D306A9F" w14:textId="557782A4" w:rsidR="00AF4228" w:rsidRPr="00CF1B34" w:rsidRDefault="00AF42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La</w:t>
      </w:r>
      <w:r w:rsidRPr="00CF1B34">
        <w:rPr>
          <w:rStyle w:val="apple-converted-space"/>
          <w:rFonts w:ascii="Arial" w:hAnsi="Arial" w:cs="Arial"/>
          <w:color w:val="191B1C"/>
          <w:sz w:val="22"/>
          <w:szCs w:val="22"/>
          <w:lang w:val="es-ES_tradnl"/>
        </w:rPr>
        <w:t> </w:t>
      </w:r>
      <w:r w:rsidRPr="00CF1B34">
        <w:rPr>
          <w:rStyle w:val="Textoennegrita"/>
          <w:rFonts w:ascii="Arial" w:hAnsi="Arial" w:cs="Arial"/>
          <w:color w:val="191B1C"/>
          <w:sz w:val="22"/>
          <w:szCs w:val="22"/>
          <w:lang w:val="es-ES_tradnl"/>
        </w:rPr>
        <w:t>cancelación anticipada de la hipoteca</w:t>
      </w:r>
      <w:r w:rsidRPr="00CF1B34">
        <w:rPr>
          <w:rFonts w:ascii="Arial" w:hAnsi="Arial" w:cs="Arial"/>
          <w:color w:val="191B1C"/>
          <w:sz w:val="22"/>
          <w:szCs w:val="22"/>
          <w:lang w:val="es-ES_tradnl"/>
        </w:rPr>
        <w:t>, también conocida como amortización total de la hipoteca, es el proceso que consiste en adelantar nuestra deuda pendiente con el banco antes de que finalice el plazo contemplado en las escrituras. Por el contrario, si vamos cancelando este préstamo adelantando solo una parte del dinero, será una cancelación parcial</w:t>
      </w:r>
      <w:r w:rsidRPr="00CF1B34">
        <w:rPr>
          <w:rFonts w:ascii="Arial" w:hAnsi="Arial" w:cs="Arial"/>
          <w:color w:val="191B1C"/>
          <w:lang w:val="es-ES_tradnl"/>
        </w:rPr>
        <w:t>.</w:t>
      </w:r>
    </w:p>
    <w:p w14:paraId="2B64D26A" w14:textId="77777777" w:rsidR="002017AB" w:rsidRPr="00CF1B34" w:rsidRDefault="002017AB" w:rsidP="0005621A">
      <w:pPr>
        <w:pStyle w:val="Sinespaciado"/>
        <w:jc w:val="both"/>
        <w:rPr>
          <w:rFonts w:ascii="Arial" w:hAnsi="Arial" w:cs="Arial"/>
          <w:b/>
          <w:bCs/>
          <w:color w:val="2F5496" w:themeColor="accent1" w:themeShade="BF"/>
          <w:lang w:val="es-ES_tradnl"/>
        </w:rPr>
      </w:pPr>
      <w:r w:rsidRPr="00CF1B34">
        <w:rPr>
          <w:rFonts w:ascii="Arial" w:hAnsi="Arial" w:cs="Arial"/>
          <w:b/>
          <w:bCs/>
          <w:color w:val="2F5496" w:themeColor="accent1" w:themeShade="BF"/>
          <w:lang w:val="es-ES_tradnl"/>
        </w:rPr>
        <w:t>Cancelación parcial </w:t>
      </w:r>
    </w:p>
    <w:p w14:paraId="55E8F0FE" w14:textId="6062C48E" w:rsidR="002017AB" w:rsidRPr="00CF1B34" w:rsidRDefault="002017AB" w:rsidP="0005621A">
      <w:pPr>
        <w:pStyle w:val="Sinespaciado"/>
        <w:ind w:left="708"/>
        <w:jc w:val="both"/>
        <w:rPr>
          <w:rFonts w:ascii="Arial" w:hAnsi="Arial" w:cs="Arial"/>
          <w:lang w:val="es-ES_tradnl"/>
        </w:rPr>
      </w:pPr>
      <w:r w:rsidRPr="00CF1B34">
        <w:rPr>
          <w:rFonts w:ascii="Arial" w:hAnsi="Arial" w:cs="Arial"/>
          <w:lang w:val="es-ES_tradnl"/>
        </w:rPr>
        <w:lastRenderedPageBreak/>
        <w:t>La</w:t>
      </w:r>
      <w:r w:rsidR="00A537F8" w:rsidRPr="00CF1B34">
        <w:rPr>
          <w:rFonts w:ascii="Arial" w:hAnsi="Arial" w:cs="Arial"/>
          <w:lang w:val="es-ES_tradnl"/>
        </w:rPr>
        <w:t xml:space="preserve"> </w:t>
      </w:r>
      <w:r w:rsidRPr="00CF1B34">
        <w:rPr>
          <w:rFonts w:ascii="Arial" w:hAnsi="Arial" w:cs="Arial"/>
          <w:lang w:val="es-ES_tradnl"/>
        </w:rPr>
        <w:t>cancelación parcial de la hipoteca se produce cuando devolvemos al banco parte del capital que nos ha dejado de manera anticipada; así nos quitaremos parte del peso, aunque sin terminar de liquidarlo.</w:t>
      </w:r>
    </w:p>
    <w:p w14:paraId="64721ADC" w14:textId="77777777" w:rsidR="002017AB" w:rsidRPr="00CF1B34" w:rsidRDefault="002017AB" w:rsidP="0005621A">
      <w:pPr>
        <w:pStyle w:val="Sinespaciado"/>
        <w:ind w:left="708"/>
        <w:jc w:val="both"/>
        <w:rPr>
          <w:rFonts w:ascii="Arial" w:hAnsi="Arial" w:cs="Arial"/>
          <w:lang w:val="es-ES_tradnl"/>
        </w:rPr>
      </w:pPr>
      <w:r w:rsidRPr="00CF1B34">
        <w:rPr>
          <w:rFonts w:ascii="Arial" w:hAnsi="Arial" w:cs="Arial"/>
          <w:lang w:val="es-ES_tradnl"/>
        </w:rPr>
        <w:t>Podemos realizar una cancelación y amortizar nuestra hipoteca en cualquier momento, si por ejemplo hemos ahorrado y queremos darle un empujón al préstamo. Además, cancelando parcialmente nuestra hipoteca podremos reducir nuestra mensualidad, o bien hacer más corto el plazo.</w:t>
      </w:r>
    </w:p>
    <w:p w14:paraId="73B08831" w14:textId="77777777" w:rsidR="002017AB" w:rsidRPr="00CF1B34" w:rsidRDefault="002017AB" w:rsidP="0005621A">
      <w:pPr>
        <w:pStyle w:val="Sinespaciado"/>
        <w:ind w:left="708"/>
        <w:jc w:val="both"/>
        <w:rPr>
          <w:rFonts w:ascii="Arial" w:hAnsi="Arial" w:cs="Arial"/>
          <w:lang w:val="es-ES_tradnl"/>
        </w:rPr>
      </w:pPr>
      <w:r w:rsidRPr="00CF1B34">
        <w:rPr>
          <w:rFonts w:ascii="Arial" w:hAnsi="Arial" w:cs="Arial"/>
          <w:lang w:val="es-ES_tradnl"/>
        </w:rPr>
        <w:t>Aunque siempre paguemos la misma cuota, en cada una variará la proporción entre intereses y capital. Hay que tener en cuenta que, según el sistema francés que rige las hipotecas del sistema español, en los primeros años del préstamo estaremos pagando los intereses, y posteriormente abonaremos el capital. En caso de que reduzcamos la cuota que paguemos en cada letra podremos ahorrar más, pero no reduciremos los intereses, y no ahorraremos tanto a largo plazo. En cambio, acortando el plazo pagaremos el mismo importe, pero liquidaremos antes la parte correspondiente a los intereses durante menos tiempo, lo que sí supondrá un ahorro real.</w:t>
      </w:r>
    </w:p>
    <w:p w14:paraId="5665B510" w14:textId="77777777" w:rsidR="002017AB" w:rsidRPr="00CF1B34" w:rsidRDefault="002017AB" w:rsidP="0005621A">
      <w:pPr>
        <w:pStyle w:val="Sinespaciado"/>
        <w:ind w:firstLine="708"/>
        <w:jc w:val="both"/>
        <w:rPr>
          <w:rFonts w:ascii="Arial" w:hAnsi="Arial" w:cs="Arial"/>
          <w:lang w:val="es-ES_tradnl"/>
        </w:rPr>
      </w:pPr>
      <w:r w:rsidRPr="00CF1B34">
        <w:rPr>
          <w:rFonts w:ascii="Arial" w:hAnsi="Arial" w:cs="Arial"/>
          <w:lang w:val="es-ES_tradnl"/>
        </w:rPr>
        <w:t>Comisión por amortización anticipada</w:t>
      </w:r>
    </w:p>
    <w:p w14:paraId="593CAAD8" w14:textId="6037C2E2" w:rsidR="007F261D" w:rsidRPr="00CF1B34" w:rsidRDefault="002017A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w:t>
      </w:r>
      <w:r w:rsidR="00A537F8" w:rsidRPr="00CF1B34">
        <w:rPr>
          <w:rFonts w:ascii="Arial" w:hAnsi="Arial" w:cs="Arial"/>
          <w:sz w:val="22"/>
          <w:szCs w:val="22"/>
          <w:lang w:val="es-ES_tradnl"/>
        </w:rPr>
        <w:t xml:space="preserve"> </w:t>
      </w:r>
      <w:r w:rsidRPr="00CF1B34">
        <w:rPr>
          <w:rFonts w:ascii="Arial" w:hAnsi="Arial" w:cs="Arial"/>
          <w:b/>
          <w:bCs/>
          <w:sz w:val="22"/>
          <w:szCs w:val="22"/>
          <w:lang w:val="es-ES_tradnl"/>
        </w:rPr>
        <w:t>cancelación parcial hipotecaria</w:t>
      </w:r>
      <w:r w:rsidR="00A537F8" w:rsidRPr="00CF1B34">
        <w:rPr>
          <w:rFonts w:ascii="Arial" w:hAnsi="Arial" w:cs="Arial"/>
          <w:sz w:val="22"/>
          <w:szCs w:val="22"/>
          <w:lang w:val="es-ES_tradnl"/>
        </w:rPr>
        <w:t xml:space="preserve"> </w:t>
      </w:r>
      <w:r w:rsidRPr="00CF1B34">
        <w:rPr>
          <w:rFonts w:ascii="Arial" w:hAnsi="Arial" w:cs="Arial"/>
          <w:sz w:val="22"/>
          <w:szCs w:val="22"/>
          <w:lang w:val="es-ES_tradnl"/>
        </w:rPr>
        <w:t>lleva una comisión asociada, provocada por la penalización que la entidad nos hace abonar ya que, al cancelar el préstamo antes de tiempo, sufrirá una pérdida financiera.</w:t>
      </w:r>
    </w:p>
    <w:p w14:paraId="2AD1A6CE" w14:textId="30F2D7FE" w:rsidR="00494F17" w:rsidRPr="00CF1B34" w:rsidRDefault="00494F17"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 xml:space="preserve">Canones bursátiles </w:t>
      </w:r>
    </w:p>
    <w:p w14:paraId="13FBFF9D" w14:textId="77777777" w:rsidR="00494F17" w:rsidRPr="00CF1B34" w:rsidRDefault="00494F17"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Es un concepto fijo, que no varía de una entidad a otra. Se trata de una cantidad que percibe la bolsa correspondiente por las operaciones que se realizan. Este canon se establece en función del importe efectivo que se negocia.</w:t>
      </w:r>
    </w:p>
    <w:p w14:paraId="5F193CE2" w14:textId="77777777" w:rsidR="00A537F8" w:rsidRPr="00CF1B34" w:rsidRDefault="00A537F8"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Hay distintos cánones aplicables en la actualidad. Estos son:</w:t>
      </w:r>
    </w:p>
    <w:p w14:paraId="66418A62" w14:textId="77777777" w:rsidR="00A537F8" w:rsidRPr="00CF1B34" w:rsidRDefault="00A537F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Canon de liquidación:</w:t>
      </w:r>
      <w:r w:rsidRPr="00CF1B34">
        <w:rPr>
          <w:rFonts w:ascii="Arial" w:hAnsi="Arial" w:cs="Arial"/>
          <w:color w:val="333333"/>
          <w:sz w:val="22"/>
          <w:szCs w:val="22"/>
          <w:lang w:val="es-ES_tradnl"/>
        </w:rPr>
        <w:t> Se aplicará a cada operación el 0,003% sobre el valor efectivo, con un mínimo de 0,04 euros y máximo de 3,50 euros.</w:t>
      </w:r>
    </w:p>
    <w:p w14:paraId="7B66BB19" w14:textId="77777777" w:rsidR="00A537F8" w:rsidRPr="00CF1B34" w:rsidRDefault="00A537F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Canon de contratación:</w:t>
      </w:r>
      <w:r w:rsidRPr="00CF1B34">
        <w:rPr>
          <w:rFonts w:ascii="Arial" w:hAnsi="Arial" w:cs="Arial"/>
          <w:color w:val="333333"/>
          <w:sz w:val="22"/>
          <w:szCs w:val="22"/>
          <w:lang w:val="es-ES_tradnl"/>
        </w:rPr>
        <w:t> Para el efectivo negociado en el día por un mismo cliente final, valor, precio y sentido, la cantidad que resulte de aplicar la siguiente escala:</w:t>
      </w:r>
    </w:p>
    <w:p w14:paraId="2F24A4B2" w14:textId="77777777" w:rsidR="00A537F8" w:rsidRPr="00CF1B34" w:rsidRDefault="00A537F8" w:rsidP="004F7A62">
      <w:pPr>
        <w:numPr>
          <w:ilvl w:val="0"/>
          <w:numId w:val="10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Hasta 300,00 euros 1,10 euros</w:t>
      </w:r>
    </w:p>
    <w:p w14:paraId="2BCF08D2" w14:textId="77777777" w:rsidR="00A537F8" w:rsidRPr="00CF1B34" w:rsidRDefault="00A537F8" w:rsidP="004F7A62">
      <w:pPr>
        <w:numPr>
          <w:ilvl w:val="0"/>
          <w:numId w:val="10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De 300,01 a 3.000,00 euros 2,45 euros + 2,4 puntos básicos</w:t>
      </w:r>
    </w:p>
    <w:p w14:paraId="4092370E" w14:textId="77777777" w:rsidR="00A537F8" w:rsidRPr="00CF1B34" w:rsidRDefault="00A537F8" w:rsidP="004F7A62">
      <w:pPr>
        <w:numPr>
          <w:ilvl w:val="0"/>
          <w:numId w:val="10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De 3.000,01 a 35.000,00 euros 4,65 euros + 1,2 puntos básicos</w:t>
      </w:r>
    </w:p>
    <w:p w14:paraId="4456FAF6" w14:textId="77777777" w:rsidR="00A537F8" w:rsidRPr="00CF1B34" w:rsidRDefault="00A537F8" w:rsidP="004F7A62">
      <w:pPr>
        <w:numPr>
          <w:ilvl w:val="0"/>
          <w:numId w:val="10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De 35.000,01 a 70.000,00 euros 6,40 euros + 0,7 puntos básicos</w:t>
      </w:r>
    </w:p>
    <w:p w14:paraId="57E69844" w14:textId="77777777" w:rsidR="00A537F8" w:rsidRPr="00CF1B34" w:rsidRDefault="00A537F8" w:rsidP="004F7A62">
      <w:pPr>
        <w:numPr>
          <w:ilvl w:val="0"/>
          <w:numId w:val="10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De 70.000,01 a 140.000,00 euros 9,20 euros + 0,3 puntos básicos</w:t>
      </w:r>
    </w:p>
    <w:p w14:paraId="446C4DEE" w14:textId="77777777" w:rsidR="00A537F8" w:rsidRPr="00CF1B34" w:rsidRDefault="00A537F8" w:rsidP="004F7A62">
      <w:pPr>
        <w:numPr>
          <w:ilvl w:val="0"/>
          <w:numId w:val="10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Más de 140.000,00 euros 13,40 euros</w:t>
      </w:r>
    </w:p>
    <w:p w14:paraId="09F68C84" w14:textId="77777777" w:rsidR="00A537F8" w:rsidRPr="00CF1B34" w:rsidRDefault="00A537F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Si la suma de esta </w:t>
      </w:r>
      <w:r w:rsidRPr="00CF1B34">
        <w:rPr>
          <w:rFonts w:ascii="Arial" w:hAnsi="Arial" w:cs="Arial"/>
          <w:b/>
          <w:bCs/>
          <w:color w:val="333333"/>
          <w:sz w:val="22"/>
          <w:szCs w:val="22"/>
          <w:lang w:val="es-ES_tradnl"/>
        </w:rPr>
        <w:t>tarifa </w:t>
      </w:r>
      <w:r w:rsidRPr="00CF1B34">
        <w:rPr>
          <w:rFonts w:ascii="Arial" w:hAnsi="Arial" w:cs="Arial"/>
          <w:color w:val="333333"/>
          <w:sz w:val="22"/>
          <w:szCs w:val="22"/>
          <w:lang w:val="es-ES_tradnl"/>
        </w:rPr>
        <w:t>para un mismo cliente final, valor y sentido es superior a 100 euros, se tomará el importe menor entre las siguientes cantidades:</w:t>
      </w:r>
    </w:p>
    <w:p w14:paraId="52794A64" w14:textId="77777777" w:rsidR="00A537F8" w:rsidRPr="00CF1B34" w:rsidRDefault="00A537F8" w:rsidP="004F7A62">
      <w:pPr>
        <w:numPr>
          <w:ilvl w:val="0"/>
          <w:numId w:val="10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1 punto Básico (1/10.000) sobre el efectivo negociado </w:t>
      </w:r>
      <w:proofErr w:type="gramStart"/>
      <w:r w:rsidRPr="00CF1B34">
        <w:rPr>
          <w:rFonts w:ascii="Arial" w:hAnsi="Arial" w:cs="Arial"/>
          <w:color w:val="333333"/>
          <w:sz w:val="22"/>
          <w:szCs w:val="22"/>
          <w:lang w:val="es-ES_tradnl"/>
        </w:rPr>
        <w:t>( con</w:t>
      </w:r>
      <w:proofErr w:type="gramEnd"/>
      <w:r w:rsidRPr="00CF1B34">
        <w:rPr>
          <w:rFonts w:ascii="Arial" w:hAnsi="Arial" w:cs="Arial"/>
          <w:color w:val="333333"/>
          <w:sz w:val="22"/>
          <w:szCs w:val="22"/>
          <w:lang w:val="es-ES_tradnl"/>
        </w:rPr>
        <w:t xml:space="preserve"> un mínimo de 100 euros).</w:t>
      </w:r>
    </w:p>
    <w:p w14:paraId="1227BF23" w14:textId="77777777" w:rsidR="00A537F8" w:rsidRPr="00CF1B34" w:rsidRDefault="00A537F8" w:rsidP="004F7A62">
      <w:pPr>
        <w:numPr>
          <w:ilvl w:val="0"/>
          <w:numId w:val="10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 tarifa ya calculada.</w:t>
      </w:r>
    </w:p>
    <w:p w14:paraId="19DC6F45" w14:textId="77777777" w:rsidR="00A537F8" w:rsidRPr="00CF1B34" w:rsidRDefault="00A537F8" w:rsidP="004F7A62">
      <w:pPr>
        <w:numPr>
          <w:ilvl w:val="0"/>
          <w:numId w:val="10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300 euros (Tarifa máxima)</w:t>
      </w:r>
    </w:p>
    <w:p w14:paraId="7A52150B" w14:textId="77777777" w:rsidR="00A537F8" w:rsidRPr="00CF1B34" w:rsidRDefault="00A537F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Para la contratación de derechos de suscripción se incorpora una </w:t>
      </w:r>
      <w:r w:rsidRPr="00CF1B34">
        <w:rPr>
          <w:rFonts w:ascii="Arial" w:hAnsi="Arial" w:cs="Arial"/>
          <w:b/>
          <w:bCs/>
          <w:color w:val="333333"/>
          <w:sz w:val="22"/>
          <w:szCs w:val="22"/>
          <w:lang w:val="es-ES_tradnl"/>
        </w:rPr>
        <w:t>tarifa especial</w:t>
      </w:r>
      <w:r w:rsidRPr="00CF1B34">
        <w:rPr>
          <w:rFonts w:ascii="Arial" w:hAnsi="Arial" w:cs="Arial"/>
          <w:color w:val="333333"/>
          <w:sz w:val="22"/>
          <w:szCs w:val="22"/>
          <w:lang w:val="es-ES_tradnl"/>
        </w:rPr>
        <w:t> para efectivos del mismo cliente final, sentido, valor y precio inferior a 30 euros. Esta tarifa especial será de 0,10 euros. Recordemos que </w:t>
      </w:r>
      <w:r w:rsidRPr="00CF1B34">
        <w:rPr>
          <w:rFonts w:ascii="Arial" w:hAnsi="Arial" w:cs="Arial"/>
          <w:b/>
          <w:bCs/>
          <w:color w:val="333333"/>
          <w:sz w:val="22"/>
          <w:szCs w:val="22"/>
          <w:lang w:val="es-ES_tradnl"/>
        </w:rPr>
        <w:t>estos cánones son obligatorios</w:t>
      </w:r>
      <w:r w:rsidRPr="00CF1B34">
        <w:rPr>
          <w:rFonts w:ascii="Arial" w:hAnsi="Arial" w:cs="Arial"/>
          <w:color w:val="333333"/>
          <w:sz w:val="22"/>
          <w:szCs w:val="22"/>
          <w:lang w:val="es-ES_tradnl"/>
        </w:rPr>
        <w:t xml:space="preserve"> para </w:t>
      </w:r>
      <w:r w:rsidRPr="00CF1B34">
        <w:rPr>
          <w:rFonts w:ascii="Arial" w:hAnsi="Arial" w:cs="Arial"/>
          <w:color w:val="333333"/>
          <w:sz w:val="22"/>
          <w:szCs w:val="22"/>
          <w:lang w:val="es-ES_tradnl"/>
        </w:rPr>
        <w:lastRenderedPageBreak/>
        <w:t>todas las operaciones en mercados nacionales y para cualquier entidad financiera, y no va a depender de cual utilicemos para nuestra operativa.</w:t>
      </w:r>
    </w:p>
    <w:p w14:paraId="40CE93B3" w14:textId="77777777" w:rsidR="00A537F8" w:rsidRPr="00CF1B34" w:rsidRDefault="00A537F8" w:rsidP="0005621A">
      <w:pPr>
        <w:pStyle w:val="Ttulo2"/>
        <w:spacing w:before="0" w:beforeAutospacing="0" w:after="0" w:afterAutospacing="0"/>
        <w:jc w:val="both"/>
        <w:rPr>
          <w:rFonts w:ascii="Arial" w:hAnsi="Arial" w:cs="Arial"/>
          <w:color w:val="2F5496" w:themeColor="accent1" w:themeShade="BF"/>
          <w:sz w:val="22"/>
          <w:szCs w:val="22"/>
          <w:lang w:val="es-ES_tradnl"/>
        </w:rPr>
      </w:pPr>
    </w:p>
    <w:p w14:paraId="0DDEC5A9" w14:textId="6C66DA38" w:rsidR="007F261D" w:rsidRPr="00CF1B34" w:rsidRDefault="007F261D"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Capacidad de endeudamiento</w:t>
      </w:r>
    </w:p>
    <w:p w14:paraId="36519F97" w14:textId="77777777" w:rsidR="007F261D" w:rsidRPr="00CF1B34" w:rsidRDefault="007F261D" w:rsidP="0005621A">
      <w:pPr>
        <w:ind w:left="708"/>
        <w:jc w:val="both"/>
        <w:rPr>
          <w:rFonts w:ascii="Arial" w:hAnsi="Arial" w:cs="Arial"/>
          <w:sz w:val="22"/>
          <w:szCs w:val="22"/>
          <w:lang w:val="es-ES_tradnl"/>
        </w:rPr>
      </w:pPr>
      <w:r w:rsidRPr="00CF1B34">
        <w:rPr>
          <w:rFonts w:ascii="Arial" w:hAnsi="Arial" w:cs="Arial"/>
          <w:sz w:val="22"/>
          <w:szCs w:val="22"/>
          <w:lang w:val="es-ES_tradnl"/>
        </w:rPr>
        <w:t>La</w:t>
      </w:r>
      <w:r w:rsidRPr="00CF1B34">
        <w:rPr>
          <w:rStyle w:val="apple-converted-space"/>
          <w:rFonts w:ascii="Arial" w:hAnsi="Arial" w:cs="Arial"/>
          <w:sz w:val="22"/>
          <w:szCs w:val="22"/>
          <w:lang w:val="es-ES_tradnl"/>
        </w:rPr>
        <w:t> </w:t>
      </w:r>
      <w:r w:rsidRPr="00CF1B34">
        <w:rPr>
          <w:rStyle w:val="Textoennegrita"/>
          <w:rFonts w:ascii="Arial" w:hAnsi="Arial" w:cs="Arial"/>
          <w:sz w:val="22"/>
          <w:szCs w:val="22"/>
          <w:lang w:val="es-ES_tradnl"/>
        </w:rPr>
        <w:t>capacidad de endeudamiento</w:t>
      </w:r>
      <w:r w:rsidRPr="00CF1B34">
        <w:rPr>
          <w:rStyle w:val="apple-converted-space"/>
          <w:rFonts w:ascii="Arial" w:hAnsi="Arial" w:cs="Arial"/>
          <w:sz w:val="22"/>
          <w:szCs w:val="22"/>
          <w:lang w:val="es-ES_tradnl"/>
        </w:rPr>
        <w:t> </w:t>
      </w:r>
      <w:r w:rsidRPr="00CF1B34">
        <w:rPr>
          <w:rFonts w:ascii="Arial" w:hAnsi="Arial" w:cs="Arial"/>
          <w:sz w:val="22"/>
          <w:szCs w:val="22"/>
          <w:lang w:val="es-ES_tradnl"/>
        </w:rPr>
        <w:t>o</w:t>
      </w:r>
      <w:r w:rsidRPr="00CF1B34">
        <w:rPr>
          <w:rStyle w:val="apple-converted-space"/>
          <w:rFonts w:ascii="Arial" w:hAnsi="Arial" w:cs="Arial"/>
          <w:sz w:val="22"/>
          <w:szCs w:val="22"/>
          <w:lang w:val="es-ES_tradnl"/>
        </w:rPr>
        <w:t> </w:t>
      </w:r>
      <w:r w:rsidRPr="00CF1B34">
        <w:rPr>
          <w:rStyle w:val="Textoennegrita"/>
          <w:rFonts w:ascii="Arial" w:hAnsi="Arial" w:cs="Arial"/>
          <w:sz w:val="22"/>
          <w:szCs w:val="22"/>
          <w:lang w:val="es-ES_tradnl"/>
        </w:rPr>
        <w:t>capacidad de crédito</w:t>
      </w:r>
      <w:r w:rsidRPr="00CF1B34">
        <w:rPr>
          <w:rStyle w:val="apple-converted-space"/>
          <w:rFonts w:ascii="Arial" w:hAnsi="Arial" w:cs="Arial"/>
          <w:sz w:val="22"/>
          <w:szCs w:val="22"/>
          <w:lang w:val="es-ES_tradnl"/>
        </w:rPr>
        <w:t> </w:t>
      </w:r>
      <w:r w:rsidRPr="00CF1B34">
        <w:rPr>
          <w:rFonts w:ascii="Arial" w:hAnsi="Arial" w:cs="Arial"/>
          <w:sz w:val="22"/>
          <w:szCs w:val="22"/>
          <w:lang w:val="es-ES_tradnl"/>
        </w:rPr>
        <w:t>es la cantidad de deuda máxima que puede asumir una empresa o individuo sin poner en peligro su solvencia económica.</w:t>
      </w:r>
    </w:p>
    <w:p w14:paraId="74642A5C" w14:textId="77777777" w:rsidR="007F261D" w:rsidRPr="00CF1B34" w:rsidRDefault="007F261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estándar en la capacidad de endeudamiento se establece entre el 30% y el 40% de los ingresos, o que supone que las deudas nunca deberán superar 1/3 de la remuneración del individuo. El Banco de España aconseja que la deuda máxima que debe asumir una familia no deberá ser superior al 35%. De esta forma el 60%, 65% o 70% restante de ingresos podrán destinarse a los gastos esenciales y al ahorro.</w:t>
      </w:r>
    </w:p>
    <w:p w14:paraId="74D480D0" w14:textId="10D3B0CA" w:rsidR="007F261D" w:rsidRPr="00CF1B34" w:rsidRDefault="007F261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 capacidad de endeudamiento es empleada por las entidades financieras como uno de los indicadores a la hora de conceder o denegar una línea de crédito. Conocer esta información ayuda a que las entidades bancarias puedan asegurarse que van a recuperar la cantidad total prestada y sus interese correspondientes</w:t>
      </w:r>
      <w:r w:rsidRPr="00CF1B34">
        <w:rPr>
          <w:rFonts w:ascii="Arial" w:hAnsi="Arial" w:cs="Arial"/>
          <w:lang w:val="es-ES_tradnl"/>
        </w:rPr>
        <w:t>.</w:t>
      </w:r>
    </w:p>
    <w:p w14:paraId="3D4022DC" w14:textId="481B6216" w:rsidR="00C101D4" w:rsidRPr="00CF1B34" w:rsidRDefault="00C101D4"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CAP hipotecario</w:t>
      </w:r>
      <w:r w:rsidR="00BC5043" w:rsidRPr="00CF1B34">
        <w:rPr>
          <w:rFonts w:ascii="Arial" w:hAnsi="Arial" w:cs="Arial"/>
          <w:color w:val="2F5496" w:themeColor="accent1" w:themeShade="BF"/>
          <w:sz w:val="22"/>
          <w:szCs w:val="22"/>
          <w:lang w:val="es-ES_tradnl"/>
        </w:rPr>
        <w:t xml:space="preserve"> (tipo limite garantizado)</w:t>
      </w:r>
    </w:p>
    <w:p w14:paraId="60862F48" w14:textId="77777777" w:rsidR="00C101D4" w:rsidRPr="00CF1B34" w:rsidRDefault="00C101D4" w:rsidP="0005621A">
      <w:pPr>
        <w:pStyle w:val="NormalWeb"/>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CAP hipotecario (o</w:t>
      </w:r>
      <w:r w:rsidRPr="00CF1B34">
        <w:rPr>
          <w:rStyle w:val="apple-converted-space"/>
          <w:rFonts w:ascii="Arial" w:hAnsi="Arial" w:cs="Arial"/>
          <w:color w:val="191B1C"/>
          <w:sz w:val="22"/>
          <w:szCs w:val="22"/>
          <w:lang w:val="es-ES_tradnl"/>
        </w:rPr>
        <w:t> </w:t>
      </w:r>
      <w:r w:rsidRPr="00CF1B34">
        <w:rPr>
          <w:rStyle w:val="Textoennegrita"/>
          <w:rFonts w:ascii="Arial" w:hAnsi="Arial" w:cs="Arial"/>
          <w:color w:val="191B1C"/>
          <w:sz w:val="22"/>
          <w:szCs w:val="22"/>
          <w:lang w:val="es-ES_tradnl"/>
        </w:rPr>
        <w:t>Contrato de cobertura de tipos e interés</w:t>
      </w:r>
      <w:r w:rsidRPr="00CF1B34">
        <w:rPr>
          <w:rFonts w:ascii="Arial" w:hAnsi="Arial" w:cs="Arial"/>
          <w:color w:val="191B1C"/>
          <w:sz w:val="22"/>
          <w:szCs w:val="22"/>
          <w:lang w:val="es-ES_tradnl"/>
        </w:rPr>
        <w:t>) es una manera de limitar la subida del tipo de interés de una</w:t>
      </w:r>
      <w:r w:rsidRPr="00CF1B34">
        <w:rPr>
          <w:rStyle w:val="apple-converted-space"/>
          <w:rFonts w:ascii="Arial" w:hAnsi="Arial" w:cs="Arial"/>
          <w:color w:val="191B1C"/>
          <w:sz w:val="22"/>
          <w:szCs w:val="22"/>
          <w:lang w:val="es-ES_tradnl"/>
        </w:rPr>
        <w:t> </w:t>
      </w:r>
      <w:hyperlink r:id="rId91" w:history="1">
        <w:r w:rsidRPr="00CF1B34">
          <w:rPr>
            <w:rStyle w:val="Hipervnculo"/>
            <w:rFonts w:ascii="Arial" w:hAnsi="Arial" w:cs="Arial"/>
            <w:color w:val="2F5496" w:themeColor="accent1" w:themeShade="BF"/>
            <w:sz w:val="22"/>
            <w:szCs w:val="22"/>
            <w:lang w:val="es-ES_tradnl"/>
          </w:rPr>
          <w:t>hipoteca</w:t>
        </w:r>
      </w:hyperlink>
      <w:r w:rsidRPr="00CF1B34">
        <w:rPr>
          <w:rFonts w:ascii="Arial" w:hAnsi="Arial" w:cs="Arial"/>
          <w:color w:val="2F5496" w:themeColor="accent1" w:themeShade="BF"/>
          <w:sz w:val="22"/>
          <w:szCs w:val="22"/>
          <w:lang w:val="es-ES_tradnl"/>
        </w:rPr>
        <w:t>.</w:t>
      </w:r>
    </w:p>
    <w:p w14:paraId="42E1083D" w14:textId="77777777" w:rsidR="00C101D4" w:rsidRPr="00CF1B34" w:rsidRDefault="00C101D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 xml:space="preserve">Cuando contratamos un CAP pagaremos una prima única calculada en función de los tipos de interés del momento de la contratación, y a cambio estableceremos un porcentaje límite a la subida del euríbor (el índice bursátil al que normalmente se referencian los préstamos hipotecarios de tipo variable). Este tope se llama precio de ejercicio. Si este índice sobrepasa el CAP, el banco deberá devolver la diferencia al cliente. Es decir, </w:t>
      </w:r>
      <w:proofErr w:type="gramStart"/>
      <w:r w:rsidRPr="00CF1B34">
        <w:rPr>
          <w:rFonts w:ascii="Arial" w:hAnsi="Arial" w:cs="Arial"/>
          <w:color w:val="191B1C"/>
          <w:sz w:val="22"/>
          <w:szCs w:val="22"/>
          <w:lang w:val="es-ES_tradnl"/>
        </w:rPr>
        <w:t>que</w:t>
      </w:r>
      <w:proofErr w:type="gramEnd"/>
      <w:r w:rsidRPr="00CF1B34">
        <w:rPr>
          <w:rFonts w:ascii="Arial" w:hAnsi="Arial" w:cs="Arial"/>
          <w:color w:val="191B1C"/>
          <w:sz w:val="22"/>
          <w:szCs w:val="22"/>
          <w:lang w:val="es-ES_tradnl"/>
        </w:rPr>
        <w:t xml:space="preserve"> en definitiva, no nos subirá el precio de la hipoteca.</w:t>
      </w:r>
    </w:p>
    <w:p w14:paraId="3290F2A2" w14:textId="77777777" w:rsidR="00C3291D" w:rsidRPr="00CF1B34" w:rsidRDefault="00C3291D" w:rsidP="0005621A">
      <w:pPr>
        <w:pStyle w:val="Ttulo2"/>
        <w:spacing w:before="0" w:beforeAutospacing="0" w:after="0" w:afterAutospacing="0"/>
        <w:jc w:val="both"/>
        <w:rPr>
          <w:rFonts w:ascii="Arial" w:hAnsi="Arial" w:cs="Arial"/>
          <w:color w:val="191B1C"/>
          <w:sz w:val="22"/>
          <w:szCs w:val="22"/>
          <w:lang w:val="es-ES_tradnl"/>
        </w:rPr>
      </w:pPr>
      <w:r w:rsidRPr="00CF1B34">
        <w:rPr>
          <w:rFonts w:ascii="Arial" w:hAnsi="Arial" w:cs="Arial"/>
          <w:color w:val="2F5496" w:themeColor="accent1" w:themeShade="BF"/>
          <w:sz w:val="22"/>
          <w:szCs w:val="22"/>
          <w:lang w:val="es-ES_tradnl"/>
        </w:rPr>
        <w:t>Capital</w:t>
      </w:r>
    </w:p>
    <w:p w14:paraId="7DB8F901" w14:textId="77777777" w:rsidR="00C3291D" w:rsidRPr="00CF1B34" w:rsidRDefault="00C3291D" w:rsidP="0005621A">
      <w:pPr>
        <w:ind w:left="708"/>
        <w:jc w:val="both"/>
        <w:rPr>
          <w:rFonts w:ascii="Arial" w:hAnsi="Arial" w:cs="Arial"/>
          <w:sz w:val="22"/>
          <w:szCs w:val="22"/>
          <w:lang w:val="es-ES_tradnl"/>
        </w:rPr>
      </w:pPr>
      <w:r w:rsidRPr="00CF1B34">
        <w:rPr>
          <w:rFonts w:ascii="Arial" w:hAnsi="Arial" w:cs="Arial"/>
          <w:sz w:val="22"/>
          <w:szCs w:val="22"/>
          <w:lang w:val="es-ES_tradnl"/>
        </w:rPr>
        <w:t>En un préstamo hipotecario hablamos de</w:t>
      </w:r>
      <w:r w:rsidRPr="00CF1B34">
        <w:rPr>
          <w:rStyle w:val="apple-converted-space"/>
          <w:rFonts w:ascii="Arial" w:hAnsi="Arial" w:cs="Arial"/>
          <w:sz w:val="22"/>
          <w:szCs w:val="22"/>
          <w:lang w:val="es-ES_tradnl"/>
        </w:rPr>
        <w:t> </w:t>
      </w:r>
      <w:r w:rsidRPr="00CF1B34">
        <w:rPr>
          <w:rStyle w:val="Textoennegrita"/>
          <w:rFonts w:ascii="Arial" w:hAnsi="Arial" w:cs="Arial"/>
          <w:sz w:val="22"/>
          <w:szCs w:val="22"/>
          <w:lang w:val="es-ES_tradnl"/>
        </w:rPr>
        <w:t>capital</w:t>
      </w:r>
      <w:r w:rsidRPr="00CF1B34">
        <w:rPr>
          <w:rStyle w:val="apple-converted-space"/>
          <w:rFonts w:ascii="Arial" w:hAnsi="Arial" w:cs="Arial"/>
          <w:sz w:val="22"/>
          <w:szCs w:val="22"/>
          <w:lang w:val="es-ES_tradnl"/>
        </w:rPr>
        <w:t> </w:t>
      </w:r>
      <w:r w:rsidRPr="00CF1B34">
        <w:rPr>
          <w:rFonts w:ascii="Arial" w:hAnsi="Arial" w:cs="Arial"/>
          <w:sz w:val="22"/>
          <w:szCs w:val="22"/>
          <w:lang w:val="es-ES_tradnl"/>
        </w:rPr>
        <w:t>para referirnos al importe nominal del crédito excluyendo la parte relativa a los intereses. Es decir, es el dinero que solicitamos a la entidad bancaria para comprar o reformar una vivienda.</w:t>
      </w:r>
    </w:p>
    <w:p w14:paraId="3C35987E" w14:textId="77777777" w:rsidR="00C3291D" w:rsidRPr="00CF1B34" w:rsidRDefault="00C3291D" w:rsidP="0005621A">
      <w:pPr>
        <w:pStyle w:val="NormalWeb"/>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Lo más habitual es que la entidad bancaria financie hasta un 80% del valor total del inmueble, la “entrada” o primer pago deberá cubrir el 20% restante.</w:t>
      </w:r>
    </w:p>
    <w:p w14:paraId="6F2800CC" w14:textId="77777777" w:rsidR="00C3291D" w:rsidRPr="00CF1B34" w:rsidRDefault="00C3291D"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Cuando hablamos de capital diferenciamos entre:</w:t>
      </w:r>
    </w:p>
    <w:p w14:paraId="6CB388F1" w14:textId="77777777" w:rsidR="00C3291D" w:rsidRPr="00CF1B34" w:rsidRDefault="00C3291D" w:rsidP="0005621A">
      <w:pPr>
        <w:pStyle w:val="Sinespaciado"/>
        <w:ind w:firstLine="708"/>
        <w:jc w:val="both"/>
        <w:rPr>
          <w:rFonts w:ascii="Arial" w:hAnsi="Arial" w:cs="Arial"/>
          <w:sz w:val="22"/>
          <w:szCs w:val="22"/>
          <w:lang w:val="es-ES_tradnl"/>
        </w:rPr>
      </w:pPr>
      <w:r w:rsidRPr="00CF1B34">
        <w:rPr>
          <w:rStyle w:val="Textoennegrita"/>
          <w:rFonts w:ascii="Arial" w:hAnsi="Arial" w:cs="Arial"/>
          <w:color w:val="191B1C"/>
          <w:sz w:val="22"/>
          <w:szCs w:val="22"/>
          <w:lang w:val="es-ES_tradnl"/>
        </w:rPr>
        <w:t>Capital pendiente</w:t>
      </w:r>
      <w:r w:rsidRPr="00CF1B34">
        <w:rPr>
          <w:rFonts w:ascii="Arial" w:hAnsi="Arial" w:cs="Arial"/>
          <w:sz w:val="22"/>
          <w:szCs w:val="22"/>
          <w:lang w:val="es-ES_tradnl"/>
        </w:rPr>
        <w:t>: es la cantidad del préstamo pendiente de pago</w:t>
      </w:r>
      <w:r w:rsidRPr="00CF1B34">
        <w:rPr>
          <w:rStyle w:val="apple-converted-space"/>
          <w:rFonts w:ascii="Arial" w:hAnsi="Arial" w:cs="Arial"/>
          <w:color w:val="191B1C"/>
          <w:sz w:val="22"/>
          <w:szCs w:val="22"/>
          <w:lang w:val="es-ES_tradnl"/>
        </w:rPr>
        <w:t> </w:t>
      </w:r>
    </w:p>
    <w:p w14:paraId="3E99890D" w14:textId="1C86E9E6" w:rsidR="00C3291D" w:rsidRPr="00CF1B34" w:rsidRDefault="00C3291D"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191B1C"/>
          <w:sz w:val="22"/>
          <w:szCs w:val="22"/>
          <w:lang w:val="es-ES_tradnl"/>
        </w:rPr>
        <w:t>Capital amortizado</w:t>
      </w:r>
      <w:r w:rsidRPr="00CF1B34">
        <w:rPr>
          <w:rFonts w:ascii="Arial" w:hAnsi="Arial" w:cs="Arial"/>
          <w:color w:val="191B1C"/>
          <w:sz w:val="22"/>
          <w:szCs w:val="22"/>
          <w:lang w:val="es-ES_tradnl"/>
        </w:rPr>
        <w:t>: es la cantidad del préstamo que ya hemos devuelto</w:t>
      </w:r>
      <w:r w:rsidRPr="00CF1B34">
        <w:rPr>
          <w:rStyle w:val="apple-converted-space"/>
          <w:rFonts w:ascii="Arial" w:hAnsi="Arial" w:cs="Arial"/>
          <w:color w:val="191B1C"/>
          <w:sz w:val="22"/>
          <w:szCs w:val="22"/>
          <w:lang w:val="es-ES_tradnl"/>
        </w:rPr>
        <w:t> </w:t>
      </w:r>
    </w:p>
    <w:p w14:paraId="701618C1" w14:textId="77777777" w:rsidR="00A95258" w:rsidRPr="00CF1B34" w:rsidRDefault="00A95258"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Capital amortizado</w:t>
      </w:r>
    </w:p>
    <w:p w14:paraId="6B4D12C6" w14:textId="77777777" w:rsidR="00A95258" w:rsidRPr="00CF1B34" w:rsidRDefault="00A9525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El capital amortizado es la devolución de una cantidad de dinero que se ha solicitado a modo préstamo o crédito. Por lo general, cuando una persona devuelve el préstamo, está pagando tanto el dinero que ha solicitado a la entidad financiera como los intereses asociados a dicha operación.</w:t>
      </w:r>
    </w:p>
    <w:p w14:paraId="05D0EC32" w14:textId="73218BEC"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Capital estatutario inicial</w:t>
      </w:r>
    </w:p>
    <w:p w14:paraId="3B01DCA2"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Cifra mínima de capital que, de acuerdo con sus estatutos, debe tener una sociedad de inversión colectiva de capital variable (SICAV). Debe estar íntegramente suscrito y desembolsado en el momento de la constitución de la sociedad, y en ningún caso podrá ser inferior a 2,4 millones de euros. El aumento o disminución del capital estatutario inicial deberá acordarse en junta general de accionistas, de acuerdo con lo previsto en la Ley de Sociedades Anónimas.</w:t>
      </w:r>
    </w:p>
    <w:p w14:paraId="5179FB9B"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Capital estatutario máximo </w:t>
      </w:r>
    </w:p>
    <w:p w14:paraId="4FB65175"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Capital máximo con que puede contar una sociedad de inversión colectiva de capital variable (SICAV). No podrá superar en más de 10 veces el capital inicial. El aumento o disminución del capital estatutario máximo deberá acordarse en junta general de accionistas, de acuerdo con lo previsto en la Ley de Sociedades Anónimas.</w:t>
      </w:r>
    </w:p>
    <w:p w14:paraId="205FE1C7"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Capital flotante</w:t>
      </w:r>
    </w:p>
    <w:p w14:paraId="196554D4"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parte del capital de una compañía cotizada que se encuentra en manos de pequeños inversores, y que por lo tanto es objeto de libre negociación en Bolsa (es decir, la parte que no controlan los accionistas de referencia, el “núcleo duro” de la sociedad). En principio, las empresas con mayor capital flotante ofrecen a los minoritarios más posibilidades de participar en las decisiones societarias y mayores posibilidades de liquidez.</w:t>
      </w:r>
    </w:p>
    <w:p w14:paraId="5F741212" w14:textId="777DFE84"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Capital riesgo</w:t>
      </w:r>
    </w:p>
    <w:p w14:paraId="02E61A34"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Actividad financiera por la cual se participa, con carácter temporal, en el capital de empresas que se encuentran en fase de creación o desarrollo. La incertidumbre sobre la evolución del negocio hace que se trate de una actividad reservada a inversores profesionales (dispuestos a asumir el riesgo a cambio de importantes plusvalías, en caso de que la evolución de la empresa sea satisfactoria) o entes públicos (que por motivos estratégicos pueden estar interesados en fomentar el desarrollo de un determinado sector industrial). </w:t>
      </w:r>
    </w:p>
    <w:p w14:paraId="5087F250"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Capital social</w:t>
      </w:r>
    </w:p>
    <w:p w14:paraId="0A67D477"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Fondos propios de una sociedad que proceden de las aportaciones de los accionistas. La participación en el capital social de una empresa otorga a los inversores derechos en el reparto de beneficios, derechos de suscripción preferente en ampliaciones de capital y derechos de asistencia y voto en las juntas generales de accionistas. </w:t>
      </w:r>
    </w:p>
    <w:p w14:paraId="2F8E6651" w14:textId="7DE712C9" w:rsidR="001A6A41" w:rsidRPr="00CF1B34" w:rsidRDefault="001A6A4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Capitales opacos</w:t>
      </w:r>
    </w:p>
    <w:p w14:paraId="5185CB17" w14:textId="77777777" w:rsidR="00425CC2" w:rsidRPr="00CF1B34" w:rsidRDefault="00425CC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el dinero que no esta sujeto al control de Hacienda, como el dinero negro.</w:t>
      </w:r>
    </w:p>
    <w:p w14:paraId="7765202B" w14:textId="4B3547CF" w:rsidR="007B39C9" w:rsidRPr="00CF1B34" w:rsidRDefault="007B39C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Capitalismo </w:t>
      </w:r>
    </w:p>
    <w:p w14:paraId="4B4EDD44" w14:textId="577273BB" w:rsidR="007B39C9" w:rsidRPr="00CF1B34" w:rsidRDefault="007B39C9" w:rsidP="0005621A">
      <w:pPr>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Se puede decir que </w:t>
      </w:r>
      <w:r w:rsidRPr="00CF1B34">
        <w:rPr>
          <w:rStyle w:val="Textoennegrita"/>
          <w:rFonts w:ascii="Arial" w:hAnsi="Arial" w:cs="Arial"/>
          <w:color w:val="333333"/>
          <w:sz w:val="22"/>
          <w:szCs w:val="22"/>
          <w:shd w:val="clear" w:color="auto" w:fill="FFFFFF"/>
          <w:lang w:val="es-ES_tradnl"/>
        </w:rPr>
        <w:t>el capitalismo</w:t>
      </w:r>
      <w:r w:rsidRPr="00CF1B34">
        <w:rPr>
          <w:rFonts w:ascii="Arial" w:hAnsi="Arial" w:cs="Arial"/>
          <w:color w:val="333333"/>
          <w:sz w:val="22"/>
          <w:szCs w:val="22"/>
          <w:shd w:val="clear" w:color="auto" w:fill="FFFFFF"/>
          <w:lang w:val="es-ES_tradnl"/>
        </w:rPr>
        <w:t> </w:t>
      </w:r>
      <w:r w:rsidRPr="00CF1B34">
        <w:rPr>
          <w:rStyle w:val="Textoennegrita"/>
          <w:rFonts w:ascii="Arial" w:hAnsi="Arial" w:cs="Arial"/>
          <w:color w:val="333333"/>
          <w:sz w:val="22"/>
          <w:szCs w:val="22"/>
          <w:shd w:val="clear" w:color="auto" w:fill="FFFFFF"/>
          <w:lang w:val="es-ES_tradnl"/>
        </w:rPr>
        <w:t>existe desde que comienza el comercio en la</w:t>
      </w:r>
      <w:r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Baja Edad Media hacia el siglo XIII</w:t>
      </w:r>
    </w:p>
    <w:p w14:paraId="541EFD03" w14:textId="77777777" w:rsidR="005B5C35" w:rsidRPr="00CF1B34" w:rsidRDefault="005B5C3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El punto de partida del capitalismo es la propiedad privada de los medios de producción, que trabajan enfocados a la obtención de beneficio y donde el capital predomina sobre el trabajo como elemento de producción y creación de riqueza. El capitalismo parte de la premisa de un libre mercado en el que la oferta y la demanda fijan los precios de bienes y servicios, ya que cada uno de los actores del mercado (empresario y consumidor) busca </w:t>
      </w:r>
      <w:r w:rsidRPr="00CF1B34">
        <w:rPr>
          <w:rFonts w:ascii="Arial" w:hAnsi="Arial" w:cs="Arial"/>
          <w:color w:val="333333"/>
          <w:sz w:val="22"/>
          <w:szCs w:val="22"/>
          <w:shd w:val="clear" w:color="auto" w:fill="FFFFFF"/>
          <w:lang w:val="es-ES_tradnl"/>
        </w:rPr>
        <w:lastRenderedPageBreak/>
        <w:t>alcanzar su máximo beneficio. Todo ello dentro de un sistema político que protege la propiedad privada y que interviene de forma limitada en la actividad económica.</w:t>
      </w:r>
    </w:p>
    <w:p w14:paraId="4C4E84D7" w14:textId="638AFFED"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Capitalización bursátil</w:t>
      </w:r>
    </w:p>
    <w:p w14:paraId="4F4208BE" w14:textId="2CBAECA8" w:rsidR="005B5C35"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valor que el mercado atribuye a una empresa, expresado como producto del número de acciones emitidas por el precio de cotización de las mismas. La capitalización bursátil de un mercado es la suma de la capitalización de los valores que en él se negocian.</w:t>
      </w:r>
    </w:p>
    <w:p w14:paraId="3EEBBA15" w14:textId="71651E23" w:rsidR="001A6A41" w:rsidRPr="00CF1B34" w:rsidRDefault="001A6A41"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Capitalización compuesta</w:t>
      </w:r>
    </w:p>
    <w:p w14:paraId="02583AFD" w14:textId="38AE50FF" w:rsidR="001A6A41" w:rsidRPr="00CF1B34" w:rsidRDefault="00425CC2" w:rsidP="0005621A">
      <w:pPr>
        <w:pStyle w:val="Ttulo2"/>
        <w:spacing w:before="0" w:beforeAutospacing="0" w:after="0" w:afterAutospacing="0"/>
        <w:ind w:left="708"/>
        <w:jc w:val="both"/>
        <w:rPr>
          <w:rFonts w:ascii="Arial" w:hAnsi="Arial" w:cs="Arial"/>
          <w:b w:val="0"/>
          <w:bCs w:val="0"/>
          <w:color w:val="000000" w:themeColor="text1"/>
          <w:sz w:val="22"/>
          <w:szCs w:val="22"/>
          <w:lang w:val="es-ES_tradnl"/>
        </w:rPr>
      </w:pPr>
      <w:r w:rsidRPr="00CF1B34">
        <w:rPr>
          <w:rFonts w:ascii="Arial" w:hAnsi="Arial" w:cs="Arial"/>
          <w:b w:val="0"/>
          <w:bCs w:val="0"/>
          <w:color w:val="000000" w:themeColor="text1"/>
          <w:sz w:val="22"/>
          <w:szCs w:val="22"/>
          <w:lang w:val="es-ES_tradnl"/>
        </w:rPr>
        <w:t>En matemáticas financieras, cuando en una sucesión de periodos iguales de tiempo, los intereses producidos en cada uno de ellos se acumulan al capital para producir nuevos intereses. La expresi</w:t>
      </w:r>
      <w:r w:rsidR="001A7937" w:rsidRPr="00CF1B34">
        <w:rPr>
          <w:rFonts w:ascii="Arial" w:hAnsi="Arial" w:cs="Arial"/>
          <w:b w:val="0"/>
          <w:bCs w:val="0"/>
          <w:color w:val="000000" w:themeColor="text1"/>
          <w:sz w:val="22"/>
          <w:szCs w:val="22"/>
          <w:lang w:val="es-ES_tradnl"/>
        </w:rPr>
        <w:t>ó</w:t>
      </w:r>
      <w:r w:rsidRPr="00CF1B34">
        <w:rPr>
          <w:rFonts w:ascii="Arial" w:hAnsi="Arial" w:cs="Arial"/>
          <w:b w:val="0"/>
          <w:bCs w:val="0"/>
          <w:color w:val="000000" w:themeColor="text1"/>
          <w:sz w:val="22"/>
          <w:szCs w:val="22"/>
          <w:lang w:val="es-ES_tradnl"/>
        </w:rPr>
        <w:t>n matemática correspondiente a la capitalización compue</w:t>
      </w:r>
      <w:r w:rsidR="001A7937" w:rsidRPr="00CF1B34">
        <w:rPr>
          <w:rFonts w:ascii="Arial" w:hAnsi="Arial" w:cs="Arial"/>
          <w:b w:val="0"/>
          <w:bCs w:val="0"/>
          <w:color w:val="000000" w:themeColor="text1"/>
          <w:sz w:val="22"/>
          <w:szCs w:val="22"/>
          <w:lang w:val="es-ES_tradnl"/>
        </w:rPr>
        <w:t>s</w:t>
      </w:r>
      <w:r w:rsidRPr="00CF1B34">
        <w:rPr>
          <w:rFonts w:ascii="Arial" w:hAnsi="Arial" w:cs="Arial"/>
          <w:b w:val="0"/>
          <w:bCs w:val="0"/>
          <w:color w:val="000000" w:themeColor="text1"/>
          <w:sz w:val="22"/>
          <w:szCs w:val="22"/>
          <w:lang w:val="es-ES_tradnl"/>
        </w:rPr>
        <w:t xml:space="preserve">ta es: </w:t>
      </w:r>
    </w:p>
    <w:p w14:paraId="27874AF5" w14:textId="77777777" w:rsidR="001A7937" w:rsidRPr="00CF1B34" w:rsidRDefault="00425CC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000000" w:themeColor="text1"/>
          <w:sz w:val="22"/>
          <w:szCs w:val="22"/>
          <w:lang w:val="es-ES_tradnl"/>
        </w:rPr>
        <w:t>Cn = Co (1</w:t>
      </w:r>
      <w:r w:rsidR="001A7937" w:rsidRPr="00CF1B34">
        <w:rPr>
          <w:rFonts w:ascii="Arial" w:hAnsi="Arial" w:cs="Arial"/>
          <w:b/>
          <w:bCs/>
          <w:color w:val="000000" w:themeColor="text1"/>
          <w:sz w:val="22"/>
          <w:szCs w:val="22"/>
          <w:lang w:val="es-ES_tradnl"/>
        </w:rPr>
        <w:t>+i) Siendo (1+i) el factor financiero para un periodo t, siendo i, en tanto por uno, el tipo de interés. Co el capital inicial y Cn el capital final.</w:t>
      </w:r>
    </w:p>
    <w:p w14:paraId="5ECBA77A" w14:textId="3D520234" w:rsidR="00D550C3" w:rsidRPr="00CF1B34" w:rsidRDefault="00D550C3"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Capitalización de intereses</w:t>
      </w:r>
      <w:r w:rsidRPr="00CF1B34">
        <w:rPr>
          <w:rStyle w:val="apple-converted-space"/>
          <w:rFonts w:ascii="Arial" w:hAnsi="Arial" w:cs="Arial"/>
          <w:color w:val="2F5496" w:themeColor="accent1" w:themeShade="BF"/>
          <w:sz w:val="22"/>
          <w:szCs w:val="22"/>
          <w:lang w:val="es-ES_tradnl"/>
        </w:rPr>
        <w:t> </w:t>
      </w:r>
    </w:p>
    <w:p w14:paraId="3395DD08" w14:textId="77777777" w:rsidR="00D550C3" w:rsidRPr="00CF1B34" w:rsidRDefault="00D550C3" w:rsidP="0005621A">
      <w:pPr>
        <w:pStyle w:val="NormalWeb"/>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En un</w:t>
      </w:r>
      <w:r w:rsidRPr="00CF1B34">
        <w:rPr>
          <w:rStyle w:val="apple-converted-space"/>
          <w:rFonts w:ascii="Arial" w:hAnsi="Arial" w:cs="Arial"/>
          <w:color w:val="191B1C"/>
          <w:sz w:val="22"/>
          <w:szCs w:val="22"/>
          <w:lang w:val="es-ES_tradnl"/>
        </w:rPr>
        <w:t> </w:t>
      </w:r>
      <w:hyperlink r:id="rId92" w:history="1">
        <w:r w:rsidRPr="00CF1B34">
          <w:rPr>
            <w:rStyle w:val="Hipervnculo"/>
            <w:rFonts w:ascii="Arial" w:hAnsi="Arial" w:cs="Arial"/>
            <w:color w:val="2F5496" w:themeColor="accent1" w:themeShade="BF"/>
            <w:sz w:val="22"/>
            <w:szCs w:val="22"/>
            <w:lang w:val="es-ES_tradnl"/>
          </w:rPr>
          <w:t>préstamo hipotecario</w:t>
        </w:r>
      </w:hyperlink>
      <w:r w:rsidRPr="00CF1B34">
        <w:rPr>
          <w:rFonts w:ascii="Arial" w:hAnsi="Arial" w:cs="Arial"/>
          <w:color w:val="191B1C"/>
          <w:sz w:val="22"/>
          <w:szCs w:val="22"/>
          <w:lang w:val="es-ES_tradnl"/>
        </w:rPr>
        <w:t xml:space="preserve">, la capitalización de intereses es el proceso por el cual, en caso de no poder hacer frente a la deuda contraída en el tiempo establecido, se añaden a la cantidad pendiente del préstamo los intereses devengados del préstamo. Por tanto, esta deuda pasará a ser mayor </w:t>
      </w:r>
    </w:p>
    <w:p w14:paraId="272BC1A3" w14:textId="77777777" w:rsidR="00D550C3" w:rsidRPr="00CF1B34" w:rsidRDefault="00D550C3" w:rsidP="0005621A">
      <w:pPr>
        <w:pStyle w:val="NormalWeb"/>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w:t>
      </w:r>
      <w:r w:rsidRPr="00CF1B34">
        <w:rPr>
          <w:rStyle w:val="apple-converted-space"/>
          <w:rFonts w:ascii="Arial" w:hAnsi="Arial" w:cs="Arial"/>
          <w:color w:val="191B1C"/>
          <w:sz w:val="22"/>
          <w:szCs w:val="22"/>
          <w:lang w:val="es-ES_tradnl"/>
        </w:rPr>
        <w:t> </w:t>
      </w:r>
      <w:r w:rsidRPr="00CF1B34">
        <w:rPr>
          <w:rStyle w:val="Textoennegrita"/>
          <w:rFonts w:ascii="Arial" w:hAnsi="Arial" w:cs="Arial"/>
          <w:color w:val="191B1C"/>
          <w:sz w:val="22"/>
          <w:szCs w:val="22"/>
          <w:lang w:val="es-ES_tradnl"/>
        </w:rPr>
        <w:t>capitalización</w:t>
      </w:r>
      <w:r w:rsidRPr="00CF1B34">
        <w:rPr>
          <w:rStyle w:val="apple-converted-space"/>
          <w:rFonts w:ascii="Arial" w:hAnsi="Arial" w:cs="Arial"/>
          <w:color w:val="191B1C"/>
          <w:sz w:val="22"/>
          <w:szCs w:val="22"/>
          <w:lang w:val="es-ES_tradnl"/>
        </w:rPr>
        <w:t> </w:t>
      </w:r>
      <w:r w:rsidRPr="00CF1B34">
        <w:rPr>
          <w:rFonts w:ascii="Arial" w:hAnsi="Arial" w:cs="Arial"/>
          <w:color w:val="191B1C"/>
          <w:sz w:val="22"/>
          <w:szCs w:val="22"/>
          <w:lang w:val="es-ES_tradnl"/>
        </w:rPr>
        <w:t xml:space="preserve">nos permitirá conocer la variación de un capital en un tiempo determinado. Esta variará según sea simple o compuesta. En la capitalización simple, los intereses generados por el capital no se añadirán a esta cantidad para calcular los futuros rendimientos. Es decir, que estos siempre se calcularán sobre el capital original. Esta fórmula se utiliza sobre todo cuando estamos pagando la parte de intereses de nuestra hipoteca (o en general, en cualquier préstamo que esté en fase de carencia: cuando solo paguemos los intereses.) En cambio, la capitalización compuesta incluirá los intereses generados por ese capital a lo largo del tiempo (no se suele aplicar en el cálculo de créditos hipotecarios, sino más bien en fondos donde los intereses los percibe el inversor). Y además será continua si los intereses se van acumulando, lo que supondrá una constante reinversión de intereses y una mayor generación de capital final. </w:t>
      </w:r>
    </w:p>
    <w:p w14:paraId="0EE96CBB" w14:textId="77777777" w:rsidR="00D550C3" w:rsidRPr="00CF1B34" w:rsidRDefault="00D550C3" w:rsidP="0005621A">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191B1C"/>
          <w:sz w:val="22"/>
          <w:szCs w:val="22"/>
          <w:lang w:val="es-ES_tradnl"/>
        </w:rPr>
        <w:t xml:space="preserve">A la hora de abordar la capitalización de intereses hay que tener en cuenta </w:t>
      </w:r>
      <w:proofErr w:type="gramStart"/>
      <w:r w:rsidRPr="00CF1B34">
        <w:rPr>
          <w:rFonts w:ascii="Arial" w:hAnsi="Arial" w:cs="Arial"/>
          <w:color w:val="191B1C"/>
          <w:sz w:val="22"/>
          <w:szCs w:val="22"/>
          <w:lang w:val="es-ES_tradnl"/>
        </w:rPr>
        <w:t>que</w:t>
      </w:r>
      <w:proofErr w:type="gramEnd"/>
      <w:r w:rsidRPr="00CF1B34">
        <w:rPr>
          <w:rFonts w:ascii="Arial" w:hAnsi="Arial" w:cs="Arial"/>
          <w:color w:val="191B1C"/>
          <w:sz w:val="22"/>
          <w:szCs w:val="22"/>
          <w:lang w:val="es-ES_tradnl"/>
        </w:rPr>
        <w:t xml:space="preserve"> si la entidad de crédito realiza un reclamo judicial por impago de las mensualidades, los intereses extraordinarios comenzarán a generarse a partir del momento del reclamo. De todos modos, al firmar una hipoteca siempre conviene revisar si esta capitalización está incluida en las condiciones, </w:t>
      </w:r>
      <w:proofErr w:type="gramStart"/>
      <w:r w:rsidRPr="00CF1B34">
        <w:rPr>
          <w:rFonts w:ascii="Arial" w:hAnsi="Arial" w:cs="Arial"/>
          <w:color w:val="191B1C"/>
          <w:sz w:val="22"/>
          <w:szCs w:val="22"/>
          <w:lang w:val="es-ES_tradnl"/>
        </w:rPr>
        <w:t>ya que</w:t>
      </w:r>
      <w:proofErr w:type="gramEnd"/>
      <w:r w:rsidRPr="00CF1B34">
        <w:rPr>
          <w:rFonts w:ascii="Arial" w:hAnsi="Arial" w:cs="Arial"/>
          <w:color w:val="191B1C"/>
          <w:sz w:val="22"/>
          <w:szCs w:val="22"/>
          <w:lang w:val="es-ES_tradnl"/>
        </w:rPr>
        <w:t xml:space="preserve"> en caso negativo, no podrá aplicarse.</w:t>
      </w:r>
    </w:p>
    <w:p w14:paraId="4E9FC52B" w14:textId="6F7ACB15" w:rsidR="005B5C35" w:rsidRPr="00CF1B34" w:rsidRDefault="005B5C35"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 xml:space="preserve">Capitalizar el paro </w:t>
      </w:r>
    </w:p>
    <w:p w14:paraId="54CDE02F" w14:textId="4BF26C13" w:rsidR="005B5C35" w:rsidRPr="00CF1B34" w:rsidRDefault="005B5C35" w:rsidP="0005621A">
      <w:pPr>
        <w:pStyle w:val="Ttulo2"/>
        <w:spacing w:before="0" w:beforeAutospacing="0" w:after="0" w:afterAutospacing="0"/>
        <w:ind w:left="708"/>
        <w:jc w:val="both"/>
        <w:rPr>
          <w:rFonts w:ascii="Arial" w:hAnsi="Arial" w:cs="Arial"/>
          <w:b w:val="0"/>
          <w:bCs w:val="0"/>
          <w:color w:val="000000" w:themeColor="text1"/>
          <w:sz w:val="22"/>
          <w:szCs w:val="22"/>
          <w:lang w:val="es-ES_tradnl"/>
        </w:rPr>
      </w:pPr>
      <w:r w:rsidRPr="00CF1B34">
        <w:rPr>
          <w:rFonts w:ascii="Arial" w:hAnsi="Arial" w:cs="Arial"/>
          <w:b w:val="0"/>
          <w:bCs w:val="0"/>
          <w:color w:val="000000" w:themeColor="text1"/>
          <w:sz w:val="22"/>
          <w:szCs w:val="22"/>
          <w:lang w:val="es-ES_tradnl"/>
        </w:rPr>
        <w:t xml:space="preserve">Quedarse sin trabajo no suele ser buena noticia. Comienza el proceso de averiguar el derecho a una indemnización o cuanto es  la </w:t>
      </w:r>
      <w:r w:rsidR="00B90A44" w:rsidRPr="00CF1B34">
        <w:rPr>
          <w:rFonts w:ascii="Arial" w:hAnsi="Arial" w:cs="Arial"/>
          <w:b w:val="0"/>
          <w:bCs w:val="0"/>
          <w:color w:val="000000" w:themeColor="text1"/>
          <w:sz w:val="22"/>
          <w:szCs w:val="22"/>
          <w:lang w:val="es-ES_tradnl"/>
        </w:rPr>
        <w:t>percepción</w:t>
      </w:r>
      <w:r w:rsidRPr="00CF1B34">
        <w:rPr>
          <w:rFonts w:ascii="Arial" w:hAnsi="Arial" w:cs="Arial"/>
          <w:b w:val="0"/>
          <w:bCs w:val="0"/>
          <w:color w:val="000000" w:themeColor="text1"/>
          <w:sz w:val="22"/>
          <w:szCs w:val="22"/>
          <w:lang w:val="es-ES_tradnl"/>
        </w:rPr>
        <w:t xml:space="preserve"> de prestación por desempleo</w:t>
      </w:r>
      <w:r w:rsidR="00B90A44" w:rsidRPr="00CF1B34">
        <w:rPr>
          <w:rFonts w:ascii="Arial" w:hAnsi="Arial" w:cs="Arial"/>
          <w:b w:val="0"/>
          <w:bCs w:val="0"/>
          <w:color w:val="000000" w:themeColor="text1"/>
          <w:sz w:val="22"/>
          <w:szCs w:val="22"/>
          <w:lang w:val="es-ES_tradnl"/>
        </w:rPr>
        <w:t xml:space="preserve"> además del proceso de buscar trabajo.</w:t>
      </w:r>
    </w:p>
    <w:p w14:paraId="79422B3E" w14:textId="00141F7D" w:rsidR="005B5C35" w:rsidRPr="00CF1B34" w:rsidRDefault="00B90A44" w:rsidP="0005621A">
      <w:pPr>
        <w:pStyle w:val="Ttulo2"/>
        <w:spacing w:before="0" w:beforeAutospacing="0" w:after="0" w:afterAutospacing="0"/>
        <w:ind w:left="708"/>
        <w:jc w:val="both"/>
        <w:rPr>
          <w:rFonts w:ascii="Arial" w:hAnsi="Arial" w:cs="Arial"/>
          <w:b w:val="0"/>
          <w:bCs w:val="0"/>
          <w:color w:val="000000" w:themeColor="text1"/>
          <w:sz w:val="22"/>
          <w:szCs w:val="22"/>
          <w:lang w:val="es-ES_tradnl"/>
        </w:rPr>
      </w:pPr>
      <w:r w:rsidRPr="00CF1B34">
        <w:rPr>
          <w:rFonts w:ascii="Arial" w:hAnsi="Arial" w:cs="Arial"/>
          <w:b w:val="0"/>
          <w:bCs w:val="0"/>
          <w:color w:val="000000" w:themeColor="text1"/>
          <w:sz w:val="22"/>
          <w:szCs w:val="22"/>
          <w:lang w:val="es-ES_tradnl"/>
        </w:rPr>
        <w:t xml:space="preserve">Sin </w:t>
      </w:r>
      <w:proofErr w:type="gramStart"/>
      <w:r w:rsidRPr="00CF1B34">
        <w:rPr>
          <w:rFonts w:ascii="Arial" w:hAnsi="Arial" w:cs="Arial"/>
          <w:b w:val="0"/>
          <w:bCs w:val="0"/>
          <w:color w:val="000000" w:themeColor="text1"/>
          <w:sz w:val="22"/>
          <w:szCs w:val="22"/>
          <w:lang w:val="es-ES_tradnl"/>
        </w:rPr>
        <w:t>embargo</w:t>
      </w:r>
      <w:proofErr w:type="gramEnd"/>
      <w:r w:rsidRPr="00CF1B34">
        <w:rPr>
          <w:rFonts w:ascii="Arial" w:hAnsi="Arial" w:cs="Arial"/>
          <w:b w:val="0"/>
          <w:bCs w:val="0"/>
          <w:color w:val="000000" w:themeColor="text1"/>
          <w:sz w:val="22"/>
          <w:szCs w:val="22"/>
          <w:lang w:val="es-ES_tradnl"/>
        </w:rPr>
        <w:t xml:space="preserve"> existen otras posibilidades, entre ellas capitalizar la prestación  por desempleo.</w:t>
      </w:r>
    </w:p>
    <w:p w14:paraId="0EE8E468" w14:textId="77777777" w:rsidR="00B81BD2" w:rsidRPr="00CF1B34" w:rsidRDefault="00B90A4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En primer </w:t>
      </w:r>
      <w:proofErr w:type="gramStart"/>
      <w:r w:rsidRPr="00CF1B34">
        <w:rPr>
          <w:rFonts w:ascii="Arial" w:hAnsi="Arial" w:cs="Arial"/>
          <w:color w:val="000000" w:themeColor="text1"/>
          <w:sz w:val="22"/>
          <w:szCs w:val="22"/>
          <w:lang w:val="es-ES_tradnl"/>
        </w:rPr>
        <w:t>lugar</w:t>
      </w:r>
      <w:proofErr w:type="gramEnd"/>
      <w:r w:rsidRPr="00CF1B34">
        <w:rPr>
          <w:rFonts w:ascii="Arial" w:hAnsi="Arial" w:cs="Arial"/>
          <w:color w:val="000000" w:themeColor="text1"/>
          <w:sz w:val="22"/>
          <w:szCs w:val="22"/>
          <w:lang w:val="es-ES_tradnl"/>
        </w:rPr>
        <w:t xml:space="preserve"> plantearse cobrar el 100% de la prestación cumpliendo unos requisitos y usar ese dinero con fines empresariales, por lo que se obtiene un adelanto de la prestación por desempleo para quienes decidan hacerse autónomos, montar un negocio</w:t>
      </w:r>
      <w:r w:rsidR="00B81BD2" w:rsidRPr="00CF1B34">
        <w:rPr>
          <w:rFonts w:ascii="Arial" w:hAnsi="Arial" w:cs="Arial"/>
          <w:color w:val="000000" w:themeColor="text1"/>
          <w:sz w:val="22"/>
          <w:szCs w:val="22"/>
          <w:lang w:val="es-ES_tradnl"/>
        </w:rPr>
        <w:t xml:space="preserve"> </w:t>
      </w:r>
      <w:r w:rsidR="00B81BD2" w:rsidRPr="00CF1B34">
        <w:rPr>
          <w:rFonts w:ascii="Arial" w:hAnsi="Arial" w:cs="Arial"/>
          <w:color w:val="000000" w:themeColor="text1"/>
          <w:sz w:val="22"/>
          <w:szCs w:val="22"/>
          <w:lang w:val="es-ES_tradnl"/>
        </w:rPr>
        <w:lastRenderedPageBreak/>
        <w:t>o incorporarse como socios trabajadores a cooperativas o sociedades laborales ya constituidas o crearlas. Ese capital servirá para emprender una nueva vida laboral.</w:t>
      </w:r>
    </w:p>
    <w:p w14:paraId="19DD5610" w14:textId="3B9BAB8F" w:rsidR="00900C46" w:rsidRPr="00CF1B34" w:rsidRDefault="001A6A41"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CAPM</w:t>
      </w:r>
    </w:p>
    <w:p w14:paraId="285C3154" w14:textId="77777777" w:rsidR="002F005F" w:rsidRPr="00CF1B34" w:rsidRDefault="001A793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Método que se utiliza para obtener la rentabilidad que se requiere a los recursos propios. Su expresión general es: CAPM = Rf</w:t>
      </w:r>
      <w:r w:rsidR="002F005F" w:rsidRPr="00CF1B34">
        <w:rPr>
          <w:rFonts w:ascii="Arial" w:hAnsi="Arial" w:cs="Arial"/>
          <w:color w:val="000000" w:themeColor="text1"/>
          <w:sz w:val="22"/>
          <w:szCs w:val="22"/>
          <w:lang w:val="es-ES_tradnl"/>
        </w:rPr>
        <w:t>+</w:t>
      </w:r>
      <w:proofErr w:type="gramStart"/>
      <w:r w:rsidR="002F005F" w:rsidRPr="00CF1B34">
        <w:rPr>
          <w:rFonts w:ascii="Arial" w:hAnsi="Arial" w:cs="Arial"/>
          <w:color w:val="000000" w:themeColor="text1"/>
          <w:sz w:val="22"/>
          <w:szCs w:val="22"/>
          <w:lang w:val="es-ES_tradnl"/>
        </w:rPr>
        <w:t>B(</w:t>
      </w:r>
      <w:proofErr w:type="gramEnd"/>
      <w:r w:rsidR="002F005F" w:rsidRPr="00CF1B34">
        <w:rPr>
          <w:rFonts w:ascii="Arial" w:hAnsi="Arial" w:cs="Arial"/>
          <w:color w:val="000000" w:themeColor="text1"/>
          <w:sz w:val="22"/>
          <w:szCs w:val="22"/>
          <w:lang w:val="es-ES_tradnl"/>
        </w:rPr>
        <w:t xml:space="preserve">Rm – Rf) </w:t>
      </w:r>
    </w:p>
    <w:p w14:paraId="5077FC63" w14:textId="4D336F3E" w:rsidR="00F54D49" w:rsidRPr="00CF1B34" w:rsidRDefault="00F54D49"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Carencia parcial</w:t>
      </w:r>
    </w:p>
    <w:p w14:paraId="1843CE1E" w14:textId="77777777" w:rsidR="00836DFF" w:rsidRPr="00CF1B34" w:rsidRDefault="00F54D49" w:rsidP="0005621A">
      <w:pPr>
        <w:pStyle w:val="NormalWeb"/>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 xml:space="preserve">En el momento de solicitar un préstamo o un crédito, bien sea personal o para una empresa, éste deberá proporcionarte, en todo momento el plan de amortización que deberás asumir por dicha operación. Este plan de amortización tiene algunas variables, como el plazo de amortización, las cuotas a pagar cada mes, el tipo de comisiones y el porcentaje de interés establecido a la hora de aceptar el préstamo. </w:t>
      </w:r>
    </w:p>
    <w:p w14:paraId="0DAB013B" w14:textId="1746F579" w:rsidR="00F54D49" w:rsidRPr="00CF1B34" w:rsidRDefault="00F54D49" w:rsidP="0005621A">
      <w:pPr>
        <w:pStyle w:val="NormalWeb"/>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periodo de carencia parcial se establece cuando el cliente que ha solicitado un préstamo pide a la entidad financiera pagar sólo los intereses mensuales, aplazando con ello, la amortización mensual de la cuota. A diferencia con el tipo de carencia total, donde el cliente no asume el pago de la cuota del capital prestado ni la parte proporcional a los intereses o comisiones, en la carencia parcial se van abonando parte de los compromisos financieros establecidos a la hora de aprobar la transacción.</w:t>
      </w:r>
    </w:p>
    <w:p w14:paraId="3AF7E0A1" w14:textId="77777777" w:rsidR="00900C46" w:rsidRPr="00CF1B34" w:rsidRDefault="00F54D49" w:rsidP="0005621A">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191B1C"/>
          <w:sz w:val="22"/>
          <w:szCs w:val="22"/>
          <w:lang w:val="es-ES_tradnl"/>
        </w:rPr>
        <w:t>Es importante recordar que, tanto la carencia parcial como la carencia total, se pueden solicitar en cualquier momento de la vida del préstamo, aunque, lo más recomendable, es hacerlo al principio ya que, de esta manera, la cuota mensual inicial será más baja y, por lo tanto, será más sencillo acceder a ella o asumir por parte el cliente.</w:t>
      </w:r>
    </w:p>
    <w:p w14:paraId="7FCD4C25" w14:textId="77777777" w:rsidR="00900C46" w:rsidRPr="00CF1B34" w:rsidRDefault="00900C46" w:rsidP="0005621A">
      <w:pPr>
        <w:pStyle w:val="Ttulo2"/>
        <w:shd w:val="clear" w:color="auto" w:fill="FFFFFF"/>
        <w:spacing w:before="0" w:beforeAutospacing="0" w:after="0" w:afterAutospacing="0"/>
        <w:jc w:val="both"/>
        <w:rPr>
          <w:rFonts w:ascii="Arial" w:hAnsi="Arial" w:cs="Arial"/>
          <w:color w:val="2F5496" w:themeColor="accent1" w:themeShade="BF"/>
          <w:sz w:val="24"/>
          <w:szCs w:val="24"/>
          <w:lang w:val="es-ES_tradnl"/>
        </w:rPr>
      </w:pPr>
      <w:r w:rsidRPr="00CF1B34">
        <w:rPr>
          <w:rFonts w:ascii="Arial" w:hAnsi="Arial" w:cs="Arial"/>
          <w:color w:val="2F5496" w:themeColor="accent1" w:themeShade="BF"/>
          <w:sz w:val="24"/>
          <w:szCs w:val="24"/>
          <w:lang w:val="es-ES_tradnl"/>
        </w:rPr>
        <w:t>Carencia total</w:t>
      </w:r>
    </w:p>
    <w:p w14:paraId="01EF3642" w14:textId="51013D8B" w:rsidR="00900C46" w:rsidRPr="00CF1B34" w:rsidRDefault="00900C46" w:rsidP="0005621A">
      <w:pPr>
        <w:pStyle w:val="NormalWeb"/>
        <w:shd w:val="clear" w:color="auto" w:fill="FFFFFF"/>
        <w:spacing w:before="0" w:beforeAutospacing="0"/>
        <w:ind w:left="708"/>
        <w:jc w:val="both"/>
        <w:rPr>
          <w:rFonts w:ascii="Arial" w:hAnsi="Arial" w:cs="Arial"/>
          <w:color w:val="191B1C"/>
          <w:lang w:val="es-ES_tradnl"/>
        </w:rPr>
      </w:pPr>
      <w:r w:rsidRPr="00CF1B34">
        <w:rPr>
          <w:rFonts w:ascii="Arial" w:hAnsi="Arial" w:cs="Arial"/>
          <w:color w:val="191B1C"/>
          <w:lang w:val="es-ES_tradnl"/>
        </w:rPr>
        <w:t>Un préstamo de carencia total es aquel que, durante un cierto periodo de tiempo, permite a su titular aplazar el pago de las cuotas del préstamo durante un periodo de tiempo pactado.</w:t>
      </w:r>
    </w:p>
    <w:p w14:paraId="175B33F6" w14:textId="77777777" w:rsidR="00900C46" w:rsidRPr="00CF1B34" w:rsidRDefault="00900C46" w:rsidP="0005621A">
      <w:pPr>
        <w:pStyle w:val="NormalWeb"/>
        <w:shd w:val="clear" w:color="auto" w:fill="FFFFFF"/>
        <w:spacing w:before="0" w:beforeAutospacing="0"/>
        <w:ind w:left="708"/>
        <w:jc w:val="both"/>
        <w:rPr>
          <w:rFonts w:ascii="Arial" w:hAnsi="Arial" w:cs="Arial"/>
          <w:color w:val="191B1C"/>
          <w:lang w:val="es-ES_tradnl"/>
        </w:rPr>
      </w:pPr>
      <w:r w:rsidRPr="00CF1B34">
        <w:rPr>
          <w:rFonts w:ascii="Arial" w:hAnsi="Arial" w:cs="Arial"/>
          <w:color w:val="191B1C"/>
          <w:lang w:val="es-ES_tradnl"/>
        </w:rPr>
        <w:t>La carencia es un recurso que puede ser de utilidad en determinadas circunstancias, aunque muy excepcionales, ya que tiene repercusiones sobre el pago futuro del préstamo.</w:t>
      </w:r>
    </w:p>
    <w:p w14:paraId="20E53451" w14:textId="77777777" w:rsidR="00900C46" w:rsidRPr="00CF1B34" w:rsidRDefault="00900C46" w:rsidP="0005621A">
      <w:pPr>
        <w:pStyle w:val="NormalWeb"/>
        <w:shd w:val="clear" w:color="auto" w:fill="FFFFFF"/>
        <w:spacing w:before="0" w:beforeAutospacing="0"/>
        <w:ind w:left="708"/>
        <w:jc w:val="both"/>
        <w:rPr>
          <w:rFonts w:ascii="Arial" w:hAnsi="Arial" w:cs="Arial"/>
          <w:color w:val="191B1C"/>
          <w:lang w:val="es-ES_tradnl"/>
        </w:rPr>
      </w:pPr>
      <w:r w:rsidRPr="00CF1B34">
        <w:rPr>
          <w:rFonts w:ascii="Arial" w:hAnsi="Arial" w:cs="Arial"/>
          <w:color w:val="191B1C"/>
          <w:lang w:val="es-ES_tradnl"/>
        </w:rPr>
        <w:t>Una persona que ha solicitado un préstamo por importe determinado podrá disfrutar de un cierto periodo de tiempo en el que no paga los términos y condiciones de amortización por el préstamo: ni la cuota mensual, ni los intereses o comisiones aplicados a dicha operación.</w:t>
      </w:r>
    </w:p>
    <w:p w14:paraId="25B45E43" w14:textId="77777777" w:rsidR="00900C46" w:rsidRPr="00CF1B34" w:rsidRDefault="00900C46" w:rsidP="0005621A">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191B1C"/>
          <w:lang w:val="es-ES_tradnl"/>
        </w:rPr>
        <w:t>Sin embargo, hay que tener muy claro que esto no significa que la entidad financiera perdone o no cobre ese dinero de amortización durante el período en el</w:t>
      </w:r>
    </w:p>
    <w:p w14:paraId="4D696C59" w14:textId="11BDF5B1" w:rsidR="00F12E79" w:rsidRPr="00CF1B34" w:rsidRDefault="00F12E79" w:rsidP="0005621A">
      <w:pPr>
        <w:pStyle w:val="Ttulo2"/>
        <w:shd w:val="clear" w:color="auto" w:fill="FFFFFF"/>
        <w:spacing w:before="0" w:beforeAutospacing="0" w:after="0" w:afterAutospacing="0"/>
        <w:jc w:val="both"/>
        <w:rPr>
          <w:rFonts w:ascii="Arial" w:hAnsi="Arial" w:cs="Arial"/>
          <w:color w:val="2F5496" w:themeColor="accent1" w:themeShade="BF"/>
          <w:sz w:val="24"/>
          <w:szCs w:val="24"/>
          <w:lang w:val="es-ES_tradnl"/>
        </w:rPr>
      </w:pPr>
      <w:r w:rsidRPr="00CF1B34">
        <w:rPr>
          <w:rFonts w:ascii="Arial" w:hAnsi="Arial" w:cs="Arial"/>
          <w:color w:val="2F5496" w:themeColor="accent1" w:themeShade="BF"/>
          <w:sz w:val="24"/>
          <w:szCs w:val="24"/>
          <w:lang w:val="es-ES_tradnl"/>
        </w:rPr>
        <w:t>Cargas hipotecarias</w:t>
      </w:r>
    </w:p>
    <w:p w14:paraId="79293914" w14:textId="77777777" w:rsidR="009103CA" w:rsidRPr="00CF1B34" w:rsidRDefault="00F12E79" w:rsidP="0005621A">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191B1C"/>
          <w:lang w:val="es-ES_tradnl"/>
        </w:rPr>
        <w:t>Las </w:t>
      </w:r>
      <w:r w:rsidRPr="00CF1B34">
        <w:rPr>
          <w:rStyle w:val="Textoennegrita"/>
          <w:rFonts w:ascii="Arial" w:hAnsi="Arial" w:cs="Arial"/>
          <w:color w:val="191B1C"/>
          <w:lang w:val="es-ES_tradnl"/>
        </w:rPr>
        <w:t>cargas hipotecarias</w:t>
      </w:r>
      <w:r w:rsidRPr="00CF1B34">
        <w:rPr>
          <w:rFonts w:ascii="Arial" w:hAnsi="Arial" w:cs="Arial"/>
          <w:color w:val="191B1C"/>
          <w:lang w:val="es-ES_tradnl"/>
        </w:rPr>
        <w:t xml:space="preserve"> son las obligaciones económicas que un inmueble lleva consigo, y que se transmiten a quien lo adquiere. Las cargas hipotecarias suponen una limitación del uso y de la propiedad y pueden pasar de un propietario a otro </w:t>
      </w:r>
      <w:r w:rsidRPr="00CF1B34">
        <w:rPr>
          <w:rFonts w:ascii="Arial" w:hAnsi="Arial" w:cs="Arial"/>
          <w:color w:val="191B1C"/>
          <w:lang w:val="es-ES_tradnl"/>
        </w:rPr>
        <w:lastRenderedPageBreak/>
        <w:t>cuando se produce una operación de compraventa, por eso antes de dar el paso de comprar una casa hay que comprobar que esté libre de ellas; en caso contrario, la compraventa no podrá llevarse a cabo.</w:t>
      </w:r>
    </w:p>
    <w:p w14:paraId="0F6B35E9" w14:textId="7B50EB8E" w:rsidR="00BD0C4A" w:rsidRPr="00CF1B34" w:rsidRDefault="00BD0C4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Carry Trade</w:t>
      </w:r>
    </w:p>
    <w:p w14:paraId="66CFCD5F" w14:textId="77777777" w:rsidR="001C126B" w:rsidRPr="00CF1B34" w:rsidRDefault="00BD0C4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El </w:t>
      </w:r>
      <w:r w:rsidRPr="00CF1B34">
        <w:rPr>
          <w:rStyle w:val="Textoennegrita"/>
          <w:rFonts w:ascii="Arial" w:hAnsi="Arial" w:cs="Arial"/>
          <w:color w:val="333333"/>
          <w:sz w:val="22"/>
          <w:szCs w:val="22"/>
          <w:shd w:val="clear" w:color="auto" w:fill="FFFFFF"/>
          <w:lang w:val="es-ES_tradnl"/>
        </w:rPr>
        <w:t>Carry Trade </w:t>
      </w:r>
      <w:r w:rsidRPr="00CF1B34">
        <w:rPr>
          <w:rFonts w:ascii="Arial" w:hAnsi="Arial" w:cs="Arial"/>
          <w:color w:val="333333"/>
          <w:sz w:val="22"/>
          <w:szCs w:val="22"/>
          <w:shd w:val="clear" w:color="auto" w:fill="FFFFFF"/>
          <w:lang w:val="es-ES_tradnl"/>
        </w:rPr>
        <w:t>o Trafico de Divisas es una técnica que los grandes inversores llevan practicando en el </w:t>
      </w:r>
      <w:r w:rsidRPr="00CF1B34">
        <w:rPr>
          <w:rStyle w:val="Textoennegrita"/>
          <w:rFonts w:ascii="Arial" w:hAnsi="Arial" w:cs="Arial"/>
          <w:color w:val="333333"/>
          <w:sz w:val="22"/>
          <w:szCs w:val="22"/>
          <w:shd w:val="clear" w:color="auto" w:fill="FFFFFF"/>
          <w:lang w:val="es-ES_tradnl"/>
        </w:rPr>
        <w:t>Mercado Forex</w:t>
      </w:r>
      <w:r w:rsidRPr="00CF1B34">
        <w:rPr>
          <w:rFonts w:ascii="Arial" w:hAnsi="Arial" w:cs="Arial"/>
          <w:color w:val="333333"/>
          <w:sz w:val="22"/>
          <w:szCs w:val="22"/>
          <w:shd w:val="clear" w:color="auto" w:fill="FFFFFF"/>
          <w:lang w:val="es-ES_tradnl"/>
        </w:rPr>
        <w:t> desde sus inicios. Esta práctica consiste en solicitar </w:t>
      </w:r>
      <w:hyperlink r:id="rId93" w:history="1">
        <w:r w:rsidRPr="00CF1B34">
          <w:rPr>
            <w:rStyle w:val="Hipervnculo"/>
            <w:rFonts w:ascii="Arial" w:hAnsi="Arial" w:cs="Arial"/>
            <w:color w:val="DC143C"/>
            <w:sz w:val="22"/>
            <w:szCs w:val="22"/>
            <w:u w:val="none"/>
            <w:shd w:val="clear" w:color="auto" w:fill="FFFFFF"/>
            <w:lang w:val="es-ES_tradnl"/>
          </w:rPr>
          <w:t>préstamos </w:t>
        </w:r>
      </w:hyperlink>
      <w:r w:rsidRPr="00CF1B34">
        <w:rPr>
          <w:rFonts w:ascii="Arial" w:hAnsi="Arial" w:cs="Arial"/>
          <w:color w:val="333333"/>
          <w:sz w:val="22"/>
          <w:szCs w:val="22"/>
          <w:shd w:val="clear" w:color="auto" w:fill="FFFFFF"/>
          <w:lang w:val="es-ES_tradnl"/>
        </w:rPr>
        <w:t>en una divisa débil, con tipos de interés bajo, e invertir el capital en otra divisa con alta rentabilidad. El inversor de esta forma apuesta a que una de las divisas se va a apreciar (divisa de inversión) respecto a la otra más económica (divisa de financiación), es decir que nos financiamos a un bajo cost</w:t>
      </w:r>
      <w:r w:rsidR="001C126B" w:rsidRPr="00CF1B34">
        <w:rPr>
          <w:rFonts w:ascii="Arial" w:hAnsi="Arial" w:cs="Arial"/>
          <w:color w:val="333333"/>
          <w:sz w:val="22"/>
          <w:szCs w:val="22"/>
          <w:shd w:val="clear" w:color="auto" w:fill="FFFFFF"/>
          <w:lang w:val="es-ES_tradnl"/>
        </w:rPr>
        <w:t>e.</w:t>
      </w:r>
    </w:p>
    <w:p w14:paraId="068C3979" w14:textId="16B8ACA1"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Cartera de valores</w:t>
      </w:r>
    </w:p>
    <w:p w14:paraId="4C857DD8"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activos financieros que posee una persona física o jurídica (acciones, bonos, fondos de inversión...). Su composición dependerá del perfil de riesgo del inversor y de sus preferencias por determinados mercados, sectores, etc. En general, la diversificación entre productos y sectores puede contribuir a controlar el riesgo asumido.</w:t>
      </w:r>
    </w:p>
    <w:p w14:paraId="3839ABB9" w14:textId="7B9FDA19"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Cartera indexada</w:t>
      </w:r>
    </w:p>
    <w:p w14:paraId="177DB366" w14:textId="1C86A615"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Cartera de valores en cuya composición se ajusta el peso de los distintos activos financieros, con el objetivo de que reproduzca el comportamiento de un índice de referencia (</w:t>
      </w:r>
      <w:r w:rsidRPr="00CF1B34">
        <w:rPr>
          <w:rFonts w:ascii="Arial" w:hAnsi="Arial" w:cs="Arial"/>
          <w:color w:val="2F5496" w:themeColor="accent1" w:themeShade="BF"/>
          <w:sz w:val="22"/>
          <w:szCs w:val="22"/>
          <w:lang w:val="es-ES_tradnl"/>
        </w:rPr>
        <w:t>benchmark). Ver</w:t>
      </w:r>
      <w:r w:rsidR="001C126B" w:rsidRPr="00CF1B34">
        <w:rPr>
          <w:rFonts w:ascii="Arial" w:hAnsi="Arial" w:cs="Arial"/>
          <w:color w:val="2F5496" w:themeColor="accent1" w:themeShade="BF"/>
          <w:sz w:val="22"/>
          <w:szCs w:val="22"/>
          <w:lang w:val="es-ES_tradnl"/>
        </w:rPr>
        <w:t xml:space="preserve"> </w:t>
      </w:r>
      <w:hyperlink r:id="rId94" w:tgtFrame="_self" w:history="1">
        <w:r w:rsidRPr="00CF1B34">
          <w:rPr>
            <w:rFonts w:ascii="Arial" w:hAnsi="Arial" w:cs="Arial"/>
            <w:b/>
            <w:bCs/>
            <w:color w:val="2F5496" w:themeColor="accent1" w:themeShade="BF"/>
            <w:sz w:val="22"/>
            <w:szCs w:val="22"/>
            <w:u w:val="single"/>
            <w:lang w:val="es-ES_tradnl"/>
          </w:rPr>
          <w:t>Benchmark</w:t>
        </w:r>
      </w:hyperlink>
      <w:r w:rsidRPr="00CF1B34">
        <w:rPr>
          <w:rFonts w:ascii="Arial" w:hAnsi="Arial" w:cs="Arial"/>
          <w:color w:val="2F5496" w:themeColor="accent1" w:themeShade="BF"/>
          <w:sz w:val="22"/>
          <w:szCs w:val="22"/>
          <w:lang w:val="es-ES_tradnl"/>
        </w:rPr>
        <w:t>. </w:t>
      </w:r>
    </w:p>
    <w:p w14:paraId="4C5805B4"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Cartera óptima</w:t>
      </w:r>
    </w:p>
    <w:p w14:paraId="67DFA653"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combinación de valores que maximiza el rendimiento, para un nivel de riesgo determinado.</w:t>
      </w:r>
    </w:p>
    <w:p w14:paraId="09FCB97D"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Cash-flow</w:t>
      </w:r>
    </w:p>
    <w:p w14:paraId="3F64A323"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Ver </w:t>
      </w:r>
      <w:hyperlink r:id="rId95" w:tgtFrame="_self" w:history="1">
        <w:r w:rsidRPr="00CF1B34">
          <w:rPr>
            <w:rFonts w:ascii="Arial" w:hAnsi="Arial" w:cs="Arial"/>
            <w:b/>
            <w:bCs/>
            <w:color w:val="2F5496" w:themeColor="accent1" w:themeShade="BF"/>
            <w:sz w:val="22"/>
            <w:szCs w:val="22"/>
            <w:u w:val="single"/>
            <w:lang w:val="es-ES_tradnl"/>
          </w:rPr>
          <w:t>flujo de caja</w:t>
        </w:r>
      </w:hyperlink>
      <w:r w:rsidRPr="00CF1B34">
        <w:rPr>
          <w:rFonts w:ascii="Arial" w:hAnsi="Arial" w:cs="Arial"/>
          <w:color w:val="2F5496" w:themeColor="accent1" w:themeShade="BF"/>
          <w:sz w:val="22"/>
          <w:szCs w:val="22"/>
          <w:lang w:val="es-ES_tradnl"/>
        </w:rPr>
        <w:t>.</w:t>
      </w:r>
    </w:p>
    <w:p w14:paraId="7973E959" w14:textId="7ACF3026" w:rsidR="0077122F" w:rsidRPr="00CF1B34" w:rsidRDefault="00771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Cash-flow disponible para el accionista</w:t>
      </w:r>
    </w:p>
    <w:p w14:paraId="5E829DD8" w14:textId="77777777" w:rsidR="00760A4D" w:rsidRPr="00CF1B34" w:rsidRDefault="00601C9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Flujo de fondos que queda disponible a la empresa para retribuir a sus accionistas. Este flujo se calcula a partir del cash flow libre</w:t>
      </w:r>
      <w:r w:rsidR="00760A4D"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al que hay que restarle los intereses (después de impuestos, los pagos</w:t>
      </w:r>
      <w:r w:rsidR="00760A4D"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de principal y sumarle</w:t>
      </w:r>
      <w:r w:rsidR="00760A4D"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la n</w:t>
      </w:r>
      <w:r w:rsidR="00760A4D" w:rsidRPr="00CF1B34">
        <w:rPr>
          <w:rFonts w:ascii="Arial" w:hAnsi="Arial" w:cs="Arial"/>
          <w:color w:val="000000" w:themeColor="text1"/>
          <w:sz w:val="22"/>
          <w:szCs w:val="22"/>
          <w:lang w:val="es-ES_tradnl"/>
        </w:rPr>
        <w:t>u</w:t>
      </w:r>
      <w:r w:rsidRPr="00CF1B34">
        <w:rPr>
          <w:rFonts w:ascii="Arial" w:hAnsi="Arial" w:cs="Arial"/>
          <w:color w:val="000000" w:themeColor="text1"/>
          <w:sz w:val="22"/>
          <w:szCs w:val="22"/>
          <w:lang w:val="es-ES_tradnl"/>
        </w:rPr>
        <w:t>eva</w:t>
      </w:r>
      <w:r w:rsidR="00760A4D" w:rsidRPr="00CF1B34">
        <w:rPr>
          <w:rFonts w:ascii="Arial" w:hAnsi="Arial" w:cs="Arial"/>
          <w:color w:val="000000" w:themeColor="text1"/>
          <w:sz w:val="22"/>
          <w:szCs w:val="22"/>
          <w:lang w:val="es-ES_tradnl"/>
        </w:rPr>
        <w:t xml:space="preserve"> deuda. Si se calcula el valor de una empresa a partir de los flujos de fondos disponibles para el accionista, la tasa se descuento apropiada será el coste del capital (Ke), ya que en realidad lo que se esta valorando son las acciones de la empresa al haber eliminado de los flujos de fondos la carga financiera de la compañía (ver coste de capital) </w:t>
      </w:r>
    </w:p>
    <w:p w14:paraId="3006E995" w14:textId="378C02C2" w:rsidR="0077122F" w:rsidRPr="00CF1B34" w:rsidRDefault="00771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Cash-flow </w:t>
      </w:r>
      <w:r w:rsidR="001C126B" w:rsidRPr="00CF1B34">
        <w:rPr>
          <w:rFonts w:ascii="Arial" w:hAnsi="Arial" w:cs="Arial"/>
          <w:b/>
          <w:bCs/>
          <w:color w:val="004773"/>
          <w:sz w:val="22"/>
          <w:szCs w:val="22"/>
          <w:lang w:val="es-ES_tradnl"/>
        </w:rPr>
        <w:t xml:space="preserve">explotación </w:t>
      </w:r>
    </w:p>
    <w:p w14:paraId="7CB385DF" w14:textId="77777777" w:rsidR="00736451" w:rsidRPr="00CF1B34" w:rsidRDefault="00760A4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Flujo de caja de la empresa que refleja los cobros y pagos (entradas y salidas de dinero) del negocio en un periodo de tiempo determinado. Se diferencia de la cuenta de resultados en que esta responde a criterios contables y, por tanto</w:t>
      </w:r>
      <w:r w:rsidR="00736451" w:rsidRPr="00CF1B34">
        <w:rPr>
          <w:rFonts w:ascii="Arial" w:hAnsi="Arial" w:cs="Arial"/>
          <w:color w:val="000000" w:themeColor="text1"/>
          <w:sz w:val="22"/>
          <w:szCs w:val="22"/>
          <w:lang w:val="es-ES_tradnl"/>
        </w:rPr>
        <w:t>, se incluyen partidas que no corresponden a entradas y salidas de caja como las amortizaciones y las provisiones</w:t>
      </w:r>
    </w:p>
    <w:p w14:paraId="12D34E6F" w14:textId="62C5CDA6"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Cash-flow por acción</w:t>
      </w:r>
    </w:p>
    <w:p w14:paraId="4F74AE32"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Ratio que relaciona los fondos generados por la empresa con el número de acciones. Los fondos generados suelen definirse como el beneficio neto más las amortizaciones. </w:t>
      </w:r>
      <w:hyperlink r:id="rId96" w:tgtFrame="_self" w:history="1">
        <w:r w:rsidRPr="00CF1B34">
          <w:rPr>
            <w:rFonts w:ascii="Arial" w:hAnsi="Arial" w:cs="Arial"/>
            <w:b/>
            <w:bCs/>
            <w:color w:val="2F5496" w:themeColor="accent1" w:themeShade="BF"/>
            <w:sz w:val="22"/>
            <w:szCs w:val="22"/>
            <w:u w:val="single"/>
            <w:lang w:val="es-ES_tradnl"/>
          </w:rPr>
          <w:t>Ver ratio bursátil</w:t>
        </w:r>
      </w:hyperlink>
      <w:r w:rsidRPr="00CF1B34">
        <w:rPr>
          <w:rFonts w:ascii="Arial" w:hAnsi="Arial" w:cs="Arial"/>
          <w:color w:val="2F5496" w:themeColor="accent1" w:themeShade="BF"/>
          <w:sz w:val="22"/>
          <w:szCs w:val="22"/>
          <w:lang w:val="es-ES_tradnl"/>
        </w:rPr>
        <w:t>.</w:t>
      </w:r>
    </w:p>
    <w:p w14:paraId="765C90C8" w14:textId="33C743A6" w:rsidR="0077122F" w:rsidRPr="00CF1B34" w:rsidRDefault="00771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CAT</w:t>
      </w:r>
    </w:p>
    <w:p w14:paraId="092B71EA" w14:textId="77777777" w:rsidR="00736451" w:rsidRPr="00CF1B34" w:rsidRDefault="0073645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Cotización asistida de forma continuada </w:t>
      </w:r>
    </w:p>
    <w:p w14:paraId="784C4FD2" w14:textId="3BB6A166" w:rsidR="00664A9D" w:rsidRPr="00CF1B34" w:rsidRDefault="00664A9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Catastro inmobiliario </w:t>
      </w:r>
    </w:p>
    <w:p w14:paraId="24EAE27B" w14:textId="772C0839" w:rsidR="00664A9D" w:rsidRPr="00CF1B34" w:rsidRDefault="00664A9D" w:rsidP="0005621A">
      <w:pPr>
        <w:pStyle w:val="NormalWeb"/>
        <w:shd w:val="clear" w:color="auto" w:fill="FFFFFF"/>
        <w:spacing w:before="0" w:beforeAutospacing="0" w:after="165" w:afterAutospacing="0"/>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 xml:space="preserve">El catastro inmobiliario es un </w:t>
      </w:r>
      <w:hyperlink r:id="rId97" w:history="1">
        <w:r w:rsidRPr="00CF1B34">
          <w:rPr>
            <w:rStyle w:val="Hipervnculo"/>
            <w:rFonts w:ascii="Arial" w:hAnsi="Arial" w:cs="Arial"/>
            <w:b/>
            <w:bCs/>
            <w:color w:val="DC143C"/>
            <w:sz w:val="22"/>
            <w:szCs w:val="22"/>
            <w:lang w:val="es-ES_tradnl"/>
          </w:rPr>
          <w:t>registro</w:t>
        </w:r>
      </w:hyperlink>
      <w:r w:rsidRPr="00CF1B34">
        <w:rPr>
          <w:rStyle w:val="Textoennegrita"/>
          <w:rFonts w:ascii="Arial" w:hAnsi="Arial" w:cs="Arial"/>
          <w:color w:val="333333"/>
          <w:sz w:val="22"/>
          <w:szCs w:val="22"/>
          <w:lang w:val="es-ES_tradnl"/>
        </w:rPr>
        <w:t xml:space="preserve"> en el cual se describen los bienes inmuebles rústicos, urbanos y de características especiales</w:t>
      </w:r>
      <w:r w:rsidRPr="00CF1B34">
        <w:rPr>
          <w:rFonts w:ascii="Arial" w:hAnsi="Arial" w:cs="Arial"/>
          <w:color w:val="333333"/>
          <w:sz w:val="22"/>
          <w:szCs w:val="22"/>
          <w:lang w:val="es-ES_tradnl"/>
        </w:rPr>
        <w:t>. Este registro depende del Estado y tiene el objeto de dar base para el planeamiento urbano, calcular las contribuciones correspondientes y otorgar seguridad jurídica.</w:t>
      </w:r>
    </w:p>
    <w:p w14:paraId="61FF55A2" w14:textId="77777777" w:rsidR="00664A9D" w:rsidRPr="00CF1B34" w:rsidRDefault="00664A9D" w:rsidP="0005621A">
      <w:pPr>
        <w:pStyle w:val="NormalWeb"/>
        <w:shd w:val="clear" w:color="auto" w:fill="FFFFFF"/>
        <w:spacing w:before="0" w:beforeAutospacing="0" w:after="165" w:afterAutospacing="0"/>
        <w:jc w:val="both"/>
        <w:rPr>
          <w:rFonts w:ascii="Arial" w:hAnsi="Arial" w:cs="Arial"/>
          <w:color w:val="333333"/>
          <w:sz w:val="22"/>
          <w:szCs w:val="22"/>
          <w:lang w:val="es-ES_tradnl"/>
        </w:rPr>
      </w:pPr>
      <w:r w:rsidRPr="00CF1B34">
        <w:rPr>
          <w:rFonts w:ascii="Arial" w:hAnsi="Arial" w:cs="Arial"/>
          <w:color w:val="333333"/>
          <w:sz w:val="22"/>
          <w:szCs w:val="22"/>
          <w:lang w:val="es-ES_tradnl"/>
        </w:rPr>
        <w:t>El catastro se divide en:</w:t>
      </w:r>
    </w:p>
    <w:p w14:paraId="1B851699" w14:textId="77777777" w:rsidR="00664A9D" w:rsidRPr="00CF1B34" w:rsidRDefault="00664A9D" w:rsidP="004F7A62">
      <w:pPr>
        <w:numPr>
          <w:ilvl w:val="0"/>
          <w:numId w:val="106"/>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Fiscal</w:t>
      </w:r>
      <w:r w:rsidRPr="00CF1B34">
        <w:rPr>
          <w:rFonts w:ascii="Arial" w:hAnsi="Arial" w:cs="Arial"/>
          <w:color w:val="333333"/>
          <w:sz w:val="22"/>
          <w:szCs w:val="22"/>
          <w:lang w:val="es-ES_tradnl"/>
        </w:rPr>
        <w:t>: fijación del valor de los bienes con objetivo tributario.</w:t>
      </w:r>
    </w:p>
    <w:p w14:paraId="5BC0B0E4" w14:textId="77777777" w:rsidR="00664A9D" w:rsidRPr="00CF1B34" w:rsidRDefault="00664A9D" w:rsidP="004F7A62">
      <w:pPr>
        <w:numPr>
          <w:ilvl w:val="0"/>
          <w:numId w:val="106"/>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Jurídico</w:t>
      </w:r>
      <w:r w:rsidRPr="00CF1B34">
        <w:rPr>
          <w:rFonts w:ascii="Arial" w:hAnsi="Arial" w:cs="Arial"/>
          <w:color w:val="333333"/>
          <w:sz w:val="22"/>
          <w:szCs w:val="22"/>
          <w:lang w:val="es-ES_tradnl"/>
        </w:rPr>
        <w:t>: relaciona al propietario y a la propiedad.</w:t>
      </w:r>
    </w:p>
    <w:p w14:paraId="0A4EF558" w14:textId="77777777" w:rsidR="00664A9D" w:rsidRPr="00CF1B34" w:rsidRDefault="00664A9D" w:rsidP="004F7A62">
      <w:pPr>
        <w:numPr>
          <w:ilvl w:val="0"/>
          <w:numId w:val="106"/>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Geométrico</w:t>
      </w:r>
      <w:r w:rsidRPr="00CF1B34">
        <w:rPr>
          <w:rFonts w:ascii="Arial" w:hAnsi="Arial" w:cs="Arial"/>
          <w:color w:val="333333"/>
          <w:sz w:val="22"/>
          <w:szCs w:val="22"/>
          <w:lang w:val="es-ES_tradnl"/>
        </w:rPr>
        <w:t>: medición, representación, subdivisión y ubicación del bien.</w:t>
      </w:r>
    </w:p>
    <w:p w14:paraId="1226F4A2" w14:textId="77777777" w:rsidR="00664A9D" w:rsidRPr="00CF1B34" w:rsidRDefault="00664A9D" w:rsidP="0005621A">
      <w:pPr>
        <w:pStyle w:val="NormalWeb"/>
        <w:shd w:val="clear" w:color="auto" w:fill="FFFFFF"/>
        <w:spacing w:before="0" w:beforeAutospacing="0" w:after="165" w:afterAutospacing="0"/>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En España, este registro depende del Ministerio de Economía y Hacienda</w:t>
      </w:r>
      <w:r w:rsidRPr="00CF1B34">
        <w:rPr>
          <w:rFonts w:ascii="Arial" w:hAnsi="Arial" w:cs="Arial"/>
          <w:color w:val="333333"/>
          <w:sz w:val="22"/>
          <w:szCs w:val="22"/>
          <w:lang w:val="es-ES_tradnl"/>
        </w:rPr>
        <w:t>. Asimismo, los datos contenidos en el Catastro Inmobiliario se presumen ciertos.</w:t>
      </w:r>
    </w:p>
    <w:p w14:paraId="2E610424" w14:textId="77777777" w:rsidR="00664A9D" w:rsidRPr="00CF1B34" w:rsidRDefault="00664A9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Debido a lo mencionado precedentemente, </w:t>
      </w:r>
      <w:r w:rsidRPr="00CF1B34">
        <w:rPr>
          <w:rStyle w:val="Textoennegrita"/>
          <w:rFonts w:ascii="Arial" w:hAnsi="Arial" w:cs="Arial"/>
          <w:color w:val="333333"/>
          <w:sz w:val="22"/>
          <w:szCs w:val="22"/>
          <w:lang w:val="es-ES_tradnl"/>
        </w:rPr>
        <w:t>para la incorporación o modificación de características de los bienes se deben realizar pasos especificados</w:t>
      </w:r>
      <w:r w:rsidRPr="00CF1B34">
        <w:rPr>
          <w:rFonts w:ascii="Arial" w:hAnsi="Arial" w:cs="Arial"/>
          <w:color w:val="333333"/>
          <w:sz w:val="22"/>
          <w:szCs w:val="22"/>
          <w:lang w:val="es-ES_tradnl"/>
        </w:rPr>
        <w:t> por el registro a ser: declaraciones, comunicaciones, solicitudes, subsanación de discrepancias e inspecciones.</w:t>
      </w:r>
    </w:p>
    <w:p w14:paraId="0E2A1774" w14:textId="23A594CA" w:rsidR="0077122F" w:rsidRPr="00CF1B34" w:rsidRDefault="00771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CEBES (Certificado del Banco de España)</w:t>
      </w:r>
    </w:p>
    <w:p w14:paraId="4614DC22" w14:textId="1472538E" w:rsidR="0077122F" w:rsidRPr="00CF1B34" w:rsidRDefault="00736451" w:rsidP="0005621A">
      <w:pPr>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Depósitos que subasta el Banco de España cada diez días para fijar la política monetaria de nuestro país, inyectando o drenando liquidez en el sistema. Funciona de la siguiente manera:</w:t>
      </w:r>
    </w:p>
    <w:p w14:paraId="00FC1C85" w14:textId="59370870" w:rsidR="00736451" w:rsidRPr="00CF1B34" w:rsidRDefault="0030770A"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Las entidades solicitan un volumen de dinero a recibir.</w:t>
      </w:r>
    </w:p>
    <w:p w14:paraId="631CF420" w14:textId="3313ECE9" w:rsidR="0030770A" w:rsidRPr="00CF1B34" w:rsidRDefault="0030770A"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El BE determina cuanto dinero va a inyectar n el sistema o cuanto va a drenar.</w:t>
      </w:r>
    </w:p>
    <w:p w14:paraId="32AC23D3" w14:textId="77777777" w:rsidR="0030770A" w:rsidRPr="00CF1B34" w:rsidRDefault="0030770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BE ira concediendo los certificados hasta cubrir su objetivo y quedara fijado el tipo marginal resultante y el tipo medio.</w:t>
      </w:r>
    </w:p>
    <w:p w14:paraId="3AEBC000" w14:textId="01319559" w:rsidR="00DF429D" w:rsidRPr="00CF1B34" w:rsidRDefault="00DF429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Causas de despido </w:t>
      </w:r>
    </w:p>
    <w:p w14:paraId="0C99557D" w14:textId="0FD46B5B" w:rsidR="00DF429D" w:rsidRPr="00CF1B34" w:rsidRDefault="00DF429D" w:rsidP="0005621A">
      <w:pPr>
        <w:ind w:left="708"/>
        <w:jc w:val="both"/>
        <w:rPr>
          <w:rFonts w:ascii="Arial" w:hAnsi="Arial" w:cs="Arial"/>
          <w:sz w:val="22"/>
          <w:szCs w:val="22"/>
          <w:lang w:val="es-ES_tradnl"/>
        </w:rPr>
      </w:pPr>
      <w:r w:rsidRPr="00CF1B34">
        <w:rPr>
          <w:rFonts w:ascii="Arial" w:hAnsi="Arial" w:cs="Arial"/>
          <w:color w:val="4B4F58"/>
          <w:sz w:val="22"/>
          <w:szCs w:val="22"/>
          <w:shd w:val="clear" w:color="auto" w:fill="FEF1E5"/>
          <w:lang w:val="es-ES_tradnl"/>
        </w:rPr>
        <w:t>Entre los</w:t>
      </w:r>
      <w:r w:rsidR="0043491B" w:rsidRPr="00CF1B34">
        <w:rPr>
          <w:rFonts w:ascii="Arial" w:hAnsi="Arial" w:cs="Arial"/>
          <w:color w:val="4B4F58"/>
          <w:sz w:val="22"/>
          <w:szCs w:val="22"/>
          <w:shd w:val="clear" w:color="auto" w:fill="FEF1E5"/>
          <w:lang w:val="es-ES_tradnl"/>
        </w:rPr>
        <w:t xml:space="preserve"> </w:t>
      </w:r>
      <w:r w:rsidRPr="00CF1B34">
        <w:rPr>
          <w:rStyle w:val="Textoennegrita"/>
          <w:rFonts w:ascii="Arial" w:hAnsi="Arial" w:cs="Arial"/>
          <w:color w:val="4B4F58"/>
          <w:sz w:val="22"/>
          <w:szCs w:val="22"/>
          <w:shd w:val="clear" w:color="auto" w:fill="FEF1E5"/>
          <w:lang w:val="es-ES_tradnl"/>
        </w:rPr>
        <w:t>motivos de despido </w:t>
      </w:r>
      <w:r w:rsidRPr="00CF1B34">
        <w:rPr>
          <w:rFonts w:ascii="Arial" w:hAnsi="Arial" w:cs="Arial"/>
          <w:color w:val="4B4F58"/>
          <w:sz w:val="22"/>
          <w:szCs w:val="22"/>
          <w:shd w:val="clear" w:color="auto" w:fill="FEF1E5"/>
          <w:lang w:val="es-ES_tradnl"/>
        </w:rPr>
        <w:t>se puede distinguir entre las llamadas</w:t>
      </w:r>
      <w:r w:rsidR="0043491B" w:rsidRPr="00CF1B34">
        <w:rPr>
          <w:rFonts w:ascii="Arial" w:hAnsi="Arial" w:cs="Arial"/>
          <w:color w:val="4B4F58"/>
          <w:sz w:val="22"/>
          <w:szCs w:val="22"/>
          <w:shd w:val="clear" w:color="auto" w:fill="FEF1E5"/>
          <w:lang w:val="es-ES_tradnl"/>
        </w:rPr>
        <w:t xml:space="preserve"> </w:t>
      </w:r>
      <w:r w:rsidRPr="00CF1B34">
        <w:rPr>
          <w:rStyle w:val="Textoennegrita"/>
          <w:rFonts w:ascii="Arial" w:hAnsi="Arial" w:cs="Arial"/>
          <w:color w:val="4B4F58"/>
          <w:sz w:val="22"/>
          <w:szCs w:val="22"/>
          <w:shd w:val="clear" w:color="auto" w:fill="FEF1E5"/>
          <w:lang w:val="es-ES_tradnl"/>
        </w:rPr>
        <w:t>causas objetivas</w:t>
      </w:r>
      <w:r w:rsidRPr="00CF1B34">
        <w:rPr>
          <w:rFonts w:ascii="Arial" w:hAnsi="Arial" w:cs="Arial"/>
          <w:color w:val="4B4F58"/>
          <w:sz w:val="22"/>
          <w:szCs w:val="22"/>
          <w:shd w:val="clear" w:color="auto" w:fill="FEF1E5"/>
          <w:lang w:val="es-ES_tradnl"/>
        </w:rPr>
        <w:t> y las</w:t>
      </w:r>
      <w:r w:rsidR="0043491B" w:rsidRPr="00CF1B34">
        <w:rPr>
          <w:rFonts w:ascii="Arial" w:hAnsi="Arial" w:cs="Arial"/>
          <w:color w:val="4B4F58"/>
          <w:sz w:val="22"/>
          <w:szCs w:val="22"/>
          <w:shd w:val="clear" w:color="auto" w:fill="FEF1E5"/>
          <w:lang w:val="es-ES_tradnl"/>
        </w:rPr>
        <w:t xml:space="preserve"> </w:t>
      </w:r>
      <w:r w:rsidRPr="00CF1B34">
        <w:rPr>
          <w:rStyle w:val="Textoennegrita"/>
          <w:rFonts w:ascii="Arial" w:hAnsi="Arial" w:cs="Arial"/>
          <w:color w:val="4B4F58"/>
          <w:sz w:val="22"/>
          <w:szCs w:val="22"/>
          <w:shd w:val="clear" w:color="auto" w:fill="FEF1E5"/>
          <w:lang w:val="es-ES_tradnl"/>
        </w:rPr>
        <w:t>disciplinarias</w:t>
      </w:r>
      <w:r w:rsidRPr="00CF1B34">
        <w:rPr>
          <w:rFonts w:ascii="Arial" w:hAnsi="Arial" w:cs="Arial"/>
          <w:color w:val="4B4F58"/>
          <w:sz w:val="22"/>
          <w:szCs w:val="22"/>
          <w:shd w:val="clear" w:color="auto" w:fill="FEF1E5"/>
          <w:lang w:val="es-ES_tradnl"/>
        </w:rPr>
        <w:t>. La diferencia entre ambas se traslada después a la indemnización que el trabajador podrá percibir de la empresa, aunque no al paro, que siempre se mantendrá.</w:t>
      </w:r>
    </w:p>
    <w:p w14:paraId="555633D6" w14:textId="77777777" w:rsidR="00DF429D" w:rsidRPr="00CF1B34" w:rsidRDefault="00DF429D" w:rsidP="0005621A">
      <w:pPr>
        <w:pStyle w:val="Sinespaciado"/>
        <w:ind w:left="660"/>
        <w:jc w:val="both"/>
        <w:rPr>
          <w:rFonts w:ascii="Arial" w:hAnsi="Arial" w:cs="Arial"/>
          <w:sz w:val="22"/>
          <w:szCs w:val="22"/>
          <w:lang w:val="es-ES_tradnl"/>
        </w:rPr>
      </w:pPr>
      <w:r w:rsidRPr="00CF1B34">
        <w:rPr>
          <w:rFonts w:ascii="Arial" w:hAnsi="Arial" w:cs="Arial"/>
          <w:sz w:val="22"/>
          <w:szCs w:val="22"/>
          <w:lang w:val="es-ES_tradnl"/>
        </w:rPr>
        <w:t>Las causas objetivas por las que una empresa puede despedir a un trabajador son:</w:t>
      </w:r>
    </w:p>
    <w:p w14:paraId="670F6AF0" w14:textId="6BE8DE4B" w:rsidR="00DF429D" w:rsidRPr="00CF1B34" w:rsidRDefault="00DF429D" w:rsidP="004F7A62">
      <w:pPr>
        <w:numPr>
          <w:ilvl w:val="0"/>
          <w:numId w:val="107"/>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b/>
          <w:bCs/>
          <w:color w:val="4B4F58"/>
          <w:sz w:val="22"/>
          <w:szCs w:val="22"/>
          <w:lang w:val="es-ES_tradnl"/>
        </w:rPr>
        <w:t>Ineptitud del trabajador,</w:t>
      </w:r>
      <w:r w:rsidR="0043491B"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tanto si era conocida como sobrevenida con posterioridad tras su incorporación</w:t>
      </w:r>
    </w:p>
    <w:p w14:paraId="55865CFE" w14:textId="50F36456" w:rsidR="00DF429D" w:rsidRPr="00CF1B34" w:rsidRDefault="00DF429D" w:rsidP="004F7A62">
      <w:pPr>
        <w:numPr>
          <w:ilvl w:val="0"/>
          <w:numId w:val="107"/>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b/>
          <w:bCs/>
          <w:color w:val="4B4F58"/>
          <w:sz w:val="22"/>
          <w:szCs w:val="22"/>
          <w:lang w:val="es-ES_tradnl"/>
        </w:rPr>
        <w:t>Falta de adaptación del trabajador a las modificaciones técnicas en su puesto de trabajo</w:t>
      </w:r>
      <w:r w:rsidR="0043491B"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 las modificaciones deben de ser razonables para los conocimientos del trabajador y hay que concederle por lo menos dos meses para adaptarse a estos cambios, además de ofrecerle los medios para que lo logre.</w:t>
      </w:r>
    </w:p>
    <w:p w14:paraId="1EAA5404" w14:textId="24D1DCDC" w:rsidR="00DF429D" w:rsidRPr="00CF1B34" w:rsidRDefault="00DF429D" w:rsidP="004F7A62">
      <w:pPr>
        <w:numPr>
          <w:ilvl w:val="0"/>
          <w:numId w:val="107"/>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b/>
          <w:bCs/>
          <w:color w:val="4B4F58"/>
          <w:sz w:val="22"/>
          <w:szCs w:val="22"/>
          <w:lang w:val="es-ES_tradnl"/>
        </w:rPr>
        <w:t>Por motivos económicos, técnicos organizativos o de producción.</w:t>
      </w:r>
      <w:r w:rsidR="0043491B" w:rsidRPr="00CF1B34">
        <w:rPr>
          <w:rFonts w:ascii="Arial" w:hAnsi="Arial" w:cs="Arial"/>
          <w:b/>
          <w:bCs/>
          <w:color w:val="4B4F58"/>
          <w:sz w:val="22"/>
          <w:szCs w:val="22"/>
          <w:lang w:val="es-ES_tradnl"/>
        </w:rPr>
        <w:t xml:space="preserve"> </w:t>
      </w:r>
      <w:r w:rsidRPr="00CF1B34">
        <w:rPr>
          <w:rFonts w:ascii="Arial" w:hAnsi="Arial" w:cs="Arial"/>
          <w:color w:val="4B4F58"/>
          <w:sz w:val="22"/>
          <w:szCs w:val="22"/>
          <w:lang w:val="es-ES_tradnl"/>
        </w:rPr>
        <w:t xml:space="preserve">Es lo que antes se conocía como amortización de puestos de trabajo y para poder proceder al despido, la empresa debe ser capaz de demostrar que esos despidos son necesarios </w:t>
      </w:r>
      <w:r w:rsidRPr="00CF1B34">
        <w:rPr>
          <w:rFonts w:ascii="Arial" w:hAnsi="Arial" w:cs="Arial"/>
          <w:color w:val="4B4F58"/>
          <w:sz w:val="22"/>
          <w:szCs w:val="22"/>
          <w:lang w:val="es-ES_tradnl"/>
        </w:rPr>
        <w:lastRenderedPageBreak/>
        <w:t>para poder seguir adelante con su actividad. La ley y más concretamente el RD-Ley 3/2012 es el que marca los supuestos, que son el de tener pérdidas o previsión de las mismas, o sumar tres trimestres consecutivos de caídas de ingresos.</w:t>
      </w:r>
    </w:p>
    <w:p w14:paraId="0765EBD5" w14:textId="77777777" w:rsidR="00DF429D" w:rsidRPr="00CF1B34" w:rsidRDefault="00DF429D" w:rsidP="004F7A62">
      <w:pPr>
        <w:numPr>
          <w:ilvl w:val="0"/>
          <w:numId w:val="107"/>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b/>
          <w:bCs/>
          <w:color w:val="4B4F58"/>
          <w:sz w:val="22"/>
          <w:szCs w:val="22"/>
          <w:lang w:val="es-ES_tradnl"/>
        </w:rPr>
        <w:t>Faltas de asistencia al trabajo</w:t>
      </w:r>
      <w:r w:rsidRPr="00CF1B34">
        <w:rPr>
          <w:rFonts w:ascii="Arial" w:hAnsi="Arial" w:cs="Arial"/>
          <w:color w:val="4B4F58"/>
          <w:sz w:val="22"/>
          <w:szCs w:val="22"/>
          <w:lang w:val="es-ES_tradnl"/>
        </w:rPr>
        <w:t> – aún estando justificadas, estas no podrán alcanzar el 20% de las jornadas hábiles dos meses consecutivos o el 25% en cuatro meses discontinuos. Dentro de estas faltas no entran los accidentes de trabajo.</w:t>
      </w:r>
    </w:p>
    <w:p w14:paraId="6C14FDB4" w14:textId="77777777" w:rsidR="00DF429D" w:rsidRPr="00CF1B34" w:rsidRDefault="00DF429D" w:rsidP="004F7A62">
      <w:pPr>
        <w:numPr>
          <w:ilvl w:val="0"/>
          <w:numId w:val="107"/>
        </w:numPr>
        <w:shd w:val="clear" w:color="auto" w:fill="FEF1E5"/>
        <w:ind w:left="1020"/>
        <w:jc w:val="both"/>
        <w:textAlignment w:val="baseline"/>
        <w:rPr>
          <w:rFonts w:ascii="Arial" w:hAnsi="Arial" w:cs="Arial"/>
          <w:color w:val="4B4F58"/>
          <w:sz w:val="22"/>
          <w:szCs w:val="22"/>
          <w:lang w:val="es-ES_tradnl"/>
        </w:rPr>
      </w:pPr>
      <w:r w:rsidRPr="00CF1B34">
        <w:rPr>
          <w:rFonts w:ascii="Arial" w:hAnsi="Arial" w:cs="Arial"/>
          <w:b/>
          <w:bCs/>
          <w:color w:val="4B4F58"/>
          <w:sz w:val="22"/>
          <w:szCs w:val="22"/>
          <w:lang w:val="es-ES_tradnl"/>
        </w:rPr>
        <w:t>Insuficiencia de consignación presupuestaria para la ejecución de planes y programas públicos.</w:t>
      </w:r>
    </w:p>
    <w:p w14:paraId="7C55CC7C" w14:textId="726018E3" w:rsidR="00DF429D" w:rsidRPr="00CF1B34" w:rsidRDefault="00DF429D" w:rsidP="0005621A">
      <w:pPr>
        <w:pStyle w:val="Sinespaciado"/>
        <w:ind w:left="660"/>
        <w:jc w:val="both"/>
        <w:rPr>
          <w:rFonts w:ascii="Arial" w:hAnsi="Arial" w:cs="Arial"/>
          <w:sz w:val="22"/>
          <w:szCs w:val="22"/>
          <w:lang w:val="es-ES_tradnl"/>
        </w:rPr>
      </w:pPr>
      <w:r w:rsidRPr="00CF1B34">
        <w:rPr>
          <w:rFonts w:ascii="Arial" w:hAnsi="Arial" w:cs="Arial"/>
          <w:sz w:val="22"/>
          <w:szCs w:val="22"/>
          <w:lang w:val="es-ES_tradnl"/>
        </w:rPr>
        <w:t xml:space="preserve">El procedimiento general ante un despido por causas objetivas es la notificación por escrito al trabajador expresando la causa con un plazo de preaviso de 15 días, computando desde la entrega de la comunicación personal al trabajador. </w:t>
      </w:r>
      <w:proofErr w:type="gramStart"/>
      <w:r w:rsidRPr="00CF1B34">
        <w:rPr>
          <w:rFonts w:ascii="Arial" w:hAnsi="Arial" w:cs="Arial"/>
          <w:sz w:val="22"/>
          <w:szCs w:val="22"/>
          <w:lang w:val="es-ES_tradnl"/>
        </w:rPr>
        <w:t>Además</w:t>
      </w:r>
      <w:proofErr w:type="gramEnd"/>
      <w:r w:rsidR="005D0792" w:rsidRPr="00CF1B34">
        <w:rPr>
          <w:rFonts w:ascii="Arial" w:hAnsi="Arial" w:cs="Arial"/>
          <w:sz w:val="22"/>
          <w:szCs w:val="22"/>
          <w:lang w:val="es-ES_tradnl"/>
        </w:rPr>
        <w:t xml:space="preserve"> </w:t>
      </w:r>
      <w:r w:rsidRPr="00CF1B34">
        <w:rPr>
          <w:rFonts w:ascii="Arial" w:hAnsi="Arial" w:cs="Arial"/>
          <w:sz w:val="22"/>
          <w:szCs w:val="22"/>
          <w:lang w:val="es-ES_tradnl"/>
        </w:rPr>
        <w:t>durante este periodo el trabajador contará con una licencia de seis horas semanales sin pérdida de retribución para buscar un nuevo empleo.</w:t>
      </w:r>
    </w:p>
    <w:p w14:paraId="0292B90C" w14:textId="73A0EFBA" w:rsidR="00DF429D" w:rsidRPr="00CF1B34" w:rsidRDefault="00DF429D" w:rsidP="0005621A">
      <w:pPr>
        <w:pStyle w:val="Sinespaciado"/>
        <w:ind w:left="660"/>
        <w:jc w:val="both"/>
        <w:rPr>
          <w:rFonts w:ascii="Arial" w:hAnsi="Arial" w:cs="Arial"/>
          <w:sz w:val="22"/>
          <w:szCs w:val="22"/>
          <w:lang w:val="es-ES_tradnl"/>
        </w:rPr>
      </w:pPr>
      <w:r w:rsidRPr="00CF1B34">
        <w:rPr>
          <w:rFonts w:ascii="Arial" w:hAnsi="Arial" w:cs="Arial"/>
          <w:sz w:val="22"/>
          <w:szCs w:val="22"/>
          <w:lang w:val="es-ES_tradnl"/>
        </w:rPr>
        <w:t>En el caso de los despidos objetivos la indemnización será de 20 días por año trabajado y una cuantía máxima equivalente a un año de salario.</w:t>
      </w:r>
    </w:p>
    <w:p w14:paraId="210FD86C" w14:textId="0019B16E" w:rsidR="00716FC1" w:rsidRPr="00CF1B34" w:rsidRDefault="0043491B" w:rsidP="0005621A">
      <w:pPr>
        <w:pStyle w:val="Sinespaciado"/>
        <w:ind w:left="660"/>
        <w:jc w:val="both"/>
        <w:rPr>
          <w:rFonts w:ascii="Arial" w:hAnsi="Arial" w:cs="Arial"/>
          <w:sz w:val="22"/>
          <w:szCs w:val="22"/>
          <w:lang w:val="es-ES_tradnl"/>
        </w:rPr>
      </w:pPr>
      <w:r w:rsidRPr="00CF1B34">
        <w:rPr>
          <w:rFonts w:ascii="Arial" w:hAnsi="Arial" w:cs="Arial"/>
          <w:b/>
          <w:bCs/>
          <w:sz w:val="22"/>
          <w:szCs w:val="22"/>
          <w:lang w:val="es-ES_tradnl"/>
        </w:rPr>
        <w:t>E</w:t>
      </w:r>
      <w:r w:rsidR="00716FC1" w:rsidRPr="00CF1B34">
        <w:rPr>
          <w:rFonts w:ascii="Arial" w:hAnsi="Arial" w:cs="Arial"/>
          <w:b/>
          <w:bCs/>
          <w:sz w:val="22"/>
          <w:szCs w:val="22"/>
          <w:lang w:val="es-ES_tradnl"/>
        </w:rPr>
        <w:t>l despido disciplinario se produce cuando el empresario alega un incumplimiento grave de las obligaciones del trabajador</w:t>
      </w:r>
      <w:r w:rsidR="00716FC1" w:rsidRPr="00CF1B34">
        <w:rPr>
          <w:rFonts w:ascii="Arial" w:hAnsi="Arial" w:cs="Arial"/>
          <w:sz w:val="22"/>
          <w:szCs w:val="22"/>
          <w:lang w:val="es-ES_tradnl"/>
        </w:rPr>
        <w:t>. Los</w:t>
      </w:r>
      <w:r w:rsidRPr="00CF1B34">
        <w:rPr>
          <w:rFonts w:ascii="Arial" w:hAnsi="Arial" w:cs="Arial"/>
          <w:sz w:val="22"/>
          <w:szCs w:val="22"/>
          <w:lang w:val="es-ES_tradnl"/>
        </w:rPr>
        <w:t xml:space="preserve"> </w:t>
      </w:r>
      <w:r w:rsidR="00716FC1" w:rsidRPr="00CF1B34">
        <w:rPr>
          <w:rFonts w:ascii="Arial" w:hAnsi="Arial" w:cs="Arial"/>
          <w:b/>
          <w:bCs/>
          <w:sz w:val="22"/>
          <w:szCs w:val="22"/>
          <w:lang w:val="es-ES_tradnl"/>
        </w:rPr>
        <w:t>motivos que contempla la ley</w:t>
      </w:r>
      <w:r w:rsidRPr="00CF1B34">
        <w:rPr>
          <w:rFonts w:ascii="Arial" w:hAnsi="Arial" w:cs="Arial"/>
          <w:sz w:val="22"/>
          <w:szCs w:val="22"/>
          <w:lang w:val="es-ES_tradnl"/>
        </w:rPr>
        <w:t xml:space="preserve"> </w:t>
      </w:r>
      <w:r w:rsidR="00716FC1" w:rsidRPr="00CF1B34">
        <w:rPr>
          <w:rFonts w:ascii="Arial" w:hAnsi="Arial" w:cs="Arial"/>
          <w:sz w:val="22"/>
          <w:szCs w:val="22"/>
          <w:lang w:val="es-ES_tradnl"/>
        </w:rPr>
        <w:t>son los siguientes:</w:t>
      </w:r>
    </w:p>
    <w:p w14:paraId="599CC104" w14:textId="77777777" w:rsidR="00716FC1" w:rsidRPr="00CF1B34" w:rsidRDefault="00716FC1" w:rsidP="0005621A">
      <w:pPr>
        <w:pStyle w:val="Sinespaciado"/>
        <w:jc w:val="both"/>
        <w:rPr>
          <w:rFonts w:ascii="Arial" w:hAnsi="Arial" w:cs="Arial"/>
          <w:sz w:val="22"/>
          <w:szCs w:val="22"/>
          <w:lang w:val="es-ES_tradnl"/>
        </w:rPr>
      </w:pPr>
    </w:p>
    <w:p w14:paraId="77EE5E87" w14:textId="1B0BF52E" w:rsidR="00716FC1" w:rsidRPr="00CF1B34" w:rsidRDefault="00716FC1" w:rsidP="004F7A62">
      <w:pPr>
        <w:pStyle w:val="Sinespaciado"/>
        <w:numPr>
          <w:ilvl w:val="0"/>
          <w:numId w:val="108"/>
        </w:numPr>
        <w:jc w:val="both"/>
        <w:rPr>
          <w:rFonts w:ascii="Arial" w:hAnsi="Arial" w:cs="Arial"/>
          <w:color w:val="4B4F58"/>
          <w:sz w:val="22"/>
          <w:szCs w:val="22"/>
          <w:lang w:val="es-ES_tradnl"/>
        </w:rPr>
      </w:pPr>
      <w:r w:rsidRPr="00CF1B34">
        <w:rPr>
          <w:rFonts w:ascii="Arial" w:hAnsi="Arial" w:cs="Arial"/>
          <w:color w:val="4B4F58"/>
          <w:sz w:val="22"/>
          <w:szCs w:val="22"/>
          <w:lang w:val="es-ES_tradnl"/>
        </w:rPr>
        <w:t>Faltas repetidas e injustificadas de asistencia o puntualidad</w:t>
      </w:r>
    </w:p>
    <w:p w14:paraId="70CCC149" w14:textId="77777777" w:rsidR="008C57C0" w:rsidRPr="00CF1B34" w:rsidRDefault="008C57C0" w:rsidP="004F7A62">
      <w:pPr>
        <w:pStyle w:val="Sinespaciado"/>
        <w:numPr>
          <w:ilvl w:val="0"/>
          <w:numId w:val="108"/>
        </w:numPr>
        <w:jc w:val="both"/>
        <w:rPr>
          <w:rFonts w:ascii="Arial" w:hAnsi="Arial" w:cs="Arial"/>
          <w:color w:val="4B4F58"/>
          <w:sz w:val="22"/>
          <w:szCs w:val="22"/>
          <w:lang w:val="es-ES_tradnl"/>
        </w:rPr>
      </w:pPr>
      <w:r w:rsidRPr="00CF1B34">
        <w:rPr>
          <w:rFonts w:ascii="Arial" w:hAnsi="Arial" w:cs="Arial"/>
          <w:color w:val="4B4F58"/>
          <w:sz w:val="22"/>
          <w:szCs w:val="22"/>
          <w:lang w:val="es-ES_tradnl"/>
        </w:rPr>
        <w:t>Indisciplina o desobediencia</w:t>
      </w:r>
    </w:p>
    <w:p w14:paraId="5447A873" w14:textId="77777777" w:rsidR="008C57C0" w:rsidRPr="00CF1B34" w:rsidRDefault="008C57C0" w:rsidP="004F7A62">
      <w:pPr>
        <w:pStyle w:val="Sinespaciado"/>
        <w:numPr>
          <w:ilvl w:val="0"/>
          <w:numId w:val="108"/>
        </w:numPr>
        <w:jc w:val="both"/>
        <w:rPr>
          <w:rFonts w:ascii="Arial" w:hAnsi="Arial" w:cs="Arial"/>
          <w:color w:val="4B4F58"/>
          <w:sz w:val="22"/>
          <w:szCs w:val="22"/>
          <w:lang w:val="es-ES_tradnl"/>
        </w:rPr>
      </w:pPr>
      <w:r w:rsidRPr="00CF1B34">
        <w:rPr>
          <w:rFonts w:ascii="Arial" w:hAnsi="Arial" w:cs="Arial"/>
          <w:color w:val="4B4F58"/>
          <w:sz w:val="22"/>
          <w:szCs w:val="22"/>
          <w:lang w:val="es-ES_tradnl"/>
        </w:rPr>
        <w:t>Ofensas verbales o físicas al empresario, a las personas que trabajen en la empresa o a los familiares que convivan con ellos</w:t>
      </w:r>
    </w:p>
    <w:p w14:paraId="63F1098C" w14:textId="77777777" w:rsidR="008C57C0" w:rsidRPr="00CF1B34" w:rsidRDefault="008C57C0" w:rsidP="004F7A62">
      <w:pPr>
        <w:pStyle w:val="Sinespaciado"/>
        <w:numPr>
          <w:ilvl w:val="0"/>
          <w:numId w:val="108"/>
        </w:numPr>
        <w:jc w:val="both"/>
        <w:rPr>
          <w:rFonts w:ascii="Arial" w:hAnsi="Arial" w:cs="Arial"/>
          <w:color w:val="4B4F58"/>
          <w:sz w:val="22"/>
          <w:szCs w:val="22"/>
          <w:lang w:val="es-ES_tradnl"/>
        </w:rPr>
      </w:pPr>
      <w:r w:rsidRPr="00CF1B34">
        <w:rPr>
          <w:rFonts w:ascii="Arial" w:hAnsi="Arial" w:cs="Arial"/>
          <w:color w:val="4B4F58"/>
          <w:sz w:val="22"/>
          <w:szCs w:val="22"/>
          <w:lang w:val="es-ES_tradnl"/>
        </w:rPr>
        <w:t>Transgresión de la buena fe contractual y abuso de confianza en el desempeño del trabajo</w:t>
      </w:r>
    </w:p>
    <w:p w14:paraId="0EC38AD7" w14:textId="77777777" w:rsidR="008C57C0" w:rsidRPr="00CF1B34" w:rsidRDefault="008C57C0" w:rsidP="004F7A62">
      <w:pPr>
        <w:pStyle w:val="Sinespaciado"/>
        <w:numPr>
          <w:ilvl w:val="0"/>
          <w:numId w:val="108"/>
        </w:numPr>
        <w:jc w:val="both"/>
        <w:rPr>
          <w:rFonts w:ascii="Arial" w:hAnsi="Arial" w:cs="Arial"/>
          <w:color w:val="4B4F58"/>
          <w:sz w:val="22"/>
          <w:szCs w:val="22"/>
          <w:lang w:val="es-ES_tradnl"/>
        </w:rPr>
      </w:pPr>
      <w:r w:rsidRPr="00CF1B34">
        <w:rPr>
          <w:rFonts w:ascii="Arial" w:hAnsi="Arial" w:cs="Arial"/>
          <w:color w:val="4B4F58"/>
          <w:sz w:val="22"/>
          <w:szCs w:val="22"/>
          <w:lang w:val="es-ES_tradnl"/>
        </w:rPr>
        <w:t>Disminución continuada y voluntaria en el rendimiento del trabajo normal o pactado</w:t>
      </w:r>
    </w:p>
    <w:p w14:paraId="3D033BEE" w14:textId="22E0D409" w:rsidR="00716FC1" w:rsidRPr="00CF1B34" w:rsidRDefault="008C57C0" w:rsidP="004F7A62">
      <w:pPr>
        <w:pStyle w:val="Sinespaciado"/>
        <w:numPr>
          <w:ilvl w:val="0"/>
          <w:numId w:val="108"/>
        </w:numPr>
        <w:jc w:val="both"/>
        <w:rPr>
          <w:rFonts w:ascii="Arial" w:hAnsi="Arial" w:cs="Arial"/>
          <w:color w:val="4B4F58"/>
          <w:sz w:val="22"/>
          <w:szCs w:val="22"/>
          <w:lang w:val="es-ES_tradnl"/>
        </w:rPr>
      </w:pPr>
      <w:r w:rsidRPr="00CF1B34">
        <w:rPr>
          <w:rFonts w:ascii="Arial" w:hAnsi="Arial" w:cs="Arial"/>
          <w:color w:val="4B4F58"/>
          <w:sz w:val="22"/>
          <w:szCs w:val="22"/>
          <w:lang w:val="es-ES_tradnl"/>
        </w:rPr>
        <w:t>Embriaguez habitual o toxicomanía si repercuten negativamente en la actividad laboral</w:t>
      </w:r>
    </w:p>
    <w:p w14:paraId="583C46A0" w14:textId="28851E4F" w:rsidR="008C57C0" w:rsidRPr="00CF1B34" w:rsidRDefault="008C57C0" w:rsidP="004F7A62">
      <w:pPr>
        <w:pStyle w:val="Sinespaciado"/>
        <w:numPr>
          <w:ilvl w:val="0"/>
          <w:numId w:val="108"/>
        </w:numPr>
        <w:jc w:val="both"/>
        <w:rPr>
          <w:rFonts w:ascii="Arial" w:hAnsi="Arial" w:cs="Arial"/>
          <w:color w:val="4B4F58"/>
          <w:sz w:val="22"/>
          <w:szCs w:val="22"/>
          <w:lang w:val="es-ES_tradnl"/>
        </w:rPr>
      </w:pPr>
      <w:r w:rsidRPr="00CF1B34">
        <w:rPr>
          <w:rFonts w:ascii="Arial" w:hAnsi="Arial" w:cs="Arial"/>
          <w:color w:val="4B4F58"/>
          <w:sz w:val="22"/>
          <w:szCs w:val="22"/>
          <w:lang w:val="es-ES_tradnl"/>
        </w:rPr>
        <w:t>El acoso por razón de origen racial o étnico, religión o convicciones, edad u orientación sexual al empresario o a las personas que trabajen en la empresa.</w:t>
      </w:r>
    </w:p>
    <w:p w14:paraId="7C073E0F" w14:textId="77777777" w:rsidR="00716FC1" w:rsidRPr="00CF1B34" w:rsidRDefault="00716FC1" w:rsidP="0005621A">
      <w:pPr>
        <w:pStyle w:val="Sinespaciado"/>
        <w:ind w:left="360"/>
        <w:jc w:val="both"/>
        <w:rPr>
          <w:rFonts w:ascii="Arial" w:hAnsi="Arial" w:cs="Arial"/>
          <w:sz w:val="22"/>
          <w:szCs w:val="22"/>
          <w:lang w:val="es-ES_tradnl"/>
        </w:rPr>
      </w:pPr>
      <w:r w:rsidRPr="00CF1B34">
        <w:rPr>
          <w:rFonts w:ascii="Arial" w:hAnsi="Arial" w:cs="Arial"/>
          <w:sz w:val="22"/>
          <w:szCs w:val="22"/>
          <w:lang w:val="es-ES_tradnl"/>
        </w:rPr>
        <w:t>En el caso de un despido disciplinario, el empresario debe notificar por escrito los hechos que motivaron el despido y la fecha del mismo. En principio, al trabajador no le corresponde ningún tipo de indemnización a no ser que considere injustificado el despido</w:t>
      </w:r>
    </w:p>
    <w:p w14:paraId="740B8FEE" w14:textId="3632E50D" w:rsidR="008C57C0" w:rsidRPr="00CF1B34" w:rsidRDefault="008C57C0" w:rsidP="0005621A">
      <w:pPr>
        <w:ind w:left="360"/>
        <w:jc w:val="both"/>
        <w:rPr>
          <w:rFonts w:ascii="Arial" w:hAnsi="Arial" w:cs="Arial"/>
          <w:sz w:val="22"/>
          <w:szCs w:val="22"/>
          <w:lang w:val="es-ES_tradnl"/>
        </w:rPr>
      </w:pPr>
      <w:r w:rsidRPr="00CF1B34">
        <w:rPr>
          <w:rFonts w:ascii="Arial" w:hAnsi="Arial" w:cs="Arial"/>
          <w:sz w:val="22"/>
          <w:szCs w:val="22"/>
          <w:shd w:val="clear" w:color="auto" w:fill="FEF1E5"/>
          <w:lang w:val="es-ES_tradnl"/>
        </w:rPr>
        <w:t>En ese caso el trabajador deberá iniciar en menos de 20 días hábiles las actuaciones de conciliación ante la </w:t>
      </w:r>
      <w:r w:rsidRPr="00CF1B34">
        <w:rPr>
          <w:rStyle w:val="Textoennegrita"/>
          <w:rFonts w:ascii="Arial" w:hAnsi="Arial" w:cs="Arial"/>
          <w:color w:val="4B4F58"/>
          <w:sz w:val="22"/>
          <w:szCs w:val="22"/>
          <w:shd w:val="clear" w:color="auto" w:fill="FEF1E5"/>
          <w:lang w:val="es-ES_tradnl"/>
        </w:rPr>
        <w:t>Unidad de Mediación, Arbitraje y Conciliación</w:t>
      </w:r>
      <w:r w:rsidR="004D44AB" w:rsidRPr="00CF1B34">
        <w:rPr>
          <w:rFonts w:ascii="Arial" w:hAnsi="Arial" w:cs="Arial"/>
          <w:sz w:val="22"/>
          <w:szCs w:val="22"/>
          <w:shd w:val="clear" w:color="auto" w:fill="FEF1E5"/>
          <w:lang w:val="es-ES_tradnl"/>
        </w:rPr>
        <w:t xml:space="preserve"> </w:t>
      </w:r>
      <w:r w:rsidRPr="00CF1B34">
        <w:rPr>
          <w:rFonts w:ascii="Arial" w:hAnsi="Arial" w:cs="Arial"/>
          <w:sz w:val="22"/>
          <w:szCs w:val="22"/>
          <w:shd w:val="clear" w:color="auto" w:fill="FEF1E5"/>
          <w:lang w:val="es-ES_tradnl"/>
        </w:rPr>
        <w:t>correspondiente, y posteriormente, de no haber avenencia, ante el Juzgado de lo Social.</w:t>
      </w:r>
    </w:p>
    <w:p w14:paraId="663B2689" w14:textId="2D2CF98C" w:rsidR="00DF429D" w:rsidRPr="00CF1B34" w:rsidRDefault="008C57C0" w:rsidP="0005621A">
      <w:pPr>
        <w:pStyle w:val="Sinespaciado"/>
        <w:ind w:firstLine="360"/>
        <w:jc w:val="both"/>
        <w:rPr>
          <w:rFonts w:ascii="Arial" w:hAnsi="Arial" w:cs="Arial"/>
          <w:b/>
          <w:bCs/>
          <w:color w:val="000000" w:themeColor="text1"/>
          <w:sz w:val="22"/>
          <w:szCs w:val="22"/>
          <w:lang w:val="es-ES_tradnl"/>
        </w:rPr>
      </w:pPr>
      <w:r w:rsidRPr="00CF1B34">
        <w:rPr>
          <w:rFonts w:ascii="Arial" w:hAnsi="Arial" w:cs="Arial"/>
          <w:b/>
          <w:bCs/>
          <w:color w:val="000000" w:themeColor="text1"/>
          <w:sz w:val="22"/>
          <w:szCs w:val="22"/>
          <w:lang w:val="es-ES_tradnl"/>
        </w:rPr>
        <w:t>Tipos de despidos</w:t>
      </w:r>
    </w:p>
    <w:p w14:paraId="36A77419" w14:textId="2C8AF0A7" w:rsidR="00DF429D" w:rsidRPr="00CF1B34" w:rsidRDefault="008C57C0" w:rsidP="004F7A62">
      <w:pPr>
        <w:pStyle w:val="Prrafodelista"/>
        <w:numPr>
          <w:ilvl w:val="0"/>
          <w:numId w:val="109"/>
        </w:numPr>
        <w:jc w:val="both"/>
        <w:rPr>
          <w:rFonts w:ascii="Arial" w:hAnsi="Arial" w:cs="Arial"/>
          <w:b/>
          <w:bCs/>
          <w:color w:val="000000" w:themeColor="text1"/>
          <w:sz w:val="22"/>
          <w:szCs w:val="22"/>
          <w:lang w:val="es-ES_tradnl"/>
        </w:rPr>
      </w:pPr>
      <w:r w:rsidRPr="00CF1B34">
        <w:rPr>
          <w:rFonts w:ascii="Arial" w:hAnsi="Arial" w:cs="Arial"/>
          <w:b/>
          <w:bCs/>
          <w:color w:val="000000" w:themeColor="text1"/>
          <w:sz w:val="22"/>
          <w:szCs w:val="22"/>
          <w:lang w:val="es-ES_tradnl"/>
        </w:rPr>
        <w:t>Despido nulo</w:t>
      </w:r>
    </w:p>
    <w:p w14:paraId="693F1154" w14:textId="750F02CF" w:rsidR="008C57C0" w:rsidRPr="00CF1B34" w:rsidRDefault="0043491B" w:rsidP="004F7A62">
      <w:pPr>
        <w:pStyle w:val="Prrafodelista"/>
        <w:numPr>
          <w:ilvl w:val="0"/>
          <w:numId w:val="109"/>
        </w:numPr>
        <w:jc w:val="both"/>
        <w:rPr>
          <w:rFonts w:ascii="Arial" w:hAnsi="Arial" w:cs="Arial"/>
          <w:b/>
          <w:bCs/>
          <w:color w:val="000000" w:themeColor="text1"/>
          <w:sz w:val="22"/>
          <w:szCs w:val="22"/>
          <w:lang w:val="es-ES_tradnl"/>
        </w:rPr>
      </w:pPr>
      <w:r w:rsidRPr="00CF1B34">
        <w:rPr>
          <w:rFonts w:ascii="Arial" w:hAnsi="Arial" w:cs="Arial"/>
          <w:b/>
          <w:bCs/>
          <w:color w:val="000000" w:themeColor="text1"/>
          <w:sz w:val="22"/>
          <w:szCs w:val="22"/>
          <w:lang w:val="es-ES_tradnl"/>
        </w:rPr>
        <w:t>cds</w:t>
      </w:r>
      <w:r w:rsidR="008C57C0" w:rsidRPr="00CF1B34">
        <w:rPr>
          <w:rFonts w:ascii="Arial" w:hAnsi="Arial" w:cs="Arial"/>
          <w:b/>
          <w:bCs/>
          <w:color w:val="000000" w:themeColor="text1"/>
          <w:sz w:val="22"/>
          <w:szCs w:val="22"/>
          <w:lang w:val="es-ES_tradnl"/>
        </w:rPr>
        <w:t>Despido improcedente</w:t>
      </w:r>
    </w:p>
    <w:p w14:paraId="3653F3FD" w14:textId="1B5B8667" w:rsidR="008C57C0" w:rsidRPr="00CF1B34" w:rsidRDefault="008C57C0" w:rsidP="004F7A62">
      <w:pPr>
        <w:pStyle w:val="Prrafodelista"/>
        <w:numPr>
          <w:ilvl w:val="0"/>
          <w:numId w:val="109"/>
        </w:numPr>
        <w:jc w:val="both"/>
        <w:rPr>
          <w:rFonts w:ascii="Arial" w:hAnsi="Arial" w:cs="Arial"/>
          <w:b/>
          <w:bCs/>
          <w:color w:val="000000" w:themeColor="text1"/>
          <w:sz w:val="22"/>
          <w:szCs w:val="22"/>
          <w:lang w:val="es-ES_tradnl"/>
        </w:rPr>
      </w:pPr>
      <w:r w:rsidRPr="00CF1B34">
        <w:rPr>
          <w:rFonts w:ascii="Arial" w:hAnsi="Arial" w:cs="Arial"/>
          <w:b/>
          <w:bCs/>
          <w:color w:val="000000" w:themeColor="text1"/>
          <w:sz w:val="22"/>
          <w:szCs w:val="22"/>
          <w:lang w:val="es-ES_tradnl"/>
        </w:rPr>
        <w:t>Despido procedente</w:t>
      </w:r>
    </w:p>
    <w:p w14:paraId="79350CB6" w14:textId="77777777" w:rsidR="0043491B" w:rsidRPr="00CF1B34" w:rsidRDefault="0043491B" w:rsidP="0005621A">
      <w:pPr>
        <w:pBdr>
          <w:bottom w:val="dotted" w:sz="12" w:space="12" w:color="666666"/>
        </w:pBdr>
        <w:spacing w:after="240"/>
        <w:ind w:left="1063"/>
        <w:jc w:val="both"/>
        <w:rPr>
          <w:rFonts w:ascii="Arial" w:hAnsi="Arial" w:cs="Arial"/>
          <w:color w:val="212529"/>
          <w:sz w:val="22"/>
          <w:szCs w:val="22"/>
          <w:lang w:val="es-ES_tradnl"/>
        </w:rPr>
      </w:pPr>
    </w:p>
    <w:p w14:paraId="3F9186DB" w14:textId="671D431C" w:rsidR="0043491B" w:rsidRPr="00CF1B34" w:rsidRDefault="0043491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CDO Sintéticos</w:t>
      </w:r>
      <w:r w:rsidR="004865A3" w:rsidRPr="00CF1B34">
        <w:rPr>
          <w:rFonts w:ascii="Arial" w:hAnsi="Arial" w:cs="Arial"/>
          <w:b/>
          <w:bCs/>
          <w:color w:val="004773"/>
          <w:sz w:val="22"/>
          <w:szCs w:val="22"/>
          <w:lang w:val="es-ES_tradnl"/>
        </w:rPr>
        <w:t xml:space="preserve"> (Collateralized Debt Obligations Synthetic)</w:t>
      </w:r>
    </w:p>
    <w:p w14:paraId="6BDE0616" w14:textId="1C5A0728" w:rsidR="006A31C3" w:rsidRPr="00CF1B34" w:rsidRDefault="006A31C3" w:rsidP="0005621A">
      <w:pPr>
        <w:ind w:firstLine="708"/>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CDO Sintético u</w:t>
      </w:r>
      <w:r w:rsidR="003E00F6" w:rsidRPr="00CF1B34">
        <w:rPr>
          <w:rStyle w:val="Textoennegrita"/>
          <w:rFonts w:ascii="Arial" w:hAnsi="Arial" w:cs="Arial"/>
          <w:color w:val="333333"/>
          <w:sz w:val="22"/>
          <w:szCs w:val="22"/>
          <w:shd w:val="clear" w:color="auto" w:fill="FFFFFF"/>
          <w:lang w:val="es-ES_tradnl"/>
        </w:rPr>
        <w:t xml:space="preserve"> </w:t>
      </w:r>
      <w:r w:rsidRPr="00CF1B34">
        <w:rPr>
          <w:rStyle w:val="nfasis"/>
          <w:rFonts w:ascii="Arial" w:hAnsi="Arial" w:cs="Arial"/>
          <w:b/>
          <w:bCs/>
          <w:color w:val="333333"/>
          <w:sz w:val="22"/>
          <w:szCs w:val="22"/>
          <w:shd w:val="clear" w:color="auto" w:fill="FFFFFF"/>
          <w:lang w:val="es-ES_tradnl"/>
        </w:rPr>
        <w:t>«obligación sintética de deuda colateralizada».</w:t>
      </w:r>
    </w:p>
    <w:p w14:paraId="5E5C799C" w14:textId="42F750F1" w:rsidR="006A31C3" w:rsidRPr="00CF1B34" w:rsidRDefault="006A31C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Se trata de una vasta superestructura de derivados de</w:t>
      </w:r>
      <w:r w:rsidR="003E00F6" w:rsidRPr="00CF1B34">
        <w:rPr>
          <w:rFonts w:ascii="Arial" w:hAnsi="Arial" w:cs="Arial"/>
          <w:color w:val="333333"/>
          <w:sz w:val="22"/>
          <w:szCs w:val="22"/>
          <w:shd w:val="clear" w:color="auto" w:fill="FFFFFF"/>
          <w:lang w:val="es-ES_tradnl"/>
        </w:rPr>
        <w:t xml:space="preserve"> </w:t>
      </w:r>
      <w:hyperlink r:id="rId98" w:history="1">
        <w:r w:rsidRPr="00CF1B34">
          <w:rPr>
            <w:rStyle w:val="Hipervnculo"/>
            <w:rFonts w:ascii="Arial" w:hAnsi="Arial" w:cs="Arial"/>
            <w:color w:val="DC143C"/>
            <w:sz w:val="22"/>
            <w:szCs w:val="22"/>
            <w:shd w:val="clear" w:color="auto" w:fill="FFFFFF"/>
            <w:lang w:val="es-ES_tradnl"/>
          </w:rPr>
          <w:t>crédito</w:t>
        </w:r>
      </w:hyperlink>
      <w:r w:rsidRPr="00CF1B34">
        <w:rPr>
          <w:rFonts w:ascii="Arial" w:hAnsi="Arial" w:cs="Arial"/>
          <w:color w:val="333333"/>
          <w:sz w:val="22"/>
          <w:szCs w:val="22"/>
          <w:shd w:val="clear" w:color="auto" w:fill="FFFFFF"/>
          <w:lang w:val="es-ES_tradnl"/>
        </w:rPr>
        <w:t>. Se denominan derivados en parte porque no constituyen una inversión directa en una compañía. Se trata, más bien, de apuestas secundarias sobre la suerte de algunas empresas.</w:t>
      </w:r>
    </w:p>
    <w:p w14:paraId="66693FB8" w14:textId="77777777" w:rsidR="004865A3" w:rsidRPr="00CF1B34" w:rsidRDefault="004865A3" w:rsidP="0005621A">
      <w:pPr>
        <w:shd w:val="clear" w:color="auto" w:fill="FFFFFF"/>
        <w:spacing w:afterAutospacing="1"/>
        <w:ind w:left="708"/>
        <w:jc w:val="both"/>
        <w:rPr>
          <w:rFonts w:ascii="Arial" w:hAnsi="Arial" w:cs="Arial"/>
          <w:color w:val="000000"/>
          <w:sz w:val="22"/>
          <w:szCs w:val="22"/>
          <w:lang w:val="es-ES_tradnl"/>
        </w:rPr>
      </w:pPr>
      <w:r w:rsidRPr="00CF1B34">
        <w:rPr>
          <w:rFonts w:ascii="Arial" w:hAnsi="Arial" w:cs="Arial"/>
          <w:color w:val="000000"/>
          <w:sz w:val="22"/>
          <w:szCs w:val="22"/>
          <w:lang w:val="es-ES_tradnl"/>
        </w:rPr>
        <w:t>Los CDO sintéticos (Collateralized Debt Obligations Synthetic) </w:t>
      </w:r>
      <w:r w:rsidRPr="00CF1B34">
        <w:rPr>
          <w:rFonts w:ascii="Arial" w:hAnsi="Arial" w:cs="Arial"/>
          <w:b/>
          <w:bCs/>
          <w:color w:val="000000"/>
          <w:sz w:val="22"/>
          <w:szCs w:val="22"/>
          <w:lang w:val="es-ES_tradnl"/>
        </w:rPr>
        <w:t>son un tipo de instrumento financiero complejo que se crea a partir de swaps de incumplimiento crediticio (CDS) en lugar de activos subyacentes reales</w:t>
      </w:r>
      <w:r w:rsidRPr="00CF1B34">
        <w:rPr>
          <w:rFonts w:ascii="Arial" w:hAnsi="Arial" w:cs="Arial"/>
          <w:color w:val="000000"/>
          <w:sz w:val="22"/>
          <w:szCs w:val="22"/>
          <w:lang w:val="es-ES_tradnl"/>
        </w:rPr>
        <w:t>. Estos instrumentos financieros se utilizan para gestionar riesgos y transferir exposición crediticia entre inversores.</w:t>
      </w:r>
    </w:p>
    <w:p w14:paraId="6EBE5D3E" w14:textId="77777777" w:rsidR="004865A3" w:rsidRPr="00CF1B34" w:rsidRDefault="004865A3" w:rsidP="0005621A">
      <w:pPr>
        <w:shd w:val="clear" w:color="auto" w:fill="FFFFFF"/>
        <w:spacing w:beforeAutospacing="1" w:afterAutospacing="1"/>
        <w:ind w:firstLine="360"/>
        <w:jc w:val="both"/>
        <w:rPr>
          <w:rFonts w:ascii="Arial" w:hAnsi="Arial" w:cs="Arial"/>
          <w:color w:val="000000"/>
          <w:sz w:val="22"/>
          <w:szCs w:val="22"/>
          <w:lang w:val="es-ES_tradnl"/>
        </w:rPr>
      </w:pPr>
      <w:r w:rsidRPr="00CF1B34">
        <w:rPr>
          <w:rFonts w:ascii="Arial" w:hAnsi="Arial" w:cs="Arial"/>
          <w:b/>
          <w:bCs/>
          <w:color w:val="000000"/>
          <w:sz w:val="22"/>
          <w:szCs w:val="22"/>
          <w:lang w:val="es-ES_tradnl"/>
        </w:rPr>
        <w:t>Características clave</w:t>
      </w:r>
    </w:p>
    <w:p w14:paraId="180C06D7" w14:textId="77777777" w:rsidR="004865A3" w:rsidRPr="00CF1B34" w:rsidRDefault="004865A3" w:rsidP="004F7A62">
      <w:pPr>
        <w:numPr>
          <w:ilvl w:val="0"/>
          <w:numId w:val="110"/>
        </w:numPr>
        <w:shd w:val="clear" w:color="auto" w:fill="FFFFFF"/>
        <w:spacing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lastRenderedPageBreak/>
        <w:t>Se crean utilizando swaps de incumplimiento crediticio (CDS) en lugar de activos subyacentes reales.</w:t>
      </w:r>
    </w:p>
    <w:p w14:paraId="206F2E90" w14:textId="77777777" w:rsidR="004865A3" w:rsidRPr="00CF1B34" w:rsidRDefault="004865A3" w:rsidP="004F7A62">
      <w:pPr>
        <w:numPr>
          <w:ilvl w:val="0"/>
          <w:numId w:val="110"/>
        </w:numPr>
        <w:shd w:val="clear" w:color="auto" w:fill="FFFFFF"/>
        <w:spacing w:before="100" w:beforeAutospacing="1"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La cartera de referencia subyacente está compuesta por swaps de incumplimiento crediticio, que son derivados que pueden estar sujetos a riesgo de contraparte.</w:t>
      </w:r>
    </w:p>
    <w:p w14:paraId="645A1696" w14:textId="77777777" w:rsidR="004865A3" w:rsidRPr="00CF1B34" w:rsidRDefault="004865A3" w:rsidP="004F7A62">
      <w:pPr>
        <w:numPr>
          <w:ilvl w:val="0"/>
          <w:numId w:val="110"/>
        </w:numPr>
        <w:shd w:val="clear" w:color="auto" w:fill="FFFFFF"/>
        <w:spacing w:beforeAutospacing="1"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Los CDO sintéticos </w:t>
      </w:r>
      <w:r w:rsidRPr="00CF1B34">
        <w:rPr>
          <w:rFonts w:ascii="Arial" w:hAnsi="Arial" w:cs="Arial"/>
          <w:b/>
          <w:bCs/>
          <w:color w:val="000000"/>
          <w:sz w:val="22"/>
          <w:szCs w:val="22"/>
          <w:lang w:val="es-ES_tradnl"/>
        </w:rPr>
        <w:t>permiten a los inversores adoptar una posición larga o corta en relación con la solvencia de otros valores</w:t>
      </w:r>
      <w:r w:rsidRPr="00CF1B34">
        <w:rPr>
          <w:rFonts w:ascii="Arial" w:hAnsi="Arial" w:cs="Arial"/>
          <w:color w:val="000000"/>
          <w:sz w:val="22"/>
          <w:szCs w:val="22"/>
          <w:lang w:val="es-ES_tradnl"/>
        </w:rPr>
        <w:t>.</w:t>
      </w:r>
    </w:p>
    <w:p w14:paraId="6F21753F" w14:textId="77777777" w:rsidR="004865A3" w:rsidRPr="00CF1B34" w:rsidRDefault="004865A3" w:rsidP="004F7A62">
      <w:pPr>
        <w:numPr>
          <w:ilvl w:val="0"/>
          <w:numId w:val="110"/>
        </w:numPr>
        <w:shd w:val="clear" w:color="auto" w:fill="FFFFFF"/>
        <w:spacing w:before="100" w:beforeAutospacing="1"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Estos instrumentos financieros están diseñados para ofrecer un rendimiento continuo y fijo a los inversores a largo plazo.</w:t>
      </w:r>
    </w:p>
    <w:p w14:paraId="719BDC48" w14:textId="77777777" w:rsidR="004865A3" w:rsidRPr="00CF1B34" w:rsidRDefault="004865A3" w:rsidP="004F7A62">
      <w:pPr>
        <w:numPr>
          <w:ilvl w:val="0"/>
          <w:numId w:val="110"/>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Los CDO sintéticos se dividen en tramos con diferentes niveles de riesgo crediticio, lo que permite a los inversores seleccionar la exposición al riesgo que deseen.</w:t>
      </w:r>
    </w:p>
    <w:p w14:paraId="035EB3AA" w14:textId="77777777" w:rsidR="004865A3" w:rsidRPr="00CF1B34" w:rsidRDefault="004865A3" w:rsidP="0005621A">
      <w:pPr>
        <w:shd w:val="clear" w:color="auto" w:fill="FFFFFF"/>
        <w:spacing w:beforeAutospacing="1" w:afterAutospacing="1"/>
        <w:ind w:firstLine="360"/>
        <w:jc w:val="both"/>
        <w:rPr>
          <w:rFonts w:ascii="Arial" w:hAnsi="Arial" w:cs="Arial"/>
          <w:color w:val="000000"/>
          <w:sz w:val="22"/>
          <w:szCs w:val="22"/>
          <w:lang w:val="es-ES_tradnl"/>
        </w:rPr>
      </w:pPr>
      <w:r w:rsidRPr="00CF1B34">
        <w:rPr>
          <w:rFonts w:ascii="Arial" w:hAnsi="Arial" w:cs="Arial"/>
          <w:b/>
          <w:bCs/>
          <w:color w:val="000000"/>
          <w:sz w:val="22"/>
          <w:szCs w:val="22"/>
          <w:lang w:val="es-ES_tradnl"/>
        </w:rPr>
        <w:t>Funcionamiento</w:t>
      </w:r>
    </w:p>
    <w:p w14:paraId="631F3DD3" w14:textId="77777777" w:rsidR="004865A3" w:rsidRPr="00CF1B34" w:rsidRDefault="004865A3" w:rsidP="004F7A62">
      <w:pPr>
        <w:numPr>
          <w:ilvl w:val="0"/>
          <w:numId w:val="111"/>
        </w:numPr>
        <w:shd w:val="clear" w:color="auto" w:fill="FFFFFF"/>
        <w:spacing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Un CDO sintético </w:t>
      </w:r>
      <w:r w:rsidRPr="00CF1B34">
        <w:rPr>
          <w:rFonts w:ascii="Arial" w:hAnsi="Arial" w:cs="Arial"/>
          <w:b/>
          <w:bCs/>
          <w:color w:val="000000"/>
          <w:sz w:val="22"/>
          <w:szCs w:val="22"/>
          <w:lang w:val="es-ES_tradnl"/>
        </w:rPr>
        <w:t>se crea al vender a un inversor un tramo de exposición crediticia a una cartera de swaps de incumplimiento crediticio</w:t>
      </w:r>
      <w:r w:rsidRPr="00CF1B34">
        <w:rPr>
          <w:rFonts w:ascii="Arial" w:hAnsi="Arial" w:cs="Arial"/>
          <w:color w:val="000000"/>
          <w:sz w:val="22"/>
          <w:szCs w:val="22"/>
          <w:lang w:val="es-ES_tradnl"/>
        </w:rPr>
        <w:t>.</w:t>
      </w:r>
    </w:p>
    <w:p w14:paraId="4093A2EA" w14:textId="77777777" w:rsidR="004865A3" w:rsidRPr="00CF1B34" w:rsidRDefault="004865A3" w:rsidP="004F7A62">
      <w:pPr>
        <w:numPr>
          <w:ilvl w:val="0"/>
          <w:numId w:val="111"/>
        </w:numPr>
        <w:shd w:val="clear" w:color="auto" w:fill="FFFFFF"/>
        <w:spacing w:before="100" w:beforeAutospacing="1"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Si un valor referenciado incumple, el vendedor del CDO sintético debe pagar al comprador del tramo correspondiente.</w:t>
      </w:r>
    </w:p>
    <w:p w14:paraId="7ADDCDFC" w14:textId="77777777" w:rsidR="004865A3" w:rsidRPr="00CF1B34" w:rsidRDefault="004865A3" w:rsidP="004F7A62">
      <w:pPr>
        <w:numPr>
          <w:ilvl w:val="0"/>
          <w:numId w:val="111"/>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Los CDO sintéticos pueden ser utilizados para transferir riesgos entre inversores y para crear productos financieros más complejos.</w:t>
      </w:r>
    </w:p>
    <w:p w14:paraId="2A343ABA" w14:textId="77777777" w:rsidR="004865A3" w:rsidRPr="00CF1B34" w:rsidRDefault="004865A3" w:rsidP="0005621A">
      <w:pPr>
        <w:shd w:val="clear" w:color="auto" w:fill="FFFFFF"/>
        <w:spacing w:beforeAutospacing="1" w:afterAutospacing="1"/>
        <w:ind w:firstLine="360"/>
        <w:jc w:val="both"/>
        <w:rPr>
          <w:rFonts w:ascii="Arial" w:hAnsi="Arial" w:cs="Arial"/>
          <w:color w:val="000000"/>
          <w:sz w:val="22"/>
          <w:szCs w:val="22"/>
          <w:lang w:val="es-ES_tradnl"/>
        </w:rPr>
      </w:pPr>
      <w:r w:rsidRPr="00CF1B34">
        <w:rPr>
          <w:rFonts w:ascii="Arial" w:hAnsi="Arial" w:cs="Arial"/>
          <w:b/>
          <w:bCs/>
          <w:color w:val="000000"/>
          <w:sz w:val="22"/>
          <w:szCs w:val="22"/>
          <w:lang w:val="es-ES_tradnl"/>
        </w:rPr>
        <w:t>Ventajas y desventajas</w:t>
      </w:r>
    </w:p>
    <w:p w14:paraId="30BDC6EA" w14:textId="77777777" w:rsidR="004865A3" w:rsidRPr="00CF1B34" w:rsidRDefault="004865A3" w:rsidP="004F7A62">
      <w:pPr>
        <w:numPr>
          <w:ilvl w:val="0"/>
          <w:numId w:val="112"/>
        </w:numPr>
        <w:shd w:val="clear" w:color="auto" w:fill="FFFFFF"/>
        <w:spacing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Ventajas: permiten a los inversores gestionar riesgos y transferir exposición crediticia, ofrecen un rendimiento continuo y fijo a largo plazo.</w:t>
      </w:r>
    </w:p>
    <w:p w14:paraId="7B84D493" w14:textId="77777777" w:rsidR="004865A3" w:rsidRPr="00CF1B34" w:rsidRDefault="004865A3" w:rsidP="004F7A62">
      <w:pPr>
        <w:numPr>
          <w:ilvl w:val="0"/>
          <w:numId w:val="112"/>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Desventajas: son instrumentos financieros complejos y pueden ser difíciles de entender, pueden estar sujetos a riesgo de contraparte y pueden haber contribuido a la crisis financiera de 2008.</w:t>
      </w:r>
    </w:p>
    <w:p w14:paraId="72EF3474" w14:textId="77777777" w:rsidR="004865A3" w:rsidRPr="00CF1B34" w:rsidRDefault="004865A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lang w:val="es-ES_tradnl"/>
        </w:rPr>
        <w:t>En resumen, los CDO sintéticos son instrumentos financieros que se crean a partir de swaps de incumplimiento crediticio y permiten a los inversores gestionar riesgos y transferir exposición crediticia. Sin embargo, su complejidad y potencial riesgo de contraparte han generado controversia y críticas en el pasado.</w:t>
      </w:r>
    </w:p>
    <w:p w14:paraId="45B4C904" w14:textId="0B0655B7" w:rsidR="0043491B" w:rsidRPr="00CF1B34" w:rsidRDefault="004D44A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CDS Sob</w:t>
      </w:r>
      <w:r w:rsidR="003E00F6" w:rsidRPr="00CF1B34">
        <w:rPr>
          <w:rFonts w:ascii="Arial" w:hAnsi="Arial" w:cs="Arial"/>
          <w:b/>
          <w:bCs/>
          <w:color w:val="004773"/>
          <w:sz w:val="22"/>
          <w:szCs w:val="22"/>
          <w:lang w:val="es-ES_tradnl"/>
        </w:rPr>
        <w:t>e</w:t>
      </w:r>
      <w:r w:rsidRPr="00CF1B34">
        <w:rPr>
          <w:rFonts w:ascii="Arial" w:hAnsi="Arial" w:cs="Arial"/>
          <w:b/>
          <w:bCs/>
          <w:color w:val="004773"/>
          <w:sz w:val="22"/>
          <w:szCs w:val="22"/>
          <w:lang w:val="es-ES_tradnl"/>
        </w:rPr>
        <w:t>ranos</w:t>
      </w:r>
      <w:r w:rsidR="00AC0518" w:rsidRPr="00CF1B34">
        <w:rPr>
          <w:rFonts w:ascii="Arial" w:hAnsi="Arial" w:cs="Arial"/>
          <w:b/>
          <w:bCs/>
          <w:color w:val="004773"/>
          <w:sz w:val="22"/>
          <w:szCs w:val="22"/>
          <w:lang w:val="es-ES_tradnl"/>
        </w:rPr>
        <w:t xml:space="preserve"> (Credit Default Swaps)</w:t>
      </w:r>
    </w:p>
    <w:p w14:paraId="5FBB9400" w14:textId="77777777" w:rsidR="004865A3" w:rsidRPr="00CF1B34" w:rsidRDefault="00AC051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Un CDS es un derivado financiero que se define como “contrato de permuta de cobertura por incumplimiento crediticio” y cuya traducción inglesa es credit default swaps. En esencia, un CDS es un seguro que cubre a su tenedor del riesgo de impago de un préstamo o de la compra de otro producto financiero. Por ejemplo, un inversor que compra un título de deuda –bien sea pública o privada- puede comprar un CDS para protegerse en caso de que el emisor del bono se dé en quiebra o suspensión de pagos. El mercado de los CDS forma parte de una clase de mercados denominados mercados de derivados OTC (acrónimo de over-the-counter) los cuales son mercados no regulados.</w:t>
      </w:r>
    </w:p>
    <w:p w14:paraId="78EFE48D" w14:textId="184BEF17" w:rsidR="004D44AB" w:rsidRPr="00CF1B34" w:rsidRDefault="004D44A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CECA</w:t>
      </w:r>
    </w:p>
    <w:p w14:paraId="75471B69" w14:textId="5BA67086" w:rsidR="00EB59FE" w:rsidRPr="00CF1B34" w:rsidRDefault="00EB59FE"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Asociación bancaria española que defiende los intereses de las cajas de ahorros y los bancos creados por ellas.</w:t>
      </w:r>
    </w:p>
    <w:p w14:paraId="34E1F675" w14:textId="2A0DCD5A" w:rsidR="004865A3" w:rsidRPr="00CF1B34" w:rsidRDefault="004865A3"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w:t>
      </w:r>
      <w:r w:rsidRPr="00CF1B34">
        <w:rPr>
          <w:rFonts w:ascii="Arial" w:hAnsi="Arial" w:cs="Arial"/>
          <w:b/>
          <w:bCs/>
          <w:color w:val="333333"/>
          <w:sz w:val="22"/>
          <w:szCs w:val="22"/>
          <w:lang w:val="es-ES_tradnl"/>
        </w:rPr>
        <w:t xml:space="preserve">CECA </w:t>
      </w:r>
      <w:r w:rsidRPr="00CF1B34">
        <w:rPr>
          <w:rFonts w:ascii="Arial" w:hAnsi="Arial" w:cs="Arial"/>
          <w:color w:val="333333"/>
          <w:sz w:val="22"/>
          <w:szCs w:val="22"/>
          <w:lang w:val="es-ES_tradnl"/>
        </w:rPr>
        <w:t xml:space="preserve">es el índice creado por la </w:t>
      </w:r>
      <w:r w:rsidRPr="00CF1B34">
        <w:rPr>
          <w:rFonts w:ascii="Arial" w:hAnsi="Arial" w:cs="Arial"/>
          <w:b/>
          <w:bCs/>
          <w:color w:val="333333"/>
          <w:sz w:val="22"/>
          <w:szCs w:val="22"/>
          <w:lang w:val="es-ES_tradnl"/>
        </w:rPr>
        <w:t>Confederación Española de Cajas de Ahorro</w:t>
      </w:r>
      <w:r w:rsidRPr="00CF1B34">
        <w:rPr>
          <w:rFonts w:ascii="Arial" w:hAnsi="Arial" w:cs="Arial"/>
          <w:color w:val="333333"/>
          <w:sz w:val="22"/>
          <w:szCs w:val="22"/>
          <w:lang w:val="es-ES_tradnl"/>
        </w:rPr>
        <w:t>, la organización que agrupa a 45 cajas de ahorros y que proporciona a las cajas de</w:t>
      </w:r>
      <w:r w:rsidR="00EB59FE"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 xml:space="preserve">ahorro </w:t>
      </w:r>
      <w:r w:rsidRPr="00CF1B34">
        <w:rPr>
          <w:rFonts w:ascii="Arial" w:hAnsi="Arial" w:cs="Arial"/>
          <w:i/>
          <w:iCs/>
          <w:color w:val="333333"/>
          <w:sz w:val="22"/>
          <w:szCs w:val="22"/>
          <w:lang w:val="es-ES_tradnl"/>
        </w:rPr>
        <w:t>-y al resto de los sujetos que actúan en el mercado-</w:t>
      </w:r>
      <w:r w:rsidRPr="00CF1B34">
        <w:rPr>
          <w:rFonts w:ascii="Arial" w:hAnsi="Arial" w:cs="Arial"/>
          <w:color w:val="333333"/>
          <w:sz w:val="22"/>
          <w:szCs w:val="22"/>
          <w:lang w:val="es-ES_tradnl"/>
        </w:rPr>
        <w:t>, productos y servicios del ámbito tecnológico y financiero.</w:t>
      </w:r>
    </w:p>
    <w:p w14:paraId="5BB8A957" w14:textId="77777777" w:rsidR="004865A3" w:rsidRPr="00CF1B34" w:rsidRDefault="004865A3"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Este indicador se calcula tomando en cuenta:</w:t>
      </w:r>
    </w:p>
    <w:p w14:paraId="56454958" w14:textId="77777777" w:rsidR="004865A3" w:rsidRPr="00CF1B34" w:rsidRDefault="004865A3" w:rsidP="004F7A62">
      <w:pPr>
        <w:numPr>
          <w:ilvl w:val="0"/>
          <w:numId w:val="11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la media simple de los tipos de interés de los</w:t>
      </w:r>
      <w:hyperlink r:id="rId99" w:history="1">
        <w:r w:rsidRPr="00CF1B34">
          <w:rPr>
            <w:rFonts w:ascii="Arial" w:hAnsi="Arial" w:cs="Arial"/>
            <w:b/>
            <w:bCs/>
            <w:color w:val="DC143C"/>
            <w:sz w:val="22"/>
            <w:szCs w:val="22"/>
            <w:lang w:val="es-ES_tradnl"/>
          </w:rPr>
          <w:t> préstamos personales</w:t>
        </w:r>
      </w:hyperlink>
      <w:r w:rsidRPr="00CF1B34">
        <w:rPr>
          <w:rFonts w:ascii="Arial" w:hAnsi="Arial" w:cs="Arial"/>
          <w:color w:val="333333"/>
          <w:sz w:val="22"/>
          <w:szCs w:val="22"/>
          <w:lang w:val="es-ES_tradnl"/>
        </w:rPr>
        <w:t> formalizados mensualmente en operaciones a plazo de un año a menos de tres,</w:t>
      </w:r>
    </w:p>
    <w:p w14:paraId="3B1B8D89" w14:textId="42375107" w:rsidR="004865A3" w:rsidRPr="00CF1B34" w:rsidRDefault="004865A3" w:rsidP="004F7A62">
      <w:pPr>
        <w:numPr>
          <w:ilvl w:val="0"/>
          <w:numId w:val="11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 media aritmética de los</w:t>
      </w:r>
      <w:r w:rsidR="00EB59FE" w:rsidRPr="00CF1B34">
        <w:rPr>
          <w:rFonts w:ascii="Arial" w:hAnsi="Arial" w:cs="Arial"/>
          <w:color w:val="333333"/>
          <w:sz w:val="22"/>
          <w:szCs w:val="22"/>
          <w:lang w:val="es-ES_tradnl"/>
        </w:rPr>
        <w:t xml:space="preserve"> </w:t>
      </w:r>
      <w:hyperlink r:id="rId100" w:history="1">
        <w:r w:rsidRPr="00CF1B34">
          <w:rPr>
            <w:rFonts w:ascii="Arial" w:hAnsi="Arial" w:cs="Arial"/>
            <w:b/>
            <w:bCs/>
            <w:color w:val="DC143C"/>
            <w:sz w:val="22"/>
            <w:szCs w:val="22"/>
            <w:lang w:val="es-ES_tradnl"/>
          </w:rPr>
          <w:t>préstamos con garantía hipotecaria</w:t>
        </w:r>
      </w:hyperlink>
      <w:r w:rsidR="00EB59FE"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contratados mensualmente por plazo de tres años o más</w:t>
      </w:r>
    </w:p>
    <w:p w14:paraId="2B118F12" w14:textId="77777777" w:rsidR="004865A3" w:rsidRPr="00CF1B34" w:rsidRDefault="004865A3" w:rsidP="004F7A62">
      <w:pPr>
        <w:numPr>
          <w:ilvl w:val="0"/>
          <w:numId w:val="11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De estos valores, se eliminan en los dos casos los valores extremos que se separen en 2 veces ó más la desviación típica.</w:t>
      </w:r>
    </w:p>
    <w:p w14:paraId="5BAA7842" w14:textId="35FB8A7A" w:rsidR="004865A3" w:rsidRPr="00CF1B34" w:rsidRDefault="004865A3" w:rsidP="004F7A62">
      <w:pPr>
        <w:numPr>
          <w:ilvl w:val="0"/>
          <w:numId w:val="11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 partir de dichos valores, se toma la media simple y de allí, se calcula el 90% del mismo, dando como resultado el</w:t>
      </w:r>
      <w:r w:rsidR="00EB59FE" w:rsidRPr="00CF1B34">
        <w:rPr>
          <w:rFonts w:ascii="Arial" w:hAnsi="Arial" w:cs="Arial"/>
          <w:b/>
          <w:bCs/>
          <w:color w:val="333333"/>
          <w:sz w:val="22"/>
          <w:szCs w:val="22"/>
          <w:lang w:val="es-ES_tradnl"/>
        </w:rPr>
        <w:t xml:space="preserve"> </w:t>
      </w:r>
      <w:r w:rsidRPr="00CF1B34">
        <w:rPr>
          <w:rFonts w:ascii="Arial" w:hAnsi="Arial" w:cs="Arial"/>
          <w:b/>
          <w:bCs/>
          <w:color w:val="333333"/>
          <w:sz w:val="22"/>
          <w:szCs w:val="22"/>
          <w:lang w:val="es-ES_tradnl"/>
        </w:rPr>
        <w:t>índice CECA</w:t>
      </w:r>
      <w:r w:rsidRPr="00CF1B34">
        <w:rPr>
          <w:rFonts w:ascii="Arial" w:hAnsi="Arial" w:cs="Arial"/>
          <w:color w:val="333333"/>
          <w:sz w:val="22"/>
          <w:szCs w:val="22"/>
          <w:lang w:val="es-ES_tradnl"/>
        </w:rPr>
        <w:t>.</w:t>
      </w:r>
    </w:p>
    <w:p w14:paraId="35D46A32" w14:textId="77777777" w:rsidR="004865A3" w:rsidRPr="00CF1B34" w:rsidRDefault="004865A3"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Los tipos tomados para realizar este cálculo son los </w:t>
      </w:r>
      <w:r w:rsidRPr="00CF1B34">
        <w:rPr>
          <w:rFonts w:ascii="Arial" w:hAnsi="Arial" w:cs="Arial"/>
          <w:b/>
          <w:bCs/>
          <w:color w:val="333333"/>
          <w:sz w:val="22"/>
          <w:szCs w:val="22"/>
          <w:lang w:val="es-ES_tradnl"/>
        </w:rPr>
        <w:t>tipos TAE</w:t>
      </w:r>
      <w:r w:rsidRPr="00CF1B34">
        <w:rPr>
          <w:rFonts w:ascii="Arial" w:hAnsi="Arial" w:cs="Arial"/>
          <w:color w:val="333333"/>
          <w:sz w:val="22"/>
          <w:szCs w:val="22"/>
          <w:lang w:val="es-ES_tradnl"/>
        </w:rPr>
        <w:t> remitidos por las cajas de ahorros al Banco de España.</w:t>
      </w:r>
    </w:p>
    <w:p w14:paraId="14D8E06D" w14:textId="77777777" w:rsidR="004865A3" w:rsidRPr="00CF1B34" w:rsidRDefault="004865A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333333"/>
          <w:sz w:val="22"/>
          <w:szCs w:val="22"/>
          <w:lang w:val="es-ES_tradnl"/>
        </w:rPr>
        <w:t xml:space="preserve">Generalmente, el valor del CECA siempre ha estado por encima del </w:t>
      </w:r>
      <w:hyperlink r:id="rId101" w:history="1">
        <w:r w:rsidRPr="00CF1B34">
          <w:rPr>
            <w:rFonts w:ascii="Arial" w:hAnsi="Arial" w:cs="Arial"/>
            <w:b/>
            <w:bCs/>
            <w:color w:val="DC143C"/>
            <w:sz w:val="22"/>
            <w:szCs w:val="22"/>
            <w:u w:val="single"/>
            <w:lang w:val="es-ES_tradnl"/>
          </w:rPr>
          <w:t>IHPH </w:t>
        </w:r>
      </w:hyperlink>
      <w:r w:rsidRPr="00CF1B34">
        <w:rPr>
          <w:rFonts w:ascii="Arial" w:hAnsi="Arial" w:cs="Arial"/>
          <w:b/>
          <w:bCs/>
          <w:color w:val="333333"/>
          <w:sz w:val="22"/>
          <w:szCs w:val="22"/>
          <w:lang w:val="es-ES_tradnl"/>
        </w:rPr>
        <w:t xml:space="preserve">y del </w:t>
      </w:r>
      <w:hyperlink r:id="rId102" w:history="1">
        <w:r w:rsidRPr="00CF1B34">
          <w:rPr>
            <w:rFonts w:ascii="Arial" w:hAnsi="Arial" w:cs="Arial"/>
            <w:b/>
            <w:bCs/>
            <w:color w:val="DC143C"/>
            <w:sz w:val="22"/>
            <w:szCs w:val="22"/>
            <w:u w:val="single"/>
            <w:lang w:val="es-ES_tradnl"/>
          </w:rPr>
          <w:t>Euribor</w:t>
        </w:r>
      </w:hyperlink>
      <w:r w:rsidRPr="00CF1B34">
        <w:rPr>
          <w:rFonts w:ascii="Arial" w:hAnsi="Arial" w:cs="Arial"/>
          <w:color w:val="333333"/>
          <w:sz w:val="22"/>
          <w:szCs w:val="22"/>
          <w:lang w:val="es-ES_tradnl"/>
        </w:rPr>
        <w:t>. Por esta razón es posiblemente el menos popular. A su vez, es el indicador que menos fluctúa, el más estable y el que menos noticias llamativas ofrece.</w:t>
      </w:r>
    </w:p>
    <w:p w14:paraId="5F2683F9" w14:textId="7CF0DE36" w:rsidR="004865A3" w:rsidRPr="00CF1B34" w:rsidRDefault="00EB59F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CECA</w:t>
      </w:r>
    </w:p>
    <w:p w14:paraId="1760AF0E" w14:textId="73287A75" w:rsidR="00033A19" w:rsidRPr="00CF1B34" w:rsidRDefault="00EB59FE" w:rsidP="0005621A">
      <w:pPr>
        <w:pStyle w:val="Sinespaciado"/>
        <w:ind w:left="708"/>
        <w:jc w:val="both"/>
        <w:rPr>
          <w:rFonts w:ascii="Arial" w:hAnsi="Arial" w:cs="Arial"/>
          <w:sz w:val="22"/>
          <w:szCs w:val="22"/>
          <w:shd w:val="clear" w:color="auto" w:fill="DCFCFC"/>
          <w:lang w:val="es-ES_tradnl"/>
        </w:rPr>
      </w:pPr>
      <w:r w:rsidRPr="00CF1B34">
        <w:rPr>
          <w:rFonts w:ascii="Arial" w:hAnsi="Arial" w:cs="Arial"/>
          <w:sz w:val="22"/>
          <w:szCs w:val="22"/>
          <w:shd w:val="clear" w:color="auto" w:fill="DCFCFC"/>
          <w:lang w:val="es-ES_tradnl"/>
        </w:rPr>
        <w:t xml:space="preserve">Antigua organización internacional de integración en los sectores del carbón y del acero. La Comunidad Europea del Carbón y el Acero fue constituida por el Tratado de París de 18 de abril de 1951. Su objetivo fue crear un mercado común en el sector del carbón y del acero, eliminando las fronteras y las distorsiones de la competencia para facilitar el desarrollo equilibrado de las actividades económicas correspondientes. </w:t>
      </w:r>
    </w:p>
    <w:p w14:paraId="4D4C3DB5" w14:textId="04A07F54" w:rsidR="007E2D30" w:rsidRPr="00CF1B34" w:rsidRDefault="007E2D30" w:rsidP="0005621A">
      <w:pPr>
        <w:ind w:left="708"/>
        <w:jc w:val="both"/>
        <w:rPr>
          <w:rFonts w:ascii="Arial" w:hAnsi="Arial" w:cs="Arial"/>
          <w:sz w:val="22"/>
          <w:szCs w:val="22"/>
          <w:lang w:val="es-ES_tradnl"/>
        </w:rPr>
      </w:pPr>
      <w:r w:rsidRPr="00CF1B34">
        <w:rPr>
          <w:rFonts w:ascii="Arial" w:hAnsi="Arial" w:cs="Arial"/>
          <w:color w:val="202122"/>
          <w:sz w:val="22"/>
          <w:szCs w:val="22"/>
          <w:shd w:val="clear" w:color="auto" w:fill="FFFFFF"/>
          <w:lang w:val="es-ES_tradnl"/>
        </w:rPr>
        <w:t xml:space="preserve">La paternidad de la que fue el antecedente directo de la </w:t>
      </w:r>
      <w:hyperlink r:id="rId103" w:tooltip="Comunidad Económica Europea" w:history="1">
        <w:r w:rsidRPr="00CF1B34">
          <w:rPr>
            <w:rFonts w:ascii="Arial" w:hAnsi="Arial" w:cs="Arial"/>
            <w:color w:val="0000FF"/>
            <w:sz w:val="22"/>
            <w:szCs w:val="22"/>
            <w:u w:val="single"/>
            <w:shd w:val="clear" w:color="auto" w:fill="FFFFFF"/>
            <w:lang w:val="es-ES_tradnl"/>
          </w:rPr>
          <w:t>Europa de los Seis</w:t>
        </w:r>
      </w:hyperlink>
      <w:r w:rsidRPr="00CF1B34">
        <w:rPr>
          <w:rFonts w:ascii="Arial" w:hAnsi="Arial" w:cs="Arial"/>
          <w:color w:val="202122"/>
          <w:sz w:val="22"/>
          <w:szCs w:val="22"/>
          <w:shd w:val="clear" w:color="auto" w:fill="FFFFFF"/>
          <w:lang w:val="es-ES_tradnl"/>
        </w:rPr>
        <w:t xml:space="preserve">: </w:t>
      </w:r>
      <w:hyperlink r:id="rId104" w:tooltip="Francia" w:history="1">
        <w:r w:rsidRPr="00CF1B34">
          <w:rPr>
            <w:rFonts w:ascii="Arial" w:hAnsi="Arial" w:cs="Arial"/>
            <w:color w:val="0000FF"/>
            <w:sz w:val="22"/>
            <w:szCs w:val="22"/>
            <w:u w:val="single"/>
            <w:shd w:val="clear" w:color="auto" w:fill="FFFFFF"/>
            <w:lang w:val="es-ES_tradnl"/>
          </w:rPr>
          <w:t>Francia</w:t>
        </w:r>
      </w:hyperlink>
      <w:r w:rsidRPr="00CF1B34">
        <w:rPr>
          <w:rFonts w:ascii="Arial" w:hAnsi="Arial" w:cs="Arial"/>
          <w:color w:val="202122"/>
          <w:sz w:val="22"/>
          <w:szCs w:val="22"/>
          <w:shd w:val="clear" w:color="auto" w:fill="FFFFFF"/>
          <w:lang w:val="es-ES_tradnl"/>
        </w:rPr>
        <w:t xml:space="preserve">, </w:t>
      </w:r>
      <w:hyperlink r:id="rId105" w:tooltip="Alemania Occidental" w:history="1">
        <w:r w:rsidRPr="00CF1B34">
          <w:rPr>
            <w:rFonts w:ascii="Arial" w:hAnsi="Arial" w:cs="Arial"/>
            <w:color w:val="0000FF"/>
            <w:sz w:val="22"/>
            <w:szCs w:val="22"/>
            <w:u w:val="single"/>
            <w:shd w:val="clear" w:color="auto" w:fill="FFFFFF"/>
            <w:lang w:val="es-ES_tradnl"/>
          </w:rPr>
          <w:t>Alemania Occidental</w:t>
        </w:r>
      </w:hyperlink>
      <w:r w:rsidRPr="00CF1B34">
        <w:rPr>
          <w:rFonts w:ascii="Arial" w:hAnsi="Arial" w:cs="Arial"/>
          <w:color w:val="202122"/>
          <w:sz w:val="22"/>
          <w:szCs w:val="22"/>
          <w:shd w:val="clear" w:color="auto" w:fill="FFFFFF"/>
          <w:lang w:val="es-ES_tradnl"/>
        </w:rPr>
        <w:t xml:space="preserve">, </w:t>
      </w:r>
      <w:hyperlink r:id="rId106" w:tooltip="Italia" w:history="1">
        <w:r w:rsidRPr="00CF1B34">
          <w:rPr>
            <w:rFonts w:ascii="Arial" w:hAnsi="Arial" w:cs="Arial"/>
            <w:color w:val="0000FF"/>
            <w:sz w:val="22"/>
            <w:szCs w:val="22"/>
            <w:u w:val="single"/>
            <w:shd w:val="clear" w:color="auto" w:fill="FFFFFF"/>
            <w:lang w:val="es-ES_tradnl"/>
          </w:rPr>
          <w:t>Italia</w:t>
        </w:r>
      </w:hyperlink>
      <w:r w:rsidRPr="00CF1B34">
        <w:rPr>
          <w:rFonts w:ascii="Arial" w:hAnsi="Arial" w:cs="Arial"/>
          <w:color w:val="202122"/>
          <w:sz w:val="22"/>
          <w:szCs w:val="22"/>
          <w:shd w:val="clear" w:color="auto" w:fill="FFFFFF"/>
          <w:lang w:val="es-ES_tradnl"/>
        </w:rPr>
        <w:t xml:space="preserve">, </w:t>
      </w:r>
      <w:hyperlink r:id="rId107" w:tooltip="Bélgica" w:history="1">
        <w:r w:rsidRPr="00CF1B34">
          <w:rPr>
            <w:rFonts w:ascii="Arial" w:hAnsi="Arial" w:cs="Arial"/>
            <w:color w:val="0000FF"/>
            <w:sz w:val="22"/>
            <w:szCs w:val="22"/>
            <w:u w:val="single"/>
            <w:shd w:val="clear" w:color="auto" w:fill="FFFFFF"/>
            <w:lang w:val="es-ES_tradnl"/>
          </w:rPr>
          <w:t>Bélgica</w:t>
        </w:r>
      </w:hyperlink>
      <w:r w:rsidRPr="00CF1B34">
        <w:rPr>
          <w:rFonts w:ascii="Arial" w:hAnsi="Arial" w:cs="Arial"/>
          <w:color w:val="202122"/>
          <w:sz w:val="22"/>
          <w:szCs w:val="22"/>
          <w:shd w:val="clear" w:color="auto" w:fill="FFFFFF"/>
          <w:lang w:val="es-ES_tradnl"/>
        </w:rPr>
        <w:t xml:space="preserve">, </w:t>
      </w:r>
      <w:hyperlink r:id="rId108" w:tooltip="Luxemburgo" w:history="1">
        <w:r w:rsidRPr="00CF1B34">
          <w:rPr>
            <w:rFonts w:ascii="Arial" w:hAnsi="Arial" w:cs="Arial"/>
            <w:color w:val="0000FF"/>
            <w:sz w:val="22"/>
            <w:szCs w:val="22"/>
            <w:u w:val="single"/>
            <w:shd w:val="clear" w:color="auto" w:fill="FFFFFF"/>
            <w:lang w:val="es-ES_tradnl"/>
          </w:rPr>
          <w:t>Luxemburgo</w:t>
        </w:r>
      </w:hyperlink>
      <w:r w:rsidRPr="00CF1B34">
        <w:rPr>
          <w:rFonts w:ascii="Arial" w:hAnsi="Arial" w:cs="Arial"/>
          <w:color w:val="202122"/>
          <w:sz w:val="22"/>
          <w:szCs w:val="22"/>
          <w:shd w:val="clear" w:color="auto" w:fill="FFFFFF"/>
          <w:lang w:val="es-ES_tradnl"/>
        </w:rPr>
        <w:t xml:space="preserve"> y los </w:t>
      </w:r>
      <w:hyperlink r:id="rId109" w:tooltip="Países Bajos" w:history="1">
        <w:r w:rsidRPr="00CF1B34">
          <w:rPr>
            <w:rFonts w:ascii="Arial" w:hAnsi="Arial" w:cs="Arial"/>
            <w:color w:val="0000FF"/>
            <w:sz w:val="22"/>
            <w:szCs w:val="22"/>
            <w:u w:val="single"/>
            <w:shd w:val="clear" w:color="auto" w:fill="FFFFFF"/>
            <w:lang w:val="es-ES_tradnl"/>
          </w:rPr>
          <w:t>Países Bajos</w:t>
        </w:r>
      </w:hyperlink>
      <w:r w:rsidRPr="00CF1B34">
        <w:rPr>
          <w:rFonts w:ascii="Arial" w:hAnsi="Arial" w:cs="Arial"/>
          <w:color w:val="202122"/>
          <w:sz w:val="22"/>
          <w:szCs w:val="22"/>
          <w:shd w:val="clear" w:color="auto" w:fill="FFFFFF"/>
          <w:lang w:val="es-ES_tradnl"/>
        </w:rPr>
        <w:t xml:space="preserve">. </w:t>
      </w:r>
    </w:p>
    <w:p w14:paraId="509AE46C" w14:textId="77777777" w:rsidR="007E2D30" w:rsidRPr="00CF1B34" w:rsidRDefault="00EB59F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shd w:val="clear" w:color="auto" w:fill="DCFCFC"/>
          <w:lang w:val="es-ES_tradnl"/>
        </w:rPr>
        <w:t>Contaba inicialmente el Tratado</w:t>
      </w:r>
      <w:r w:rsidR="00033A19" w:rsidRPr="00CF1B34">
        <w:rPr>
          <w:rFonts w:ascii="Arial" w:hAnsi="Arial" w:cs="Arial"/>
          <w:sz w:val="22"/>
          <w:szCs w:val="22"/>
          <w:shd w:val="clear" w:color="auto" w:fill="DCFCFC"/>
          <w:lang w:val="es-ES_tradnl"/>
        </w:rPr>
        <w:t xml:space="preserve"> </w:t>
      </w:r>
      <w:r w:rsidRPr="00CF1B34">
        <w:rPr>
          <w:rFonts w:ascii="Arial" w:hAnsi="Arial" w:cs="Arial"/>
          <w:sz w:val="22"/>
          <w:szCs w:val="22"/>
          <w:lang w:val="es-ES_tradnl"/>
        </w:rPr>
        <w:t>CECA</w:t>
      </w:r>
      <w:r w:rsidR="00033A19" w:rsidRPr="00CF1B34">
        <w:rPr>
          <w:rFonts w:ascii="Arial" w:hAnsi="Arial" w:cs="Arial"/>
          <w:sz w:val="22"/>
          <w:szCs w:val="22"/>
          <w:shd w:val="clear" w:color="auto" w:fill="DCFCFC"/>
          <w:lang w:val="es-ES_tradnl"/>
        </w:rPr>
        <w:t xml:space="preserve"> </w:t>
      </w:r>
      <w:r w:rsidRPr="00CF1B34">
        <w:rPr>
          <w:rFonts w:ascii="Arial" w:hAnsi="Arial" w:cs="Arial"/>
          <w:sz w:val="22"/>
          <w:szCs w:val="22"/>
          <w:shd w:val="clear" w:color="auto" w:fill="DCFCFC"/>
          <w:lang w:val="es-ES_tradnl"/>
        </w:rPr>
        <w:t>para su desarrollo con una organización política y administrativa a su servicio, que fue finalmente integrada con la propia de las otras dos comunidades europeas, la Comunidad para la Energía Atómica (</w:t>
      </w:r>
      <w:r w:rsidRPr="00CF1B34">
        <w:rPr>
          <w:rFonts w:ascii="Arial" w:hAnsi="Arial" w:cs="Arial"/>
          <w:sz w:val="22"/>
          <w:szCs w:val="22"/>
          <w:lang w:val="es-ES_tradnl"/>
        </w:rPr>
        <w:t>EURATOM</w:t>
      </w:r>
      <w:r w:rsidRPr="00CF1B34">
        <w:rPr>
          <w:rFonts w:ascii="Arial" w:hAnsi="Arial" w:cs="Arial"/>
          <w:sz w:val="22"/>
          <w:szCs w:val="22"/>
          <w:shd w:val="clear" w:color="auto" w:fill="DCFCFC"/>
          <w:lang w:val="es-ES_tradnl"/>
        </w:rPr>
        <w:t>) y la Comunidad Económica Europea, mediante el tratado de fusión. El tratado</w:t>
      </w:r>
      <w:r w:rsidR="00033A19" w:rsidRPr="00CF1B34">
        <w:rPr>
          <w:rFonts w:ascii="Arial" w:hAnsi="Arial" w:cs="Arial"/>
          <w:sz w:val="22"/>
          <w:szCs w:val="22"/>
          <w:shd w:val="clear" w:color="auto" w:fill="DCFCFC"/>
          <w:lang w:val="es-ES_tradnl"/>
        </w:rPr>
        <w:t xml:space="preserve"> </w:t>
      </w:r>
      <w:r w:rsidRPr="00CF1B34">
        <w:rPr>
          <w:rFonts w:ascii="Arial" w:hAnsi="Arial" w:cs="Arial"/>
          <w:sz w:val="22"/>
          <w:szCs w:val="22"/>
          <w:lang w:val="es-ES_tradnl"/>
        </w:rPr>
        <w:t>CECA</w:t>
      </w:r>
      <w:r w:rsidR="00033A19" w:rsidRPr="00CF1B34">
        <w:rPr>
          <w:rFonts w:ascii="Arial" w:hAnsi="Arial" w:cs="Arial"/>
          <w:sz w:val="22"/>
          <w:szCs w:val="22"/>
          <w:shd w:val="clear" w:color="auto" w:fill="DCFCFC"/>
          <w:lang w:val="es-ES_tradnl"/>
        </w:rPr>
        <w:t xml:space="preserve"> </w:t>
      </w:r>
      <w:r w:rsidRPr="00CF1B34">
        <w:rPr>
          <w:rFonts w:ascii="Arial" w:hAnsi="Arial" w:cs="Arial"/>
          <w:sz w:val="22"/>
          <w:szCs w:val="22"/>
          <w:shd w:val="clear" w:color="auto" w:fill="DCFCFC"/>
          <w:lang w:val="es-ES_tradnl"/>
        </w:rPr>
        <w:t>quedó sin efecto a partir del 23 de julio de 2002.</w:t>
      </w:r>
    </w:p>
    <w:p w14:paraId="3BF23AB8" w14:textId="54F702F8" w:rsidR="0077122F" w:rsidRPr="00CF1B34" w:rsidRDefault="0077122F" w:rsidP="0005621A">
      <w:pPr>
        <w:jc w:val="both"/>
        <w:rPr>
          <w:rFonts w:ascii="Arial" w:hAnsi="Arial" w:cs="Arial"/>
          <w:color w:val="000000" w:themeColor="text1"/>
          <w:sz w:val="22"/>
          <w:szCs w:val="22"/>
          <w:lang w:val="es-ES_tradnl"/>
        </w:rPr>
      </w:pPr>
      <w:r w:rsidRPr="00CF1B34">
        <w:rPr>
          <w:rFonts w:ascii="Arial" w:hAnsi="Arial" w:cs="Arial"/>
          <w:b/>
          <w:bCs/>
          <w:color w:val="004773"/>
          <w:sz w:val="22"/>
          <w:szCs w:val="22"/>
          <w:lang w:val="es-ES_tradnl"/>
        </w:rPr>
        <w:t>Cedulas</w:t>
      </w:r>
    </w:p>
    <w:p w14:paraId="6BC31ABB" w14:textId="349CE663" w:rsidR="007052B6" w:rsidRPr="00CF1B34" w:rsidRDefault="0030770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activo financieros similares a los bonos. Están emitidas a medo y largo plazo, de 3 a 1</w:t>
      </w:r>
      <w:r w:rsidR="007052B6" w:rsidRPr="00CF1B34">
        <w:rPr>
          <w:rFonts w:ascii="Arial" w:hAnsi="Arial" w:cs="Arial"/>
          <w:color w:val="000000" w:themeColor="text1"/>
          <w:sz w:val="22"/>
          <w:szCs w:val="22"/>
          <w:lang w:val="es-ES_tradnl"/>
        </w:rPr>
        <w:t>0</w:t>
      </w:r>
      <w:r w:rsidRPr="00CF1B34">
        <w:rPr>
          <w:rFonts w:ascii="Arial" w:hAnsi="Arial" w:cs="Arial"/>
          <w:color w:val="000000" w:themeColor="text1"/>
          <w:sz w:val="22"/>
          <w:szCs w:val="22"/>
          <w:lang w:val="es-ES_tradnl"/>
        </w:rPr>
        <w:t xml:space="preserve"> años, y en el caso de nuestro país se asocian con la </w:t>
      </w:r>
      <w:r w:rsidR="0043491B" w:rsidRPr="00CF1B34">
        <w:rPr>
          <w:rFonts w:ascii="Arial" w:hAnsi="Arial" w:cs="Arial"/>
          <w:color w:val="000000" w:themeColor="text1"/>
          <w:sz w:val="22"/>
          <w:szCs w:val="22"/>
          <w:lang w:val="es-ES_tradnl"/>
        </w:rPr>
        <w:t xml:space="preserve">financiación </w:t>
      </w:r>
      <w:r w:rsidRPr="00CF1B34">
        <w:rPr>
          <w:rFonts w:ascii="Arial" w:hAnsi="Arial" w:cs="Arial"/>
          <w:color w:val="000000" w:themeColor="text1"/>
          <w:sz w:val="22"/>
          <w:szCs w:val="22"/>
          <w:lang w:val="es-ES_tradnl"/>
        </w:rPr>
        <w:t xml:space="preserve"> </w:t>
      </w:r>
      <w:r w:rsidR="007052B6" w:rsidRPr="00CF1B34">
        <w:rPr>
          <w:rFonts w:ascii="Arial" w:hAnsi="Arial" w:cs="Arial"/>
          <w:color w:val="000000" w:themeColor="text1"/>
          <w:sz w:val="22"/>
          <w:szCs w:val="22"/>
          <w:lang w:val="es-ES_tradnl"/>
        </w:rPr>
        <w:t xml:space="preserve">hipotecaria. Son emitidas por los bancos y cajas para con ese dinero conceder prestamos hipotecarios </w:t>
      </w:r>
    </w:p>
    <w:p w14:paraId="340F0427" w14:textId="1F7B1FB1" w:rsidR="004865A3" w:rsidRPr="00CF1B34" w:rsidRDefault="007E2D3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Ced</w:t>
      </w:r>
      <w:r w:rsidR="00735BB0" w:rsidRPr="00CF1B34">
        <w:rPr>
          <w:rFonts w:ascii="Arial" w:hAnsi="Arial" w:cs="Arial"/>
          <w:b/>
          <w:bCs/>
          <w:color w:val="004773"/>
          <w:sz w:val="22"/>
          <w:szCs w:val="22"/>
          <w:lang w:val="es-ES_tradnl"/>
        </w:rPr>
        <w:t>ula de habitabilidad</w:t>
      </w:r>
    </w:p>
    <w:p w14:paraId="7B4BB9F2" w14:textId="4D66A60B" w:rsidR="00735BB0" w:rsidRPr="00CF1B34" w:rsidRDefault="00735BB0" w:rsidP="0005621A">
      <w:pPr>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La Cédula de Habitabilidad se caracteriza por ser un documento expedido por el organismo estatal correspondiente con el objeto de certificar y controlar las condiciones reglamentarias de salubridad e higiene de las viviendas.</w:t>
      </w:r>
      <w:r w:rsidRPr="00CF1B34">
        <w:rPr>
          <w:rFonts w:ascii="Arial" w:hAnsi="Arial" w:cs="Arial"/>
          <w:color w:val="333333"/>
          <w:sz w:val="22"/>
          <w:szCs w:val="22"/>
          <w:shd w:val="clear" w:color="auto" w:fill="FFFFFF"/>
          <w:lang w:val="es-ES_tradnl"/>
        </w:rPr>
        <w:t xml:space="preserve"> Mediante este documento se podrá acceder a los servicios de agua, gas y luz, y tiene un vencimiento de 15 años.</w:t>
      </w:r>
    </w:p>
    <w:p w14:paraId="4A8ECDF6" w14:textId="492CF1DF" w:rsidR="00735BB0" w:rsidRPr="00CF1B34" w:rsidRDefault="00735BB0" w:rsidP="0005621A">
      <w:pPr>
        <w:pStyle w:val="NormalWeb"/>
        <w:shd w:val="clear" w:color="auto" w:fill="FFFFFF"/>
        <w:spacing w:before="0" w:beforeAutospacing="0" w:after="165" w:afterAutospacing="0"/>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Será </w:t>
      </w:r>
      <w:r w:rsidRPr="00CF1B34">
        <w:rPr>
          <w:rStyle w:val="Textoennegrita"/>
          <w:rFonts w:ascii="Arial" w:hAnsi="Arial" w:cs="Arial"/>
          <w:color w:val="333333"/>
          <w:sz w:val="22"/>
          <w:szCs w:val="22"/>
          <w:lang w:val="es-ES_tradnl"/>
        </w:rPr>
        <w:t xml:space="preserve">obligatoria </w:t>
      </w:r>
      <w:r w:rsidRPr="00CF1B34">
        <w:rPr>
          <w:rFonts w:ascii="Arial" w:hAnsi="Arial" w:cs="Arial"/>
          <w:color w:val="333333"/>
          <w:sz w:val="22"/>
          <w:szCs w:val="22"/>
          <w:lang w:val="es-ES_tradnl"/>
        </w:rPr>
        <w:t>para los siguientes casos:</w:t>
      </w:r>
    </w:p>
    <w:p w14:paraId="638041E3" w14:textId="7FC76D05" w:rsidR="00735BB0" w:rsidRPr="00CF1B34" w:rsidRDefault="00735BB0" w:rsidP="004F7A62">
      <w:pPr>
        <w:numPr>
          <w:ilvl w:val="0"/>
          <w:numId w:val="114"/>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Alquilar o vender</w:t>
      </w:r>
      <w:r w:rsidRPr="00CF1B34">
        <w:rPr>
          <w:rFonts w:ascii="Arial" w:hAnsi="Arial" w:cs="Arial"/>
          <w:color w:val="333333"/>
          <w:sz w:val="22"/>
          <w:szCs w:val="22"/>
          <w:lang w:val="es-ES_tradnl"/>
        </w:rPr>
        <w:t xml:space="preserve"> una vivienda.</w:t>
      </w:r>
    </w:p>
    <w:p w14:paraId="4A6C9468" w14:textId="34C85FD2" w:rsidR="00735BB0" w:rsidRPr="00CF1B34" w:rsidRDefault="00735BB0" w:rsidP="004F7A62">
      <w:pPr>
        <w:numPr>
          <w:ilvl w:val="0"/>
          <w:numId w:val="11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Viviendas de </w:t>
      </w:r>
      <w:r w:rsidRPr="00CF1B34">
        <w:rPr>
          <w:rStyle w:val="Textoennegrita"/>
          <w:rFonts w:ascii="Arial" w:hAnsi="Arial" w:cs="Arial"/>
          <w:color w:val="333333"/>
          <w:sz w:val="22"/>
          <w:szCs w:val="22"/>
          <w:lang w:val="es-ES_tradnl"/>
        </w:rPr>
        <w:t xml:space="preserve">obra nueva o de </w:t>
      </w:r>
      <w:hyperlink r:id="rId110" w:history="1">
        <w:r w:rsidRPr="00CF1B34">
          <w:rPr>
            <w:rStyle w:val="Hipervnculo"/>
            <w:rFonts w:ascii="Arial" w:hAnsi="Arial" w:cs="Arial"/>
            <w:b/>
            <w:bCs/>
            <w:color w:val="DC143C"/>
            <w:sz w:val="22"/>
            <w:szCs w:val="22"/>
            <w:lang w:val="es-ES_tradnl"/>
          </w:rPr>
          <w:t>rehabilitación</w:t>
        </w:r>
      </w:hyperlink>
      <w:r w:rsidRPr="00CF1B34">
        <w:rPr>
          <w:rStyle w:val="Textoennegrita"/>
          <w:rFonts w:ascii="Arial" w:hAnsi="Arial" w:cs="Arial"/>
          <w:color w:val="333333"/>
          <w:sz w:val="22"/>
          <w:szCs w:val="22"/>
          <w:lang w:val="es-ES_tradnl"/>
        </w:rPr>
        <w:t xml:space="preserve"> </w:t>
      </w:r>
      <w:r w:rsidRPr="00CF1B34">
        <w:rPr>
          <w:rFonts w:ascii="Arial" w:hAnsi="Arial" w:cs="Arial"/>
          <w:color w:val="333333"/>
          <w:sz w:val="22"/>
          <w:szCs w:val="22"/>
          <w:lang w:val="es-ES_tradnl"/>
        </w:rPr>
        <w:t>global.</w:t>
      </w:r>
    </w:p>
    <w:p w14:paraId="428625AF" w14:textId="457094EA" w:rsidR="00735BB0" w:rsidRPr="00CF1B34" w:rsidRDefault="00735BB0" w:rsidP="004F7A62">
      <w:pPr>
        <w:numPr>
          <w:ilvl w:val="0"/>
          <w:numId w:val="114"/>
        </w:numPr>
        <w:shd w:val="clear" w:color="auto" w:fill="FFFFFF"/>
        <w:spacing w:before="100" w:beforeAutospacing="1" w:after="100" w:afterAutospacing="1"/>
        <w:jc w:val="both"/>
        <w:rPr>
          <w:rStyle w:val="Textoennegrita"/>
          <w:rFonts w:ascii="Arial" w:hAnsi="Arial" w:cs="Arial"/>
          <w:b w:val="0"/>
          <w:bCs w:val="0"/>
          <w:color w:val="333333"/>
          <w:sz w:val="22"/>
          <w:szCs w:val="22"/>
          <w:lang w:val="es-ES_tradnl"/>
        </w:rPr>
      </w:pPr>
      <w:r w:rsidRPr="00CF1B34">
        <w:rPr>
          <w:rFonts w:ascii="Arial" w:hAnsi="Arial" w:cs="Arial"/>
          <w:color w:val="333333"/>
          <w:sz w:val="22"/>
          <w:szCs w:val="22"/>
          <w:lang w:val="es-ES_tradnl"/>
        </w:rPr>
        <w:t xml:space="preserve">Dar de alta los </w:t>
      </w:r>
      <w:r w:rsidRPr="00CF1B34">
        <w:rPr>
          <w:rStyle w:val="Textoennegrita"/>
          <w:rFonts w:ascii="Arial" w:hAnsi="Arial" w:cs="Arial"/>
          <w:color w:val="333333"/>
          <w:sz w:val="22"/>
          <w:szCs w:val="22"/>
          <w:lang w:val="es-ES_tradnl"/>
        </w:rPr>
        <w:t>servicios de agua, gas o electricidad.</w:t>
      </w:r>
    </w:p>
    <w:p w14:paraId="24F423C9" w14:textId="77777777" w:rsidR="00735BB0" w:rsidRPr="00CF1B34" w:rsidRDefault="00735BB0" w:rsidP="0005621A">
      <w:pPr>
        <w:pStyle w:val="Prrafodelista"/>
        <w:pBdr>
          <w:bottom w:val="dotted" w:sz="12" w:space="12" w:color="666666"/>
        </w:pBdr>
        <w:spacing w:after="240"/>
        <w:jc w:val="both"/>
        <w:rPr>
          <w:rFonts w:ascii="Arial" w:hAnsi="Arial" w:cs="Arial"/>
          <w:color w:val="191B1C"/>
          <w:shd w:val="clear" w:color="auto" w:fill="FFFFFF"/>
          <w:lang w:val="es-ES_tradnl"/>
        </w:rPr>
      </w:pPr>
    </w:p>
    <w:p w14:paraId="4A4BA501" w14:textId="5E74708F"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Cédulas hipotecarias</w:t>
      </w:r>
    </w:p>
    <w:p w14:paraId="1AA52CDB" w14:textId="77777777" w:rsidR="009103CA" w:rsidRPr="00CF1B34" w:rsidRDefault="00C7373E" w:rsidP="0005621A">
      <w:pPr>
        <w:pBdr>
          <w:bottom w:val="dotted" w:sz="12" w:space="12" w:color="666666"/>
        </w:pBdr>
        <w:spacing w:after="240"/>
        <w:ind w:left="720"/>
        <w:jc w:val="both"/>
        <w:rPr>
          <w:rFonts w:ascii="Arial" w:hAnsi="Arial" w:cs="Arial"/>
          <w:color w:val="191B1C"/>
          <w:shd w:val="clear" w:color="auto" w:fill="FFFFFF"/>
          <w:lang w:val="es-ES_tradnl"/>
        </w:rPr>
      </w:pPr>
      <w:r w:rsidRPr="00CF1B34">
        <w:rPr>
          <w:rFonts w:ascii="Arial" w:hAnsi="Arial" w:cs="Arial"/>
          <w:color w:val="212529"/>
          <w:sz w:val="22"/>
          <w:szCs w:val="22"/>
          <w:lang w:val="es-ES_tradnl"/>
        </w:rPr>
        <w:t xml:space="preserve">Valores de renta fija emitidos por entidades de crédito (bancos y cajas) o sociedades de crédito hipotecario, garantizados de forma global por la cartera de préstamos hipotecarios </w:t>
      </w:r>
      <w:r w:rsidRPr="00CF1B34">
        <w:rPr>
          <w:rFonts w:ascii="Arial" w:hAnsi="Arial" w:cs="Arial"/>
          <w:color w:val="212529"/>
          <w:sz w:val="22"/>
          <w:szCs w:val="22"/>
          <w:lang w:val="es-ES_tradnl"/>
        </w:rPr>
        <w:lastRenderedPageBreak/>
        <w:t>de la entidad emisora. El volumen de cédulas emitido no puede superar el 90% de los capitales no amortizados de todos los créditos hipotecarios de la entidad aptos para servir de cobertura</w:t>
      </w:r>
    </w:p>
    <w:p w14:paraId="16A59902" w14:textId="403A60ED" w:rsidR="009103CA" w:rsidRPr="00CF1B34" w:rsidRDefault="009103CA" w:rsidP="0005621A">
      <w:pPr>
        <w:pBdr>
          <w:bottom w:val="dotted" w:sz="12" w:space="12" w:color="666666"/>
        </w:pBdr>
        <w:spacing w:after="240"/>
        <w:ind w:left="720"/>
        <w:jc w:val="both"/>
        <w:rPr>
          <w:rFonts w:ascii="Arial" w:hAnsi="Arial" w:cs="Arial"/>
          <w:color w:val="191B1C"/>
          <w:sz w:val="22"/>
          <w:szCs w:val="22"/>
          <w:shd w:val="clear" w:color="auto" w:fill="FFFFFF"/>
          <w:lang w:val="es-ES_tradnl"/>
        </w:rPr>
      </w:pPr>
      <w:r w:rsidRPr="00CF1B34">
        <w:rPr>
          <w:rFonts w:ascii="Arial" w:hAnsi="Arial" w:cs="Arial"/>
          <w:color w:val="191B1C"/>
          <w:sz w:val="22"/>
          <w:szCs w:val="22"/>
          <w:shd w:val="clear" w:color="auto" w:fill="FFFFFF"/>
          <w:lang w:val="es-ES_tradnl"/>
        </w:rPr>
        <w:t>Las cédulas hipotecarias son un tipo de bonos emitidos por las entidades financieras que ofrecen una </w:t>
      </w:r>
      <w:r w:rsidRPr="00CF1B34">
        <w:rPr>
          <w:rStyle w:val="Textoennegrita"/>
          <w:rFonts w:ascii="Arial" w:hAnsi="Arial" w:cs="Arial"/>
          <w:color w:val="191B1C"/>
          <w:sz w:val="22"/>
          <w:szCs w:val="22"/>
          <w:shd w:val="clear" w:color="auto" w:fill="FFFFFF"/>
          <w:lang w:val="es-ES_tradnl"/>
        </w:rPr>
        <w:t>rentabilidad fija</w:t>
      </w:r>
      <w:r w:rsidRPr="00CF1B34">
        <w:rPr>
          <w:rFonts w:ascii="Arial" w:hAnsi="Arial" w:cs="Arial"/>
          <w:color w:val="191B1C"/>
          <w:sz w:val="22"/>
          <w:szCs w:val="22"/>
          <w:shd w:val="clear" w:color="auto" w:fill="FFFFFF"/>
          <w:lang w:val="es-ES_tradnl"/>
        </w:rPr>
        <w:t>. La garantía en este tipo de bonos es la cartera hipotecaria de la entidad financiera que los emite.</w:t>
      </w:r>
    </w:p>
    <w:p w14:paraId="1DB78F71" w14:textId="0610CC24" w:rsidR="00DE577D" w:rsidRPr="00CF1B34" w:rsidRDefault="00DE577D" w:rsidP="0005621A">
      <w:pPr>
        <w:pStyle w:val="Ttulo2"/>
        <w:spacing w:before="0" w:beforeAutospacing="0" w:after="0" w:afterAutospacing="0"/>
        <w:jc w:val="both"/>
        <w:rPr>
          <w:rFonts w:ascii="Arial" w:hAnsi="Arial" w:cs="Arial"/>
          <w:color w:val="2F5496" w:themeColor="accent1" w:themeShade="BF"/>
          <w:sz w:val="24"/>
          <w:szCs w:val="24"/>
          <w:lang w:val="es-ES_tradnl"/>
        </w:rPr>
      </w:pPr>
      <w:r w:rsidRPr="00CF1B34">
        <w:rPr>
          <w:rFonts w:ascii="Arial" w:hAnsi="Arial" w:cs="Arial"/>
          <w:color w:val="2F5496" w:themeColor="accent1" w:themeShade="BF"/>
          <w:sz w:val="24"/>
          <w:szCs w:val="24"/>
          <w:lang w:val="es-ES_tradnl"/>
        </w:rPr>
        <w:t>Cédula territorial</w:t>
      </w:r>
    </w:p>
    <w:p w14:paraId="2606AACF" w14:textId="4C938822" w:rsidR="00DE577D" w:rsidRPr="00CF1B34" w:rsidRDefault="00DE577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w:t>
      </w:r>
      <w:r w:rsidR="0043491B"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cédula territorial</w:t>
      </w:r>
      <w:r w:rsidRPr="00CF1B34">
        <w:rPr>
          <w:rFonts w:ascii="Arial" w:hAnsi="Arial" w:cs="Arial"/>
          <w:sz w:val="22"/>
          <w:szCs w:val="22"/>
          <w:lang w:val="es-ES_tradnl"/>
        </w:rPr>
        <w:t> es un título que tanto los bancos, como en general las entidades de crédito emiten con el respaldo de su amplia cartera de créditos, y préstamos que conceden tanto a la Administración Pública (comunidades autónomas, al Estado…), como a otros organismos análogos.</w:t>
      </w:r>
    </w:p>
    <w:p w14:paraId="68D388FC" w14:textId="77777777" w:rsidR="00DE577D" w:rsidRPr="00CF1B34" w:rsidRDefault="00DE577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Estas cédulas incorporan varias garantías adicionales, y por este motivo resultan muy beneficiosas para todas las partes. Por un lado, las entidades podrán obtener una financiación a menor coste. Por otro lado, es un ahorro que también podrá percibir el Estado, que por tanto se beneficiará igualmente. Y, en tercer lugar, los inversores también se verán beneficiados, ya que podrán acceder a instrumentos de renta fija garantizados y contarán con mayor seguridad a la hora de operar.</w:t>
      </w:r>
    </w:p>
    <w:p w14:paraId="48AC9FB5" w14:textId="77777777" w:rsidR="00DE577D" w:rsidRPr="00CF1B34" w:rsidRDefault="00DE577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Este nuevo activo financiero fue creado a raíz de la Ley financiera de 2002. En realidad, se trata de un activo bastante similar a las cédulas hipotecarias, aunque las cédulas territoriales cuentan con una garantía algo mayor. Así, la entidad o banco podrá emitirlas hasta un importe no superior al 70% del volumen de los préstamos y créditos que haya concedido a las administraciones públicas y que aún estén sin amortizar.</w:t>
      </w:r>
    </w:p>
    <w:p w14:paraId="2177C07E" w14:textId="77777777" w:rsidR="00DE577D" w:rsidRPr="00CF1B34" w:rsidRDefault="00DE577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Además, si adquieren estos activos, los inversores podrán subir en un 25% el límite de inversión en los valores que una misma entidad emita, al estar garantizado el importe.</w:t>
      </w:r>
    </w:p>
    <w:p w14:paraId="2FC99986" w14:textId="77777777" w:rsidR="007439F9" w:rsidRPr="00CF1B34" w:rsidRDefault="00DE577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resumidas cuentas, la cédula territorial supone una doble garantía con unos ratings muy elevados, por lo que es una opción muy válida tanto para el sector público como para la inversión privada. De hecho, dado su éxito, es previsible que pueda provocar el descenso de los costes de financiación, y que incluso pueda sustituir a otras formas de financiación.</w:t>
      </w:r>
    </w:p>
    <w:p w14:paraId="66F76E94" w14:textId="77777777" w:rsidR="007439F9" w:rsidRPr="00CF1B34" w:rsidRDefault="007439F9"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Cédula urbanística</w:t>
      </w:r>
    </w:p>
    <w:p w14:paraId="3D5A1163" w14:textId="77777777" w:rsidR="007439F9" w:rsidRPr="00CF1B34" w:rsidRDefault="007439F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w:t>
      </w:r>
      <w:r w:rsidRPr="00CF1B34">
        <w:rPr>
          <w:rStyle w:val="Textoennegrita"/>
          <w:rFonts w:ascii="Arial" w:hAnsi="Arial" w:cs="Arial"/>
          <w:sz w:val="22"/>
          <w:szCs w:val="22"/>
          <w:lang w:val="es-ES_tradnl"/>
        </w:rPr>
        <w:t>cédula urbanística</w:t>
      </w:r>
      <w:r w:rsidRPr="00CF1B34">
        <w:rPr>
          <w:rFonts w:ascii="Arial" w:hAnsi="Arial" w:cs="Arial"/>
          <w:sz w:val="22"/>
          <w:szCs w:val="22"/>
          <w:lang w:val="es-ES_tradnl"/>
        </w:rPr>
        <w:t xml:space="preserve"> es un documento oficial que acredita las circunstancias urbanísticas de una finca, un solar o una parcela de un término municipal. </w:t>
      </w:r>
      <w:proofErr w:type="gramStart"/>
      <w:r w:rsidRPr="00CF1B34">
        <w:rPr>
          <w:rFonts w:ascii="Arial" w:hAnsi="Arial" w:cs="Arial"/>
          <w:sz w:val="22"/>
          <w:szCs w:val="22"/>
          <w:lang w:val="es-ES_tradnl"/>
        </w:rPr>
        <w:t>O</w:t>
      </w:r>
      <w:proofErr w:type="gramEnd"/>
      <w:r w:rsidRPr="00CF1B34">
        <w:rPr>
          <w:rFonts w:ascii="Arial" w:hAnsi="Arial" w:cs="Arial"/>
          <w:sz w:val="22"/>
          <w:szCs w:val="22"/>
          <w:lang w:val="es-ES_tradnl"/>
        </w:rPr>
        <w:t xml:space="preserve"> dicho de otra manera: es un informe técnico que contiene las características urbanísticas del edificio donde esté ubicada nuestra vivienda. Estas características y circunstancias se establecen en función de la ordenación del territorio, y de acuerdo a su programa de desarrollo.</w:t>
      </w:r>
    </w:p>
    <w:p w14:paraId="0883FD29" w14:textId="7A97E528" w:rsidR="007439F9" w:rsidRPr="00CF1B34" w:rsidRDefault="007439F9" w:rsidP="0005621A">
      <w:pPr>
        <w:pStyle w:val="NormalWeb"/>
        <w:shd w:val="clear" w:color="auto" w:fill="FFFFFF"/>
        <w:spacing w:before="0" w:beforeAutospacing="0"/>
        <w:ind w:left="708" w:firstLine="12"/>
        <w:jc w:val="both"/>
        <w:rPr>
          <w:rFonts w:ascii="Arial" w:hAnsi="Arial" w:cs="Arial"/>
          <w:color w:val="191B1C"/>
          <w:sz w:val="22"/>
          <w:szCs w:val="22"/>
          <w:lang w:val="es-ES_tradnl"/>
        </w:rPr>
      </w:pPr>
      <w:r w:rsidRPr="00CF1B34">
        <w:rPr>
          <w:rFonts w:ascii="Arial" w:hAnsi="Arial" w:cs="Arial"/>
          <w:color w:val="191B1C"/>
          <w:sz w:val="22"/>
          <w:szCs w:val="22"/>
          <w:lang w:val="es-ES_tradnl"/>
        </w:rPr>
        <w:t>Al tramitar temas urbanísticos de nuestra vivienda o futura vivienda podrán surgirnos dudas acerca de sus características en relación a la legalidad.  Existe mucha normativa relativa a parcelas e inmuebles y es difícil conocerlas. En ese caso podremos realizar una consulta al ayuntamiento y si esta tiene un nivel de complejidad determinado, nos asesorará a través de un técnico.</w:t>
      </w:r>
    </w:p>
    <w:p w14:paraId="2D3C973C" w14:textId="77777777" w:rsidR="007439F9" w:rsidRPr="00CF1B34" w:rsidRDefault="007439F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 xml:space="preserve">Será el ayuntamiento del término municipal donde se ubique nuestra vivienda quien nos otorgue esta cédula una vez que la solicitemos; y a su vez, el ayuntamiento podrá exigirla a cualquier empresa de construcción que esté edificando, por ejemplo. Tendrá un </w:t>
      </w:r>
      <w:r w:rsidRPr="00CF1B34">
        <w:rPr>
          <w:rFonts w:ascii="Arial" w:hAnsi="Arial" w:cs="Arial"/>
          <w:color w:val="191B1C"/>
          <w:sz w:val="22"/>
          <w:szCs w:val="22"/>
          <w:lang w:val="es-ES_tradnl"/>
        </w:rPr>
        <w:lastRenderedPageBreak/>
        <w:t>carácter meramente informativo y no vinculante que no otorgará ningún derecho al solicitante, ni alterará los derechos y obligaciones de la finca en materia de legislación urbana. Pero en caso de error, podremos solicitar una indemnización al ayuntamiento, por daños y perjuicios.</w:t>
      </w:r>
    </w:p>
    <w:p w14:paraId="438D9E7B" w14:textId="2C128C56" w:rsidR="009103CA" w:rsidRPr="00CF1B34" w:rsidRDefault="00771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Central de anotaciones de Banco de España</w:t>
      </w:r>
    </w:p>
    <w:p w14:paraId="5E5BFA1E" w14:textId="5A0FD9DB" w:rsidR="0077122F" w:rsidRPr="00CF1B34" w:rsidRDefault="00342AF0" w:rsidP="0005621A">
      <w:pPr>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w:t>
      </w:r>
      <w:r w:rsidR="00DC3930" w:rsidRPr="00CF1B34">
        <w:rPr>
          <w:rFonts w:ascii="Arial" w:hAnsi="Arial" w:cs="Arial"/>
          <w:color w:val="000000" w:themeColor="text1"/>
          <w:sz w:val="22"/>
          <w:szCs w:val="22"/>
          <w:lang w:val="es-ES_tradnl"/>
        </w:rPr>
        <w:t>leva las cuentas correspondientes a  la totalidad de los valores admitidos a negociación en el Mercado de Deuda Publica en Anotaciones, bien de forma individualizada, en el caso de las  cuentas de valores a nombre propio de titulares autorizados a operar directamente en la Central, bien de forma global, en el caso de cuentas de terceros de Entidades Gestoras.</w:t>
      </w:r>
    </w:p>
    <w:p w14:paraId="2D25899E" w14:textId="77777777" w:rsidR="00342AF0" w:rsidRPr="00CF1B34" w:rsidRDefault="00DC39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central de Anotaciones esta gestionada por el Banco de Esp</w:t>
      </w:r>
      <w:r w:rsidR="00342AF0"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ñ</w:t>
      </w:r>
      <w:r w:rsidR="00342AF0" w:rsidRPr="00CF1B34">
        <w:rPr>
          <w:rFonts w:ascii="Arial" w:hAnsi="Arial" w:cs="Arial"/>
          <w:color w:val="000000" w:themeColor="text1"/>
          <w:sz w:val="22"/>
          <w:szCs w:val="22"/>
          <w:lang w:val="es-ES_tradnl"/>
        </w:rPr>
        <w:t xml:space="preserve">a por cuenta de Tesoro español. Los valores allí negociados son, principalmente, los de </w:t>
      </w:r>
      <w:proofErr w:type="gramStart"/>
      <w:r w:rsidR="00342AF0" w:rsidRPr="00CF1B34">
        <w:rPr>
          <w:rFonts w:ascii="Arial" w:hAnsi="Arial" w:cs="Arial"/>
          <w:color w:val="000000" w:themeColor="text1"/>
          <w:sz w:val="22"/>
          <w:szCs w:val="22"/>
          <w:lang w:val="es-ES_tradnl"/>
        </w:rPr>
        <w:t>Tesoro</w:t>
      </w:r>
      <w:proofErr w:type="gramEnd"/>
      <w:r w:rsidR="00342AF0" w:rsidRPr="00CF1B34">
        <w:rPr>
          <w:rFonts w:ascii="Arial" w:hAnsi="Arial" w:cs="Arial"/>
          <w:color w:val="000000" w:themeColor="text1"/>
          <w:sz w:val="22"/>
          <w:szCs w:val="22"/>
          <w:lang w:val="es-ES_tradnl"/>
        </w:rPr>
        <w:t xml:space="preserve"> aunque algunas Comunidades Autonomas y algunos Organismos Publicos también tienen inscritas emisiones en ella.</w:t>
      </w:r>
    </w:p>
    <w:p w14:paraId="450B3579" w14:textId="77710315" w:rsidR="0077122F" w:rsidRPr="00CF1B34" w:rsidRDefault="00771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Central de anotaciones en cuenta</w:t>
      </w:r>
    </w:p>
    <w:p w14:paraId="634638A7" w14:textId="77777777" w:rsidR="00F3022A" w:rsidRPr="00CF1B34" w:rsidRDefault="001D193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Registro de referencias contables de deuda publica anotada gestionada por el Banco de España. Constituye un sistema de compensación y liquidación de las operaciones en los mercados de emisión y de negociación, referidas a los diversos instrumentos públicos de tal </w:t>
      </w:r>
      <w:proofErr w:type="gramStart"/>
      <w:r w:rsidRPr="00CF1B34">
        <w:rPr>
          <w:rFonts w:ascii="Arial" w:hAnsi="Arial" w:cs="Arial"/>
          <w:color w:val="000000" w:themeColor="text1"/>
          <w:sz w:val="22"/>
          <w:szCs w:val="22"/>
          <w:lang w:val="es-ES_tradnl"/>
        </w:rPr>
        <w:t>carácter .actua</w:t>
      </w:r>
      <w:proofErr w:type="gramEnd"/>
      <w:r w:rsidRPr="00CF1B34">
        <w:rPr>
          <w:rFonts w:ascii="Arial" w:hAnsi="Arial" w:cs="Arial"/>
          <w:color w:val="000000" w:themeColor="text1"/>
          <w:sz w:val="22"/>
          <w:szCs w:val="22"/>
          <w:lang w:val="es-ES_tradnl"/>
        </w:rPr>
        <w:t xml:space="preserve"> en coordinación con el servicio </w:t>
      </w:r>
      <w:r w:rsidR="00F3022A" w:rsidRPr="00CF1B34">
        <w:rPr>
          <w:rFonts w:ascii="Arial" w:hAnsi="Arial" w:cs="Arial"/>
          <w:color w:val="000000" w:themeColor="text1"/>
          <w:sz w:val="22"/>
          <w:szCs w:val="22"/>
          <w:lang w:val="es-ES_tradnl"/>
        </w:rPr>
        <w:t>telefónico del mercado</w:t>
      </w:r>
      <w:r w:rsidRPr="00CF1B34">
        <w:rPr>
          <w:rFonts w:ascii="Arial" w:hAnsi="Arial" w:cs="Arial"/>
          <w:color w:val="000000" w:themeColor="text1"/>
          <w:sz w:val="22"/>
          <w:szCs w:val="22"/>
          <w:lang w:val="es-ES_tradnl"/>
        </w:rPr>
        <w:t xml:space="preserve"> de dinero, de manera que las contrapartidas</w:t>
      </w:r>
      <w:r w:rsidR="00F3022A" w:rsidRPr="00CF1B34">
        <w:rPr>
          <w:rFonts w:ascii="Arial" w:hAnsi="Arial" w:cs="Arial"/>
          <w:color w:val="000000" w:themeColor="text1"/>
          <w:sz w:val="22"/>
          <w:szCs w:val="22"/>
          <w:lang w:val="es-ES_tradnl"/>
        </w:rPr>
        <w:t xml:space="preserve"> en efectivo de las correspondientes operaciones se salden mediante corrientes mantenidas en el Banco de España por los titulares de anotaciones en cuenta.</w:t>
      </w:r>
    </w:p>
    <w:p w14:paraId="7D4CD443" w14:textId="5CA23C0D" w:rsidR="00F47E98" w:rsidRPr="00CF1B34" w:rsidRDefault="00F47E9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Centro de negocios </w:t>
      </w:r>
    </w:p>
    <w:p w14:paraId="2DC12D28" w14:textId="6599EF7F" w:rsidR="005E69D7" w:rsidRPr="00CF1B34" w:rsidRDefault="005E69D7" w:rsidP="0005621A">
      <w:pPr>
        <w:pStyle w:val="NormalWeb"/>
        <w:shd w:val="clear" w:color="auto" w:fill="FFFFFF"/>
        <w:spacing w:before="0" w:beforeAutospacing="0" w:after="165" w:afterAutospacing="0"/>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 xml:space="preserve">Los centros de negocios son firmas que aúnan el </w:t>
      </w:r>
      <w:r w:rsidRPr="00CF1B34">
        <w:rPr>
          <w:rStyle w:val="Textoennegrita"/>
          <w:rFonts w:ascii="Arial" w:hAnsi="Arial" w:cs="Arial"/>
          <w:color w:val="000000" w:themeColor="text1"/>
          <w:sz w:val="22"/>
          <w:szCs w:val="22"/>
          <w:lang w:val="es-ES_tradnl"/>
        </w:rPr>
        <w:t xml:space="preserve">alquiler </w:t>
      </w:r>
      <w:r w:rsidRPr="00CF1B34">
        <w:rPr>
          <w:rFonts w:ascii="Arial" w:hAnsi="Arial" w:cs="Arial"/>
          <w:color w:val="000000" w:themeColor="text1"/>
          <w:sz w:val="22"/>
          <w:szCs w:val="22"/>
          <w:lang w:val="es-ES_tradnl"/>
        </w:rPr>
        <w:t xml:space="preserve">de oficinas con la prestación de servicios. Son empresas que se encuentran vinculada al </w:t>
      </w:r>
      <w:r w:rsidRPr="00CF1B34">
        <w:rPr>
          <w:rStyle w:val="Textoennegrita"/>
          <w:rFonts w:ascii="Arial" w:hAnsi="Arial" w:cs="Arial"/>
          <w:color w:val="000000" w:themeColor="text1"/>
          <w:sz w:val="22"/>
          <w:szCs w:val="22"/>
          <w:lang w:val="es-ES_tradnl"/>
        </w:rPr>
        <w:t>negocio inmobiliario</w:t>
      </w:r>
      <w:r w:rsidRPr="00CF1B34">
        <w:rPr>
          <w:rFonts w:ascii="Arial" w:hAnsi="Arial" w:cs="Arial"/>
          <w:color w:val="000000" w:themeColor="text1"/>
          <w:sz w:val="22"/>
          <w:szCs w:val="22"/>
          <w:lang w:val="es-ES_tradnl"/>
        </w:rPr>
        <w:t xml:space="preserve">, y no sólo se ocupan del arrendamiento de una superficie para empresas y profesionales de diferentes sectores. Se definen como empresas de servicios, como los hoteles, ya que su actividad no es inmobiliaria. Por lo que, los centros no se deben manejar como si fueran inmuebles, según señalan desde la </w:t>
      </w:r>
      <w:hyperlink r:id="rId111" w:history="1">
        <w:r w:rsidRPr="00CF1B34">
          <w:rPr>
            <w:rStyle w:val="Textoennegrita"/>
            <w:rFonts w:ascii="Arial" w:hAnsi="Arial" w:cs="Arial"/>
            <w:color w:val="000000" w:themeColor="text1"/>
            <w:sz w:val="22"/>
            <w:szCs w:val="22"/>
            <w:lang w:val="es-ES_tradnl"/>
          </w:rPr>
          <w:t>Asociación Española de Centros de Negocios (ACN).</w:t>
        </w:r>
      </w:hyperlink>
    </w:p>
    <w:p w14:paraId="3180B6CE" w14:textId="77777777" w:rsidR="00A951B7" w:rsidRPr="00CF1B34" w:rsidRDefault="005E69D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shd w:val="clear" w:color="auto" w:fill="FFFFFF"/>
          <w:lang w:val="es-ES_tradnl"/>
        </w:rPr>
        <w:t>Por medio de una única gestión,</w:t>
      </w:r>
      <w:r w:rsidRPr="00CF1B34">
        <w:rPr>
          <w:rStyle w:val="Textoennegrita"/>
          <w:rFonts w:ascii="Arial" w:hAnsi="Arial" w:cs="Arial"/>
          <w:color w:val="000000" w:themeColor="text1"/>
          <w:sz w:val="22"/>
          <w:szCs w:val="22"/>
          <w:shd w:val="clear" w:color="auto" w:fill="FFFFFF"/>
          <w:lang w:val="es-ES_tradnl"/>
        </w:rPr>
        <w:t xml:space="preserve"> los centros de negocios ofrecen el alquiler de despachos incluyendo las prestaciones de una oficina como:</w:t>
      </w:r>
      <w:r w:rsidRPr="00CF1B34">
        <w:rPr>
          <w:rFonts w:ascii="Arial" w:hAnsi="Arial" w:cs="Arial"/>
          <w:color w:val="000000" w:themeColor="text1"/>
          <w:sz w:val="22"/>
          <w:szCs w:val="22"/>
          <w:shd w:val="clear" w:color="auto" w:fill="FFFFFF"/>
          <w:lang w:val="es-ES_tradnl"/>
        </w:rPr>
        <w:t xml:space="preserve"> servicio de recepción, gestión de correspondencia, servicios de secretariado, gestión de teléfono e </w:t>
      </w:r>
      <w:r w:rsidRPr="00CF1B34">
        <w:rPr>
          <w:rStyle w:val="Textoennegrita"/>
          <w:rFonts w:ascii="Arial" w:hAnsi="Arial" w:cs="Arial"/>
          <w:color w:val="000000" w:themeColor="text1"/>
          <w:sz w:val="22"/>
          <w:szCs w:val="22"/>
          <w:shd w:val="clear" w:color="auto" w:fill="FFFFFF"/>
          <w:lang w:val="es-ES_tradnl"/>
        </w:rPr>
        <w:t xml:space="preserve">internet </w:t>
      </w:r>
      <w:r w:rsidRPr="00CF1B34">
        <w:rPr>
          <w:rFonts w:ascii="Arial" w:hAnsi="Arial" w:cs="Arial"/>
          <w:color w:val="000000" w:themeColor="text1"/>
          <w:sz w:val="22"/>
          <w:szCs w:val="22"/>
          <w:shd w:val="clear" w:color="auto" w:fill="FFFFFF"/>
          <w:lang w:val="es-ES_tradnl"/>
        </w:rPr>
        <w:t>y catering. Otro de los servicios que ofrecen estos centros de negocios </w:t>
      </w:r>
      <w:r w:rsidRPr="00CF1B34">
        <w:rPr>
          <w:rStyle w:val="Textoennegrita"/>
          <w:rFonts w:ascii="Arial" w:hAnsi="Arial" w:cs="Arial"/>
          <w:color w:val="000000" w:themeColor="text1"/>
          <w:sz w:val="22"/>
          <w:szCs w:val="22"/>
          <w:shd w:val="clear" w:color="auto" w:fill="FFFFFF"/>
          <w:lang w:val="es-ES_tradnl"/>
        </w:rPr>
        <w:t>son la recepción y gestión de llamadas a empresas</w:t>
      </w:r>
      <w:r w:rsidRPr="00CF1B34">
        <w:rPr>
          <w:rFonts w:ascii="Arial" w:hAnsi="Arial" w:cs="Arial"/>
          <w:color w:val="000000" w:themeColor="text1"/>
          <w:sz w:val="22"/>
          <w:szCs w:val="22"/>
          <w:shd w:val="clear" w:color="auto" w:fill="FFFFFF"/>
          <w:lang w:val="es-ES_tradnl"/>
        </w:rPr>
        <w:t>, con la posibilidad de derivarlas a cualquier teléfono</w:t>
      </w:r>
      <w:r w:rsidR="00A951B7" w:rsidRPr="00CF1B34">
        <w:rPr>
          <w:rFonts w:ascii="Arial" w:hAnsi="Arial" w:cs="Arial"/>
          <w:color w:val="000000" w:themeColor="text1"/>
          <w:sz w:val="22"/>
          <w:szCs w:val="22"/>
          <w:shd w:val="clear" w:color="auto" w:fill="FFFFFF"/>
          <w:lang w:val="es-ES_tradnl"/>
        </w:rPr>
        <w:t>.</w:t>
      </w:r>
    </w:p>
    <w:p w14:paraId="1F663518" w14:textId="7C10DF10" w:rsidR="0077122F" w:rsidRPr="00CF1B34" w:rsidRDefault="00771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Cerrar (un contrato)</w:t>
      </w:r>
    </w:p>
    <w:p w14:paraId="7442B5DE" w14:textId="77777777" w:rsidR="00C4749E" w:rsidRPr="00CF1B34" w:rsidRDefault="001B67B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Realizar una transacción opuesta a la que dio origen al Contrato, comprando un Contrato</w:t>
      </w:r>
      <w:r w:rsidR="00C4749E" w:rsidRPr="00CF1B34">
        <w:rPr>
          <w:rFonts w:ascii="Arial" w:hAnsi="Arial" w:cs="Arial"/>
          <w:color w:val="000000" w:themeColor="text1"/>
          <w:sz w:val="22"/>
          <w:szCs w:val="22"/>
          <w:lang w:val="es-ES_tradnl"/>
        </w:rPr>
        <w:t xml:space="preserve"> idéntico al previamente vendido o vendiendo uno idéntico al previamente comprado. Para que dos Contratos sean idénticos, deben coincidir en  Clase, Tipo y Serie.</w:t>
      </w:r>
    </w:p>
    <w:p w14:paraId="53D74EA3" w14:textId="2E582037" w:rsidR="0077122F" w:rsidRPr="00CF1B34" w:rsidRDefault="00771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Certificación del Banco Central</w:t>
      </w:r>
    </w:p>
    <w:p w14:paraId="7C4D9E20" w14:textId="77777777" w:rsidR="001C40F8" w:rsidRPr="00CF1B34" w:rsidRDefault="00146CB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un activo financiero</w:t>
      </w:r>
      <w:r w:rsidR="001C40F8" w:rsidRPr="00CF1B34">
        <w:rPr>
          <w:rFonts w:ascii="Arial" w:hAnsi="Arial" w:cs="Arial"/>
          <w:color w:val="000000" w:themeColor="text1"/>
          <w:sz w:val="22"/>
          <w:szCs w:val="22"/>
          <w:lang w:val="es-ES_tradnl"/>
        </w:rPr>
        <w:t xml:space="preserve"> que el Banco de España compra o vende exclusivamente a las entidades financieras. Con estos instrumentos el Banco de España regula la marcha de los tipos de interés ya que los presta a una rentabilidad o a otra</w:t>
      </w:r>
    </w:p>
    <w:p w14:paraId="7AC44D5D" w14:textId="77777777" w:rsidR="005B301C" w:rsidRPr="00CF1B34" w:rsidRDefault="005B301C" w:rsidP="0005621A">
      <w:pPr>
        <w:pStyle w:val="Ttulo2"/>
        <w:shd w:val="clear" w:color="auto" w:fill="FFFFFF"/>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lastRenderedPageBreak/>
        <w:t>Certificado de deuda cero</w:t>
      </w:r>
    </w:p>
    <w:p w14:paraId="25C036B8" w14:textId="77777777" w:rsidR="005B301C" w:rsidRPr="00CF1B34" w:rsidRDefault="005B301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El certificado de deuda cero es un documento que acredita que ya no tienes contraída una deuda hipotecaria con el banco o la entidad financiera. Se suele solicitar cuando acabamos de pagar una hipoteca y queremos proceder a su cancelación en el registro</w:t>
      </w:r>
      <w:r w:rsidRPr="00CF1B34">
        <w:rPr>
          <w:rFonts w:ascii="Arial" w:hAnsi="Arial" w:cs="Arial"/>
          <w:color w:val="191B1C"/>
          <w:lang w:val="es-ES_tradnl"/>
        </w:rPr>
        <w:t>.</w:t>
      </w:r>
    </w:p>
    <w:p w14:paraId="62DAADF5" w14:textId="1E2241E5" w:rsidR="003066F7" w:rsidRPr="00CF1B34" w:rsidRDefault="003066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Certificado de inversión (CI)</w:t>
      </w:r>
    </w:p>
    <w:p w14:paraId="43BAB9DF" w14:textId="77777777" w:rsidR="001C40F8" w:rsidRPr="00CF1B34" w:rsidRDefault="001C40F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Titulo procedente de la fragmentación de una acción cuando tiene lugar una emisión. En general, los derechos de voto están reservados a los antiguos accionistas. Acción = CI + CDV (certificado de derecho a voto)</w:t>
      </w:r>
    </w:p>
    <w:p w14:paraId="292DC518" w14:textId="1CF9027B"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Certificado de participación</w:t>
      </w:r>
    </w:p>
    <w:p w14:paraId="5BEEF7DE"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el ámbito de la inversión colectiva, es el documento nominativo que acredita el derecho de propiedad de un partícipe sobre un fondo de inversión concreto. Entre sus contenidos debe incluirse la identificación del fondo, de la gestora y del depositario, así como el número de participaciones y el valor liquidativo en la fecha de emisión del certificado. </w:t>
      </w:r>
    </w:p>
    <w:p w14:paraId="6A6C8F7E" w14:textId="4545836E" w:rsidR="003066F7" w:rsidRPr="00CF1B34" w:rsidRDefault="003066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Certificado Privilegiado de Inversion (CIP)</w:t>
      </w:r>
    </w:p>
    <w:p w14:paraId="0EC4916B" w14:textId="77777777" w:rsidR="00FE47C2" w:rsidRPr="00CF1B34" w:rsidRDefault="00FE47C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Certificado de inversión que se beneficia de un dividendo que tiene prioridad sobre los demas</w:t>
      </w:r>
    </w:p>
    <w:p w14:paraId="1FDAA0AC" w14:textId="59F54276" w:rsidR="00AB7911" w:rsidRPr="00CF1B34" w:rsidRDefault="00AB791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Cesación de pagos </w:t>
      </w:r>
    </w:p>
    <w:p w14:paraId="643A98A8" w14:textId="3E7D5A62" w:rsidR="00AB7911" w:rsidRPr="00CF1B34" w:rsidRDefault="00AB7911"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La </w:t>
      </w:r>
      <w:r w:rsidRPr="00CF1B34">
        <w:rPr>
          <w:rStyle w:val="Textoennegrita"/>
          <w:rFonts w:ascii="Arial" w:hAnsi="Arial" w:cs="Arial"/>
          <w:color w:val="333333"/>
          <w:sz w:val="22"/>
          <w:szCs w:val="22"/>
          <w:shd w:val="clear" w:color="auto" w:fill="FFFFFF"/>
          <w:lang w:val="es-ES_tradnl"/>
        </w:rPr>
        <w:t>cesación de pagos</w:t>
      </w:r>
      <w:r w:rsidRPr="00CF1B34">
        <w:rPr>
          <w:rFonts w:ascii="Arial" w:hAnsi="Arial" w:cs="Arial"/>
          <w:color w:val="333333"/>
          <w:sz w:val="22"/>
          <w:szCs w:val="22"/>
          <w:shd w:val="clear" w:color="auto" w:fill="FFFFFF"/>
          <w:lang w:val="es-ES_tradnl"/>
        </w:rPr>
        <w:t xml:space="preserve">, más conocida como </w:t>
      </w:r>
      <w:r w:rsidRPr="00CF1B34">
        <w:rPr>
          <w:rStyle w:val="Textoennegrita"/>
          <w:rFonts w:ascii="Arial" w:hAnsi="Arial" w:cs="Arial"/>
          <w:color w:val="333333"/>
          <w:sz w:val="22"/>
          <w:szCs w:val="22"/>
          <w:shd w:val="clear" w:color="auto" w:fill="FFFFFF"/>
          <w:lang w:val="es-ES_tradnl"/>
        </w:rPr>
        <w:t xml:space="preserve">suspensión de </w:t>
      </w:r>
      <w:proofErr w:type="gramStart"/>
      <w:r w:rsidRPr="00CF1B34">
        <w:rPr>
          <w:rStyle w:val="Textoennegrita"/>
          <w:rFonts w:ascii="Arial" w:hAnsi="Arial" w:cs="Arial"/>
          <w:color w:val="333333"/>
          <w:sz w:val="22"/>
          <w:szCs w:val="22"/>
          <w:shd w:val="clear" w:color="auto" w:fill="FFFFFF"/>
          <w:lang w:val="es-ES_tradnl"/>
        </w:rPr>
        <w:t>pagos</w:t>
      </w:r>
      <w:r w:rsidRPr="00CF1B34">
        <w:rPr>
          <w:rFonts w:ascii="Arial" w:hAnsi="Arial" w:cs="Arial"/>
          <w:color w:val="333333"/>
          <w:sz w:val="22"/>
          <w:szCs w:val="22"/>
          <w:shd w:val="clear" w:color="auto" w:fill="FFFFFF"/>
          <w:lang w:val="es-ES_tradnl"/>
        </w:rPr>
        <w:t>,  es</w:t>
      </w:r>
      <w:proofErr w:type="gramEnd"/>
      <w:r w:rsidRPr="00CF1B34">
        <w:rPr>
          <w:rFonts w:ascii="Arial" w:hAnsi="Arial" w:cs="Arial"/>
          <w:color w:val="333333"/>
          <w:sz w:val="22"/>
          <w:szCs w:val="22"/>
          <w:shd w:val="clear" w:color="auto" w:fill="FFFFFF"/>
          <w:lang w:val="es-ES_tradnl"/>
        </w:rPr>
        <w:t xml:space="preserve"> una situación concursal donde una persona física o jurídica se halla en un estado tal de endeudamiento donde no puede hacer frente a la totalidad de las obligaciones que tiene con sus acreedores. Esto puede ocurrir por falta de liquidez o dinero en efectivo</w:t>
      </w:r>
    </w:p>
    <w:p w14:paraId="27362479" w14:textId="77777777" w:rsidR="0035560E" w:rsidRPr="00CF1B34" w:rsidRDefault="0035560E"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Luego del procedimiento judicial, tiene dos vías para solucionarse:</w:t>
      </w:r>
    </w:p>
    <w:p w14:paraId="6321EBD4" w14:textId="77777777" w:rsidR="0035560E" w:rsidRPr="00CF1B34" w:rsidRDefault="0035560E" w:rsidP="004F7A62">
      <w:pPr>
        <w:numPr>
          <w:ilvl w:val="0"/>
          <w:numId w:val="12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Liquidación de activos de la sociedad.</w:t>
      </w:r>
    </w:p>
    <w:p w14:paraId="276114DC" w14:textId="77777777" w:rsidR="0035560E" w:rsidRPr="00CF1B34" w:rsidRDefault="0035560E" w:rsidP="004F7A62">
      <w:pPr>
        <w:numPr>
          <w:ilvl w:val="0"/>
          <w:numId w:val="12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Acuerdos con los acreedores y proveedores: es reducir los créditos o atrasar los vencimientos. Es la mejor situación para la empresa.</w:t>
      </w:r>
    </w:p>
    <w:p w14:paraId="526A0487" w14:textId="77777777" w:rsidR="0035560E" w:rsidRPr="00CF1B34" w:rsidRDefault="0035560E"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Cabe aclarar que, en España, esta situación se regula en el Derecho concursal, que define para la tramitación de esta figura, los pasos a seguir de la quita y espera y luego, la quiebra. La suspensión de pagos es un</w:t>
      </w:r>
      <w:r w:rsidRPr="00CF1B34">
        <w:rPr>
          <w:rFonts w:ascii="Arial" w:hAnsi="Arial" w:cs="Arial"/>
          <w:b/>
          <w:bCs/>
          <w:color w:val="333333"/>
          <w:sz w:val="22"/>
          <w:szCs w:val="22"/>
          <w:lang w:val="es-ES_tradnl"/>
        </w:rPr>
        <w:t> proceso legal que comienza cuando una empresa o empresario autónomo entra en una situación de insolvencia con una </w:t>
      </w:r>
      <w:r w:rsidRPr="00CF1B34">
        <w:rPr>
          <w:rFonts w:ascii="Arial" w:hAnsi="Arial" w:cs="Arial"/>
          <w:color w:val="333333"/>
          <w:sz w:val="22"/>
          <w:szCs w:val="22"/>
          <w:lang w:val="es-ES_tradnl"/>
        </w:rPr>
        <w:t>imposibilidad de afrontar los pagos.</w:t>
      </w:r>
    </w:p>
    <w:p w14:paraId="078AD4A3" w14:textId="77777777" w:rsidR="0035560E" w:rsidRPr="00CF1B34" w:rsidRDefault="0035560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Esta ley, permite a las empresas evitar males mayores, y facilita las negociaciones con los acreedores, permitiendo una negociación, que permita salir adelanta a la empresa. Otorga ventajas a la empresa, protegiéndola de una quiebra inminente. Sí es cierto, que en algunas ocasiones acaban en quiebre igualmente.</w:t>
      </w:r>
    </w:p>
    <w:p w14:paraId="79A7EACB" w14:textId="23D80AAF"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Cesta de fondos</w:t>
      </w:r>
    </w:p>
    <w:p w14:paraId="39E76435" w14:textId="05100908"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fondos de inversión adquiridos por un mismo partícipe. Su composición depende del perfil de riesgo del inversor, y en general persiguen la diversificación para un mejor control de los riesgos. A menudo las cestas de fondos se utilizan como subyacente o referencia, asociadas a otras inversiones (seguros de vida o unit linked, fondos garantizados, etc.).</w:t>
      </w:r>
    </w:p>
    <w:p w14:paraId="7068F1C5" w14:textId="7CAE8F22" w:rsidR="0035560E" w:rsidRPr="00CF1B34" w:rsidRDefault="0035560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 xml:space="preserve">CFD </w:t>
      </w:r>
    </w:p>
    <w:p w14:paraId="60725DBC" w14:textId="5483207C" w:rsidR="0035560E" w:rsidRPr="00CF1B34" w:rsidRDefault="00D83530" w:rsidP="0005621A">
      <w:pPr>
        <w:ind w:left="708"/>
        <w:jc w:val="both"/>
        <w:rPr>
          <w:rFonts w:ascii="Arial" w:hAnsi="Arial" w:cs="Arial"/>
          <w:color w:val="000000" w:themeColor="text1"/>
          <w:sz w:val="22"/>
          <w:szCs w:val="22"/>
          <w:lang w:val="es-ES_tradnl"/>
        </w:rPr>
      </w:pPr>
      <w:hyperlink r:id="rId112" w:history="1">
        <w:r w:rsidR="0035560E" w:rsidRPr="00CF1B34">
          <w:rPr>
            <w:rFonts w:ascii="Arial" w:hAnsi="Arial" w:cs="Arial"/>
            <w:b/>
            <w:bCs/>
            <w:color w:val="000000" w:themeColor="text1"/>
            <w:sz w:val="22"/>
            <w:szCs w:val="22"/>
            <w:u w:val="single"/>
            <w:lang w:val="es-ES_tradnl"/>
          </w:rPr>
          <w:t>CFD</w:t>
        </w:r>
      </w:hyperlink>
      <w:hyperlink r:id="rId113" w:history="1"/>
      <w:r w:rsidR="0035560E" w:rsidRPr="00CF1B34">
        <w:rPr>
          <w:rFonts w:ascii="Arial" w:hAnsi="Arial" w:cs="Arial"/>
          <w:color w:val="000000" w:themeColor="text1"/>
          <w:sz w:val="22"/>
          <w:szCs w:val="22"/>
          <w:lang w:val="es-ES_tradnl"/>
        </w:rPr>
        <w:t xml:space="preserve"> </w:t>
      </w:r>
      <w:r w:rsidR="0035560E" w:rsidRPr="00CF1B34">
        <w:rPr>
          <w:rFonts w:ascii="Arial" w:hAnsi="Arial" w:cs="Arial"/>
          <w:color w:val="000000" w:themeColor="text1"/>
          <w:sz w:val="22"/>
          <w:szCs w:val="22"/>
          <w:shd w:val="clear" w:color="auto" w:fill="FFFFFF"/>
          <w:lang w:val="es-ES_tradnl"/>
        </w:rPr>
        <w:t>son las siglas de </w:t>
      </w:r>
      <w:r w:rsidR="0035560E" w:rsidRPr="00CF1B34">
        <w:rPr>
          <w:rFonts w:ascii="Arial" w:hAnsi="Arial" w:cs="Arial"/>
          <w:b/>
          <w:bCs/>
          <w:color w:val="000000" w:themeColor="text1"/>
          <w:sz w:val="22"/>
          <w:szCs w:val="22"/>
          <w:shd w:val="clear" w:color="auto" w:fill="FFFFFF"/>
          <w:lang w:val="es-ES_tradnl"/>
        </w:rPr>
        <w:t>Contrato por Diferencia</w:t>
      </w:r>
      <w:r w:rsidR="0035560E" w:rsidRPr="00CF1B34">
        <w:rPr>
          <w:rFonts w:ascii="Arial" w:hAnsi="Arial" w:cs="Arial"/>
          <w:color w:val="000000" w:themeColor="text1"/>
          <w:sz w:val="22"/>
          <w:szCs w:val="22"/>
          <w:shd w:val="clear" w:color="auto" w:fill="FFFFFF"/>
          <w:lang w:val="es-ES_tradnl"/>
        </w:rPr>
        <w:t xml:space="preserve">, y permite a los inversores participar en el movimiento de precios de los valores sin necesidad de tener en propiedad la acción subyacente. En pocas palabras, equivale a comprar o vender a </w:t>
      </w:r>
      <w:hyperlink r:id="rId114" w:history="1">
        <w:r w:rsidR="0035560E" w:rsidRPr="00CF1B34">
          <w:rPr>
            <w:rFonts w:ascii="Arial" w:hAnsi="Arial" w:cs="Arial"/>
            <w:color w:val="000000" w:themeColor="text1"/>
            <w:sz w:val="22"/>
            <w:szCs w:val="22"/>
            <w:u w:val="single"/>
            <w:shd w:val="clear" w:color="auto" w:fill="FFFFFF"/>
            <w:lang w:val="es-ES_tradnl"/>
          </w:rPr>
          <w:t>crédito</w:t>
        </w:r>
      </w:hyperlink>
      <w:r w:rsidR="0035560E" w:rsidRPr="00CF1B34">
        <w:rPr>
          <w:rFonts w:ascii="Arial" w:hAnsi="Arial" w:cs="Arial"/>
          <w:color w:val="000000" w:themeColor="text1"/>
          <w:sz w:val="22"/>
          <w:szCs w:val="22"/>
          <w:shd w:val="clear" w:color="auto" w:fill="FFFFFF"/>
          <w:lang w:val="es-ES_tradnl"/>
        </w:rPr>
        <w:t>, desembolsando desde el 15% del valor de la acción subyacente</w:t>
      </w:r>
    </w:p>
    <w:p w14:paraId="1B504A2B" w14:textId="77777777" w:rsidR="0035560E" w:rsidRPr="00CF1B34" w:rsidRDefault="0035560E" w:rsidP="0005621A">
      <w:pPr>
        <w:pStyle w:val="NormalWeb"/>
        <w:shd w:val="clear" w:color="auto" w:fill="FFFFFF"/>
        <w:spacing w:before="0" w:beforeAutospacing="0" w:after="165" w:afterAutospacing="0"/>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Cuando el inversor desee cerrar su posición, obtendrá como beneficio o pérdida la diferencia entre el precio de compra y el de venta, del mismo modo que si hubiese adquirido las acciones en el mercado secundario y posteriormente las hubiese vendido o viceversa. O sea: es comprar sin tener el dinero y vender sin tener los valores. Típico ejemplo de </w:t>
      </w:r>
      <w:hyperlink r:id="rId115" w:history="1">
        <w:r w:rsidRPr="00CF1B34">
          <w:rPr>
            <w:rStyle w:val="Hipervnculo"/>
            <w:rFonts w:ascii="Arial" w:hAnsi="Arial" w:cs="Arial"/>
            <w:b/>
            <w:bCs/>
            <w:color w:val="000000" w:themeColor="text1"/>
            <w:sz w:val="22"/>
            <w:szCs w:val="22"/>
            <w:lang w:val="es-ES_tradnl"/>
          </w:rPr>
          <w:t>apalancamiento</w:t>
        </w:r>
      </w:hyperlink>
      <w:r w:rsidRPr="00CF1B34">
        <w:rPr>
          <w:rStyle w:val="Textoennegrita"/>
          <w:rFonts w:ascii="Arial" w:hAnsi="Arial" w:cs="Arial"/>
          <w:color w:val="000000" w:themeColor="text1"/>
          <w:sz w:val="22"/>
          <w:szCs w:val="22"/>
          <w:lang w:val="es-ES_tradnl"/>
        </w:rPr>
        <w:t> financiero.</w:t>
      </w:r>
    </w:p>
    <w:p w14:paraId="723A26A4" w14:textId="77777777" w:rsidR="0035560E" w:rsidRPr="00CF1B34" w:rsidRDefault="0035560E" w:rsidP="0005621A">
      <w:pPr>
        <w:pStyle w:val="NormalWeb"/>
        <w:shd w:val="clear" w:color="auto" w:fill="FFFFFF"/>
        <w:spacing w:before="0" w:beforeAutospacing="0" w:after="165" w:afterAutospacing="0"/>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Las principales características de un </w:t>
      </w:r>
      <w:r w:rsidRPr="00CF1B34">
        <w:rPr>
          <w:rStyle w:val="Textoennegrita"/>
          <w:rFonts w:ascii="Arial" w:hAnsi="Arial" w:cs="Arial"/>
          <w:color w:val="000000" w:themeColor="text1"/>
          <w:sz w:val="22"/>
          <w:szCs w:val="22"/>
          <w:lang w:val="es-ES_tradnl"/>
        </w:rPr>
        <w:t>CFD</w:t>
      </w:r>
      <w:r w:rsidRPr="00CF1B34">
        <w:rPr>
          <w:rFonts w:ascii="Arial" w:hAnsi="Arial" w:cs="Arial"/>
          <w:color w:val="000000" w:themeColor="text1"/>
          <w:sz w:val="22"/>
          <w:szCs w:val="22"/>
          <w:lang w:val="es-ES_tradnl"/>
        </w:rPr>
        <w:t> son:</w:t>
      </w:r>
    </w:p>
    <w:p w14:paraId="3BE9454F" w14:textId="77777777" w:rsidR="0035560E" w:rsidRPr="00CF1B34" w:rsidRDefault="0035560E" w:rsidP="004F7A62">
      <w:pPr>
        <w:numPr>
          <w:ilvl w:val="0"/>
          <w:numId w:val="123"/>
        </w:numPr>
        <w:shd w:val="clear" w:color="auto" w:fill="FFFFFF"/>
        <w:spacing w:before="100" w:beforeAutospacing="1" w:after="100" w:afterAutospacing="1"/>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Poseen un alto grado de liquidez y transparencia</w:t>
      </w:r>
    </w:p>
    <w:p w14:paraId="7F14B88B" w14:textId="77777777" w:rsidR="0035560E" w:rsidRPr="00CF1B34" w:rsidRDefault="0035560E" w:rsidP="004F7A62">
      <w:pPr>
        <w:numPr>
          <w:ilvl w:val="0"/>
          <w:numId w:val="123"/>
        </w:numPr>
        <w:shd w:val="clear" w:color="auto" w:fill="FFFFFF"/>
        <w:spacing w:before="100" w:beforeAutospacing="1" w:after="100" w:afterAutospacing="1"/>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No tienen vencimiento</w:t>
      </w:r>
    </w:p>
    <w:p w14:paraId="58F8AC53" w14:textId="77777777" w:rsidR="0035560E" w:rsidRPr="00CF1B34" w:rsidRDefault="0035560E" w:rsidP="004F7A62">
      <w:pPr>
        <w:numPr>
          <w:ilvl w:val="0"/>
          <w:numId w:val="123"/>
        </w:numPr>
        <w:shd w:val="clear" w:color="auto" w:fill="FFFFFF"/>
        <w:spacing w:before="100" w:beforeAutospacing="1" w:after="100" w:afterAutospacing="1"/>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Permiten abrir posiciones cortas, y posibilita beneficiarse de las tendencias bajistas del mercado sin necesidad de tener los títulos en cartera y realizar operaciones de cobertura de otras posiciones.</w:t>
      </w:r>
    </w:p>
    <w:p w14:paraId="56F7C17F" w14:textId="77777777" w:rsidR="0035560E" w:rsidRPr="00CF1B34" w:rsidRDefault="0035560E" w:rsidP="004F7A62">
      <w:pPr>
        <w:numPr>
          <w:ilvl w:val="0"/>
          <w:numId w:val="123"/>
        </w:numPr>
        <w:shd w:val="clear" w:color="auto" w:fill="FFFFFF"/>
        <w:spacing w:before="100" w:beforeAutospacing="1" w:after="100" w:afterAutospacing="1"/>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Posibilidad de introducir diferentes tipo de </w:t>
      </w:r>
      <w:hyperlink r:id="rId116" w:history="1">
        <w:r w:rsidRPr="00CF1B34">
          <w:rPr>
            <w:rStyle w:val="Hipervnculo"/>
            <w:rFonts w:ascii="Arial" w:hAnsi="Arial" w:cs="Arial"/>
            <w:color w:val="000000" w:themeColor="text1"/>
            <w:sz w:val="22"/>
            <w:szCs w:val="22"/>
            <w:lang w:val="es-ES_tradnl"/>
          </w:rPr>
          <w:t>órdenes condicionadas</w:t>
        </w:r>
      </w:hyperlink>
    </w:p>
    <w:p w14:paraId="79C6FAB4" w14:textId="77777777" w:rsidR="0035560E" w:rsidRPr="00CF1B34" w:rsidRDefault="0035560E" w:rsidP="004F7A62">
      <w:pPr>
        <w:numPr>
          <w:ilvl w:val="0"/>
          <w:numId w:val="123"/>
        </w:numPr>
        <w:shd w:val="clear" w:color="auto" w:fill="FFFFFF"/>
        <w:spacing w:before="100" w:beforeAutospacing="1" w:after="100" w:afterAutospacing="1"/>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Liquidación diaria de pérdidas y ganancias</w:t>
      </w:r>
    </w:p>
    <w:p w14:paraId="618CB5DD" w14:textId="77777777" w:rsidR="0035560E" w:rsidRPr="00CF1B34" w:rsidRDefault="0035560E" w:rsidP="004F7A62">
      <w:pPr>
        <w:numPr>
          <w:ilvl w:val="0"/>
          <w:numId w:val="123"/>
        </w:numPr>
        <w:shd w:val="clear" w:color="auto" w:fill="FFFFFF"/>
        <w:spacing w:before="100" w:beforeAutospacing="1" w:after="100" w:afterAutospacing="1"/>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Son </w:t>
      </w:r>
      <w:hyperlink r:id="rId117" w:tgtFrame="_blank" w:history="1">
        <w:r w:rsidRPr="00CF1B34">
          <w:rPr>
            <w:rStyle w:val="Hipervnculo"/>
            <w:rFonts w:ascii="Arial" w:hAnsi="Arial" w:cs="Arial"/>
            <w:color w:val="000000" w:themeColor="text1"/>
            <w:sz w:val="22"/>
            <w:szCs w:val="22"/>
            <w:lang w:val="es-ES_tradnl"/>
          </w:rPr>
          <w:t>productos financieros</w:t>
        </w:r>
      </w:hyperlink>
      <w:r w:rsidRPr="00CF1B34">
        <w:rPr>
          <w:rFonts w:ascii="Arial" w:hAnsi="Arial" w:cs="Arial"/>
          <w:color w:val="000000" w:themeColor="text1"/>
          <w:sz w:val="22"/>
          <w:szCs w:val="22"/>
          <w:lang w:val="es-ES_tradnl"/>
        </w:rPr>
        <w:t> apalancados</w:t>
      </w:r>
    </w:p>
    <w:p w14:paraId="6E29BD78" w14:textId="77777777" w:rsidR="0035560E" w:rsidRPr="00CF1B34" w:rsidRDefault="0035560E" w:rsidP="004F7A62">
      <w:pPr>
        <w:numPr>
          <w:ilvl w:val="0"/>
          <w:numId w:val="123"/>
        </w:numPr>
        <w:shd w:val="clear" w:color="auto" w:fill="FFFFFF"/>
        <w:spacing w:before="100" w:beforeAutospacing="1" w:after="100" w:afterAutospacing="1"/>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Los emisores exigen una garantía, que puede variar hasta alcanzar hasta el 75% del valor invertido</w:t>
      </w:r>
    </w:p>
    <w:p w14:paraId="52568ACC" w14:textId="59C6F225" w:rsidR="0035560E" w:rsidRPr="00CF1B34" w:rsidRDefault="0035560E" w:rsidP="004F7A62">
      <w:pPr>
        <w:numPr>
          <w:ilvl w:val="0"/>
          <w:numId w:val="123"/>
        </w:numPr>
        <w:shd w:val="clear" w:color="auto" w:fill="FFFFFF"/>
        <w:spacing w:before="100" w:beforeAutospacing="1" w:after="100" w:afterAutospacing="1"/>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Otorgan derechos económicos, no políticos.</w:t>
      </w:r>
    </w:p>
    <w:p w14:paraId="4C755D22" w14:textId="77777777" w:rsidR="0035560E" w:rsidRPr="00CF1B34" w:rsidRDefault="0035560E" w:rsidP="004F7A62">
      <w:pPr>
        <w:pStyle w:val="Prrafodelista"/>
        <w:numPr>
          <w:ilvl w:val="0"/>
          <w:numId w:val="123"/>
        </w:numPr>
        <w:pBdr>
          <w:bottom w:val="dotted" w:sz="12" w:space="12" w:color="666666"/>
        </w:pBdr>
        <w:spacing w:after="240"/>
        <w:jc w:val="both"/>
        <w:rPr>
          <w:rFonts w:ascii="Arial" w:hAnsi="Arial" w:cs="Arial"/>
          <w:color w:val="212529"/>
          <w:sz w:val="22"/>
          <w:szCs w:val="22"/>
          <w:lang w:val="es-ES_tradnl"/>
        </w:rPr>
      </w:pPr>
    </w:p>
    <w:p w14:paraId="7CFC25D5" w14:textId="556A7720"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CFI, Classification of Financial Instruments Código de clasificación de instrumentos financieros </w:t>
      </w:r>
    </w:p>
    <w:p w14:paraId="704461C0"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El código CFI está compuesto por seis caracteres alfabéticos y permite diferenciar valores e instrumentos financieros atendiendo a sus principales características. Está pensado para que los procesos informáticos tengan la posibilidad de clasificar valores e instrumentos financieros de forma automática. En España, los códigos CFI son asignados por la Agencia Nacional de Codificación de Valores, dependiente de la Comisión Nacional del Mercado de Valores (CNMV).</w:t>
      </w:r>
    </w:p>
    <w:p w14:paraId="5ED1EC21" w14:textId="1B73B9DD" w:rsidR="00FE47C2" w:rsidRPr="00CF1B34" w:rsidRDefault="00FE47C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Chartismo </w:t>
      </w:r>
    </w:p>
    <w:p w14:paraId="489395E9" w14:textId="77777777" w:rsidR="00FE47C2" w:rsidRPr="00CF1B34" w:rsidRDefault="00FE47C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Técnica bursátil de previsión fundamentada en el análisis grafico.</w:t>
      </w:r>
    </w:p>
    <w:p w14:paraId="0D0848B8" w14:textId="303FF927" w:rsidR="00411BBA" w:rsidRPr="00CF1B34" w:rsidRDefault="00411BB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Chicharros </w:t>
      </w:r>
    </w:p>
    <w:p w14:paraId="6C5BFBA3" w14:textId="77777777" w:rsidR="00411BBA" w:rsidRPr="00CF1B34" w:rsidRDefault="00411BBA" w:rsidP="0005621A">
      <w:pPr>
        <w:ind w:left="708"/>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Chicharros</w:t>
      </w:r>
      <w:r w:rsidRPr="00CF1B34">
        <w:rPr>
          <w:rFonts w:ascii="Arial" w:hAnsi="Arial" w:cs="Arial"/>
          <w:color w:val="333333"/>
          <w:sz w:val="22"/>
          <w:szCs w:val="22"/>
          <w:shd w:val="clear" w:color="auto" w:fill="FFFFFF"/>
          <w:lang w:val="es-ES_tradnl"/>
        </w:rPr>
        <w:t>, así se denominan los </w:t>
      </w:r>
      <w:r w:rsidRPr="00CF1B34">
        <w:rPr>
          <w:rStyle w:val="Textoennegrita"/>
          <w:rFonts w:ascii="Arial" w:hAnsi="Arial" w:cs="Arial"/>
          <w:color w:val="333333"/>
          <w:sz w:val="22"/>
          <w:szCs w:val="22"/>
          <w:shd w:val="clear" w:color="auto" w:fill="FFFFFF"/>
          <w:lang w:val="es-ES_tradnl"/>
        </w:rPr>
        <w:t>valores de baja capitalización y con una situación económica difícil</w:t>
      </w:r>
      <w:r w:rsidRPr="00CF1B34">
        <w:rPr>
          <w:rFonts w:ascii="Arial" w:hAnsi="Arial" w:cs="Arial"/>
          <w:color w:val="333333"/>
          <w:sz w:val="22"/>
          <w:szCs w:val="22"/>
          <w:shd w:val="clear" w:color="auto" w:fill="FFFFFF"/>
          <w:lang w:val="es-ES_tradnl"/>
        </w:rPr>
        <w:t>. Con esta simple definición, se puede obtener una gama amplia de interpretaciones, por lo que un valor será calificado de «chicharro</w:t>
      </w:r>
      <w:proofErr w:type="gramStart"/>
      <w:r w:rsidRPr="00CF1B34">
        <w:rPr>
          <w:rFonts w:ascii="Arial" w:hAnsi="Arial" w:cs="Arial"/>
          <w:color w:val="333333"/>
          <w:sz w:val="22"/>
          <w:szCs w:val="22"/>
          <w:shd w:val="clear" w:color="auto" w:fill="FFFFFF"/>
          <w:lang w:val="es-ES_tradnl"/>
        </w:rPr>
        <w:t>».Esta</w:t>
      </w:r>
      <w:proofErr w:type="gramEnd"/>
      <w:r w:rsidRPr="00CF1B34">
        <w:rPr>
          <w:rFonts w:ascii="Arial" w:hAnsi="Arial" w:cs="Arial"/>
          <w:color w:val="333333"/>
          <w:sz w:val="22"/>
          <w:szCs w:val="22"/>
          <w:shd w:val="clear" w:color="auto" w:fill="FFFFFF"/>
          <w:lang w:val="es-ES_tradnl"/>
        </w:rPr>
        <w:t xml:space="preserve"> baja capitalización acarrea normalmente una </w:t>
      </w:r>
      <w:r w:rsidRPr="00CF1B34">
        <w:rPr>
          <w:rStyle w:val="Textoennegrita"/>
          <w:rFonts w:ascii="Arial" w:hAnsi="Arial" w:cs="Arial"/>
          <w:color w:val="333333"/>
          <w:sz w:val="22"/>
          <w:szCs w:val="22"/>
          <w:shd w:val="clear" w:color="auto" w:fill="FFFFFF"/>
          <w:lang w:val="es-ES_tradnl"/>
        </w:rPr>
        <w:t>liquidez escasa</w:t>
      </w:r>
    </w:p>
    <w:p w14:paraId="08D229CD" w14:textId="77777777" w:rsidR="00411BBA" w:rsidRPr="00CF1B34" w:rsidRDefault="00411BBA"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Existen tres sistemas para invertir en estos valores:</w:t>
      </w:r>
    </w:p>
    <w:p w14:paraId="019A4DA8" w14:textId="77777777" w:rsidR="00411BBA" w:rsidRPr="00CF1B34" w:rsidRDefault="00411BBA" w:rsidP="004F7A62">
      <w:pPr>
        <w:numPr>
          <w:ilvl w:val="0"/>
          <w:numId w:val="12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Invertir diversificando en muchos valores para diluir el riesgo total que conlleva la quiebra de alguno de ellos (“un huevo en cada canasta”). El momento para hacerlo es al inicio de un ciclo económico alcista donde crecen las posibilidades de que resurjan a las empresas en situación comprometida. Buscando que las ganancias en las empresas viables compensen las pérdidas de las quebradas.</w:t>
      </w:r>
    </w:p>
    <w:p w14:paraId="17A1D1A4" w14:textId="77777777" w:rsidR="00411BBA" w:rsidRPr="00CF1B34" w:rsidRDefault="00411BBA" w:rsidP="004F7A62">
      <w:pPr>
        <w:numPr>
          <w:ilvl w:val="0"/>
          <w:numId w:val="12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Ser un «enterado» o insider que posee datos o información de valoración privilegiada «verídica», y no aquellos rumores que corren por la plaza. Se la considera ilegal teóricamente.</w:t>
      </w:r>
    </w:p>
    <w:p w14:paraId="35F44F7B" w14:textId="77777777" w:rsidR="00411BBA" w:rsidRPr="00CF1B34" w:rsidRDefault="00411BBA" w:rsidP="004F7A62">
      <w:pPr>
        <w:numPr>
          <w:ilvl w:val="0"/>
          <w:numId w:val="12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Ser un especialista en este tipo de valores capaz de hallar los procesos de acumulación por parte de «enterados». Basándose en la información pública, o bien dedicarse a seguir el olfato con un mayor riesgo de que quedar atrapado.</w:t>
      </w:r>
    </w:p>
    <w:p w14:paraId="2CB9E48C" w14:textId="5AF4B945" w:rsidR="00411BBA" w:rsidRPr="00CF1B34" w:rsidRDefault="00411B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Para aquella persona que no encaje en ninguna de las mencionadas categorías se le recomienda olvidarse de este tipo de valores.</w:t>
      </w:r>
    </w:p>
    <w:p w14:paraId="408B93DA" w14:textId="1034064E" w:rsidR="003066F7" w:rsidRPr="00CF1B34" w:rsidRDefault="003066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Choice</w:t>
      </w:r>
    </w:p>
    <w:p w14:paraId="1278E885" w14:textId="79747A82" w:rsidR="00411BBA" w:rsidRPr="00CF1B34" w:rsidRDefault="00AB320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Termino utilizado cuando el precio de compra y venta de una operación coinciden.</w:t>
      </w:r>
    </w:p>
    <w:p w14:paraId="233B61F2" w14:textId="43D661F6" w:rsidR="003066F7" w:rsidRPr="00CF1B34" w:rsidRDefault="003066F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Ciclo alcista </w:t>
      </w:r>
    </w:p>
    <w:p w14:paraId="39F8627C" w14:textId="77777777" w:rsidR="006D6983" w:rsidRPr="00CF1B34" w:rsidRDefault="006D698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ciclo alcista es el de subida de los precios, que se basa en una mejora de las expectativas. El ciclo bajista será su antonimo.</w:t>
      </w:r>
    </w:p>
    <w:p w14:paraId="0A66E8E2" w14:textId="427127E5"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Ciclo económico</w:t>
      </w:r>
    </w:p>
    <w:p w14:paraId="4012CE43" w14:textId="67ABD138" w:rsidR="00693DCA" w:rsidRPr="00CF1B34" w:rsidRDefault="00693DCA"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Un </w:t>
      </w:r>
      <w:r w:rsidRPr="00CF1B34">
        <w:rPr>
          <w:rStyle w:val="Textoennegrita"/>
          <w:rFonts w:ascii="Arial" w:hAnsi="Arial" w:cs="Arial"/>
          <w:color w:val="333333"/>
          <w:sz w:val="22"/>
          <w:szCs w:val="22"/>
          <w:shd w:val="clear" w:color="auto" w:fill="FFFFFF"/>
          <w:lang w:val="es-ES_tradnl"/>
        </w:rPr>
        <w:t xml:space="preserve">ciclo económico </w:t>
      </w:r>
      <w:r w:rsidRPr="00CF1B34">
        <w:rPr>
          <w:rFonts w:ascii="Arial" w:hAnsi="Arial" w:cs="Arial"/>
          <w:color w:val="333333"/>
          <w:sz w:val="22"/>
          <w:szCs w:val="22"/>
          <w:shd w:val="clear" w:color="auto" w:fill="FFFFFF"/>
          <w:lang w:val="es-ES_tradnl"/>
        </w:rPr>
        <w:t>es un conjunto de fenómenos económicos que se suceden en una época o periodo determinado. Esta es la definición, pero la comprensión de los ciclos económicos es un poco más compleja</w:t>
      </w:r>
    </w:p>
    <w:p w14:paraId="2900C965" w14:textId="662691B9" w:rsidR="00C7373E" w:rsidRPr="00CF1B34" w:rsidRDefault="00693DCA"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La v</w:t>
      </w:r>
      <w:r w:rsidR="00C7373E" w:rsidRPr="00CF1B34">
        <w:rPr>
          <w:rFonts w:ascii="Arial" w:hAnsi="Arial" w:cs="Arial"/>
          <w:sz w:val="22"/>
          <w:szCs w:val="22"/>
          <w:lang w:val="es-ES_tradnl"/>
        </w:rPr>
        <w:t>ariación a largo plazo de la actividad económica de un país, medida a través de sus índices macroeconómicos. El ciclo se denomina expansivo en las fases de crecimiento económico y recesivo en los periodos de contracción de la actividad y caída de la producción y el empleo.</w:t>
      </w:r>
      <w:r w:rsidR="003066F7" w:rsidRPr="00CF1B34">
        <w:rPr>
          <w:rFonts w:ascii="Arial" w:hAnsi="Arial" w:cs="Arial"/>
          <w:sz w:val="22"/>
          <w:szCs w:val="22"/>
          <w:lang w:val="es-ES_tradnl"/>
        </w:rPr>
        <w:t xml:space="preserve"> Estos ciclos cada vez son mas cortos, siendo la causa de este acortamiento la gran f</w:t>
      </w:r>
      <w:r w:rsidR="004D345A" w:rsidRPr="00CF1B34">
        <w:rPr>
          <w:rFonts w:ascii="Arial" w:hAnsi="Arial" w:cs="Arial"/>
          <w:sz w:val="22"/>
          <w:szCs w:val="22"/>
          <w:lang w:val="es-ES_tradnl"/>
        </w:rPr>
        <w:t>l</w:t>
      </w:r>
      <w:r w:rsidR="003066F7" w:rsidRPr="00CF1B34">
        <w:rPr>
          <w:rFonts w:ascii="Arial" w:hAnsi="Arial" w:cs="Arial"/>
          <w:sz w:val="22"/>
          <w:szCs w:val="22"/>
          <w:lang w:val="es-ES_tradnl"/>
        </w:rPr>
        <w:t>uidez con la que se mueve la información.</w:t>
      </w:r>
    </w:p>
    <w:p w14:paraId="65FEB8C7" w14:textId="7C99F200" w:rsidR="00693DCA" w:rsidRPr="00CF1B34" w:rsidRDefault="00693DCA"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Muchos economistas definen al ciclo económico como el movimiento de la producción capitalista a través de fases que guardan entre sí una relación de sucesión. Las</w:t>
      </w:r>
      <w:r w:rsidRPr="00CF1B34">
        <w:rPr>
          <w:rFonts w:ascii="Arial" w:hAnsi="Arial" w:cs="Arial"/>
          <w:b/>
          <w:bCs/>
          <w:color w:val="333333"/>
          <w:sz w:val="22"/>
          <w:szCs w:val="22"/>
          <w:lang w:val="es-ES_tradnl"/>
        </w:rPr>
        <w:t xml:space="preserve"> fases de un ciclo económico s</w:t>
      </w:r>
      <w:r w:rsidRPr="00CF1B34">
        <w:rPr>
          <w:rFonts w:ascii="Arial" w:hAnsi="Arial" w:cs="Arial"/>
          <w:color w:val="333333"/>
          <w:sz w:val="22"/>
          <w:szCs w:val="22"/>
          <w:lang w:val="es-ES_tradnl"/>
        </w:rPr>
        <w:t>on:</w:t>
      </w:r>
    </w:p>
    <w:p w14:paraId="7803AA58" w14:textId="6BFF49F1" w:rsidR="00693DCA" w:rsidRPr="00CF1B34" w:rsidRDefault="00693DCA" w:rsidP="004F7A62">
      <w:pPr>
        <w:numPr>
          <w:ilvl w:val="0"/>
          <w:numId w:val="12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Crisis:</w:t>
      </w:r>
      <w:r w:rsidRPr="00CF1B34">
        <w:rPr>
          <w:rFonts w:ascii="Arial" w:hAnsi="Arial" w:cs="Arial"/>
          <w:color w:val="333333"/>
          <w:sz w:val="22"/>
          <w:szCs w:val="22"/>
          <w:lang w:val="es-ES_tradnl"/>
        </w:rPr>
        <w:t xml:space="preserve"> o fase del </w:t>
      </w:r>
      <w:r w:rsidRPr="00CF1B34">
        <w:rPr>
          <w:rFonts w:ascii="Arial" w:hAnsi="Arial" w:cs="Arial"/>
          <w:b/>
          <w:bCs/>
          <w:i/>
          <w:iCs/>
          <w:color w:val="333333"/>
          <w:sz w:val="22"/>
          <w:szCs w:val="22"/>
          <w:lang w:val="es-ES_tradnl"/>
        </w:rPr>
        <w:t>descenso</w:t>
      </w:r>
      <w:r w:rsidRPr="00CF1B34">
        <w:rPr>
          <w:rFonts w:ascii="Arial" w:hAnsi="Arial" w:cs="Arial"/>
          <w:color w:val="333333"/>
          <w:sz w:val="22"/>
          <w:szCs w:val="22"/>
          <w:lang w:val="es-ES_tradnl"/>
        </w:rPr>
        <w:t>, donde se manifiestan todas las contradicciones del sistema financiero y económico que se van acumulando hasta que estallan en un momento determinado que es cuando surge la crisis. Aquí es donde se pinchan las </w:t>
      </w:r>
      <w:r w:rsidRPr="00CF1B34">
        <w:rPr>
          <w:rFonts w:ascii="Arial" w:hAnsi="Arial" w:cs="Arial"/>
          <w:b/>
          <w:bCs/>
          <w:color w:val="333333"/>
          <w:sz w:val="22"/>
          <w:szCs w:val="22"/>
          <w:lang w:val="es-ES_tradnl"/>
        </w:rPr>
        <w:t xml:space="preserve">burbujas </w:t>
      </w:r>
      <w:r w:rsidRPr="00CF1B34">
        <w:rPr>
          <w:rFonts w:ascii="Arial" w:hAnsi="Arial" w:cs="Arial"/>
          <w:color w:val="333333"/>
          <w:sz w:val="22"/>
          <w:szCs w:val="22"/>
          <w:lang w:val="es-ES_tradnl"/>
        </w:rPr>
        <w:t>(</w:t>
      </w:r>
      <w:proofErr w:type="gramStart"/>
      <w:r w:rsidRPr="00CF1B34">
        <w:rPr>
          <w:rFonts w:ascii="Arial" w:hAnsi="Arial" w:cs="Arial"/>
          <w:color w:val="333333"/>
          <w:sz w:val="22"/>
          <w:szCs w:val="22"/>
          <w:lang w:val="es-ES_tradnl"/>
        </w:rPr>
        <w:t>les</w:t>
      </w:r>
      <w:proofErr w:type="gramEnd"/>
      <w:r w:rsidRPr="00CF1B34">
        <w:rPr>
          <w:rFonts w:ascii="Arial" w:hAnsi="Arial" w:cs="Arial"/>
          <w:color w:val="333333"/>
          <w:sz w:val="22"/>
          <w:szCs w:val="22"/>
          <w:lang w:val="es-ES_tradnl"/>
        </w:rPr>
        <w:t xml:space="preserve"> recuerda a algo muy cercano?)</w:t>
      </w:r>
    </w:p>
    <w:p w14:paraId="3FAADC11" w14:textId="61705031" w:rsidR="00693DCA" w:rsidRPr="00CF1B34" w:rsidRDefault="00693DCA" w:rsidP="004F7A62">
      <w:pPr>
        <w:numPr>
          <w:ilvl w:val="0"/>
          <w:numId w:val="12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Depresión</w:t>
      </w:r>
      <w:r w:rsidRPr="00CF1B34">
        <w:rPr>
          <w:rFonts w:ascii="Arial" w:hAnsi="Arial" w:cs="Arial"/>
          <w:color w:val="333333"/>
          <w:sz w:val="22"/>
          <w:szCs w:val="22"/>
          <w:lang w:val="es-ES_tradnl"/>
        </w:rPr>
        <w:t xml:space="preserve">: o llamada </w:t>
      </w:r>
      <w:r w:rsidRPr="00CF1B34">
        <w:rPr>
          <w:rFonts w:ascii="Arial" w:hAnsi="Arial" w:cs="Arial"/>
          <w:b/>
          <w:bCs/>
          <w:i/>
          <w:iCs/>
          <w:color w:val="333333"/>
          <w:sz w:val="22"/>
          <w:szCs w:val="22"/>
          <w:lang w:val="es-ES_tradnl"/>
        </w:rPr>
        <w:t>recesión</w:t>
      </w:r>
      <w:r w:rsidRPr="00CF1B34">
        <w:rPr>
          <w:rFonts w:ascii="Arial" w:hAnsi="Arial" w:cs="Arial"/>
          <w:color w:val="333333"/>
          <w:sz w:val="22"/>
          <w:szCs w:val="22"/>
          <w:lang w:val="es-ES_tradnl"/>
        </w:rPr>
        <w:t xml:space="preserve">, es donde existe un retroceso relativo de toda la actividad económica en general: producción, comercio, banca y servicios ven retrotraer sus niveles en forma notable. Hay recesión, técnicamente, cuando existe un </w:t>
      </w:r>
      <w:r w:rsidRPr="00CF1B34">
        <w:rPr>
          <w:rFonts w:ascii="Arial" w:hAnsi="Arial" w:cs="Arial"/>
          <w:b/>
          <w:bCs/>
          <w:color w:val="333333"/>
          <w:sz w:val="22"/>
          <w:szCs w:val="22"/>
          <w:lang w:val="es-ES_tradnl"/>
        </w:rPr>
        <w:t>crecimiento negativo</w:t>
      </w:r>
      <w:r w:rsidRPr="00CF1B34">
        <w:rPr>
          <w:rFonts w:ascii="Arial" w:hAnsi="Arial" w:cs="Arial"/>
          <w:color w:val="333333"/>
          <w:sz w:val="22"/>
          <w:szCs w:val="22"/>
          <w:lang w:val="es-ES_tradnl"/>
        </w:rPr>
        <w:t> de la economía durante dos trimestres consecutivos.</w:t>
      </w:r>
    </w:p>
    <w:p w14:paraId="18C959CF" w14:textId="77777777" w:rsidR="00693DCA" w:rsidRPr="00CF1B34" w:rsidRDefault="00693DCA" w:rsidP="004F7A62">
      <w:pPr>
        <w:numPr>
          <w:ilvl w:val="0"/>
          <w:numId w:val="12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Reactivación</w:t>
      </w:r>
      <w:r w:rsidRPr="00CF1B34">
        <w:rPr>
          <w:rFonts w:ascii="Arial" w:hAnsi="Arial" w:cs="Arial"/>
          <w:color w:val="333333"/>
          <w:sz w:val="22"/>
          <w:szCs w:val="22"/>
          <w:lang w:val="es-ES_tradnl"/>
        </w:rPr>
        <w:t>: una vez que se ha tocado el fondo en la fase anterior, se produce una reactivación de las actividades económicas, aumentando el empleo, la producción, la inversión y las ventas. Todas las variables económicas tienen un movimiento ascendente, que se refleja en la actividad económica en general.</w:t>
      </w:r>
    </w:p>
    <w:p w14:paraId="7F8727AC" w14:textId="0FFF7FB9" w:rsidR="00693DCA" w:rsidRPr="00CF1B34" w:rsidRDefault="00693DCA" w:rsidP="004F7A62">
      <w:pPr>
        <w:numPr>
          <w:ilvl w:val="0"/>
          <w:numId w:val="12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Auge</w:t>
      </w:r>
      <w:r w:rsidRPr="00CF1B34">
        <w:rPr>
          <w:rFonts w:ascii="Arial" w:hAnsi="Arial" w:cs="Arial"/>
          <w:color w:val="333333"/>
          <w:sz w:val="22"/>
          <w:szCs w:val="22"/>
          <w:lang w:val="es-ES_tradnl"/>
        </w:rPr>
        <w:t>: toda la actividad económica se encuentra en un periodo de</w:t>
      </w:r>
      <w:r w:rsidRPr="00CF1B34">
        <w:rPr>
          <w:rFonts w:ascii="Arial" w:hAnsi="Arial" w:cs="Arial"/>
          <w:b/>
          <w:bCs/>
          <w:i/>
          <w:iCs/>
          <w:color w:val="333333"/>
          <w:sz w:val="22"/>
          <w:szCs w:val="22"/>
          <w:lang w:val="es-ES_tradnl"/>
        </w:rPr>
        <w:t xml:space="preserve"> prosperidad y apogeo</w:t>
      </w:r>
      <w:r w:rsidRPr="00CF1B34">
        <w:rPr>
          <w:rFonts w:ascii="Arial" w:hAnsi="Arial" w:cs="Arial"/>
          <w:color w:val="333333"/>
          <w:sz w:val="22"/>
          <w:szCs w:val="22"/>
          <w:lang w:val="es-ES_tradnl"/>
        </w:rPr>
        <w:t>. El auge puede durar de forma variable ya sea que dure muchos años como solo unos cuantos meses, según las condiciones económicas específicas. Al estancarse la producción viene de nuevo la crisis y comienza un nuevo ciclo económico.</w:t>
      </w:r>
    </w:p>
    <w:p w14:paraId="53C4397B" w14:textId="77777777" w:rsidR="00693DCA" w:rsidRPr="00CF1B34" w:rsidRDefault="00693DC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lastRenderedPageBreak/>
        <w:t>En cada crisis es donde termina un ciclo capitalista y vuelve a empezar otro ciclo. Es importante destacar lo siguiente: </w:t>
      </w:r>
      <w:r w:rsidRPr="00CF1B34">
        <w:rPr>
          <w:rStyle w:val="Textoennegrita"/>
          <w:rFonts w:ascii="Arial" w:hAnsi="Arial" w:cs="Arial"/>
          <w:color w:val="333333"/>
          <w:sz w:val="22"/>
          <w:szCs w:val="22"/>
          <w:shd w:val="clear" w:color="auto" w:fill="FFFFFF"/>
          <w:lang w:val="es-ES_tradnl"/>
        </w:rPr>
        <w:t>cada fase no proviene del accionar del hombre, sino de los movimientos intrínsecos de los mercados y del sistema capitalista en sí, proclive a la formación de burbujas que inevitablemente estallan y dan lugar a las crisis</w:t>
      </w:r>
      <w:r w:rsidRPr="00CF1B34">
        <w:rPr>
          <w:rStyle w:val="Textoennegrita"/>
          <w:rFonts w:ascii="Arial" w:hAnsi="Arial" w:cs="Arial"/>
          <w:color w:val="333333"/>
          <w:shd w:val="clear" w:color="auto" w:fill="FFFFFF"/>
          <w:lang w:val="es-ES_tradnl"/>
        </w:rPr>
        <w:t>.</w:t>
      </w:r>
    </w:p>
    <w:p w14:paraId="69FD01A8" w14:textId="0E69B829" w:rsidR="003066F7" w:rsidRPr="00CF1B34" w:rsidRDefault="003066F7" w:rsidP="0005621A">
      <w:pPr>
        <w:pStyle w:val="Ttulo2"/>
        <w:shd w:val="clear" w:color="auto" w:fill="FFFFFF"/>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Ciclo inmobiliario</w:t>
      </w:r>
    </w:p>
    <w:p w14:paraId="2A8A7670" w14:textId="77777777" w:rsidR="004D345A" w:rsidRPr="00CF1B34" w:rsidRDefault="004D345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ciclo inmobiliario a diferencia de los financieros es mas largo. Las subidas se producen en un corto periodo de tiempo para luego estabilizase y entrar en periodos de tranquilidad de hasta 10 años. En los inmuebles los ciclos se mueven por decenios.</w:t>
      </w:r>
    </w:p>
    <w:p w14:paraId="2B12F378" w14:textId="428669BF" w:rsidR="008A1A13" w:rsidRPr="00CF1B34" w:rsidRDefault="008A1A13" w:rsidP="0005621A">
      <w:pPr>
        <w:pStyle w:val="Ttulo2"/>
        <w:shd w:val="clear" w:color="auto" w:fill="FFFFFF"/>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CIRBE</w:t>
      </w:r>
    </w:p>
    <w:p w14:paraId="430CB88F" w14:textId="77777777" w:rsidR="007756C9" w:rsidRPr="00CF1B34" w:rsidRDefault="008A1A13" w:rsidP="0005621A">
      <w:pPr>
        <w:ind w:left="708"/>
        <w:jc w:val="both"/>
        <w:rPr>
          <w:rFonts w:ascii="Arial" w:hAnsi="Arial" w:cs="Arial"/>
          <w:color w:val="191B1C"/>
          <w:shd w:val="clear" w:color="auto" w:fill="FFFFFF"/>
          <w:lang w:val="es-ES_tradnl"/>
        </w:rPr>
      </w:pPr>
      <w:r w:rsidRPr="00CF1B34">
        <w:rPr>
          <w:rFonts w:ascii="Arial" w:hAnsi="Arial" w:cs="Arial"/>
          <w:color w:val="191B1C"/>
          <w:sz w:val="22"/>
          <w:szCs w:val="22"/>
          <w:lang w:val="es-ES_tradnl"/>
        </w:rPr>
        <w:t>La </w:t>
      </w:r>
      <w:r w:rsidRPr="00CF1B34">
        <w:rPr>
          <w:rStyle w:val="Textoennegrita"/>
          <w:rFonts w:ascii="Arial" w:hAnsi="Arial" w:cs="Arial"/>
          <w:color w:val="191B1C"/>
          <w:sz w:val="22"/>
          <w:szCs w:val="22"/>
          <w:lang w:val="es-ES_tradnl"/>
        </w:rPr>
        <w:t>CIRBE</w:t>
      </w:r>
      <w:r w:rsidRPr="00CF1B34">
        <w:rPr>
          <w:rFonts w:ascii="Arial" w:hAnsi="Arial" w:cs="Arial"/>
          <w:color w:val="191B1C"/>
          <w:sz w:val="22"/>
          <w:szCs w:val="22"/>
          <w:lang w:val="es-ES_tradnl"/>
        </w:rPr>
        <w:t> (central de información de riesgos del Banco de España) es el servicio que gestiona las bases de datos relativas a los préstamos, avales, créditos y riesgos de las entidades financieras con sus clientes (personas físicas o jurídicas). Esta base de datos está abierta a cualquier entidad referida en el artículo 4.5 de la Ley 5/2019, lo que implica que esta tendrá derecho a disponer de esa información en cualquier momento. También es accesible para cualquier persona física (es decir, que cualquiera puede conocer los datos que están a su nombre, pero nunca de terceras personas), pero es confidencial.</w:t>
      </w:r>
      <w:r w:rsidR="007756C9" w:rsidRPr="00CF1B34">
        <w:rPr>
          <w:rFonts w:ascii="Arial" w:hAnsi="Arial" w:cs="Arial"/>
          <w:color w:val="191B1C"/>
          <w:shd w:val="clear" w:color="auto" w:fill="FFFFFF"/>
          <w:lang w:val="es-ES_tradnl"/>
        </w:rPr>
        <w:t xml:space="preserve"> </w:t>
      </w:r>
    </w:p>
    <w:p w14:paraId="1B645BE7" w14:textId="77777777" w:rsidR="007756C9" w:rsidRPr="00CF1B34" w:rsidRDefault="007756C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shd w:val="clear" w:color="auto" w:fill="FFFFFF"/>
          <w:lang w:val="es-ES_tradnl"/>
        </w:rPr>
        <w:t>En esta base de datos figuran quienes tengan en una misma entidad un préstamo o crédito que sobrepase los 6.000 euros, y también quienes supongan un riesgo indirecto por un importe superior a 60.000 euros. A su vez, dejarán de figurar cuando salden la deuda. Aún así, existe un historial de cada cliente accesible a toda entidad y sin que esta deba contar con el consentimiento del cliente. Naturalmente, este historial podrá condicionar cualquier futuro crédito</w:t>
      </w:r>
      <w:r w:rsidRPr="00CF1B34">
        <w:rPr>
          <w:rFonts w:ascii="Arial" w:hAnsi="Arial" w:cs="Arial"/>
          <w:color w:val="191B1C"/>
          <w:shd w:val="clear" w:color="auto" w:fill="FFFFFF"/>
          <w:lang w:val="es-ES_tradnl"/>
        </w:rPr>
        <w:t>.</w:t>
      </w:r>
    </w:p>
    <w:p w14:paraId="1E3AF060" w14:textId="151D6284"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Clases de participaciones </w:t>
      </w:r>
    </w:p>
    <w:p w14:paraId="56244DB1"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participaciones de un fondo de inversión a las que se aplican las mismas comisiones; dentro de un mismo fondo pueden existir distintas clases de participaciones. </w:t>
      </w:r>
    </w:p>
    <w:p w14:paraId="49C56FB1" w14:textId="0D6A876F"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Cláusula anti dilución</w:t>
      </w:r>
    </w:p>
    <w:p w14:paraId="365AC4D3"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Puede introducirse en emisiones de obligaciones y bonos convertibles. Su objetivo es compensar a los titulares de las acciones actualmente en circulación, por la pérdida de valor que experimentarán éstas como consecuencia de la ampliación de capital necesaria para poder atender la conversión. </w:t>
      </w:r>
      <w:hyperlink r:id="rId118" w:tgtFrame="_self" w:history="1">
        <w:r w:rsidRPr="00CF1B34">
          <w:rPr>
            <w:rFonts w:ascii="Arial" w:hAnsi="Arial" w:cs="Arial"/>
            <w:b/>
            <w:bCs/>
            <w:color w:val="AD2144"/>
            <w:sz w:val="22"/>
            <w:szCs w:val="22"/>
            <w:u w:val="single"/>
            <w:lang w:val="es-ES_tradnl"/>
          </w:rPr>
          <w:t>Ver dilución</w:t>
        </w:r>
      </w:hyperlink>
      <w:r w:rsidRPr="00CF1B34">
        <w:rPr>
          <w:rFonts w:ascii="Arial" w:hAnsi="Arial" w:cs="Arial"/>
          <w:color w:val="212529"/>
          <w:sz w:val="22"/>
          <w:szCs w:val="22"/>
          <w:lang w:val="es-ES_tradnl"/>
        </w:rPr>
        <w:t>.</w:t>
      </w:r>
    </w:p>
    <w:p w14:paraId="7F732120" w14:textId="77777777" w:rsidR="008F4E4B" w:rsidRPr="00CF1B34" w:rsidRDefault="008F4E4B"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Cláusula cero</w:t>
      </w:r>
    </w:p>
    <w:p w14:paraId="7ECAC1C8" w14:textId="77777777" w:rsidR="008F4E4B" w:rsidRPr="00CF1B34" w:rsidRDefault="008F4E4B"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cláusula cero es una condición contractual hipotecaria donde el banco se asegura que los intereses cobrados tengan un mínimo del 0%. De esta manera, aun con intereses de referencia negativos, el interés total cobrado no se situará por debajo de este valor.</w:t>
      </w:r>
    </w:p>
    <w:p w14:paraId="6C089E71" w14:textId="77777777" w:rsidR="008F4E4B" w:rsidRPr="00CF1B34" w:rsidRDefault="008F4E4B"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Con la cláusula cero el banco o la entidad financiera se asegura la bajada de los tipos de interés de referencia, en el caso más habitual, el euríbor.</w:t>
      </w:r>
    </w:p>
    <w:p w14:paraId="47402B88" w14:textId="77777777" w:rsidR="00D47C95" w:rsidRPr="00CF1B34" w:rsidRDefault="008F4E4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Esta fluctuación afecta directamente a las hipotecas con tipo de interés variable, por lo que, si estos tipos se sitúan en negativo, el banco se blinda una rentabilidad mínima. Dicho de otra manera, con la cláusula cero en el caso de tener los tipos de interés en negativo, el banco podrá asegurar que el interés no sea inferior al 0% ya que en el caso </w:t>
      </w:r>
      <w:r w:rsidRPr="00CF1B34">
        <w:rPr>
          <w:rFonts w:ascii="Arial" w:hAnsi="Arial" w:cs="Arial"/>
          <w:sz w:val="22"/>
          <w:szCs w:val="22"/>
          <w:lang w:val="es-ES_tradnl"/>
        </w:rPr>
        <w:lastRenderedPageBreak/>
        <w:t>de que el valor sea en negativo, y no se aplíquese la cláusula de 0%, se daría la paradoja de que el banco tuviera que pagar a sus clientes por prestar el dinero de las hipotecas.</w:t>
      </w:r>
    </w:p>
    <w:p w14:paraId="618AD084" w14:textId="77777777" w:rsidR="00D47C95" w:rsidRPr="00CF1B34" w:rsidRDefault="00D47C95"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Cláusula suelo</w:t>
      </w:r>
    </w:p>
    <w:p w14:paraId="256E3E75" w14:textId="77777777" w:rsidR="00D47C95" w:rsidRPr="00CF1B34" w:rsidRDefault="00D47C9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suelo hipotecario es una cláusula que regula el interés mínimo de una hipoteca variable. Esta cláusula se hace efectiva si el índice de referencia (euríbor) más el diferencial, no alcanza el valor establecido.</w:t>
      </w:r>
    </w:p>
    <w:p w14:paraId="63ECBED5" w14:textId="77777777" w:rsidR="00D47C95" w:rsidRPr="00CF1B34" w:rsidRDefault="00D47C9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Anteriormente, muchas hipotecas variables se concedían con la cláusula suelo que, por lo general, siempre se mantenía en el 3%. Sin embargo, cuando el euríbor comenzó a caer influenciado por la crisis económica, a muchos hipotecados se les aplicó un tipo de interés mínimo que les afectaba, ya que tenían que pagar más dinero del que se hubiera abonado sino existiera ese límite.</w:t>
      </w:r>
    </w:p>
    <w:p w14:paraId="198DC986" w14:textId="77777777" w:rsidR="00F6599B" w:rsidRPr="00CF1B34" w:rsidRDefault="00D47C9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 causa de la falta de transparencia por parte de algunas entidades financieras, en mayo de 2013, el Tribunal Supremo declaró totalmente nula esta cláusula por el elevado interés mínimo incorporado a las escrituras de las hipotecas. Meses más tarde, el Tribunal de Justicia de la Unión Europea estableció que los afectados podían recuperar todo lo pagado de más desde que se les empezó a aplicar esta clausula en las hipotecas a interés variable.</w:t>
      </w:r>
    </w:p>
    <w:p w14:paraId="769CDC23" w14:textId="2386DB54" w:rsidR="00A5158B" w:rsidRPr="00CF1B34" w:rsidRDefault="00A5158B"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 xml:space="preserve">Clearing bancario </w:t>
      </w:r>
    </w:p>
    <w:p w14:paraId="0E2AC725" w14:textId="4EE0FE10" w:rsidR="00A5158B" w:rsidRPr="00CF1B34" w:rsidRDefault="00A5158B"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El Clearing denota todas las actividades desde el momento en que se haga el compromiso de una transacción hasta que sea establecida. El Clearing es necesario debido a que la velocidad de las operaciones es mucho más rápida que el tiempo para completar la transacción objetivamente hablando.</w:t>
      </w:r>
    </w:p>
    <w:p w14:paraId="1A269888" w14:textId="7E173F72" w:rsidR="00A5158B" w:rsidRPr="00CF1B34" w:rsidRDefault="00A5158B"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Básicamente se cruzan operaciones de reembolso, traspasos, etc. Por otra parte, e</w:t>
      </w:r>
      <w:r w:rsidR="006724D4" w:rsidRPr="00CF1B34">
        <w:rPr>
          <w:rFonts w:ascii="Arial" w:hAnsi="Arial" w:cs="Arial"/>
          <w:color w:val="333333"/>
          <w:sz w:val="22"/>
          <w:szCs w:val="22"/>
          <w:lang w:val="es-ES_tradnl"/>
        </w:rPr>
        <w:t xml:space="preserve">l </w:t>
      </w:r>
      <w:r w:rsidR="006724D4" w:rsidRPr="00CF1B34">
        <w:rPr>
          <w:rStyle w:val="Textoennegrita"/>
          <w:rFonts w:ascii="Arial" w:hAnsi="Arial" w:cs="Arial"/>
          <w:color w:val="333333"/>
          <w:sz w:val="22"/>
          <w:szCs w:val="22"/>
          <w:lang w:val="es-ES_tradnl"/>
        </w:rPr>
        <w:t>in</w:t>
      </w:r>
      <w:r w:rsidRPr="00CF1B34">
        <w:rPr>
          <w:rStyle w:val="Textoennegrita"/>
          <w:rFonts w:ascii="Arial" w:hAnsi="Arial" w:cs="Arial"/>
          <w:color w:val="333333"/>
          <w:sz w:val="22"/>
          <w:szCs w:val="22"/>
          <w:lang w:val="es-ES_tradnl"/>
        </w:rPr>
        <w:t>tercambio de información (dentro del Clearing)</w:t>
      </w:r>
      <w:r w:rsidRPr="00CF1B34">
        <w:rPr>
          <w:rFonts w:ascii="Arial" w:hAnsi="Arial" w:cs="Arial"/>
          <w:color w:val="333333"/>
          <w:sz w:val="22"/>
          <w:szCs w:val="22"/>
          <w:lang w:val="es-ES_tradnl"/>
        </w:rPr>
        <w:t xml:space="preserve"> incluye a lo que se denomina </w:t>
      </w:r>
      <w:r w:rsidRPr="00CF1B34">
        <w:rPr>
          <w:rStyle w:val="Textoennegrita"/>
          <w:rFonts w:ascii="Arial" w:hAnsi="Arial" w:cs="Arial"/>
          <w:color w:val="333333"/>
          <w:sz w:val="22"/>
          <w:szCs w:val="22"/>
          <w:lang w:val="es-ES_tradnl"/>
        </w:rPr>
        <w:t>post-negociación,</w:t>
      </w:r>
      <w:r w:rsidRPr="00CF1B34">
        <w:rPr>
          <w:rFonts w:ascii="Arial" w:hAnsi="Arial" w:cs="Arial"/>
          <w:color w:val="333333"/>
          <w:sz w:val="22"/>
          <w:szCs w:val="22"/>
          <w:lang w:val="es-ES_tradnl"/>
        </w:rPr>
        <w:t xml:space="preserve"> es decir, antes de las exposiciones de crédito de liquidación, garantizando que las operaciones se liquidan conformes a las reglas del mercado, incluso también para saber si un comprador o el vendedor es o no insolvente.</w:t>
      </w:r>
    </w:p>
    <w:p w14:paraId="1EE872A8" w14:textId="04E5E0F8" w:rsidR="00A5158B" w:rsidRPr="00CF1B34" w:rsidRDefault="00A5158B"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Los</w:t>
      </w:r>
      <w:r w:rsidRPr="00CF1B34">
        <w:rPr>
          <w:rFonts w:ascii="Arial" w:hAnsi="Arial" w:cs="Arial"/>
          <w:b/>
          <w:bCs/>
          <w:color w:val="333333"/>
          <w:sz w:val="22"/>
          <w:szCs w:val="22"/>
          <w:lang w:val="es-ES_tradnl"/>
        </w:rPr>
        <w:t xml:space="preserve"> procesos incluidos en el Clearing</w:t>
      </w:r>
      <w:r w:rsidRPr="00CF1B34">
        <w:rPr>
          <w:rFonts w:ascii="Arial" w:hAnsi="Arial" w:cs="Arial"/>
          <w:color w:val="333333"/>
          <w:sz w:val="22"/>
          <w:szCs w:val="22"/>
          <w:lang w:val="es-ES_tradnl"/>
        </w:rPr>
        <w:t> son:</w:t>
      </w:r>
    </w:p>
    <w:p w14:paraId="5683554C" w14:textId="77777777" w:rsidR="00A5158B" w:rsidRPr="00CF1B34" w:rsidRDefault="00A5158B" w:rsidP="004F7A62">
      <w:pPr>
        <w:numPr>
          <w:ilvl w:val="0"/>
          <w:numId w:val="12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Presentación de informes</w:t>
      </w:r>
    </w:p>
    <w:p w14:paraId="076C1C47" w14:textId="77777777" w:rsidR="00A5158B" w:rsidRPr="00CF1B34" w:rsidRDefault="00A5158B" w:rsidP="004F7A62">
      <w:pPr>
        <w:numPr>
          <w:ilvl w:val="0"/>
          <w:numId w:val="12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Evaluación de riesgos</w:t>
      </w:r>
    </w:p>
    <w:p w14:paraId="59859733" w14:textId="77777777" w:rsidR="00A5158B" w:rsidRPr="00CF1B34" w:rsidRDefault="00A5158B" w:rsidP="004F7A62">
      <w:pPr>
        <w:numPr>
          <w:ilvl w:val="0"/>
          <w:numId w:val="12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Liquidación de los gastos realizados</w:t>
      </w:r>
    </w:p>
    <w:p w14:paraId="75065D56" w14:textId="77777777" w:rsidR="00A5158B" w:rsidRPr="00CF1B34" w:rsidRDefault="00A5158B" w:rsidP="004F7A62">
      <w:pPr>
        <w:numPr>
          <w:ilvl w:val="0"/>
          <w:numId w:val="12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Impuestos</w:t>
      </w:r>
    </w:p>
    <w:p w14:paraId="103795F8" w14:textId="77777777" w:rsidR="00A5158B" w:rsidRPr="00CF1B34" w:rsidRDefault="00A5158B" w:rsidP="004F7A62">
      <w:pPr>
        <w:numPr>
          <w:ilvl w:val="0"/>
          <w:numId w:val="12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Control</w:t>
      </w:r>
    </w:p>
    <w:p w14:paraId="7455CF18" w14:textId="77777777" w:rsidR="00A5158B" w:rsidRPr="00CF1B34" w:rsidRDefault="00A5158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Por ejemplo, el banco A debe al banco B 100 euros y, paralelamente, el banco B le debe 120 euros al banco A. Una vez realizado el proceso de Clearing o compensación, A y B quedarían en que B solamente paga 20 euros al banco A. Este proceso es muy útil para el ahorro de costes, y evita movimientos innecesarios de dinero.</w:t>
      </w:r>
    </w:p>
    <w:p w14:paraId="28294493" w14:textId="0A6FC208" w:rsidR="00F6599B" w:rsidRPr="00CF1B34" w:rsidRDefault="00F6599B"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Clips hipotecarios o Swaps</w:t>
      </w:r>
    </w:p>
    <w:p w14:paraId="523883C8" w14:textId="77777777" w:rsidR="00F6599B" w:rsidRPr="00CF1B34" w:rsidRDefault="00F6599B"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Los chips hipotecarios o Swaps eran un modelo de contrato de intercambio financiero, por medio del cual se permutan prestaciones entre la entidad financiera o bancaria y el cliente.</w:t>
      </w:r>
    </w:p>
    <w:p w14:paraId="0F859692" w14:textId="77777777" w:rsidR="00F6599B" w:rsidRPr="00CF1B34" w:rsidRDefault="00F6599B"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Este contrato se podría firmar en cualquier momento de la vida de la hipoteca, a través de un documento independiente, donde se declaraba que el hipotecado se asegura pagar un interés máximo y mínimo durante el periodo de tiempo que duraba la financiación. El banco, por su parte, se comprometía a abonar la diferencia cuando el euríbor fuese superiora los límites pactados, pero, si el Euribor estaba por debajo de los límites acordados, era la persona hipotecada la encargada de compensar dicha diferencia.</w:t>
      </w:r>
    </w:p>
    <w:p w14:paraId="12EE1358" w14:textId="77777777" w:rsidR="00F6599B" w:rsidRPr="00CF1B34" w:rsidRDefault="00F6599B"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Explicado de otra manera, en los Swaps hipotecarios el cliente intercambiaba, dependiendo del tipo y modelo de contrato que hubiese firmado, un tipo de interés variable por uno de tipo fijo.</w:t>
      </w:r>
    </w:p>
    <w:p w14:paraId="29BCB1CA" w14:textId="076ECE69" w:rsidR="00A5158B" w:rsidRPr="00CF1B34" w:rsidRDefault="00F6599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Con este sistema, el cliente se cubría ante las variaciones que podían ocurrir en los tipos de interés, especialmente cuando éstos tenían tendencia al alza, por lo que, contratando el clip hipotecario, si los tipos de interés subían por encima del límite pactado en dicho contrato de intercambio, la entidad bancaria se haría cargo del exceso de interés. Por el contrario, si el tipo de interés bajaba, el límite pactado en el chip hipotecario el cliente abonaría la diferencia al banco.</w:t>
      </w:r>
    </w:p>
    <w:p w14:paraId="533D9F3A" w14:textId="09840B93"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Cliente minorista</w:t>
      </w:r>
    </w:p>
    <w:p w14:paraId="7E126655"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que no invierte de manera profesional, por lo que se le presupone menor conocimiento de los mercados financieros. La mayor parte de los inversores se encuadran en esta categoría, a la que se otorga un nivel de protección superior al del cliente profesional. Bajo determinadas circunstancias y cumpliendo una serie de requisitos, un cliente minorista puede solicitar que se le considere profesional.</w:t>
      </w:r>
    </w:p>
    <w:p w14:paraId="22ECCB29"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Cliente profesional</w:t>
      </w:r>
    </w:p>
    <w:p w14:paraId="713A962B"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Cliente financiero que, por sus conocimientos y experiencia, está sujeto a menos restricciones y a la vez recibe un menor grado de protección en el ámbito de los mercados financieros. Son clientes profesionales los bancos, gobiernos, fondos de pensiones, grandes compañías y, de manera excepcional, algunos inversores particulares.</w:t>
      </w:r>
    </w:p>
    <w:p w14:paraId="6F9FEB40" w14:textId="1808978C"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Club de inversión</w:t>
      </w:r>
    </w:p>
    <w:p w14:paraId="6510EB5C" w14:textId="5B8F92A4" w:rsidR="00C7373E" w:rsidRPr="00CF1B34" w:rsidRDefault="00C7373E"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Grupo de personas que ponen en común un capital (de forma periódica o con carácter de aportación inicial), con el fin de realizar inversiones conjuntas en los mercados de valores, especialmente en las Bolsas. Surgen como una herramienta de aprendizaje, para que sus miembros puedan familiarizarse con los distintos aspectos de la operativa bursátil (de hecho, la mayoría aparecen en el ámbito universitario). No debe confundirse con la inversión colectiva, y se trata de una actividad que no está regulada en la normativa del mercado de valores.</w:t>
      </w:r>
    </w:p>
    <w:p w14:paraId="0DF65AC8" w14:textId="3894BD4C" w:rsidR="006724D4" w:rsidRPr="00CF1B34" w:rsidRDefault="006724D4"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Las </w:t>
      </w:r>
      <w:r w:rsidRPr="00CF1B34">
        <w:rPr>
          <w:rFonts w:ascii="Arial" w:hAnsi="Arial" w:cs="Arial"/>
          <w:b/>
          <w:bCs/>
          <w:color w:val="333333"/>
          <w:sz w:val="22"/>
          <w:szCs w:val="22"/>
          <w:lang w:val="es-ES_tradnl"/>
        </w:rPr>
        <w:t xml:space="preserve">ventajas </w:t>
      </w:r>
      <w:r w:rsidRPr="00CF1B34">
        <w:rPr>
          <w:rFonts w:ascii="Arial" w:hAnsi="Arial" w:cs="Arial"/>
          <w:color w:val="333333"/>
          <w:sz w:val="22"/>
          <w:szCs w:val="22"/>
          <w:lang w:val="es-ES_tradnl"/>
        </w:rPr>
        <w:t>de pertenecer a un club de inversión son varias. A modo de resumen podemos mencionar:</w:t>
      </w:r>
    </w:p>
    <w:p w14:paraId="3F055058" w14:textId="497150CA" w:rsidR="006724D4" w:rsidRPr="00CF1B34" w:rsidRDefault="006724D4" w:rsidP="004F7A62">
      <w:pPr>
        <w:numPr>
          <w:ilvl w:val="0"/>
          <w:numId w:val="13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Comisiones de intermediación más bajas:</w:t>
      </w:r>
      <w:r w:rsidRPr="00CF1B34">
        <w:rPr>
          <w:rFonts w:ascii="Arial" w:hAnsi="Arial" w:cs="Arial"/>
          <w:color w:val="333333"/>
          <w:sz w:val="22"/>
          <w:szCs w:val="22"/>
          <w:lang w:val="es-ES_tradnl"/>
        </w:rPr>
        <w:t xml:space="preserve"> La pertenencia a un club permite disfrutar de menores tarifas en la compraventa de valores. Los «</w:t>
      </w:r>
      <w:hyperlink r:id="rId119" w:history="1">
        <w:r w:rsidRPr="00CF1B34">
          <w:rPr>
            <w:rFonts w:ascii="Arial" w:hAnsi="Arial" w:cs="Arial"/>
            <w:b/>
            <w:bCs/>
            <w:i/>
            <w:iCs/>
            <w:color w:val="DC143C"/>
            <w:sz w:val="22"/>
            <w:szCs w:val="22"/>
            <w:lang w:val="es-ES_tradnl"/>
          </w:rPr>
          <w:t>brokers</w:t>
        </w:r>
      </w:hyperlink>
      <w:r w:rsidRPr="00CF1B34">
        <w:rPr>
          <w:rFonts w:ascii="Arial" w:hAnsi="Arial" w:cs="Arial"/>
          <w:color w:val="333333"/>
          <w:sz w:val="22"/>
          <w:szCs w:val="22"/>
          <w:lang w:val="es-ES_tradnl"/>
        </w:rPr>
        <w:t>» con los que trabajan los clubes suelen fijar honorarios más bajos a los clubes que a los inversores individuales, sobre todo cuando realizan un alto número de operaciones.</w:t>
      </w:r>
    </w:p>
    <w:p w14:paraId="49E827D2" w14:textId="60BAE263" w:rsidR="006724D4" w:rsidRPr="00CF1B34" w:rsidRDefault="006724D4" w:rsidP="004F7A62">
      <w:pPr>
        <w:numPr>
          <w:ilvl w:val="0"/>
          <w:numId w:val="13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Asesoramiento Gratuito:</w:t>
      </w:r>
      <w:r w:rsidRPr="00CF1B34">
        <w:rPr>
          <w:rFonts w:ascii="Arial" w:hAnsi="Arial" w:cs="Arial"/>
          <w:color w:val="333333"/>
          <w:sz w:val="22"/>
          <w:szCs w:val="22"/>
          <w:lang w:val="es-ES_tradnl"/>
        </w:rPr>
        <w:t xml:space="preserve"> en muchos casos, los propios intermediarios financieros envían a los clubes de inversión informes bursátiles con recomendaciones de valores de forma gratuita.</w:t>
      </w:r>
    </w:p>
    <w:p w14:paraId="7CB5C9F4" w14:textId="77777777" w:rsidR="006724D4" w:rsidRPr="00CF1B34" w:rsidRDefault="006724D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333333"/>
          <w:sz w:val="22"/>
          <w:szCs w:val="22"/>
          <w:lang w:val="es-ES_tradnl"/>
        </w:rPr>
        <w:lastRenderedPageBreak/>
        <w:t>Cursos y seminarios:</w:t>
      </w:r>
      <w:r w:rsidRPr="00CF1B34">
        <w:rPr>
          <w:rFonts w:ascii="Arial" w:hAnsi="Arial" w:cs="Arial"/>
          <w:color w:val="333333"/>
          <w:sz w:val="22"/>
          <w:szCs w:val="22"/>
          <w:lang w:val="es-ES_tradnl"/>
        </w:rPr>
        <w:t xml:space="preserve"> los intermediarios financieros y las plazas bursátiles (Bolsa de Madrid, Barcelona, Valencia o Bilbao) en las que también pueden registrarse los clubes ofrecen la posibilidad de asistir a cursos y seminarios de Bolsa en forma gratuita.</w:t>
      </w:r>
    </w:p>
    <w:p w14:paraId="1E0EF8EA" w14:textId="3FB5FD47" w:rsidR="009C2F49" w:rsidRPr="00CF1B34" w:rsidRDefault="0086522F" w:rsidP="0005621A">
      <w:pPr>
        <w:pStyle w:val="Sinespaciado"/>
        <w:jc w:val="both"/>
        <w:rPr>
          <w:rFonts w:ascii="Arial" w:hAnsi="Arial" w:cs="Arial"/>
          <w:b/>
          <w:bCs/>
          <w:color w:val="2F5496" w:themeColor="accent1" w:themeShade="BF"/>
          <w:lang w:val="es-ES_tradnl"/>
        </w:rPr>
      </w:pPr>
      <w:r w:rsidRPr="00CF1B34">
        <w:rPr>
          <w:rFonts w:ascii="Arial" w:hAnsi="Arial" w:cs="Arial"/>
          <w:b/>
          <w:bCs/>
          <w:color w:val="2F5496" w:themeColor="accent1" w:themeShade="BF"/>
          <w:lang w:val="es-ES_tradnl"/>
        </w:rPr>
        <w:t>CNMV</w:t>
      </w:r>
    </w:p>
    <w:p w14:paraId="68DF4E92" w14:textId="77777777" w:rsidR="005D0792" w:rsidRPr="00CF1B34" w:rsidRDefault="0086522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004773"/>
          <w:sz w:val="22"/>
          <w:szCs w:val="22"/>
          <w:lang w:val="es-ES_tradnl"/>
        </w:rPr>
        <w:t>Ver Comisión Nacional del Mercado de Valores</w:t>
      </w:r>
      <w:r w:rsidR="005D0792" w:rsidRPr="00CF1B34">
        <w:rPr>
          <w:rFonts w:ascii="Arial" w:hAnsi="Arial" w:cs="Arial"/>
          <w:b/>
          <w:bCs/>
          <w:color w:val="004773"/>
          <w:sz w:val="22"/>
          <w:szCs w:val="22"/>
          <w:lang w:val="es-ES_tradnl"/>
        </w:rPr>
        <w:t>.</w:t>
      </w:r>
    </w:p>
    <w:p w14:paraId="42EDB4B6" w14:textId="0994C380" w:rsidR="0086522F" w:rsidRPr="00CF1B34" w:rsidRDefault="00865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COB</w:t>
      </w:r>
    </w:p>
    <w:p w14:paraId="091AD287" w14:textId="77777777" w:rsidR="00935971" w:rsidRPr="00CF1B34" w:rsidRDefault="004D345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Organismo de supervisión del mercado francés. Su funcionamiento es similar a la CNMV.</w:t>
      </w:r>
    </w:p>
    <w:p w14:paraId="5920974B" w14:textId="05E4C74F" w:rsidR="0086522F" w:rsidRPr="00CF1B34" w:rsidRDefault="00865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Cobertura de la inversión</w:t>
      </w:r>
    </w:p>
    <w:p w14:paraId="5D1AAA54" w14:textId="77777777" w:rsidR="002F4591" w:rsidRPr="00CF1B34" w:rsidRDefault="002F459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Fondo de previsión de insolvencias respecto del total de créditos sobre clientes.</w:t>
      </w:r>
    </w:p>
    <w:p w14:paraId="690ED187" w14:textId="1B777CB9" w:rsidR="0086522F" w:rsidRPr="00CF1B34" w:rsidRDefault="008652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Cobertura de riesgos</w:t>
      </w:r>
    </w:p>
    <w:p w14:paraId="7AFF1836" w14:textId="77777777" w:rsidR="009E6D5E" w:rsidRPr="00CF1B34" w:rsidRDefault="009E6D5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Actuación en los mercados financieros encaminada específicamente a reducir los riesgos previamente asumidos</w:t>
      </w:r>
    </w:p>
    <w:p w14:paraId="2F254239" w14:textId="586C1BC2" w:rsidR="003D0B1C" w:rsidRPr="00CF1B34" w:rsidRDefault="003D0B1C"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Coberturas sobre tipos de interés (hipotecas)</w:t>
      </w:r>
    </w:p>
    <w:p w14:paraId="5BD49AD0" w14:textId="6EC96834" w:rsidR="003D0B1C" w:rsidRPr="00CF1B34" w:rsidRDefault="003D0B1C"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Cuando existe una</w:t>
      </w:r>
      <w:r w:rsidR="005D0792"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fluctuación en los tipos de interés</w:t>
      </w:r>
      <w:r w:rsidRPr="00CF1B34">
        <w:rPr>
          <w:rFonts w:ascii="Arial" w:hAnsi="Arial" w:cs="Arial"/>
          <w:color w:val="333333"/>
          <w:sz w:val="22"/>
          <w:szCs w:val="22"/>
          <w:lang w:val="es-ES_tradnl"/>
        </w:rPr>
        <w:t xml:space="preserve">, los clientes de las </w:t>
      </w:r>
      <w:hyperlink r:id="rId120" w:history="1">
        <w:r w:rsidRPr="00CF1B34">
          <w:rPr>
            <w:rStyle w:val="Hipervnculo"/>
            <w:rFonts w:ascii="Arial" w:hAnsi="Arial" w:cs="Arial"/>
            <w:color w:val="DC143C"/>
            <w:sz w:val="22"/>
            <w:szCs w:val="22"/>
            <w:lang w:val="es-ES_tradnl"/>
          </w:rPr>
          <w:t>entidades financieras</w:t>
        </w:r>
      </w:hyperlink>
      <w:r w:rsidRPr="00CF1B34">
        <w:rPr>
          <w:rFonts w:ascii="Arial" w:hAnsi="Arial" w:cs="Arial"/>
          <w:color w:val="333333"/>
          <w:sz w:val="22"/>
          <w:szCs w:val="22"/>
          <w:lang w:val="es-ES_tradnl"/>
        </w:rPr>
        <w:t xml:space="preserve"> empiezan a preguntarse sobre la</w:t>
      </w:r>
      <w:r w:rsidR="005D0792"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 xml:space="preserve">cobertura sobre </w:t>
      </w:r>
      <w:hyperlink r:id="rId121" w:history="1">
        <w:r w:rsidRPr="00CF1B34">
          <w:rPr>
            <w:rStyle w:val="Hipervnculo"/>
            <w:rFonts w:ascii="Arial" w:hAnsi="Arial" w:cs="Arial"/>
            <w:b/>
            <w:bCs/>
            <w:color w:val="DC143C"/>
            <w:sz w:val="22"/>
            <w:szCs w:val="22"/>
            <w:lang w:val="es-ES_tradnl"/>
          </w:rPr>
          <w:t>tipos de interés</w:t>
        </w:r>
      </w:hyperlink>
      <w:r w:rsidRPr="00CF1B34">
        <w:rPr>
          <w:rFonts w:ascii="Arial" w:hAnsi="Arial" w:cs="Arial"/>
          <w:color w:val="333333"/>
          <w:sz w:val="22"/>
          <w:szCs w:val="22"/>
          <w:lang w:val="es-ES_tradnl"/>
        </w:rPr>
        <w:t>, y en especial ante subida de tipos.</w:t>
      </w:r>
    </w:p>
    <w:p w14:paraId="06441035" w14:textId="1B4311C9" w:rsidR="003D0B1C" w:rsidRPr="00CF1B34" w:rsidRDefault="003D0B1C"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Para ello se puede contratar un </w:t>
      </w:r>
      <w:r w:rsidRPr="00CF1B34">
        <w:rPr>
          <w:rStyle w:val="Textoennegrita"/>
          <w:rFonts w:ascii="Arial" w:hAnsi="Arial" w:cs="Arial"/>
          <w:color w:val="333333"/>
          <w:sz w:val="22"/>
          <w:szCs w:val="22"/>
          <w:lang w:val="es-ES_tradnl"/>
        </w:rPr>
        <w:t>producto que minimiza el riesgo frente al aumento de las cuotas</w:t>
      </w:r>
      <w:r w:rsidRPr="00CF1B34">
        <w:rPr>
          <w:rFonts w:ascii="Arial" w:hAnsi="Arial" w:cs="Arial"/>
          <w:color w:val="333333"/>
          <w:sz w:val="22"/>
          <w:szCs w:val="22"/>
          <w:lang w:val="es-ES_tradnl"/>
        </w:rPr>
        <w:t xml:space="preserve"> en caso de que los tipos (Euribor, IRPH) se vayan por las nubes. Según establece el </w:t>
      </w:r>
      <w:hyperlink r:id="rId122" w:history="1">
        <w:r w:rsidRPr="00CF1B34">
          <w:rPr>
            <w:rStyle w:val="Hipervnculo"/>
            <w:rFonts w:ascii="Arial" w:hAnsi="Arial" w:cs="Arial"/>
            <w:color w:val="DC143C"/>
            <w:sz w:val="22"/>
            <w:szCs w:val="22"/>
            <w:lang w:val="es-ES_tradnl"/>
          </w:rPr>
          <w:t>Banco de España</w:t>
        </w:r>
      </w:hyperlink>
      <w:r w:rsidRPr="00CF1B34">
        <w:rPr>
          <w:rFonts w:ascii="Arial" w:hAnsi="Arial" w:cs="Arial"/>
          <w:color w:val="333333"/>
          <w:sz w:val="22"/>
          <w:szCs w:val="22"/>
          <w:lang w:val="es-ES_tradnl"/>
        </w:rPr>
        <w:t>, la</w:t>
      </w:r>
      <w:r w:rsidR="005D0792"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entidad de crédito está obligada a ofrecerle al menos un instrumento de cobertura del riesgo de esta naturaleza</w:t>
      </w:r>
    </w:p>
    <w:p w14:paraId="41D15481" w14:textId="77777777" w:rsidR="003D0B1C" w:rsidRPr="00CF1B34" w:rsidRDefault="003D0B1C" w:rsidP="0005621A">
      <w:pPr>
        <w:ind w:firstLine="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Modalidades de cobertura:</w:t>
      </w:r>
    </w:p>
    <w:p w14:paraId="798C4566" w14:textId="77777777" w:rsidR="003D0B1C" w:rsidRPr="00CF1B34" w:rsidRDefault="003D0B1C"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CAP</w:t>
      </w:r>
    </w:p>
    <w:p w14:paraId="154F4368" w14:textId="2A18D685" w:rsidR="003D0B1C" w:rsidRPr="00CF1B34" w:rsidRDefault="003D0B1C"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Protección contra la subida del tipo de interés por encima de un máximo que se fije para un período determinado. Con esta opción durante un plazo y mediante el pago de una prima, el cliente estaría cubierto de las subas en el tipo de interés.</w:t>
      </w:r>
    </w:p>
    <w:p w14:paraId="51C96D95" w14:textId="77777777" w:rsidR="003D0B1C" w:rsidRPr="00CF1B34" w:rsidRDefault="003D0B1C"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IRS</w:t>
      </w:r>
    </w:p>
    <w:p w14:paraId="0FBDC26B" w14:textId="2B8F66FD" w:rsidR="003D0B1C" w:rsidRPr="00CF1B34" w:rsidRDefault="003D0B1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Es un cambio del tipo de interés variable por uno fijo (permuta financiera). Por lo tanto, desde el momento de contratación de esta cobertura y por un período acordado, el efecto neto del cambio es equivalente a que el cliente pague su préstamo al tipo fijo y no </w:t>
      </w:r>
      <w:r w:rsidR="005D0792" w:rsidRPr="00CF1B34">
        <w:rPr>
          <w:rFonts w:ascii="Arial" w:hAnsi="Arial" w:cs="Arial"/>
          <w:color w:val="333333"/>
          <w:sz w:val="22"/>
          <w:szCs w:val="22"/>
          <w:lang w:val="es-ES_tradnl"/>
        </w:rPr>
        <w:t>e</w:t>
      </w:r>
      <w:r w:rsidRPr="00CF1B34">
        <w:rPr>
          <w:rFonts w:ascii="Arial" w:hAnsi="Arial" w:cs="Arial"/>
          <w:color w:val="333333"/>
          <w:sz w:val="22"/>
          <w:szCs w:val="22"/>
          <w:lang w:val="es-ES_tradnl"/>
        </w:rPr>
        <w:t>l</w:t>
      </w:r>
      <w:r w:rsidR="005D0792"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variable.</w:t>
      </w:r>
    </w:p>
    <w:p w14:paraId="3F049D26" w14:textId="43660A60" w:rsidR="00D46F9C" w:rsidRPr="00CF1B34" w:rsidRDefault="00D46F9C"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Cobro de planes de pensiones</w:t>
      </w:r>
    </w:p>
    <w:p w14:paraId="501271F4" w14:textId="12B977F7" w:rsidR="00D46F9C" w:rsidRPr="00CF1B34" w:rsidRDefault="00D46F9C"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Antes de pensar en cómo recuperar el dinero del plan habría que plantearse cuándo se puede hacer.</w:t>
      </w:r>
      <w:r w:rsidR="005D0792"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 xml:space="preserve">Y es </w:t>
      </w:r>
      <w:proofErr w:type="gramStart"/>
      <w:r w:rsidRPr="00CF1B34">
        <w:rPr>
          <w:rFonts w:ascii="Arial" w:hAnsi="Arial" w:cs="Arial"/>
          <w:color w:val="333333"/>
          <w:sz w:val="22"/>
          <w:szCs w:val="22"/>
          <w:lang w:val="es-ES_tradnl"/>
        </w:rPr>
        <w:t>que</w:t>
      </w:r>
      <w:proofErr w:type="gramEnd"/>
      <w:r w:rsidRPr="00CF1B34">
        <w:rPr>
          <w:rFonts w:ascii="Arial" w:hAnsi="Arial" w:cs="Arial"/>
          <w:color w:val="333333"/>
          <w:sz w:val="22"/>
          <w:szCs w:val="22"/>
          <w:lang w:val="es-ES_tradnl"/>
        </w:rPr>
        <w:t xml:space="preserve"> a diferencia de otros productos financieros,</w:t>
      </w:r>
      <w:r w:rsidR="005D0792"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los planes de pensiones no se pueden rescatar en cualquier momento</w:t>
      </w:r>
      <w:r w:rsidRPr="00CF1B34">
        <w:rPr>
          <w:rFonts w:ascii="Arial" w:hAnsi="Arial" w:cs="Arial"/>
          <w:color w:val="333333"/>
          <w:sz w:val="22"/>
          <w:szCs w:val="22"/>
          <w:lang w:val="es-ES_tradnl"/>
        </w:rPr>
        <w:t>, deben darse una serie de circunstancias. Son las siguientes:</w:t>
      </w:r>
    </w:p>
    <w:p w14:paraId="6EAA8B1C" w14:textId="77777777" w:rsidR="00D46F9C" w:rsidRPr="00CF1B34" w:rsidRDefault="00D46F9C" w:rsidP="004F7A62">
      <w:pPr>
        <w:numPr>
          <w:ilvl w:val="0"/>
          <w:numId w:val="13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Jubilación del partícipe.</w:t>
      </w:r>
    </w:p>
    <w:p w14:paraId="1FA79979" w14:textId="77777777" w:rsidR="00D46F9C" w:rsidRPr="00CF1B34" w:rsidRDefault="00D46F9C" w:rsidP="004F7A62">
      <w:pPr>
        <w:numPr>
          <w:ilvl w:val="0"/>
          <w:numId w:val="13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Invalidez permanente.</w:t>
      </w:r>
    </w:p>
    <w:p w14:paraId="7BB78ACC" w14:textId="77777777" w:rsidR="00D46F9C" w:rsidRPr="00CF1B34" w:rsidRDefault="00D46F9C" w:rsidP="004F7A62">
      <w:pPr>
        <w:numPr>
          <w:ilvl w:val="0"/>
          <w:numId w:val="13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Paro de larga duración.</w:t>
      </w:r>
    </w:p>
    <w:p w14:paraId="4B54BE20" w14:textId="77777777" w:rsidR="00D46F9C" w:rsidRPr="00CF1B34" w:rsidRDefault="00D46F9C" w:rsidP="004F7A62">
      <w:pPr>
        <w:numPr>
          <w:ilvl w:val="0"/>
          <w:numId w:val="13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Embargo de la vivienda.</w:t>
      </w:r>
    </w:p>
    <w:p w14:paraId="0D0EC1F2" w14:textId="77777777" w:rsidR="00D46F9C" w:rsidRPr="00CF1B34" w:rsidRDefault="00D46F9C" w:rsidP="004F7A62">
      <w:pPr>
        <w:numPr>
          <w:ilvl w:val="0"/>
          <w:numId w:val="13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Pasados 10 años desde la primera aportación para el dinero invertido a partir de 2015.</w:t>
      </w:r>
    </w:p>
    <w:p w14:paraId="16858ACB" w14:textId="77777777" w:rsidR="00D46F9C" w:rsidRPr="00CF1B34" w:rsidRDefault="00D46F9C"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Básicamente existen </w:t>
      </w:r>
      <w:r w:rsidRPr="00CF1B34">
        <w:rPr>
          <w:rFonts w:ascii="Arial" w:hAnsi="Arial" w:cs="Arial"/>
          <w:b/>
          <w:bCs/>
          <w:color w:val="333333"/>
          <w:sz w:val="22"/>
          <w:szCs w:val="22"/>
          <w:lang w:val="es-ES_tradnl"/>
        </w:rPr>
        <w:t>tres formas de cobrar un plan de pensiones</w:t>
      </w:r>
      <w:r w:rsidRPr="00CF1B34">
        <w:rPr>
          <w:rFonts w:ascii="Arial" w:hAnsi="Arial" w:cs="Arial"/>
          <w:color w:val="333333"/>
          <w:sz w:val="22"/>
          <w:szCs w:val="22"/>
          <w:lang w:val="es-ES_tradnl"/>
        </w:rPr>
        <w:t>:</w:t>
      </w:r>
    </w:p>
    <w:p w14:paraId="1C2A3B88" w14:textId="77777777" w:rsidR="00D46F9C" w:rsidRPr="00CF1B34" w:rsidRDefault="00D46F9C" w:rsidP="004F7A62">
      <w:pPr>
        <w:numPr>
          <w:ilvl w:val="0"/>
          <w:numId w:val="13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En </w:t>
      </w:r>
      <w:r w:rsidRPr="00CF1B34">
        <w:rPr>
          <w:rFonts w:ascii="Arial" w:hAnsi="Arial" w:cs="Arial"/>
          <w:b/>
          <w:bCs/>
          <w:color w:val="333333"/>
          <w:sz w:val="22"/>
          <w:szCs w:val="22"/>
          <w:lang w:val="es-ES_tradnl"/>
        </w:rPr>
        <w:t>forma de Capital</w:t>
      </w:r>
    </w:p>
    <w:p w14:paraId="1B3A8336" w14:textId="77777777" w:rsidR="00D46F9C" w:rsidRPr="00CF1B34" w:rsidRDefault="00D46F9C" w:rsidP="004F7A62">
      <w:pPr>
        <w:numPr>
          <w:ilvl w:val="0"/>
          <w:numId w:val="13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En </w:t>
      </w:r>
      <w:r w:rsidRPr="00CF1B34">
        <w:rPr>
          <w:rFonts w:ascii="Arial" w:hAnsi="Arial" w:cs="Arial"/>
          <w:b/>
          <w:bCs/>
          <w:color w:val="333333"/>
          <w:sz w:val="22"/>
          <w:szCs w:val="22"/>
          <w:lang w:val="es-ES_tradnl"/>
        </w:rPr>
        <w:t>forma de Renta</w:t>
      </w:r>
    </w:p>
    <w:p w14:paraId="2EC867F0" w14:textId="77777777" w:rsidR="00D46F9C" w:rsidRPr="00CF1B34" w:rsidRDefault="00D46F9C" w:rsidP="004F7A62">
      <w:pPr>
        <w:numPr>
          <w:ilvl w:val="0"/>
          <w:numId w:val="13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En </w:t>
      </w:r>
      <w:r w:rsidRPr="00CF1B34">
        <w:rPr>
          <w:rFonts w:ascii="Arial" w:hAnsi="Arial" w:cs="Arial"/>
          <w:b/>
          <w:bCs/>
          <w:color w:val="333333"/>
          <w:sz w:val="22"/>
          <w:szCs w:val="22"/>
          <w:lang w:val="es-ES_tradnl"/>
        </w:rPr>
        <w:t>forma Mixta</w:t>
      </w:r>
    </w:p>
    <w:p w14:paraId="4107B64E" w14:textId="2C34D0AA" w:rsidR="00D46F9C" w:rsidRPr="00CF1B34" w:rsidRDefault="00D46F9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Para el rescate como renta,</w:t>
      </w:r>
      <w:r w:rsidR="005D0792"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el dinero se integrará con el resto de ‘salarios’,</w:t>
      </w:r>
      <w:r w:rsidR="005D0792" w:rsidRPr="00CF1B34">
        <w:rPr>
          <w:rStyle w:val="Textoennegrita"/>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es decir, con la pensión pública y tributará como venía haciéndolo nuestro sueldo.</w:t>
      </w:r>
    </w:p>
    <w:p w14:paraId="294CE2B4" w14:textId="1AC9F0A1" w:rsidR="009C2F49" w:rsidRPr="00CF1B34" w:rsidRDefault="009C2F49"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Código CCC</w:t>
      </w:r>
    </w:p>
    <w:p w14:paraId="05A1CF30" w14:textId="77777777" w:rsidR="009C2F49" w:rsidRPr="00CF1B34" w:rsidRDefault="009C2F49" w:rsidP="0005621A">
      <w:pPr>
        <w:pStyle w:val="Ttulo2"/>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Código de Cuenta del Cliente</w:t>
      </w:r>
    </w:p>
    <w:p w14:paraId="2B9615F7" w14:textId="77777777" w:rsidR="009C2F49" w:rsidRPr="00CF1B34" w:rsidRDefault="009C2F4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w:t>
      </w:r>
      <w:r w:rsidRPr="00CF1B34">
        <w:rPr>
          <w:rStyle w:val="Textoennegrita"/>
          <w:rFonts w:ascii="Arial" w:hAnsi="Arial" w:cs="Arial"/>
          <w:sz w:val="22"/>
          <w:szCs w:val="22"/>
          <w:lang w:val="es-ES_tradnl"/>
        </w:rPr>
        <w:t>CCC</w:t>
      </w:r>
      <w:r w:rsidRPr="00CF1B34">
        <w:rPr>
          <w:rFonts w:ascii="Arial" w:hAnsi="Arial" w:cs="Arial"/>
          <w:sz w:val="22"/>
          <w:szCs w:val="22"/>
          <w:lang w:val="es-ES_tradnl"/>
        </w:rPr>
        <w:t> (o Código de Cuenta del Cliente) es una serie de veinte números (o clave SICA) con la que bancos, cajas y entidades financieras en general identificaban, comprobaban y evitaban errores de manipulación en los números de las cuentas abiertas en España. Este código se adoptó por parte de la Asociación Española de Banca, la Confederación Española de Cajas de Ahorros y la Unión Nacional de Cooperativas de Crédito; y a su vez obligada por el Banco de España para todos los subsistemas generales de cheques y pagarés de cuentas corrientes y transferencias.</w:t>
      </w:r>
    </w:p>
    <w:p w14:paraId="4AE85DE6" w14:textId="77777777" w:rsidR="009C2F49" w:rsidRPr="00CF1B34" w:rsidRDefault="009C2F4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CCC se dividía en subgrupos: cuatro dígitos del código de la entidad (coincidente con el Número de Registro de Entidades del Banco de España, NRBE); otros cuatro del código de la sucursal en la que se abrió la cuenta; dos dígitos de control que sirven para validar el CCC; y diez dígitos para identificar el número de cuenta.</w:t>
      </w:r>
    </w:p>
    <w:p w14:paraId="4F671B24" w14:textId="77777777" w:rsidR="009C2F49" w:rsidRPr="00CF1B34" w:rsidRDefault="009C2F49" w:rsidP="0005621A">
      <w:pPr>
        <w:pStyle w:val="NormalWeb"/>
        <w:spacing w:before="0" w:beforeAutospacing="0"/>
        <w:ind w:left="708" w:firstLine="708"/>
        <w:jc w:val="both"/>
        <w:rPr>
          <w:rFonts w:ascii="Arial" w:hAnsi="Arial" w:cs="Arial"/>
          <w:sz w:val="22"/>
          <w:szCs w:val="22"/>
          <w:lang w:val="es-ES_tradnl"/>
        </w:rPr>
      </w:pPr>
      <w:r w:rsidRPr="00CF1B34">
        <w:rPr>
          <w:rFonts w:ascii="Arial" w:hAnsi="Arial" w:cs="Arial"/>
          <w:sz w:val="22"/>
          <w:szCs w:val="22"/>
          <w:lang w:val="es-ES_tradnl"/>
        </w:rPr>
        <w:t>Antes del Código de Cuenta del Cliente existía el Número de Identificación Bancaria, normalizado en 1979 para identificar cuentas corrientes de crédito y de ahorro; de hecho, este código tomó su misma estructura. Y a su vez, la globalización y la extensión de las operaciones financieras más allá de nuestras fronteras ha hecho necesaria la emisión de pagos transfronterizos de manera ágil y segura. Por eso fue sustituido por el código IBAN (en inglés International Bank Account Number), y de hecho es una evolución de esta.</w:t>
      </w:r>
    </w:p>
    <w:p w14:paraId="41892512" w14:textId="77777777" w:rsidR="009C2F49" w:rsidRPr="00CF1B34" w:rsidRDefault="009C2F4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w:t>
      </w:r>
      <w:r w:rsidRPr="00CF1B34">
        <w:rPr>
          <w:rStyle w:val="Textoennegrita"/>
          <w:rFonts w:ascii="Arial" w:hAnsi="Arial" w:cs="Arial"/>
          <w:sz w:val="22"/>
          <w:szCs w:val="22"/>
          <w:lang w:val="es-ES_tradnl"/>
        </w:rPr>
        <w:t>IBAN</w:t>
      </w:r>
      <w:r w:rsidRPr="00CF1B34">
        <w:rPr>
          <w:rFonts w:ascii="Arial" w:hAnsi="Arial" w:cs="Arial"/>
          <w:sz w:val="22"/>
          <w:szCs w:val="22"/>
          <w:lang w:val="es-ES_tradnl"/>
        </w:rPr>
        <w:t> es un código alfanumérico común establecido por el Comité Europeo de Estándares Bancarios, para estandarizar y unificar el sistema de cuentas de los bancos europeos. Todos los países pertenecientes a la zona única de pagos (SEPA) comparten este IBAN; y de esta forma se aseguran una transmisión de datos estandarizada y correcta. Aunque cada país cuenta con un número de dígitos diferente (por ejemplo, en Malta es de 30, y en Bélgica es de 12) este código ha facilitado la gestión de operaciones de comercio y transferencias en el seno de la Unión Europea.</w:t>
      </w:r>
    </w:p>
    <w:p w14:paraId="2A0B914F" w14:textId="2DE26F07" w:rsidR="003D0B1C" w:rsidRPr="00CF1B34" w:rsidRDefault="009C2F4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España operamos con 24 dígitos, distribuidos de la siguiente forma: las dos letras iniciales ES, corresponden a las cuentas de España; a continuación, dos dígitos de control; cuatro de código de la entidad; otros cuatro del código de la oficina de procedencia de la cuenta; dos de un código de validación (un algoritmo matemático); y finalmente, diez dígitos correspondientes al número de la cuenta.</w:t>
      </w:r>
    </w:p>
    <w:p w14:paraId="306E35E6" w14:textId="3B4BB0F0" w:rsidR="00D85DFE" w:rsidRPr="00CF1B34" w:rsidRDefault="00D85DFE"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Código CVV</w:t>
      </w:r>
    </w:p>
    <w:p w14:paraId="0F1698B1" w14:textId="77777777" w:rsidR="00D85DFE" w:rsidRPr="00CF1B34" w:rsidRDefault="00D85DF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El código CVV (Card Verification Value) es un número situado, habitualmente, en la parte posterior de las tarjetas de crédito, débito o recarga y es empleado en aquellas transacciones en las que la tarjeta de crédito no está presente físicamente, habitualmente en las operaciones online.</w:t>
      </w:r>
    </w:p>
    <w:p w14:paraId="3E4650AE" w14:textId="77777777" w:rsidR="00D85DFE" w:rsidRPr="00CF1B34" w:rsidRDefault="00D85DF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las tarjetas Visa y MasterCard el CVV está formado por 3 dígitos y se sitúa en la parte trasera. En el caso de las tarjetas de American Express, este código está situado en la parte delantera y está compuesto por 4 dígitos.</w:t>
      </w:r>
    </w:p>
    <w:p w14:paraId="673A2C5D" w14:textId="28FCAEB1" w:rsidR="009C2F49" w:rsidRPr="00CF1B34" w:rsidRDefault="00D85DF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El código de seguridad CVV tiene multitud de denominaciones: CVD (Card Verification Data), CVV (Card Code Verification), CSC (Card Security Code) o CVVC (Card Verification Value Code)</w:t>
      </w:r>
    </w:p>
    <w:p w14:paraId="55222507" w14:textId="1B996812"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Código de Buen Gobierno</w:t>
      </w:r>
    </w:p>
    <w:p w14:paraId="19F35A02"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recomendaciones sobre los principios y normas que deben inspirar el funcionamiento de las sociedades anónimas. Tras los Informes Olivencia (1998) y Aldama (2003), en 2006 se ha difundido el Código Unificado de Buen Gobierno (código Conthe). La aplicación de las recomendaciones que contiene es voluntaria para las entidades, pero en caso de no asumirlas deberán explicar el motivo (“cumplir o explicar”). Ver las secciones sobre Organismos societarios de toma de decisiones y Código de Buen Gobierno.</w:t>
      </w:r>
    </w:p>
    <w:p w14:paraId="27D0B7C0"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Coeficiente beta</w:t>
      </w:r>
    </w:p>
    <w:p w14:paraId="0D25FCFF"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Compara la variabilidad del precio de un título en relación con la del mercado. Es el coeficiente de una recta de regresión entre la rentabilidad del título y la del mercado. Si vale 1, ambas rentabilidades se modifican de la misma manera. Si es inferior a 1, significa que las variaciones de precio son menores en el valor que en el mercado; y si es superior, indica que el precio del valor varia más deprisa que el mercado.</w:t>
      </w:r>
    </w:p>
    <w:p w14:paraId="05CFD7E5" w14:textId="73EF9A56" w:rsidR="00802F1D" w:rsidRPr="00CF1B34" w:rsidRDefault="00802F1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Coeficiente de Gini</w:t>
      </w:r>
    </w:p>
    <w:p w14:paraId="60F1958C" w14:textId="6AFCD636" w:rsidR="00802F1D" w:rsidRPr="00CF1B34" w:rsidRDefault="00802F1D"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w:t>
      </w:r>
      <w:r w:rsidRPr="00CF1B34">
        <w:rPr>
          <w:rFonts w:ascii="Arial" w:hAnsi="Arial" w:cs="Arial"/>
          <w:b/>
          <w:bCs/>
          <w:color w:val="333333"/>
          <w:sz w:val="22"/>
          <w:szCs w:val="22"/>
          <w:lang w:val="es-ES_tradnl"/>
        </w:rPr>
        <w:t xml:space="preserve">Coeficiente de Gini </w:t>
      </w:r>
      <w:r w:rsidRPr="00CF1B34">
        <w:rPr>
          <w:rFonts w:ascii="Arial" w:hAnsi="Arial" w:cs="Arial"/>
          <w:color w:val="333333"/>
          <w:sz w:val="22"/>
          <w:szCs w:val="22"/>
          <w:lang w:val="es-ES_tradnl"/>
        </w:rPr>
        <w:t xml:space="preserve">es una medida de la desigualdad creada por el estadístico italiano </w:t>
      </w:r>
      <w:r w:rsidRPr="00CF1B34">
        <w:rPr>
          <w:rFonts w:ascii="Arial" w:hAnsi="Arial" w:cs="Arial"/>
          <w:b/>
          <w:bCs/>
          <w:color w:val="333333"/>
          <w:sz w:val="22"/>
          <w:szCs w:val="22"/>
          <w:lang w:val="es-ES_tradnl"/>
        </w:rPr>
        <w:t>Corrado Gini</w:t>
      </w:r>
      <w:r w:rsidRPr="00CF1B34">
        <w:rPr>
          <w:rFonts w:ascii="Arial" w:hAnsi="Arial" w:cs="Arial"/>
          <w:color w:val="333333"/>
          <w:sz w:val="22"/>
          <w:szCs w:val="22"/>
          <w:lang w:val="es-ES_tradnl"/>
        </w:rPr>
        <w:t xml:space="preserve">, que normalmente se utiliza para medir la </w:t>
      </w:r>
      <w:r w:rsidRPr="00CF1B34">
        <w:rPr>
          <w:rFonts w:ascii="Arial" w:hAnsi="Arial" w:cs="Arial"/>
          <w:b/>
          <w:bCs/>
          <w:color w:val="333333"/>
          <w:sz w:val="22"/>
          <w:szCs w:val="22"/>
          <w:lang w:val="es-ES_tradnl"/>
        </w:rPr>
        <w:t>desigualdad en los ingresos</w:t>
      </w:r>
      <w:r w:rsidRPr="00CF1B34">
        <w:rPr>
          <w:rFonts w:ascii="Arial" w:hAnsi="Arial" w:cs="Arial"/>
          <w:color w:val="333333"/>
          <w:sz w:val="22"/>
          <w:szCs w:val="22"/>
          <w:lang w:val="es-ES_tradnl"/>
        </w:rPr>
        <w:t>, pero que bien puede utilizarse para medir cualquier forma de distribución desigual.</w:t>
      </w:r>
    </w:p>
    <w:p w14:paraId="2F0309C8" w14:textId="556B5F4A" w:rsidR="00802F1D" w:rsidRPr="00CF1B34" w:rsidRDefault="00802F1D"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Este </w:t>
      </w:r>
      <w:r w:rsidRPr="00CF1B34">
        <w:rPr>
          <w:rFonts w:ascii="Arial" w:hAnsi="Arial" w:cs="Arial"/>
          <w:b/>
          <w:bCs/>
          <w:color w:val="333333"/>
          <w:sz w:val="22"/>
          <w:szCs w:val="22"/>
          <w:lang w:val="es-ES_tradnl"/>
        </w:rPr>
        <w:t xml:space="preserve">coeficiente </w:t>
      </w:r>
      <w:r w:rsidRPr="00CF1B34">
        <w:rPr>
          <w:rFonts w:ascii="Arial" w:hAnsi="Arial" w:cs="Arial"/>
          <w:color w:val="333333"/>
          <w:sz w:val="22"/>
          <w:szCs w:val="22"/>
          <w:lang w:val="es-ES_tradnl"/>
        </w:rPr>
        <w:t xml:space="preserve">es un número entre 0 y 1, en donde 0 se corresponde con la perfecta igualdad (todos tienen los mismos ingresos) y 1 se corresponde con la perfecta desigualdad (una persona tiene todos los ingresos y los demás ninguno). El </w:t>
      </w:r>
      <w:r w:rsidRPr="00CF1B34">
        <w:rPr>
          <w:rFonts w:ascii="Arial" w:hAnsi="Arial" w:cs="Arial"/>
          <w:b/>
          <w:bCs/>
          <w:color w:val="333333"/>
          <w:sz w:val="22"/>
          <w:szCs w:val="22"/>
          <w:lang w:val="es-ES_tradnl"/>
        </w:rPr>
        <w:t>índice de Gini</w:t>
      </w:r>
      <w:r w:rsidRPr="00CF1B34">
        <w:rPr>
          <w:rFonts w:ascii="Arial" w:hAnsi="Arial" w:cs="Arial"/>
          <w:color w:val="333333"/>
          <w:sz w:val="22"/>
          <w:szCs w:val="22"/>
          <w:lang w:val="es-ES_tradnl"/>
        </w:rPr>
        <w:t xml:space="preserve"> es el </w:t>
      </w:r>
      <w:r w:rsidRPr="00CF1B34">
        <w:rPr>
          <w:rFonts w:ascii="Arial" w:hAnsi="Arial" w:cs="Arial"/>
          <w:b/>
          <w:bCs/>
          <w:color w:val="333333"/>
          <w:sz w:val="22"/>
          <w:szCs w:val="22"/>
          <w:lang w:val="es-ES_tradnl"/>
        </w:rPr>
        <w:t>coeficiente de Gini</w:t>
      </w:r>
      <w:r w:rsidRPr="00CF1B34">
        <w:rPr>
          <w:rFonts w:ascii="Arial" w:hAnsi="Arial" w:cs="Arial"/>
          <w:color w:val="333333"/>
          <w:sz w:val="22"/>
          <w:szCs w:val="22"/>
          <w:lang w:val="es-ES_tradnl"/>
        </w:rPr>
        <w:t xml:space="preserve"> expresado en porcentaje, y es igual al coeficiente de Gini multiplicado por 100.</w:t>
      </w:r>
    </w:p>
    <w:p w14:paraId="229B030B" w14:textId="77777777" w:rsidR="00802F1D" w:rsidRPr="00CF1B34" w:rsidRDefault="00802F1D"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La distribución de la riqueza es otro punto que se puede medir con este coeficiente, y la fórmula matemática es la siguiente:</w:t>
      </w:r>
    </w:p>
    <w:p w14:paraId="30C81E78" w14:textId="0E49BF05" w:rsidR="00802F1D" w:rsidRPr="00CF1B34" w:rsidRDefault="00802F1D" w:rsidP="0005621A">
      <w:pPr>
        <w:ind w:firstLine="708"/>
        <w:jc w:val="both"/>
        <w:rPr>
          <w:rFonts w:ascii="Arial" w:hAnsi="Arial" w:cs="Arial"/>
          <w:sz w:val="22"/>
          <w:szCs w:val="22"/>
          <w:lang w:val="es-ES_tradnl"/>
        </w:rPr>
      </w:pPr>
      <w:r w:rsidRPr="00CF1B34">
        <w:rPr>
          <w:rFonts w:ascii="Arial" w:hAnsi="Arial" w:cs="Arial"/>
          <w:sz w:val="22"/>
          <w:szCs w:val="22"/>
          <w:lang w:val="es-ES_tradnl"/>
        </w:rPr>
        <w:fldChar w:fldCharType="begin"/>
      </w:r>
      <w:r w:rsidRPr="00CF1B34">
        <w:rPr>
          <w:rFonts w:ascii="Arial" w:hAnsi="Arial" w:cs="Arial"/>
          <w:sz w:val="22"/>
          <w:szCs w:val="22"/>
          <w:lang w:val="es-ES_tradnl"/>
        </w:rPr>
        <w:instrText xml:space="preserve"> INCLUDEPICTURE "http://cambioeurodolar.com/wp-content/uploads/2009/07/7d9a4ebe641f84a1ba82a04a99b0e02e.jpg" \* MERGEFORMATINET </w:instrText>
      </w:r>
      <w:r w:rsidRPr="00CF1B34">
        <w:rPr>
          <w:rFonts w:ascii="Arial" w:hAnsi="Arial" w:cs="Arial"/>
          <w:sz w:val="22"/>
          <w:szCs w:val="22"/>
          <w:lang w:val="es-ES_tradnl"/>
        </w:rPr>
        <w:fldChar w:fldCharType="separate"/>
      </w:r>
      <w:r w:rsidRPr="00CF1B34">
        <w:rPr>
          <w:rFonts w:ascii="Arial" w:hAnsi="Arial" w:cs="Arial"/>
          <w:noProof/>
          <w:sz w:val="22"/>
          <w:szCs w:val="22"/>
          <w:lang w:val="es-ES_tradnl"/>
        </w:rPr>
        <w:drawing>
          <wp:inline distT="0" distB="0" distL="0" distR="0" wp14:anchorId="104E8EC7" wp14:editId="637F7FFA">
            <wp:extent cx="3863603" cy="3613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919909" cy="366581"/>
                    </a:xfrm>
                    <a:prstGeom prst="rect">
                      <a:avLst/>
                    </a:prstGeom>
                    <a:noFill/>
                    <a:ln>
                      <a:noFill/>
                    </a:ln>
                  </pic:spPr>
                </pic:pic>
              </a:graphicData>
            </a:graphic>
          </wp:inline>
        </w:drawing>
      </w:r>
      <w:r w:rsidRPr="00CF1B34">
        <w:rPr>
          <w:rFonts w:ascii="Arial" w:hAnsi="Arial" w:cs="Arial"/>
          <w:sz w:val="22"/>
          <w:szCs w:val="22"/>
          <w:lang w:val="es-ES_tradnl"/>
        </w:rPr>
        <w:fldChar w:fldCharType="end"/>
      </w:r>
    </w:p>
    <w:p w14:paraId="6B9CD66F" w14:textId="77777777" w:rsidR="00802F1D" w:rsidRPr="00CF1B34" w:rsidRDefault="00802F1D"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Donde:</w:t>
      </w:r>
    </w:p>
    <w:p w14:paraId="7ADB61B9" w14:textId="4EF3E71E" w:rsidR="00802F1D" w:rsidRPr="00CF1B34" w:rsidRDefault="00802F1D"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 xml:space="preserve">G: </w:t>
      </w:r>
      <w:r w:rsidRPr="00CF1B34">
        <w:rPr>
          <w:rFonts w:ascii="Arial" w:hAnsi="Arial" w:cs="Arial"/>
          <w:b/>
          <w:bCs/>
          <w:sz w:val="22"/>
          <w:szCs w:val="22"/>
          <w:lang w:val="es-ES_tradnl"/>
        </w:rPr>
        <w:t>Coeficiente de Gini</w:t>
      </w:r>
    </w:p>
    <w:p w14:paraId="4D40EAB8" w14:textId="77777777" w:rsidR="00802F1D" w:rsidRPr="00CF1B34" w:rsidRDefault="00802F1D"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X: Proporción acumulada de la variable población</w:t>
      </w:r>
    </w:p>
    <w:p w14:paraId="4E798011" w14:textId="77777777" w:rsidR="00802F1D" w:rsidRPr="00CF1B34" w:rsidRDefault="00802F1D"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Y: Proporción acumulada de la variable ingresos</w:t>
      </w:r>
    </w:p>
    <w:p w14:paraId="02AFB033" w14:textId="77777777" w:rsidR="000B4DC9" w:rsidRPr="00CF1B34" w:rsidRDefault="00802F1D"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333333"/>
          <w:sz w:val="22"/>
          <w:szCs w:val="22"/>
          <w:lang w:val="es-ES_tradnl"/>
        </w:rPr>
        <w:t>El resultado será una curva, que se denomina</w:t>
      </w:r>
      <w:r w:rsidRPr="00CF1B34">
        <w:rPr>
          <w:rFonts w:ascii="Arial" w:hAnsi="Arial" w:cs="Arial"/>
          <w:b/>
          <w:bCs/>
          <w:color w:val="333333"/>
          <w:sz w:val="22"/>
          <w:szCs w:val="22"/>
          <w:lang w:val="es-ES_tradnl"/>
        </w:rPr>
        <w:t xml:space="preserve"> Curva de Lorenz, </w:t>
      </w:r>
      <w:r w:rsidRPr="00CF1B34">
        <w:rPr>
          <w:rFonts w:ascii="Arial" w:hAnsi="Arial" w:cs="Arial"/>
          <w:color w:val="333333"/>
          <w:sz w:val="22"/>
          <w:szCs w:val="22"/>
          <w:lang w:val="es-ES_tradnl"/>
        </w:rPr>
        <w:t xml:space="preserve">que es una gráfica de concentración acumulada de la distribución de la riqueza superpuesta a la curva de la </w:t>
      </w:r>
      <w:r w:rsidRPr="00CF1B34">
        <w:rPr>
          <w:rFonts w:ascii="Arial" w:hAnsi="Arial" w:cs="Arial"/>
          <w:color w:val="333333"/>
          <w:sz w:val="22"/>
          <w:szCs w:val="22"/>
          <w:lang w:val="es-ES_tradnl"/>
        </w:rPr>
        <w:lastRenderedPageBreak/>
        <w:t>distribución de frecuencias de los individuos que la poseen, y su expresión en porcentajes es el índice de Gini.</w:t>
      </w:r>
    </w:p>
    <w:p w14:paraId="0567779D" w14:textId="3BF725B4"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Colocación</w:t>
      </w:r>
    </w:p>
    <w:p w14:paraId="6D64859E" w14:textId="77777777" w:rsidR="00C7373E" w:rsidRPr="00CF1B34" w:rsidRDefault="00C7373E"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En el ámbito de una oferta pública de valores, es el servicio que presta una entidad (colocadora) al emisor u oferente, por el que se compromete a distribuir los valores entre el público a cambio del cobro de una comisión. En ocasiones, la entidad colocadora también asegura la colocación. </w:t>
      </w:r>
      <w:hyperlink r:id="rId124" w:tgtFrame="_self" w:history="1">
        <w:r w:rsidRPr="00CF1B34">
          <w:rPr>
            <w:rFonts w:ascii="Arial" w:hAnsi="Arial" w:cs="Arial"/>
            <w:b/>
            <w:bCs/>
            <w:color w:val="2F5496" w:themeColor="accent1" w:themeShade="BF"/>
            <w:sz w:val="22"/>
            <w:szCs w:val="22"/>
            <w:u w:val="single"/>
            <w:lang w:val="es-ES_tradnl"/>
          </w:rPr>
          <w:t>Ver colocación asegurada</w:t>
        </w:r>
      </w:hyperlink>
      <w:r w:rsidRPr="00CF1B34">
        <w:rPr>
          <w:rFonts w:ascii="Arial" w:hAnsi="Arial" w:cs="Arial"/>
          <w:color w:val="2F5496" w:themeColor="accent1" w:themeShade="BF"/>
          <w:sz w:val="22"/>
          <w:szCs w:val="22"/>
          <w:lang w:val="es-ES_tradnl"/>
        </w:rPr>
        <w:t>.</w:t>
      </w:r>
    </w:p>
    <w:p w14:paraId="4466F875" w14:textId="4AD24DF8"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Colocación asegurada</w:t>
      </w:r>
    </w:p>
    <w:p w14:paraId="3D56764C" w14:textId="77777777" w:rsidR="00C7373E" w:rsidRPr="00CF1B34" w:rsidRDefault="00C7373E"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Es aquella en la que una entidad se compromete con el emisor u oferente a adquirir los títulos que no sea capaz de colocar en el mercado</w:t>
      </w:r>
      <w:r w:rsidRPr="00CF1B34">
        <w:rPr>
          <w:rFonts w:ascii="Arial" w:hAnsi="Arial" w:cs="Arial"/>
          <w:color w:val="2F5496" w:themeColor="accent1" w:themeShade="BF"/>
          <w:sz w:val="22"/>
          <w:szCs w:val="22"/>
          <w:lang w:val="es-ES_tradnl"/>
        </w:rPr>
        <w:t>. </w:t>
      </w:r>
      <w:hyperlink r:id="rId125" w:tgtFrame="_self" w:history="1">
        <w:r w:rsidRPr="00CF1B34">
          <w:rPr>
            <w:rFonts w:ascii="Arial" w:hAnsi="Arial" w:cs="Arial"/>
            <w:b/>
            <w:bCs/>
            <w:color w:val="2F5496" w:themeColor="accent1" w:themeShade="BF"/>
            <w:sz w:val="22"/>
            <w:szCs w:val="22"/>
            <w:u w:val="single"/>
            <w:lang w:val="es-ES_tradnl"/>
          </w:rPr>
          <w:t>Ver colocación</w:t>
        </w:r>
      </w:hyperlink>
      <w:r w:rsidRPr="00CF1B34">
        <w:rPr>
          <w:rFonts w:ascii="Arial" w:hAnsi="Arial" w:cs="Arial"/>
          <w:color w:val="2F5496" w:themeColor="accent1" w:themeShade="BF"/>
          <w:sz w:val="22"/>
          <w:szCs w:val="22"/>
          <w:lang w:val="es-ES_tradnl"/>
        </w:rPr>
        <w:t> y </w:t>
      </w:r>
      <w:hyperlink r:id="rId126" w:tgtFrame="_self" w:history="1">
        <w:r w:rsidRPr="00CF1B34">
          <w:rPr>
            <w:rFonts w:ascii="Arial" w:hAnsi="Arial" w:cs="Arial"/>
            <w:b/>
            <w:bCs/>
            <w:color w:val="2F5496" w:themeColor="accent1" w:themeShade="BF"/>
            <w:sz w:val="22"/>
            <w:szCs w:val="22"/>
            <w:u w:val="single"/>
            <w:lang w:val="es-ES_tradnl"/>
          </w:rPr>
          <w:t>aseguramiento de una emisión</w:t>
        </w:r>
      </w:hyperlink>
      <w:r w:rsidRPr="00CF1B34">
        <w:rPr>
          <w:rFonts w:ascii="Arial" w:hAnsi="Arial" w:cs="Arial"/>
          <w:color w:val="2F5496" w:themeColor="accent1" w:themeShade="BF"/>
          <w:sz w:val="22"/>
          <w:szCs w:val="22"/>
          <w:lang w:val="es-ES_tradnl"/>
        </w:rPr>
        <w:t>.</w:t>
      </w:r>
    </w:p>
    <w:p w14:paraId="39051AA0"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Colocación privada</w:t>
      </w:r>
    </w:p>
    <w:p w14:paraId="13DB3DE0"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Se da cuando la emisión se adjudica a un inversor o grupo de inversores sin que se realice oferta pública (por lo que los requisitos legales que deben satisfacerse en la colocación son menos estrictos de lo habitual). Este procedimiento supone un notable ahorro de costes para el emisor.</w:t>
      </w:r>
    </w:p>
    <w:p w14:paraId="5CE1745E" w14:textId="4320783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Colocación restringida </w:t>
      </w:r>
    </w:p>
    <w:p w14:paraId="503A2A9D" w14:textId="57B7D984"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Las condiciones de la emisión se establecen más o menos a la medida de un grupo definido de inversores, que van a ser los compradores exclusivos de la misma.</w:t>
      </w:r>
    </w:p>
    <w:p w14:paraId="6BF75650" w14:textId="4C68E196" w:rsidR="005C2F02" w:rsidRPr="00CF1B34" w:rsidRDefault="005C2F02" w:rsidP="0005621A">
      <w:pPr>
        <w:pStyle w:val="Ttulo2"/>
        <w:shd w:val="clear" w:color="auto" w:fill="FFFFFF"/>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Comisi</w:t>
      </w:r>
      <w:r w:rsidR="0086522F" w:rsidRPr="00CF1B34">
        <w:rPr>
          <w:rFonts w:ascii="Arial" w:hAnsi="Arial" w:cs="Arial"/>
          <w:color w:val="2F5496" w:themeColor="accent1" w:themeShade="BF"/>
          <w:sz w:val="22"/>
          <w:szCs w:val="22"/>
          <w:lang w:val="es-ES_tradnl"/>
        </w:rPr>
        <w:t>ó</w:t>
      </w:r>
      <w:r w:rsidRPr="00CF1B34">
        <w:rPr>
          <w:rFonts w:ascii="Arial" w:hAnsi="Arial" w:cs="Arial"/>
          <w:color w:val="2F5496" w:themeColor="accent1" w:themeShade="BF"/>
          <w:sz w:val="22"/>
          <w:szCs w:val="22"/>
          <w:lang w:val="es-ES_tradnl"/>
        </w:rPr>
        <w:t>n de apertura</w:t>
      </w:r>
    </w:p>
    <w:p w14:paraId="0AB72EFB" w14:textId="77777777" w:rsidR="005C2F02" w:rsidRPr="00CF1B34" w:rsidRDefault="005C2F02"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comisión de apertura es ese porcentaje que el banco nos cobra al constituir nuestro préstamo hipotecario.</w:t>
      </w:r>
    </w:p>
    <w:p w14:paraId="1B6FF090" w14:textId="43AE2D53" w:rsidR="005C2F02" w:rsidRPr="00CF1B34" w:rsidRDefault="005C2F02"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 xml:space="preserve">La finalidad de esta comisión es, en primer lugar, cubrir los gastos de administración y de gestión; </w:t>
      </w:r>
      <w:proofErr w:type="gramStart"/>
      <w:r w:rsidRPr="00CF1B34">
        <w:rPr>
          <w:rFonts w:ascii="Arial" w:hAnsi="Arial" w:cs="Arial"/>
          <w:color w:val="191B1C"/>
          <w:sz w:val="22"/>
          <w:szCs w:val="22"/>
          <w:lang w:val="es-ES_tradnl"/>
        </w:rPr>
        <w:t>y</w:t>
      </w:r>
      <w:proofErr w:type="gramEnd"/>
      <w:r w:rsidRPr="00CF1B34">
        <w:rPr>
          <w:rFonts w:ascii="Arial" w:hAnsi="Arial" w:cs="Arial"/>
          <w:color w:val="191B1C"/>
          <w:sz w:val="22"/>
          <w:szCs w:val="22"/>
          <w:lang w:val="es-ES_tradnl"/>
        </w:rPr>
        <w:t xml:space="preserve"> además, realizar el estudio de riesgo del cliente, necesario para evaluar su perfil financiero, su solvencia y su capacidad para hacer frente a la deuda. Como clientes, tendremos que abonar este importe en efectivo en el momento de formalizar el préstamo, y dependiendo del tipo de hipoteca que hayamos contratado, podrá rondar del 0,25 al 3% del importe total de esta: en una hipoteca a interés fijo, este porcentaje se situará entre el 0 y el 3%; en cambio, en las de interés variable oscilará entre el 0 y el 1%.</w:t>
      </w:r>
    </w:p>
    <w:p w14:paraId="306C93BD" w14:textId="77777777" w:rsidR="005C2F02" w:rsidRPr="00CF1B34" w:rsidRDefault="005C2F02"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Además, algunos bancos nos ofrecerán la posibilidad de financiar esta comisión, incluyéndola en el total del préstamo, con lo que al final tendremos que abonarla, junto que los intereses que haya generado.</w:t>
      </w:r>
    </w:p>
    <w:p w14:paraId="506C81D1" w14:textId="77777777" w:rsidR="005C2F02" w:rsidRPr="00CF1B34" w:rsidRDefault="005C2F02"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Aunque en un principio se consideraba imprescindible para formalizar la hipoteca y ofrecer al prestatario los fondos que hubiera solicitado, es importante señalar que actualmente es posible negociar esta comisión con nuestra entidad bancaria.</w:t>
      </w:r>
    </w:p>
    <w:p w14:paraId="4270F370" w14:textId="77777777" w:rsidR="005C2F02" w:rsidRPr="00CF1B34" w:rsidRDefault="005C2F0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La Ley Hipotecaria considera la comisión de apertura como no esencial, y recomienda velar por su transparencia. Es fundamental que la entidad pueda garantizar que esta comisión se cobre por la prestación de un servicio real y concreto; demostrar que se ha prestado; y que además haya sido solicitado y/o aceptado por el tomador.</w:t>
      </w:r>
    </w:p>
    <w:p w14:paraId="771D44D7" w14:textId="1301C8E5" w:rsidR="002B17FC" w:rsidRPr="00CF1B34" w:rsidRDefault="002B17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 xml:space="preserve">Comisión de control </w:t>
      </w:r>
      <w:r w:rsidR="00847A33" w:rsidRPr="00CF1B34">
        <w:rPr>
          <w:rFonts w:ascii="Arial" w:hAnsi="Arial" w:cs="Arial"/>
          <w:b/>
          <w:bCs/>
          <w:color w:val="004773"/>
          <w:sz w:val="22"/>
          <w:szCs w:val="22"/>
          <w:lang w:val="es-ES_tradnl"/>
        </w:rPr>
        <w:t>(planes de pensiones)</w:t>
      </w:r>
    </w:p>
    <w:p w14:paraId="7E208AE0" w14:textId="21E39739" w:rsidR="00847A33" w:rsidRPr="00CF1B34" w:rsidRDefault="00847A3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Los</w:t>
      </w:r>
      <w:r w:rsidR="00AA28CC"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Planes de Pensiones</w:t>
      </w:r>
      <w:r w:rsidR="00AA28CC"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se encuentran supervisados en cuanto a su funcionamiento y ejecución, y es la </w:t>
      </w:r>
      <w:r w:rsidRPr="00CF1B34">
        <w:rPr>
          <w:rStyle w:val="Textoennegrita"/>
          <w:rFonts w:ascii="Arial" w:hAnsi="Arial" w:cs="Arial"/>
          <w:color w:val="333333"/>
          <w:sz w:val="22"/>
          <w:szCs w:val="22"/>
          <w:shd w:val="clear" w:color="auto" w:fill="FFFFFF"/>
          <w:lang w:val="es-ES_tradnl"/>
        </w:rPr>
        <w:t>Comisión de Control</w:t>
      </w:r>
      <w:r w:rsidRPr="00CF1B34">
        <w:rPr>
          <w:rFonts w:ascii="Arial" w:hAnsi="Arial" w:cs="Arial"/>
          <w:color w:val="333333"/>
          <w:sz w:val="22"/>
          <w:szCs w:val="22"/>
          <w:shd w:val="clear" w:color="auto" w:fill="FFFFFF"/>
          <w:lang w:val="es-ES_tradnl"/>
        </w:rPr>
        <w:t> la encargada de esta tarea.</w:t>
      </w:r>
    </w:p>
    <w:p w14:paraId="0C4E7878" w14:textId="6E2B270C" w:rsidR="00847A33" w:rsidRPr="00CF1B34" w:rsidRDefault="00847A33"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Entre sus</w:t>
      </w:r>
      <w:r w:rsidR="00AA28CC"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funciones</w:t>
      </w:r>
      <w:r w:rsidR="00AA28CC"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se encuentran las siguientes:</w:t>
      </w:r>
    </w:p>
    <w:p w14:paraId="62A83D80" w14:textId="77777777" w:rsidR="00AA28CC" w:rsidRPr="00CF1B34" w:rsidRDefault="00847A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Supervisión y vigilancia del cumplimiento del Plan de Pensiones</w:t>
      </w:r>
      <w:r w:rsidRPr="00CF1B34">
        <w:rPr>
          <w:rFonts w:ascii="Arial" w:hAnsi="Arial" w:cs="Arial"/>
          <w:color w:val="333333"/>
          <w:sz w:val="22"/>
          <w:szCs w:val="22"/>
          <w:lang w:val="es-ES_tradnl"/>
        </w:rPr>
        <w:br/>
        <w:t>• Modificación de sus normas de funcionamiento</w:t>
      </w:r>
      <w:r w:rsidRPr="00CF1B34">
        <w:rPr>
          <w:rFonts w:ascii="Arial" w:hAnsi="Arial" w:cs="Arial"/>
          <w:color w:val="333333"/>
          <w:sz w:val="22"/>
          <w:szCs w:val="22"/>
          <w:lang w:val="es-ES_tradnl"/>
        </w:rPr>
        <w:br/>
        <w:t>• Selección del actuario que debe certificar la situación y evolución del Plan, o la decisión sobre el cambio de la cuenta de posición del Plan de un Fondo a otro, de Entidad Gestora o de Entidad Depositari</w:t>
      </w:r>
      <w:r w:rsidR="00AA28CC" w:rsidRPr="00CF1B34">
        <w:rPr>
          <w:rFonts w:ascii="Arial" w:hAnsi="Arial" w:cs="Arial"/>
          <w:color w:val="333333"/>
          <w:sz w:val="22"/>
          <w:szCs w:val="22"/>
          <w:lang w:val="es-ES_tradnl"/>
        </w:rPr>
        <w:t>a.</w:t>
      </w:r>
    </w:p>
    <w:p w14:paraId="6281BB86" w14:textId="6943D605"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Comisión de depósito o custodia</w:t>
      </w:r>
    </w:p>
    <w:p w14:paraId="127A31F9" w14:textId="77777777" w:rsidR="00AB3690" w:rsidRPr="00CF1B34" w:rsidRDefault="00C7373E" w:rsidP="0005621A">
      <w:pPr>
        <w:pStyle w:val="NormalWeb"/>
        <w:shd w:val="clear" w:color="auto" w:fill="FFFFFF"/>
        <w:spacing w:before="0" w:beforeAutospacing="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cobran los depositarios al fondo de inversión por la administración y custodia de los valores que componen la cartera. Se devenga diariamente y es implícita; es decir, ya está deducida del valor liquidativo al que el partícipe suscribe o reembolsa participaciones. Esta comisión no puede superar el 2 por mil anual del patrimonio.</w:t>
      </w:r>
    </w:p>
    <w:p w14:paraId="21C42C8B" w14:textId="0B59E386" w:rsidR="00AB3690" w:rsidRPr="00CF1B34" w:rsidRDefault="00AB3690"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Además de salvaguardar y administrar los valores que componen la cartera del fondo de inversión, los depositarios son también los encargados de vigilar y supervisar la gestión de las SGIIC (Sociedad Gestora de Instituciones de Inversión Colectiva). Un depositario no puede ser gestor de fondo simultáneamente y necesitan autorización de la CNMV para poder llevar a cabo su actividad.</w:t>
      </w:r>
    </w:p>
    <w:p w14:paraId="7DEDA6BC" w14:textId="77777777" w:rsidR="00AB3690" w:rsidRPr="00CF1B34" w:rsidRDefault="00AB3690"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comisión de depósito o custodia se deduce diariamente del valor liquidativo del fondo, por lo que está incluido ya en su precio. Todos los conceptos por los que pueden cobrarse comisiones y Su importe máximo aparecen en el folleto informativo del fondo. Estos folletos son públicos y están registrados en la CNMV.</w:t>
      </w:r>
    </w:p>
    <w:p w14:paraId="21227D20" w14:textId="77777777" w:rsidR="00AB3690" w:rsidRPr="00CF1B34" w:rsidRDefault="00AB3690"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Esta comisión no puede superar el 2 por mil anual del patrimonio según se describe en el Real Decreto 1082/2012. El artículo 5.5 especifica que “En los fondos de inversión de carácter financiero, la comisión del depositario no podrá exceder del dos por 1.000 anual del patrimonio. Dicha comisión constituirá la retribución al depositario por la realización de todas las funciones que le asigna la normativa, sin que los fondos puedan soportar costes adicionales cuando el depositario haya delegado en terceros la realización de alguna de tales funciones.”</w:t>
      </w:r>
    </w:p>
    <w:p w14:paraId="2BD87C48" w14:textId="0DD4CE14" w:rsidR="0086522F" w:rsidRPr="00CF1B34" w:rsidRDefault="00AB369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Este límite podría superarse de forma excepcional en aquellos casos en los que los</w:t>
      </w:r>
      <w:r w:rsidR="0068627F"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depositario</w:t>
      </w:r>
      <w:r w:rsidR="0068627F" w:rsidRPr="00CF1B34">
        <w:rPr>
          <w:rFonts w:ascii="Arial" w:hAnsi="Arial" w:cs="Arial"/>
          <w:color w:val="191B1C"/>
          <w:sz w:val="22"/>
          <w:szCs w:val="22"/>
          <w:lang w:val="es-ES_tradnl"/>
        </w:rPr>
        <w:t>s</w:t>
      </w:r>
      <w:r w:rsidRPr="00CF1B34">
        <w:rPr>
          <w:rFonts w:ascii="Arial" w:hAnsi="Arial" w:cs="Arial"/>
          <w:color w:val="191B1C"/>
          <w:sz w:val="22"/>
          <w:szCs w:val="22"/>
          <w:lang w:val="es-ES_tradnl"/>
        </w:rPr>
        <w:t xml:space="preserve"> </w:t>
      </w:r>
      <w:r w:rsidRPr="00CF1B34">
        <w:rPr>
          <w:rFonts w:ascii="Arial" w:hAnsi="Arial" w:cs="Arial"/>
          <w:color w:val="191B1C"/>
          <w:sz w:val="22"/>
          <w:szCs w:val="22"/>
          <w:shd w:val="clear" w:color="auto" w:fill="FFFFFF"/>
          <w:lang w:val="es-ES_tradnl"/>
        </w:rPr>
        <w:t>que hayan de cumplir principalmente sus funciones en el extranjero y siempre que haya sido previamente autorizado por la CNMV</w:t>
      </w:r>
      <w:r w:rsidRPr="00CF1B34">
        <w:rPr>
          <w:rFonts w:ascii="Arial" w:hAnsi="Arial" w:cs="Arial"/>
          <w:color w:val="191B1C"/>
          <w:shd w:val="clear" w:color="auto" w:fill="FFFFFF"/>
          <w:lang w:val="es-ES_tradnl"/>
        </w:rPr>
        <w:t>.</w:t>
      </w:r>
    </w:p>
    <w:p w14:paraId="007AE4C8"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Comisión de gestión</w:t>
      </w:r>
    </w:p>
    <w:p w14:paraId="56A45B78" w14:textId="77777777" w:rsidR="0086522F"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cobra la sociedad gestora al fondo de inversión como remuneración por sus servicios. Se devenga diariamente y es implícita; es decir, ya está deducida del valor liquidativo al que el partícipe suscribe o reembolsa participaciones. Puede establecerse en función del patrimonio, de los rendimientos o de ambas variables (debe consultarse en el folleto la posibilidad de que se apliquen distintas comisiones en función de la permanencia u otros parámetros). Los límites máximos son: el 2,25% si se calcula sobre el patrimonio, el 18% si depende de los resultados, y en caso de que se empleen ambas magnitudes, no podrá exceder el 1,35% del patrimonio y el 9% de los resultados.</w:t>
      </w:r>
      <w:r w:rsidR="003C7258" w:rsidRPr="00CF1B34">
        <w:rPr>
          <w:rFonts w:ascii="Arial" w:hAnsi="Arial" w:cs="Arial"/>
          <w:color w:val="191B1C"/>
          <w:shd w:val="clear" w:color="auto" w:fill="FFFFFF"/>
          <w:lang w:val="es-ES_tradnl"/>
        </w:rPr>
        <w:t xml:space="preserve"> </w:t>
      </w:r>
      <w:r w:rsidR="003C7258" w:rsidRPr="00CF1B34">
        <w:rPr>
          <w:rFonts w:ascii="Arial" w:hAnsi="Arial" w:cs="Arial"/>
          <w:color w:val="191B1C"/>
          <w:sz w:val="22"/>
          <w:szCs w:val="22"/>
          <w:shd w:val="clear" w:color="auto" w:fill="FFFFFF"/>
          <w:lang w:val="es-ES_tradnl"/>
        </w:rPr>
        <w:t>Esta comisión no hay que pagarla directamente, sino que el gestor la resta de la rentabilidad obtenida tanto si es positiva como si es negativa.</w:t>
      </w:r>
    </w:p>
    <w:p w14:paraId="081A0259" w14:textId="44E26FB9" w:rsidR="002B17FC" w:rsidRPr="00CF1B34" w:rsidRDefault="002B17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 xml:space="preserve">Comisión de </w:t>
      </w:r>
      <w:r w:rsidR="00CA1163" w:rsidRPr="00CF1B34">
        <w:rPr>
          <w:rFonts w:ascii="Arial" w:hAnsi="Arial" w:cs="Arial"/>
          <w:b/>
          <w:bCs/>
          <w:color w:val="004773"/>
          <w:sz w:val="22"/>
          <w:szCs w:val="22"/>
          <w:lang w:val="es-ES_tradnl"/>
        </w:rPr>
        <w:t xml:space="preserve">intermediación </w:t>
      </w:r>
    </w:p>
    <w:p w14:paraId="39816379" w14:textId="26FF7DA5" w:rsidR="00CA1163" w:rsidRPr="00CF1B34" w:rsidRDefault="00CA116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Es algo bastante sencillo de saber, ya que todas las entidades financieras disponen de un folleto </w:t>
      </w:r>
      <w:r w:rsidRPr="00CF1B34">
        <w:rPr>
          <w:rStyle w:val="Textoennegrita"/>
          <w:rFonts w:ascii="Arial" w:hAnsi="Arial" w:cs="Arial"/>
          <w:color w:val="333333"/>
          <w:sz w:val="22"/>
          <w:szCs w:val="22"/>
          <w:shd w:val="clear" w:color="auto" w:fill="FFFFFF"/>
          <w:lang w:val="es-ES_tradnl"/>
        </w:rPr>
        <w:t>de tarifas máximas</w:t>
      </w:r>
      <w:r w:rsidRPr="00CF1B34">
        <w:rPr>
          <w:rFonts w:ascii="Arial" w:hAnsi="Arial" w:cs="Arial"/>
          <w:color w:val="333333"/>
          <w:sz w:val="22"/>
          <w:szCs w:val="22"/>
          <w:shd w:val="clear" w:color="auto" w:fill="FFFFFF"/>
          <w:lang w:val="es-ES_tradnl"/>
        </w:rPr>
        <w:t xml:space="preserve"> que pueden aplicar por los servicios y operaciones habituales que prestan.</w:t>
      </w:r>
    </w:p>
    <w:p w14:paraId="15395734" w14:textId="478FADE7" w:rsidR="00CA1163" w:rsidRPr="00CF1B34" w:rsidRDefault="00CA116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De esta forma nuestro intermediario deberá ajustarse si o si a dicho folleto, y nosotros como clientes tenemos la </w:t>
      </w:r>
      <w:r w:rsidRPr="00CF1B34">
        <w:rPr>
          <w:rStyle w:val="Textoennegrita"/>
          <w:rFonts w:ascii="Arial" w:hAnsi="Arial" w:cs="Arial"/>
          <w:color w:val="333333"/>
          <w:sz w:val="22"/>
          <w:szCs w:val="22"/>
          <w:shd w:val="clear" w:color="auto" w:fill="FFFFFF"/>
          <w:lang w:val="es-ES_tradnl"/>
        </w:rPr>
        <w:t>posibilidad de negociar una comisión menor</w:t>
      </w:r>
      <w:r w:rsidRPr="00CF1B34">
        <w:rPr>
          <w:rFonts w:ascii="Arial" w:hAnsi="Arial" w:cs="Arial"/>
          <w:color w:val="333333"/>
          <w:sz w:val="22"/>
          <w:szCs w:val="22"/>
          <w:shd w:val="clear" w:color="auto" w:fill="FFFFFF"/>
          <w:lang w:val="es-ES_tradnl"/>
        </w:rPr>
        <w:t xml:space="preserve"> pero nunca podrá aplicarnos una superior a la allí establecida.</w:t>
      </w:r>
    </w:p>
    <w:p w14:paraId="5537D3EF" w14:textId="77777777" w:rsidR="00CA1163" w:rsidRPr="00CF1B34" w:rsidRDefault="00CA116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No olvide que </w:t>
      </w:r>
      <w:r w:rsidRPr="00CF1B34">
        <w:rPr>
          <w:rStyle w:val="Textoennegrita"/>
          <w:rFonts w:ascii="Arial" w:hAnsi="Arial" w:cs="Arial"/>
          <w:color w:val="333333"/>
          <w:sz w:val="22"/>
          <w:szCs w:val="22"/>
          <w:shd w:val="clear" w:color="auto" w:fill="FFFFFF"/>
          <w:lang w:val="es-ES_tradnl"/>
        </w:rPr>
        <w:t>la entidad tiene la obligación de informarnos sobre el precio total</w:t>
      </w:r>
      <w:r w:rsidRPr="00CF1B34">
        <w:rPr>
          <w:rFonts w:ascii="Arial" w:hAnsi="Arial" w:cs="Arial"/>
          <w:color w:val="333333"/>
          <w:sz w:val="22"/>
          <w:szCs w:val="22"/>
          <w:shd w:val="clear" w:color="auto" w:fill="FFFFFF"/>
          <w:lang w:val="es-ES_tradnl"/>
        </w:rPr>
        <w:t xml:space="preserve"> que vamos a pagar por cada operación o servicio de inversión.</w:t>
      </w:r>
    </w:p>
    <w:p w14:paraId="05672FFA" w14:textId="1545C0B4"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Comisión de Inversiones</w:t>
      </w:r>
    </w:p>
    <w:p w14:paraId="31541154" w14:textId="77777777" w:rsidR="0086522F"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lang w:val="es-ES_tradnl"/>
        </w:rPr>
        <w:t>Comisión creada en el seno del Consejo de Administración, obligatoria en las cajas de ahorros. Tiene la función de proponer e informar al Consejo sobre las inversiones y desinversiones de carácter estratégico y estable que efectúe la entidad, sobre su viabilidad financiera y su adecuación a los presupuestos y planes fundacionales de la entidad. </w:t>
      </w:r>
    </w:p>
    <w:p w14:paraId="6C95F117"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Comisión de reembolso</w:t>
      </w:r>
    </w:p>
    <w:p w14:paraId="4F4EFD16"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cobra la gestora individualmente a cada partícipe en el momento en que se deshace la inversión en el fondo, tanto por reembolso como por traspaso, por lo que es una comisión explícita. Se calcula como porcentaje del capital reembolsado. No puede superar el 5% del valor liquidativo de las participaciones reembolsadas. Debe consultarse en el folleto la posibilidad de que se apliquen distintas comisiones en función de la permanencia u otros parámetros. En los fondos garantizados suelen cargarse elevadas comisiones para los reembolsos que no se realizan en la fecha de vencimiento de la garantía.</w:t>
      </w:r>
    </w:p>
    <w:p w14:paraId="2450070A"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Comisión de suscripción</w:t>
      </w:r>
    </w:p>
    <w:p w14:paraId="2D2AE081"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cobra la gestora individualmente a cada partícipe en el momento de invertir en el fondo, por lo que es una comisión explícita. Se calcula como porcentaje del capital invertido. No puede superar el 5% del valor liquidativo de las participaciones suscritas. Debe consultarse en el folleto la posibilidad de que se apliquen distintas comisiones en función de la fecha de suscripción u otros parámetros.</w:t>
      </w:r>
    </w:p>
    <w:p w14:paraId="3564904B" w14:textId="18193C17" w:rsidR="00B3684E" w:rsidRPr="00CF1B34" w:rsidRDefault="00B3684E"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Comisión Economica para America Latina</w:t>
      </w:r>
    </w:p>
    <w:p w14:paraId="39540294" w14:textId="77777777" w:rsidR="00B3684E" w:rsidRPr="00CF1B34" w:rsidRDefault="00B3684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Organismo dependiente de la ONU (1948) Su objetivo es el estudio de la problemática económica latinoamericana para proponer medidas para el desarrollo integral de esa región.</w:t>
      </w:r>
    </w:p>
    <w:p w14:paraId="23B27266" w14:textId="4A5BB9E5" w:rsidR="002B17FC" w:rsidRPr="00CF1B34" w:rsidRDefault="002B17FC"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Comisión ETF</w:t>
      </w:r>
    </w:p>
    <w:p w14:paraId="36E7350B" w14:textId="77777777" w:rsidR="00C97DD8" w:rsidRPr="00CF1B34" w:rsidRDefault="00C97DD8"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Los fondos de inversión tienen una serie de comisiones que hay que tener muy en cuenta a la hora de ingresar al mercado y determinar la cantidad de participaciones que se van a negociar, ya que estas disminuyen la rentabilidad de la operación. Entre ellas podemos nombrar:</w:t>
      </w:r>
    </w:p>
    <w:p w14:paraId="5EEAB213" w14:textId="3921C7FB" w:rsidR="00C97DD8" w:rsidRPr="00CF1B34" w:rsidRDefault="00C97DD8" w:rsidP="004F7A62">
      <w:pPr>
        <w:numPr>
          <w:ilvl w:val="0"/>
          <w:numId w:val="13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La comisión de suscripción y la comisión de reembolso:</w:t>
      </w:r>
      <w:r w:rsidRPr="00CF1B34">
        <w:rPr>
          <w:rFonts w:ascii="Arial" w:hAnsi="Arial" w:cs="Arial"/>
          <w:color w:val="333333"/>
          <w:sz w:val="22"/>
          <w:szCs w:val="22"/>
          <w:lang w:val="es-ES_tradnl"/>
        </w:rPr>
        <w:t xml:space="preserve"> Se cobra al comprar o vender participaciones en el mercado. Esta incluye los siguientes conceptos para el caso de los ETF.</w:t>
      </w:r>
    </w:p>
    <w:p w14:paraId="6CBE5CE4" w14:textId="3E29D59A" w:rsidR="00C97DD8" w:rsidRPr="00CF1B34" w:rsidRDefault="00C97DD8" w:rsidP="004F7A62">
      <w:pPr>
        <w:numPr>
          <w:ilvl w:val="0"/>
          <w:numId w:val="13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lastRenderedPageBreak/>
        <w:t>Comisión de intermediación o corretaje:</w:t>
      </w:r>
      <w:r w:rsidRPr="00CF1B34">
        <w:rPr>
          <w:rFonts w:ascii="Arial" w:hAnsi="Arial" w:cs="Arial"/>
          <w:color w:val="333333"/>
          <w:sz w:val="22"/>
          <w:szCs w:val="22"/>
          <w:lang w:val="es-ES_tradnl"/>
        </w:rPr>
        <w:t xml:space="preserve"> Es la comisión cobrada por el intermediario por comprar o vender valores en el mercado. Solamente las sociedades y agencias de bolsa pueden comprar o vender.</w:t>
      </w:r>
    </w:p>
    <w:p w14:paraId="5DFE766F" w14:textId="69179FD6" w:rsidR="00C97DD8" w:rsidRPr="00CF1B34" w:rsidRDefault="00C97DD8" w:rsidP="004F7A62">
      <w:pPr>
        <w:numPr>
          <w:ilvl w:val="0"/>
          <w:numId w:val="13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Cánon cobrado por la bolsa:</w:t>
      </w:r>
      <w:r w:rsidRPr="00CF1B34">
        <w:rPr>
          <w:rFonts w:ascii="Arial" w:hAnsi="Arial" w:cs="Arial"/>
          <w:color w:val="333333"/>
          <w:sz w:val="22"/>
          <w:szCs w:val="22"/>
          <w:lang w:val="es-ES_tradnl"/>
        </w:rPr>
        <w:t xml:space="preserve"> Este depende del monto de la operación.</w:t>
      </w:r>
    </w:p>
    <w:p w14:paraId="061277D7" w14:textId="02A3F71D" w:rsidR="00C97DD8" w:rsidRPr="00CF1B34" w:rsidRDefault="00C97DD8" w:rsidP="004F7A62">
      <w:pPr>
        <w:numPr>
          <w:ilvl w:val="0"/>
          <w:numId w:val="13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Canon cobrado por Iberclear:</w:t>
      </w:r>
      <w:r w:rsidRPr="00CF1B34">
        <w:rPr>
          <w:rFonts w:ascii="Arial" w:hAnsi="Arial" w:cs="Arial"/>
          <w:color w:val="333333"/>
          <w:sz w:val="22"/>
          <w:szCs w:val="22"/>
          <w:lang w:val="es-ES_tradnl"/>
        </w:rPr>
        <w:t xml:space="preserve"> Cobrado por la compensación y liquidación de los valores y como en el caso anterior esta fijado en función al monto de la operación.</w:t>
      </w:r>
    </w:p>
    <w:p w14:paraId="0D8C1BB8" w14:textId="60CB3383" w:rsidR="00C97DD8" w:rsidRPr="00CF1B34" w:rsidRDefault="00C97DD8" w:rsidP="004F7A62">
      <w:pPr>
        <w:numPr>
          <w:ilvl w:val="0"/>
          <w:numId w:val="13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Comisión de gestión:</w:t>
      </w:r>
      <w:r w:rsidRPr="00CF1B34">
        <w:rPr>
          <w:rFonts w:ascii="Arial" w:hAnsi="Arial" w:cs="Arial"/>
          <w:color w:val="333333"/>
          <w:sz w:val="22"/>
          <w:szCs w:val="22"/>
          <w:lang w:val="es-ES_tradnl"/>
        </w:rPr>
        <w:t xml:space="preserve"> Es aplicada por la gestora en concepto de intermediación. Esta comisión se determina en función al patrimonio del fondo y/o sus resultados.</w:t>
      </w:r>
    </w:p>
    <w:p w14:paraId="5310268D" w14:textId="3D2E5B21" w:rsidR="00C97DD8" w:rsidRPr="00CF1B34" w:rsidRDefault="00C97DD8" w:rsidP="004F7A62">
      <w:pPr>
        <w:numPr>
          <w:ilvl w:val="0"/>
          <w:numId w:val="13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Comisión de administración, depósito, o custodia de valores:</w:t>
      </w:r>
      <w:r w:rsidRPr="00CF1B34">
        <w:rPr>
          <w:rFonts w:ascii="Arial" w:hAnsi="Arial" w:cs="Arial"/>
          <w:color w:val="333333"/>
          <w:sz w:val="22"/>
          <w:szCs w:val="22"/>
          <w:lang w:val="es-ES_tradnl"/>
        </w:rPr>
        <w:t xml:space="preserve"> Por lo general se aplica semestralmente. Este servicio consiste en la administración informatica de las participaciones y de los titulos que forman parte de la cartera.</w:t>
      </w:r>
    </w:p>
    <w:p w14:paraId="3B0977D2" w14:textId="77777777" w:rsidR="00C97DD8" w:rsidRPr="00CF1B34" w:rsidRDefault="00C97DD8" w:rsidP="0005621A">
      <w:pPr>
        <w:pStyle w:val="Prrafodelista"/>
        <w:pBdr>
          <w:bottom w:val="dotted" w:sz="12" w:space="12" w:color="666666"/>
        </w:pBdr>
        <w:spacing w:after="240"/>
        <w:jc w:val="both"/>
        <w:rPr>
          <w:rFonts w:ascii="Arial" w:hAnsi="Arial" w:cs="Arial"/>
          <w:color w:val="212529"/>
          <w:sz w:val="22"/>
          <w:szCs w:val="22"/>
          <w:lang w:val="es-ES_tradnl"/>
        </w:rPr>
      </w:pPr>
    </w:p>
    <w:p w14:paraId="6F40CDAB" w14:textId="2C35E7B0" w:rsidR="00B3684E" w:rsidRPr="00CF1B34" w:rsidRDefault="00B3684E"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Comisión Flat</w:t>
      </w:r>
    </w:p>
    <w:p w14:paraId="3E53C75D" w14:textId="77777777" w:rsidR="0002696A" w:rsidRPr="00CF1B34" w:rsidRDefault="00B3684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Referida a una comisión, se entiende como cantidad única o fija y de una sola vez que se cobra</w:t>
      </w:r>
      <w:r w:rsidR="0002696A" w:rsidRPr="00CF1B34">
        <w:rPr>
          <w:rFonts w:ascii="Arial" w:hAnsi="Arial" w:cs="Arial"/>
          <w:color w:val="000000" w:themeColor="text1"/>
          <w:sz w:val="22"/>
          <w:szCs w:val="22"/>
          <w:lang w:val="es-ES_tradnl"/>
        </w:rPr>
        <w:t xml:space="preserve"> por un determinado negocio.</w:t>
      </w:r>
    </w:p>
    <w:p w14:paraId="39963C1D" w14:textId="23C9D347" w:rsidR="00464557" w:rsidRPr="00CF1B34" w:rsidRDefault="0046455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Comisión Nacional del Mercado de Valores, CNMV</w:t>
      </w:r>
    </w:p>
    <w:p w14:paraId="538D0664" w14:textId="77777777" w:rsidR="00464557" w:rsidRPr="00CF1B34" w:rsidRDefault="0046455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Organismo público dependiente del Ministerio de Economía, al que corresponde la supervisión e inspección de los mercados de valores y de la actividad de las personas físicas y jurídicas que se relacionan en el tráfico de los mismos. La ley atribuye a la CNMV la función de velar por la transparencia de los mercados, la correcta formación de precios y la protección de los inversores.</w:t>
      </w:r>
    </w:p>
    <w:p w14:paraId="51518338" w14:textId="342C2D7C" w:rsidR="00F476FC" w:rsidRPr="00CF1B34" w:rsidRDefault="00F476FC"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Comisión por amortización parcial</w:t>
      </w:r>
    </w:p>
    <w:p w14:paraId="43B6A6A7" w14:textId="77777777" w:rsidR="00C97DD8" w:rsidRPr="00CF1B34" w:rsidRDefault="00C97DD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La </w:t>
      </w:r>
      <w:r w:rsidRPr="00CF1B34">
        <w:rPr>
          <w:rStyle w:val="Textoennegrita"/>
          <w:rFonts w:ascii="Arial" w:hAnsi="Arial" w:cs="Arial"/>
          <w:color w:val="333333"/>
          <w:sz w:val="22"/>
          <w:szCs w:val="22"/>
          <w:shd w:val="clear" w:color="auto" w:fill="FFFFFF"/>
          <w:lang w:val="es-ES_tradnl"/>
        </w:rPr>
        <w:t>comisión por amortización parcial</w:t>
      </w:r>
      <w:r w:rsidRPr="00CF1B34">
        <w:rPr>
          <w:rFonts w:ascii="Arial" w:hAnsi="Arial" w:cs="Arial"/>
          <w:color w:val="333333"/>
          <w:sz w:val="22"/>
          <w:szCs w:val="22"/>
          <w:shd w:val="clear" w:color="auto" w:fill="FFFFFF"/>
          <w:lang w:val="es-ES_tradnl"/>
        </w:rPr>
        <w:t> es un porcentual que debemos pagarle al banco en concepto </w:t>
      </w:r>
      <w:r w:rsidRPr="00CF1B34">
        <w:rPr>
          <w:rStyle w:val="Textoennegrita"/>
          <w:rFonts w:ascii="Arial" w:hAnsi="Arial" w:cs="Arial"/>
          <w:color w:val="333333"/>
          <w:sz w:val="22"/>
          <w:szCs w:val="22"/>
          <w:shd w:val="clear" w:color="auto" w:fill="FFFFFF"/>
          <w:lang w:val="es-ES_tradnl"/>
        </w:rPr>
        <w:t xml:space="preserve">de los trámites administrativos correspondientes a las actuaciones que debe realizar. </w:t>
      </w:r>
      <w:r w:rsidRPr="00CF1B34">
        <w:rPr>
          <w:rFonts w:ascii="Arial" w:hAnsi="Arial" w:cs="Arial"/>
          <w:color w:val="333333"/>
          <w:sz w:val="22"/>
          <w:szCs w:val="22"/>
          <w:shd w:val="clear" w:color="auto" w:fill="FFFFFF"/>
          <w:lang w:val="es-ES_tradnl"/>
        </w:rPr>
        <w:t>En otras palabras, esta comisión es un porcentaje que nos cobrará en caso de que estemos en condiciones de adelantar, parte del capital que le debemos al banco</w:t>
      </w:r>
      <w:r w:rsidRPr="00CF1B34">
        <w:rPr>
          <w:rFonts w:ascii="Arial" w:hAnsi="Arial" w:cs="Arial"/>
          <w:color w:val="333333"/>
          <w:shd w:val="clear" w:color="auto" w:fill="FFFFFF"/>
          <w:lang w:val="es-ES_tradnl"/>
        </w:rPr>
        <w:t>.</w:t>
      </w:r>
    </w:p>
    <w:p w14:paraId="693F551C" w14:textId="664BB4F0" w:rsidR="00F476FC" w:rsidRPr="00CF1B34" w:rsidRDefault="00F476FC"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Comisión por amortización total</w:t>
      </w:r>
    </w:p>
    <w:p w14:paraId="1E924FF3" w14:textId="766FB0BB" w:rsidR="00834480" w:rsidRPr="00CF1B34" w:rsidRDefault="00834480"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Esta establecido que muchos </w:t>
      </w:r>
      <w:hyperlink r:id="rId127" w:history="1">
        <w:r w:rsidRPr="00CF1B34">
          <w:rPr>
            <w:rFonts w:ascii="Arial" w:hAnsi="Arial" w:cs="Arial"/>
            <w:color w:val="000000" w:themeColor="text1"/>
            <w:sz w:val="22"/>
            <w:szCs w:val="22"/>
            <w:u w:val="single"/>
            <w:shd w:val="clear" w:color="auto" w:fill="FFFFFF"/>
            <w:lang w:val="es-ES_tradnl"/>
          </w:rPr>
          <w:t>bancos y cajas de ahorro</w:t>
        </w:r>
      </w:hyperlink>
      <w:r w:rsidRPr="00CF1B34">
        <w:rPr>
          <w:rFonts w:ascii="Arial" w:hAnsi="Arial" w:cs="Arial"/>
          <w:color w:val="000000" w:themeColor="text1"/>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 xml:space="preserve">llevan adelante su política de cobrarnos una </w:t>
      </w:r>
      <w:r w:rsidRPr="00CF1B34">
        <w:rPr>
          <w:rFonts w:ascii="Arial" w:hAnsi="Arial" w:cs="Arial"/>
          <w:b/>
          <w:bCs/>
          <w:color w:val="333333"/>
          <w:sz w:val="22"/>
          <w:szCs w:val="22"/>
          <w:shd w:val="clear" w:color="auto" w:fill="FFFFFF"/>
          <w:lang w:val="es-ES_tradnl"/>
        </w:rPr>
        <w:t>comisión por cancelación o amortización anticipada total</w:t>
      </w:r>
      <w:r w:rsidRPr="00CF1B34">
        <w:rPr>
          <w:rFonts w:ascii="Arial" w:hAnsi="Arial" w:cs="Arial"/>
          <w:color w:val="333333"/>
          <w:sz w:val="22"/>
          <w:szCs w:val="22"/>
          <w:shd w:val="clear" w:color="auto" w:fill="FFFFFF"/>
          <w:lang w:val="es-ES_tradnl"/>
        </w:rPr>
        <w:t xml:space="preserve"> del mismo modo que si la amortización es parcial.</w:t>
      </w:r>
    </w:p>
    <w:p w14:paraId="0AE77D94" w14:textId="77777777" w:rsidR="00834480" w:rsidRPr="00CF1B34" w:rsidRDefault="0083448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Según lo establece el Banco de España, en los</w:t>
      </w:r>
      <w:r w:rsidRPr="00CF1B34">
        <w:rPr>
          <w:rStyle w:val="Textoennegrita"/>
          <w:rFonts w:ascii="Arial" w:hAnsi="Arial" w:cs="Arial"/>
          <w:color w:val="333333"/>
          <w:sz w:val="22"/>
          <w:szCs w:val="22"/>
          <w:shd w:val="clear" w:color="auto" w:fill="FFFFFF"/>
          <w:lang w:val="es-ES_tradnl"/>
        </w:rPr>
        <w:t xml:space="preserve"> </w:t>
      </w:r>
      <w:hyperlink r:id="rId128" w:history="1">
        <w:r w:rsidRPr="00CF1B34">
          <w:rPr>
            <w:rStyle w:val="Hipervnculo"/>
            <w:rFonts w:ascii="Arial" w:hAnsi="Arial" w:cs="Arial"/>
            <w:b/>
            <w:bCs/>
            <w:color w:val="DC143C"/>
            <w:sz w:val="22"/>
            <w:szCs w:val="22"/>
            <w:u w:val="none"/>
            <w:lang w:val="es-ES_tradnl"/>
          </w:rPr>
          <w:t>préstamos hipotecarios a interés variable</w:t>
        </w:r>
      </w:hyperlink>
      <w:r w:rsidRPr="00CF1B34">
        <w:rPr>
          <w:rStyle w:val="Textoennegrita"/>
          <w:rFonts w:ascii="Arial" w:hAnsi="Arial" w:cs="Arial"/>
          <w:color w:val="333333"/>
          <w:sz w:val="22"/>
          <w:szCs w:val="22"/>
          <w:shd w:val="clear" w:color="auto" w:fill="FFFFFF"/>
          <w:lang w:val="es-ES_tradnl"/>
        </w:rPr>
        <w:t>, la comisión por amortización total está limitada al 1%</w:t>
      </w:r>
      <w:r w:rsidRPr="00CF1B34">
        <w:rPr>
          <w:rFonts w:ascii="Arial" w:hAnsi="Arial" w:cs="Arial"/>
          <w:color w:val="333333"/>
          <w:sz w:val="22"/>
          <w:szCs w:val="22"/>
          <w:shd w:val="clear" w:color="auto" w:fill="FFFFFF"/>
          <w:lang w:val="es-ES_tradnl"/>
        </w:rPr>
        <w:t>.</w:t>
      </w:r>
    </w:p>
    <w:p w14:paraId="3D30FD31" w14:textId="579251EB" w:rsidR="00B23F27" w:rsidRPr="00CF1B34" w:rsidRDefault="00B23F27"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Comisión por cancelación</w:t>
      </w:r>
    </w:p>
    <w:p w14:paraId="1B6E02BE" w14:textId="716B908D" w:rsidR="00B23F27" w:rsidRPr="00CF1B34" w:rsidRDefault="00B23F27"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w:t>
      </w:r>
      <w:r w:rsidR="00A951B7"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comisión por cancelación</w:t>
      </w:r>
      <w:r w:rsidR="0068627F" w:rsidRPr="00CF1B34">
        <w:rPr>
          <w:rFonts w:ascii="Arial" w:hAnsi="Arial" w:cs="Arial"/>
          <w:sz w:val="22"/>
          <w:szCs w:val="22"/>
          <w:lang w:val="es-ES_tradnl"/>
        </w:rPr>
        <w:t xml:space="preserve"> </w:t>
      </w:r>
      <w:r w:rsidRPr="00CF1B34">
        <w:rPr>
          <w:rFonts w:ascii="Arial" w:hAnsi="Arial" w:cs="Arial"/>
          <w:sz w:val="22"/>
          <w:szCs w:val="22"/>
          <w:lang w:val="es-ES_tradnl"/>
        </w:rPr>
        <w:t>es aquella que las entidades de crédito nos cobran cuando cancelamos una hipoteca y la dejamos sin cargas, bien porque hayamos terminado de devolver todo el préstamo, o bien porque queramos vender nuestro inmueble y no podamos hacerlo si tiene alguna carga. En ese caso, podremos pagar la hipoteca y la cancelación con el dinero que obtengamos de la venta.</w:t>
      </w:r>
    </w:p>
    <w:p w14:paraId="6D37F01E" w14:textId="77777777" w:rsidR="00B23F27" w:rsidRPr="00CF1B34" w:rsidRDefault="00B23F27" w:rsidP="0005621A">
      <w:pPr>
        <w:pStyle w:val="NormalWeb"/>
        <w:spacing w:before="0" w:beforeAutospacing="0"/>
        <w:ind w:firstLine="360"/>
        <w:jc w:val="both"/>
        <w:rPr>
          <w:rFonts w:ascii="Arial" w:hAnsi="Arial" w:cs="Arial"/>
          <w:sz w:val="22"/>
          <w:szCs w:val="22"/>
          <w:lang w:val="es-ES_tradnl"/>
        </w:rPr>
      </w:pPr>
      <w:r w:rsidRPr="00CF1B34">
        <w:rPr>
          <w:rFonts w:ascii="Arial" w:hAnsi="Arial" w:cs="Arial"/>
          <w:sz w:val="22"/>
          <w:szCs w:val="22"/>
          <w:lang w:val="es-ES_tradnl"/>
        </w:rPr>
        <w:t>Los costes que contemplan los gastos de cancelación de la hipoteca son:</w:t>
      </w:r>
    </w:p>
    <w:p w14:paraId="1603ABE2" w14:textId="1E53ED4E" w:rsidR="00B23F27" w:rsidRPr="00CF1B34" w:rsidRDefault="00B23F27" w:rsidP="0005621A">
      <w:pPr>
        <w:pStyle w:val="listitem"/>
        <w:numPr>
          <w:ilvl w:val="0"/>
          <w:numId w:val="1"/>
        </w:numPr>
        <w:spacing w:after="240" w:afterAutospacing="0"/>
        <w:jc w:val="both"/>
        <w:rPr>
          <w:rFonts w:ascii="Arial" w:hAnsi="Arial" w:cs="Arial"/>
          <w:sz w:val="22"/>
          <w:szCs w:val="22"/>
          <w:lang w:val="es-ES_tradnl"/>
        </w:rPr>
      </w:pPr>
      <w:r w:rsidRPr="00CF1B34">
        <w:rPr>
          <w:rFonts w:ascii="Arial" w:hAnsi="Arial" w:cs="Arial"/>
          <w:sz w:val="22"/>
          <w:szCs w:val="22"/>
          <w:lang w:val="es-ES_tradnl"/>
        </w:rPr>
        <w:lastRenderedPageBreak/>
        <w:t>Los</w:t>
      </w:r>
      <w:r w:rsidR="00A951B7"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aranceles de la notaría</w:t>
      </w:r>
      <w:r w:rsidRPr="00CF1B34">
        <w:rPr>
          <w:rFonts w:ascii="Arial" w:hAnsi="Arial" w:cs="Arial"/>
          <w:sz w:val="22"/>
          <w:szCs w:val="22"/>
          <w:lang w:val="es-ES_tradnl"/>
        </w:rPr>
        <w:t>. Para cancelar un préstamo hipotecario debemos solicitar una escritura pública al notario. Sus aranceles están establecidos por ley, aunque el importe exacto se calculará aplicando un porcentaje sobre del importe de la hipoteca, reducido en un 70%. En todo caso, tendrá un precio no inferior a 90 €.</w:t>
      </w:r>
    </w:p>
    <w:p w14:paraId="25E5AFAE" w14:textId="2A16AF0E" w:rsidR="00B23F27" w:rsidRPr="00CF1B34" w:rsidRDefault="00B23F27" w:rsidP="0005621A">
      <w:pPr>
        <w:pStyle w:val="listitem"/>
        <w:numPr>
          <w:ilvl w:val="0"/>
          <w:numId w:val="1"/>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Los</w:t>
      </w:r>
      <w:r w:rsidR="00A951B7"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gastos del registrador</w:t>
      </w:r>
      <w:r w:rsidRPr="00CF1B34">
        <w:rPr>
          <w:rFonts w:ascii="Arial" w:hAnsi="Arial" w:cs="Arial"/>
          <w:sz w:val="22"/>
          <w:szCs w:val="22"/>
          <w:lang w:val="es-ES_tradnl"/>
        </w:rPr>
        <w:t>, ya que deberemos inscribir la escritura del notario en el Registro de la propiedad para dejar constancia de que dejamos la vivienda libre de cargas (lo que se conoce como cancelación registral). También están regulados por el Estado y se calculan en función de un porcentaje sobre el capital de la hipoteca, reducido en un 60%. Tendrán un coste mínimo de 25 €.</w:t>
      </w:r>
    </w:p>
    <w:p w14:paraId="779170FC" w14:textId="0287128B" w:rsidR="00B23F27" w:rsidRPr="00CF1B34" w:rsidRDefault="00B23F27" w:rsidP="0005621A">
      <w:pPr>
        <w:pStyle w:val="listitem"/>
        <w:numPr>
          <w:ilvl w:val="0"/>
          <w:numId w:val="1"/>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Los</w:t>
      </w:r>
      <w:r w:rsidR="00A951B7"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gastos de la gestoría</w:t>
      </w:r>
      <w:r w:rsidRPr="00CF1B34">
        <w:rPr>
          <w:rFonts w:ascii="Arial" w:hAnsi="Arial" w:cs="Arial"/>
          <w:sz w:val="22"/>
          <w:szCs w:val="22"/>
          <w:lang w:val="es-ES_tradnl"/>
        </w:rPr>
        <w:t xml:space="preserve">, aunque en este caso podemos realizar los trámites nosotros mismos y evitar este gasto, que podrá ascender a unos 300 €. Esta tarifa no está regulada, pero lo normal es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si la gestoría trabaja habitualmente con el banco que nos ha concedido la hipoteca, podrá estar pactada por ellos.</w:t>
      </w:r>
    </w:p>
    <w:p w14:paraId="5E16BCDF" w14:textId="77777777" w:rsidR="00B23F27" w:rsidRPr="00CF1B34" w:rsidRDefault="00B23F2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este caso, no hay que pagar ningún impuesto.</w:t>
      </w:r>
    </w:p>
    <w:p w14:paraId="54FEA177" w14:textId="19FC03C7" w:rsidR="00F476FC" w:rsidRPr="00CF1B34" w:rsidRDefault="00F476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Comisión por </w:t>
      </w:r>
      <w:r w:rsidR="0004120A" w:rsidRPr="00CF1B34">
        <w:rPr>
          <w:rFonts w:ascii="Arial" w:hAnsi="Arial" w:cs="Arial"/>
          <w:b/>
          <w:bCs/>
          <w:color w:val="004773"/>
          <w:sz w:val="22"/>
          <w:szCs w:val="22"/>
          <w:lang w:val="es-ES_tradnl"/>
        </w:rPr>
        <w:t>cancelación</w:t>
      </w:r>
      <w:r w:rsidRPr="00CF1B34">
        <w:rPr>
          <w:rFonts w:ascii="Arial" w:hAnsi="Arial" w:cs="Arial"/>
          <w:b/>
          <w:bCs/>
          <w:color w:val="004773"/>
          <w:sz w:val="22"/>
          <w:szCs w:val="22"/>
          <w:lang w:val="es-ES_tradnl"/>
        </w:rPr>
        <w:t xml:space="preserve"> anticipada (hipotecas)</w:t>
      </w:r>
    </w:p>
    <w:p w14:paraId="6318C9F6" w14:textId="41C699D1" w:rsidR="005A5C56" w:rsidRPr="00CF1B34" w:rsidRDefault="005A5C56"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Otra de </w:t>
      </w:r>
      <w:hyperlink r:id="rId129" w:history="1">
        <w:r w:rsidRPr="00CF1B34">
          <w:rPr>
            <w:rStyle w:val="Textoennegrita"/>
            <w:rFonts w:ascii="Arial" w:hAnsi="Arial" w:cs="Arial"/>
            <w:color w:val="DC143C"/>
            <w:sz w:val="22"/>
            <w:szCs w:val="22"/>
            <w:shd w:val="clear" w:color="auto" w:fill="FFFFFF"/>
            <w:lang w:val="es-ES_tradnl"/>
          </w:rPr>
          <w:t>las comisiones</w:t>
        </w:r>
      </w:hyperlink>
      <w:r w:rsidRPr="00CF1B34">
        <w:rPr>
          <w:rFonts w:ascii="Arial" w:hAnsi="Arial" w:cs="Arial"/>
          <w:color w:val="333333"/>
          <w:sz w:val="22"/>
          <w:szCs w:val="22"/>
          <w:shd w:val="clear" w:color="auto" w:fill="FFFFFF"/>
          <w:lang w:val="es-ES_tradnl"/>
        </w:rPr>
        <w:t xml:space="preserve"> que </w:t>
      </w:r>
      <w:hyperlink r:id="rId130" w:history="1">
        <w:r w:rsidRPr="00CF1B34">
          <w:rPr>
            <w:rStyle w:val="Hipervnculo"/>
            <w:rFonts w:ascii="Arial" w:hAnsi="Arial" w:cs="Arial"/>
            <w:color w:val="DC143C"/>
            <w:sz w:val="22"/>
            <w:szCs w:val="22"/>
            <w:shd w:val="clear" w:color="auto" w:fill="FFFFFF"/>
            <w:lang w:val="es-ES_tradnl"/>
          </w:rPr>
          <w:t>las entidades financieras</w:t>
        </w:r>
      </w:hyperlink>
      <w:r w:rsidRPr="00CF1B34">
        <w:rPr>
          <w:rFonts w:ascii="Arial" w:hAnsi="Arial" w:cs="Arial"/>
          <w:color w:val="333333"/>
          <w:sz w:val="22"/>
          <w:szCs w:val="22"/>
          <w:shd w:val="clear" w:color="auto" w:fill="FFFFFF"/>
          <w:lang w:val="es-ES_tradnl"/>
        </w:rPr>
        <w:t xml:space="preserve"> aplican en las hipotecas es la</w:t>
      </w:r>
      <w:r w:rsidR="00CA08E3"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comisión por cancelación anticipada</w:t>
      </w:r>
      <w:r w:rsidRPr="00CF1B34">
        <w:rPr>
          <w:rFonts w:ascii="Arial" w:hAnsi="Arial" w:cs="Arial"/>
          <w:color w:val="333333"/>
          <w:sz w:val="22"/>
          <w:szCs w:val="22"/>
          <w:shd w:val="clear" w:color="auto" w:fill="FFFFFF"/>
          <w:lang w:val="es-ES_tradnl"/>
        </w:rPr>
        <w:t>. Este punto tiene algunos aspectos que debemos tener en cuenta ya que la legislación se ha modificado con el paso del tiempo y es un poco compleja.</w:t>
      </w:r>
    </w:p>
    <w:p w14:paraId="51D16896" w14:textId="0EB19D68" w:rsidR="005A5C56" w:rsidRPr="00CF1B34" w:rsidRDefault="005A5C5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En los prestamos a </w:t>
      </w:r>
      <w:r w:rsidRPr="00CF1B34">
        <w:rPr>
          <w:rFonts w:ascii="Arial" w:hAnsi="Arial" w:cs="Arial"/>
          <w:color w:val="4472C4" w:themeColor="accent1"/>
          <w:sz w:val="22"/>
          <w:szCs w:val="22"/>
          <w:lang w:val="es-ES_tradnl"/>
        </w:rPr>
        <w:t>interés variable</w:t>
      </w:r>
      <w:r w:rsidRPr="00CF1B34">
        <w:rPr>
          <w:rFonts w:ascii="Arial" w:hAnsi="Arial" w:cs="Arial"/>
          <w:color w:val="333333"/>
          <w:sz w:val="22"/>
          <w:szCs w:val="22"/>
          <w:lang w:val="es-ES_tradnl"/>
        </w:rPr>
        <w:t xml:space="preserve"> la cantidad a percibir por la entidad acreedora en concepto de comisión por la amortización anticipada será la siguiente:</w:t>
      </w:r>
    </w:p>
    <w:p w14:paraId="69A62EB0" w14:textId="77777777" w:rsidR="005A5C56" w:rsidRPr="00CF1B34" w:rsidRDefault="005A5C56" w:rsidP="004F7A62">
      <w:pPr>
        <w:numPr>
          <w:ilvl w:val="0"/>
          <w:numId w:val="13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Cuando se haya pactado amortización anticipada sin fijar comisión, no habrá derecho a percibir cantidad alguna por este concepto.</w:t>
      </w:r>
    </w:p>
    <w:p w14:paraId="2759FADE" w14:textId="77777777" w:rsidR="005A5C56" w:rsidRPr="00CF1B34" w:rsidRDefault="005A5C56" w:rsidP="004F7A62">
      <w:pPr>
        <w:numPr>
          <w:ilvl w:val="0"/>
          <w:numId w:val="13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Si se hubiese pactado una comisión de amortización anticipada igual o inferior al 0,50 %, la comisión a percibir será la pactada.</w:t>
      </w:r>
    </w:p>
    <w:p w14:paraId="41F9E3D3" w14:textId="77777777" w:rsidR="005A5C56" w:rsidRPr="00CF1B34" w:rsidRDefault="005A5C56" w:rsidP="004F7A62">
      <w:pPr>
        <w:numPr>
          <w:ilvl w:val="0"/>
          <w:numId w:val="13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En los demás casos, la entidad acreedora solamente podrá percibir por comisión de amortización anticipada el 0,50 %, cualquiera que sea la que se hubiere pactado.</w:t>
      </w:r>
    </w:p>
    <w:p w14:paraId="5AE5F79D" w14:textId="5956532E" w:rsidR="00746A46" w:rsidRPr="00CF1B34" w:rsidRDefault="00746A46" w:rsidP="0005621A">
      <w:pPr>
        <w:pBdr>
          <w:bottom w:val="dotted" w:sz="12" w:space="12" w:color="666666"/>
        </w:pBdr>
        <w:spacing w:after="240"/>
        <w:ind w:left="720"/>
        <w:jc w:val="both"/>
        <w:rPr>
          <w:rFonts w:ascii="Arial" w:hAnsi="Arial" w:cs="Arial"/>
          <w:color w:val="333333"/>
          <w:sz w:val="22"/>
          <w:szCs w:val="22"/>
          <w:shd w:val="clear" w:color="auto" w:fill="FFFFFF"/>
          <w:lang w:val="es-ES_tradnl"/>
        </w:rPr>
      </w:pPr>
      <w:r w:rsidRPr="00CF1B34">
        <w:rPr>
          <w:rFonts w:ascii="Arial" w:hAnsi="Arial" w:cs="Arial"/>
          <w:color w:val="333333"/>
          <w:sz w:val="22"/>
          <w:szCs w:val="22"/>
          <w:shd w:val="clear" w:color="auto" w:fill="FFFFFF"/>
          <w:lang w:val="es-ES_tradnl"/>
        </w:rPr>
        <w:t xml:space="preserve">En el caso de los préstamos concertados a tipo de </w:t>
      </w:r>
      <w:r w:rsidRPr="00CF1B34">
        <w:rPr>
          <w:rFonts w:ascii="Arial" w:hAnsi="Arial" w:cs="Arial"/>
          <w:color w:val="4472C4" w:themeColor="accent1"/>
          <w:sz w:val="22"/>
          <w:szCs w:val="22"/>
          <w:shd w:val="clear" w:color="auto" w:fill="FFFFFF"/>
          <w:lang w:val="es-ES_tradnl"/>
        </w:rPr>
        <w:t>interés fijo</w:t>
      </w:r>
      <w:r w:rsidRPr="00CF1B34">
        <w:rPr>
          <w:rFonts w:ascii="Arial" w:hAnsi="Arial" w:cs="Arial"/>
          <w:color w:val="333333"/>
          <w:sz w:val="22"/>
          <w:szCs w:val="22"/>
          <w:shd w:val="clear" w:color="auto" w:fill="FFFFFF"/>
          <w:lang w:val="es-ES_tradnl"/>
        </w:rPr>
        <w:t>, la comisión aplicable por cancelación parcial o total anticipada, subrogatoria o no subrogatoria será la que se haya pactado en los correspondientes contratos.</w:t>
      </w:r>
    </w:p>
    <w:p w14:paraId="0DE95214" w14:textId="7D347372" w:rsidR="00B31F71" w:rsidRPr="00CF1B34" w:rsidRDefault="00746A4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Aun </w:t>
      </w:r>
      <w:proofErr w:type="gramStart"/>
      <w:r w:rsidRPr="00CF1B34">
        <w:rPr>
          <w:rFonts w:ascii="Arial" w:hAnsi="Arial" w:cs="Arial"/>
          <w:color w:val="333333"/>
          <w:sz w:val="22"/>
          <w:szCs w:val="22"/>
          <w:shd w:val="clear" w:color="auto" w:fill="FFFFFF"/>
          <w:lang w:val="es-ES_tradnl"/>
        </w:rPr>
        <w:t>as</w:t>
      </w:r>
      <w:r w:rsidR="00CA08E3" w:rsidRPr="00CF1B34">
        <w:rPr>
          <w:rFonts w:ascii="Arial" w:hAnsi="Arial" w:cs="Arial"/>
          <w:color w:val="333333"/>
          <w:sz w:val="22"/>
          <w:szCs w:val="22"/>
          <w:shd w:val="clear" w:color="auto" w:fill="FFFFFF"/>
          <w:lang w:val="es-ES_tradnl"/>
        </w:rPr>
        <w:t>í</w:t>
      </w:r>
      <w:proofErr w:type="gramEnd"/>
      <w:r w:rsidRPr="00CF1B34">
        <w:rPr>
          <w:rFonts w:ascii="Arial" w:hAnsi="Arial" w:cs="Arial"/>
          <w:color w:val="333333"/>
          <w:sz w:val="22"/>
          <w:szCs w:val="22"/>
          <w:shd w:val="clear" w:color="auto" w:fill="FFFFFF"/>
          <w:lang w:val="es-ES_tradnl"/>
        </w:rPr>
        <w:t xml:space="preserve"> se debe consultar la ley y tener en cuenta el tipo de contrato</w:t>
      </w:r>
    </w:p>
    <w:p w14:paraId="26EC9ED7" w14:textId="3580166E" w:rsidR="00F476FC" w:rsidRPr="00CF1B34" w:rsidRDefault="00F476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Comisión por </w:t>
      </w:r>
      <w:r w:rsidR="0004120A" w:rsidRPr="00CF1B34">
        <w:rPr>
          <w:rFonts w:ascii="Arial" w:hAnsi="Arial" w:cs="Arial"/>
          <w:b/>
          <w:bCs/>
          <w:color w:val="004773"/>
          <w:sz w:val="22"/>
          <w:szCs w:val="22"/>
          <w:lang w:val="es-ES_tradnl"/>
        </w:rPr>
        <w:t>cancelación</w:t>
      </w:r>
      <w:r w:rsidRPr="00CF1B34">
        <w:rPr>
          <w:rFonts w:ascii="Arial" w:hAnsi="Arial" w:cs="Arial"/>
          <w:b/>
          <w:bCs/>
          <w:color w:val="004773"/>
          <w:sz w:val="22"/>
          <w:szCs w:val="22"/>
          <w:lang w:val="es-ES_tradnl"/>
        </w:rPr>
        <w:t xml:space="preserve"> anticipada (depósitos)</w:t>
      </w:r>
    </w:p>
    <w:p w14:paraId="7E9C9D89" w14:textId="5AD59C63" w:rsidR="00B31F71" w:rsidRPr="00CF1B34" w:rsidRDefault="00B31F71"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Una de las propuestas más conservadoras en materia de </w:t>
      </w:r>
      <w:hyperlink r:id="rId131" w:history="1">
        <w:r w:rsidRPr="00CF1B34">
          <w:rPr>
            <w:rFonts w:ascii="Arial" w:hAnsi="Arial" w:cs="Arial"/>
            <w:color w:val="DC143C"/>
            <w:sz w:val="22"/>
            <w:szCs w:val="22"/>
            <w:u w:val="single"/>
            <w:lang w:val="es-ES_tradnl"/>
          </w:rPr>
          <w:t>productos financieros</w:t>
        </w:r>
      </w:hyperlink>
      <w:r w:rsidRPr="00CF1B34">
        <w:rPr>
          <w:rFonts w:ascii="Arial" w:hAnsi="Arial" w:cs="Arial"/>
          <w:color w:val="333333"/>
          <w:sz w:val="22"/>
          <w:szCs w:val="22"/>
          <w:lang w:val="es-ES_tradnl"/>
        </w:rPr>
        <w:t xml:space="preserve"> es </w:t>
      </w:r>
      <w:r w:rsidRPr="00CF1B34">
        <w:rPr>
          <w:rFonts w:ascii="Arial" w:hAnsi="Arial" w:cs="Arial"/>
          <w:b/>
          <w:bCs/>
          <w:color w:val="333333"/>
          <w:sz w:val="22"/>
          <w:szCs w:val="22"/>
          <w:lang w:val="es-ES_tradnl"/>
        </w:rPr>
        <w:t>constituir un depósito con remuneración a tipo fijo</w:t>
      </w:r>
      <w:r w:rsidRPr="00CF1B34">
        <w:rPr>
          <w:rFonts w:ascii="Arial" w:hAnsi="Arial" w:cs="Arial"/>
          <w:color w:val="333333"/>
          <w:sz w:val="22"/>
          <w:szCs w:val="22"/>
          <w:lang w:val="es-ES_tradnl"/>
        </w:rPr>
        <w:t>, ya que si bien existen propuestas como l</w:t>
      </w:r>
      <w:r w:rsidRPr="00CF1B34">
        <w:rPr>
          <w:rFonts w:ascii="Arial" w:hAnsi="Arial" w:cs="Arial"/>
          <w:b/>
          <w:bCs/>
          <w:color w:val="333333"/>
          <w:sz w:val="22"/>
          <w:szCs w:val="22"/>
          <w:lang w:val="es-ES_tradnl"/>
        </w:rPr>
        <w:t>as imposiciones referenciadas a la bolsa</w:t>
      </w:r>
      <w:r w:rsidRPr="00CF1B34">
        <w:rPr>
          <w:rFonts w:ascii="Arial" w:hAnsi="Arial" w:cs="Arial"/>
          <w:color w:val="333333"/>
          <w:sz w:val="22"/>
          <w:szCs w:val="22"/>
          <w:lang w:val="es-ES_tradnl"/>
        </w:rPr>
        <w:t>.</w:t>
      </w:r>
    </w:p>
    <w:p w14:paraId="59548009" w14:textId="44BB1F4A" w:rsidR="00B31F71" w:rsidRPr="00CF1B34" w:rsidRDefault="00B31F71"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Sin embargo, cuando contratamos un </w:t>
      </w:r>
      <w:hyperlink r:id="rId132" w:history="1">
        <w:r w:rsidRPr="00CF1B34">
          <w:rPr>
            <w:rFonts w:ascii="Arial" w:hAnsi="Arial" w:cs="Arial"/>
            <w:color w:val="DC143C"/>
            <w:sz w:val="22"/>
            <w:szCs w:val="22"/>
            <w:u w:val="single"/>
            <w:lang w:val="es-ES_tradnl"/>
          </w:rPr>
          <w:t>depósito a plazo</w:t>
        </w:r>
      </w:hyperlink>
      <w:r w:rsidRPr="00CF1B34">
        <w:rPr>
          <w:rFonts w:ascii="Arial" w:hAnsi="Arial" w:cs="Arial"/>
          <w:color w:val="333333"/>
          <w:sz w:val="22"/>
          <w:szCs w:val="22"/>
          <w:lang w:val="es-ES_tradnl"/>
        </w:rPr>
        <w:t xml:space="preserve">, siempre pensamos que será hasta su vencimiento, donde cobraremos los intereses que generó nuestro </w:t>
      </w:r>
      <w:hyperlink r:id="rId133" w:history="1">
        <w:r w:rsidRPr="00CF1B34">
          <w:rPr>
            <w:rFonts w:ascii="Arial" w:hAnsi="Arial" w:cs="Arial"/>
            <w:color w:val="DC143C"/>
            <w:sz w:val="22"/>
            <w:szCs w:val="22"/>
            <w:u w:val="single"/>
            <w:lang w:val="es-ES_tradnl"/>
          </w:rPr>
          <w:t>dinero</w:t>
        </w:r>
      </w:hyperlink>
      <w:r w:rsidRPr="00CF1B34">
        <w:rPr>
          <w:rFonts w:ascii="Arial" w:hAnsi="Arial" w:cs="Arial"/>
          <w:color w:val="333333"/>
          <w:sz w:val="22"/>
          <w:szCs w:val="22"/>
          <w:lang w:val="es-ES_tradnl"/>
        </w:rPr>
        <w:t xml:space="preserve">, y recuperaremos el 100% del capital invertido. Pero no siempre lo que proyectamos, termina sucediendo, y en determinadas circunstancias, </w:t>
      </w:r>
      <w:r w:rsidRPr="00CF1B34">
        <w:rPr>
          <w:rFonts w:ascii="Arial" w:hAnsi="Arial" w:cs="Arial"/>
          <w:b/>
          <w:bCs/>
          <w:color w:val="333333"/>
          <w:sz w:val="22"/>
          <w:szCs w:val="22"/>
          <w:lang w:val="es-ES_tradnl"/>
        </w:rPr>
        <w:t>necesitamos disponer de los fondos antes de que finalice el plazo estipulado</w:t>
      </w:r>
      <w:r w:rsidRPr="00CF1B34">
        <w:rPr>
          <w:rFonts w:ascii="Arial" w:hAnsi="Arial" w:cs="Arial"/>
          <w:color w:val="333333"/>
          <w:sz w:val="22"/>
          <w:szCs w:val="22"/>
          <w:lang w:val="es-ES_tradnl"/>
        </w:rPr>
        <w:t>.</w:t>
      </w:r>
    </w:p>
    <w:p w14:paraId="19C0CF6F" w14:textId="6A25761F" w:rsidR="00B31F71" w:rsidRPr="00CF1B34" w:rsidRDefault="00B31F71"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Es por eso que </w:t>
      </w:r>
      <w:r w:rsidRPr="00CF1B34">
        <w:rPr>
          <w:rFonts w:ascii="Arial" w:hAnsi="Arial" w:cs="Arial"/>
          <w:b/>
          <w:bCs/>
          <w:color w:val="333333"/>
          <w:sz w:val="22"/>
          <w:szCs w:val="22"/>
          <w:lang w:val="es-ES_tradnl"/>
        </w:rPr>
        <w:t>los contratos de depósito a plazo suelen permitir la cancelación anticipada</w:t>
      </w:r>
      <w:r w:rsidRPr="00CF1B34">
        <w:rPr>
          <w:rFonts w:ascii="Arial" w:hAnsi="Arial" w:cs="Arial"/>
          <w:color w:val="333333"/>
          <w:sz w:val="22"/>
          <w:szCs w:val="22"/>
          <w:lang w:val="es-ES_tradnl"/>
        </w:rPr>
        <w:t xml:space="preserve">. Pero, ante esta situación, en la mayoría de las oportunidades, </w:t>
      </w:r>
      <w:r w:rsidRPr="00CF1B34">
        <w:rPr>
          <w:rFonts w:ascii="Arial" w:hAnsi="Arial" w:cs="Arial"/>
          <w:b/>
          <w:bCs/>
          <w:color w:val="333333"/>
          <w:sz w:val="22"/>
          <w:szCs w:val="22"/>
          <w:lang w:val="es-ES_tradnl"/>
        </w:rPr>
        <w:t xml:space="preserve">recuperar el </w:t>
      </w:r>
      <w:r w:rsidRPr="00CF1B34">
        <w:rPr>
          <w:rFonts w:ascii="Arial" w:hAnsi="Arial" w:cs="Arial"/>
          <w:b/>
          <w:bCs/>
          <w:color w:val="333333"/>
          <w:sz w:val="22"/>
          <w:szCs w:val="22"/>
          <w:lang w:val="es-ES_tradnl"/>
        </w:rPr>
        <w:lastRenderedPageBreak/>
        <w:t>dinero antes de tiempo, tiene un precio para el cliente, en lo que se denomina comisión, o penalización por cancelación anticipada</w:t>
      </w:r>
      <w:r w:rsidRPr="00CF1B34">
        <w:rPr>
          <w:rFonts w:ascii="Arial" w:hAnsi="Arial" w:cs="Arial"/>
          <w:color w:val="333333"/>
          <w:sz w:val="22"/>
          <w:szCs w:val="22"/>
          <w:lang w:val="es-ES_tradnl"/>
        </w:rPr>
        <w:t>.</w:t>
      </w:r>
    </w:p>
    <w:p w14:paraId="14E299F6" w14:textId="6C0B0CEA" w:rsidR="00B31F71" w:rsidRPr="00CF1B34" w:rsidRDefault="00B31F71"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Este punto que debe estar estipulado expresamente antes de su contratación, está establecido por </w:t>
      </w:r>
      <w:hyperlink r:id="rId134" w:history="1">
        <w:r w:rsidRPr="00CF1B34">
          <w:rPr>
            <w:rFonts w:ascii="Arial" w:hAnsi="Arial" w:cs="Arial"/>
            <w:color w:val="DC143C"/>
            <w:sz w:val="22"/>
            <w:szCs w:val="22"/>
            <w:u w:val="single"/>
            <w:lang w:val="es-ES_tradnl"/>
          </w:rPr>
          <w:t>la entidad financiera</w:t>
        </w:r>
      </w:hyperlink>
      <w:r w:rsidRPr="00CF1B34">
        <w:rPr>
          <w:rFonts w:ascii="Arial" w:hAnsi="Arial" w:cs="Arial"/>
          <w:color w:val="333333"/>
          <w:sz w:val="22"/>
          <w:szCs w:val="22"/>
          <w:lang w:val="es-ES_tradnl"/>
        </w:rPr>
        <w:t xml:space="preserve">, aunque el </w:t>
      </w:r>
      <w:hyperlink r:id="rId135" w:history="1">
        <w:r w:rsidRPr="00CF1B34">
          <w:rPr>
            <w:rFonts w:ascii="Arial" w:hAnsi="Arial" w:cs="Arial"/>
            <w:color w:val="DC143C"/>
            <w:sz w:val="22"/>
            <w:szCs w:val="22"/>
            <w:u w:val="single"/>
            <w:lang w:val="es-ES_tradnl"/>
          </w:rPr>
          <w:t>Banco de España</w:t>
        </w:r>
      </w:hyperlink>
      <w:r w:rsidRPr="00CF1B34">
        <w:rPr>
          <w:rFonts w:ascii="Arial" w:hAnsi="Arial" w:cs="Arial"/>
          <w:color w:val="333333"/>
          <w:sz w:val="22"/>
          <w:szCs w:val="22"/>
          <w:lang w:val="es-ES_tradnl"/>
        </w:rPr>
        <w:t xml:space="preserve"> sostiene que en</w:t>
      </w:r>
      <w:r w:rsidR="0068627F"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los depósitos tradicionales esta penalización o comisión, establece que el importe no debe ser superior al de los intereses brutos devengados desde que se contrató el depósito hasta la fecha de cancelación</w:t>
      </w:r>
      <w:r w:rsidRPr="00CF1B34">
        <w:rPr>
          <w:rFonts w:ascii="Arial" w:hAnsi="Arial" w:cs="Arial"/>
          <w:color w:val="333333"/>
          <w:sz w:val="22"/>
          <w:szCs w:val="22"/>
          <w:lang w:val="es-ES_tradnl"/>
        </w:rPr>
        <w:t>.</w:t>
      </w:r>
    </w:p>
    <w:p w14:paraId="54393487" w14:textId="0C2F7E19" w:rsidR="00B31F71" w:rsidRPr="00CF1B34" w:rsidRDefault="00B31F71"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Sin embargo, en</w:t>
      </w:r>
      <w:r w:rsidRPr="00CF1B34">
        <w:rPr>
          <w:rFonts w:ascii="Arial" w:hAnsi="Arial" w:cs="Arial"/>
          <w:b/>
          <w:bCs/>
          <w:color w:val="333333"/>
          <w:sz w:val="22"/>
          <w:szCs w:val="22"/>
          <w:lang w:val="es-ES_tradnl"/>
        </w:rPr>
        <w:t xml:space="preserve"> los depósitos no tradicionales</w:t>
      </w:r>
      <w:r w:rsidRPr="00CF1B34">
        <w:rPr>
          <w:rFonts w:ascii="Arial" w:hAnsi="Arial" w:cs="Arial"/>
          <w:color w:val="333333"/>
          <w:sz w:val="22"/>
          <w:szCs w:val="22"/>
          <w:lang w:val="es-ES_tradnl"/>
        </w:rPr>
        <w:t>, es decir, los que su</w:t>
      </w:r>
      <w:r w:rsidR="0068627F"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rentabilidad está vinculada a la evolución de un índice como el Euribor, o los referenciados</w:t>
      </w:r>
      <w:r w:rsidR="00CA08E3"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 xml:space="preserve">al comportamiento de acciones en la </w:t>
      </w:r>
      <w:hyperlink r:id="rId136" w:history="1">
        <w:r w:rsidRPr="00CF1B34">
          <w:rPr>
            <w:rFonts w:ascii="Arial" w:hAnsi="Arial" w:cs="Arial"/>
            <w:color w:val="DC143C"/>
            <w:sz w:val="22"/>
            <w:szCs w:val="22"/>
            <w:u w:val="single"/>
            <w:lang w:val="es-ES_tradnl"/>
          </w:rPr>
          <w:t>bolsa</w:t>
        </w:r>
      </w:hyperlink>
      <w:r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generalmente no permite su cancelación anticipada</w:t>
      </w:r>
      <w:r w:rsidRPr="00CF1B34">
        <w:rPr>
          <w:rFonts w:ascii="Arial" w:hAnsi="Arial" w:cs="Arial"/>
          <w:color w:val="333333"/>
          <w:sz w:val="22"/>
          <w:szCs w:val="22"/>
          <w:lang w:val="es-ES_tradnl"/>
        </w:rPr>
        <w:t xml:space="preserve"> y, si establece algún tipo de permiso, será muy diferente a la de los depósitos a tipo fijo.</w:t>
      </w:r>
    </w:p>
    <w:p w14:paraId="31A107CB" w14:textId="2F32BDB0" w:rsidR="00B31F71" w:rsidRPr="00CF1B34" w:rsidRDefault="00B31F71"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Por último, una alternativa que existe es la de </w:t>
      </w:r>
      <w:r w:rsidRPr="00CF1B34">
        <w:rPr>
          <w:rFonts w:ascii="Arial" w:hAnsi="Arial" w:cs="Arial"/>
          <w:b/>
          <w:bCs/>
          <w:color w:val="333333"/>
          <w:sz w:val="22"/>
          <w:szCs w:val="22"/>
          <w:lang w:val="es-ES_tradnl"/>
        </w:rPr>
        <w:t>los depósitos con tipo de interés creciente</w:t>
      </w:r>
      <w:r w:rsidRPr="00CF1B34">
        <w:rPr>
          <w:rFonts w:ascii="Arial" w:hAnsi="Arial" w:cs="Arial"/>
          <w:color w:val="333333"/>
          <w:sz w:val="22"/>
          <w:szCs w:val="22"/>
          <w:lang w:val="es-ES_tradnl"/>
        </w:rPr>
        <w:t xml:space="preserve">. En la mayoría de las ofertas, </w:t>
      </w:r>
      <w:r w:rsidRPr="00CF1B34">
        <w:rPr>
          <w:rFonts w:ascii="Arial" w:hAnsi="Arial" w:cs="Arial"/>
          <w:b/>
          <w:bCs/>
          <w:color w:val="333333"/>
          <w:sz w:val="22"/>
          <w:szCs w:val="22"/>
          <w:lang w:val="es-ES_tradnl"/>
        </w:rPr>
        <w:t>no penalizan esta opción, aunque perdemos los mejores tipos que aplican para los últimos períodos, perdiéndonos las mejores condiciones</w:t>
      </w:r>
      <w:r w:rsidRPr="00CF1B34">
        <w:rPr>
          <w:rFonts w:ascii="Arial" w:hAnsi="Arial" w:cs="Arial"/>
          <w:color w:val="333333"/>
          <w:sz w:val="22"/>
          <w:szCs w:val="22"/>
          <w:lang w:val="es-ES_tradnl"/>
        </w:rPr>
        <w:t>.</w:t>
      </w:r>
    </w:p>
    <w:p w14:paraId="7C07C6FD" w14:textId="3E76392E" w:rsidR="00B31F71" w:rsidRPr="00CF1B34" w:rsidRDefault="00B31F7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Las comisiones por cancelación anticipada son una de las principales diferencias que aplican entre los depósitos y </w:t>
      </w:r>
      <w:hyperlink r:id="rId137" w:history="1">
        <w:r w:rsidRPr="00CF1B34">
          <w:rPr>
            <w:rFonts w:ascii="Arial" w:hAnsi="Arial" w:cs="Arial"/>
            <w:color w:val="DC143C"/>
            <w:sz w:val="22"/>
            <w:szCs w:val="22"/>
            <w:u w:val="single"/>
            <w:lang w:val="es-ES_tradnl"/>
          </w:rPr>
          <w:t>las cuentas remuneradas</w:t>
        </w:r>
      </w:hyperlink>
      <w:r w:rsidRPr="00CF1B34">
        <w:rPr>
          <w:rFonts w:ascii="Arial" w:hAnsi="Arial" w:cs="Arial"/>
          <w:color w:val="333333"/>
          <w:sz w:val="22"/>
          <w:szCs w:val="22"/>
          <w:lang w:val="es-ES_tradnl"/>
        </w:rPr>
        <w:t>, ya que éstas últimas, no castigan por rescatar nuestros ahorros, ya que ofrecen total disponibilidad de los fondos.</w:t>
      </w:r>
    </w:p>
    <w:p w14:paraId="07A504AB" w14:textId="725683B6" w:rsidR="00F476FC" w:rsidRPr="00CF1B34" w:rsidRDefault="00F476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Comisiones bancarias</w:t>
      </w:r>
    </w:p>
    <w:p w14:paraId="008C99CB" w14:textId="59976C12" w:rsidR="00CA08E3" w:rsidRPr="00CF1B34" w:rsidRDefault="00CA08E3"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 xml:space="preserve">Como sabemos son las entidades las que deciden y establecen cuándo modificar estas tarifas, también existe una normativa que respalda los derechos de nosotros los usuarios de estos servicios. </w:t>
      </w:r>
      <w:r w:rsidRPr="00CF1B34">
        <w:rPr>
          <w:rFonts w:ascii="Arial" w:hAnsi="Arial" w:cs="Arial"/>
          <w:color w:val="333333"/>
          <w:sz w:val="22"/>
          <w:szCs w:val="22"/>
          <w:lang w:val="es-ES_tradnl"/>
        </w:rPr>
        <w:t xml:space="preserve">De esta manera, el cliente le asiste el derecho de exigir una rebaja de las comisiones, haciendo pesar la cartera de productos que haya contratado como: </w:t>
      </w:r>
      <w:hyperlink r:id="rId138" w:history="1">
        <w:r w:rsidRPr="00CF1B34">
          <w:rPr>
            <w:rFonts w:ascii="Arial" w:hAnsi="Arial" w:cs="Arial"/>
            <w:color w:val="DC143C"/>
            <w:sz w:val="22"/>
            <w:szCs w:val="22"/>
            <w:u w:val="single"/>
            <w:lang w:val="es-ES_tradnl"/>
          </w:rPr>
          <w:t>tarjetas</w:t>
        </w:r>
      </w:hyperlink>
      <w:r w:rsidRPr="00CF1B34">
        <w:rPr>
          <w:rFonts w:ascii="Arial" w:hAnsi="Arial" w:cs="Arial"/>
          <w:color w:val="333333"/>
          <w:sz w:val="22"/>
          <w:szCs w:val="22"/>
          <w:lang w:val="es-ES_tradnl"/>
        </w:rPr>
        <w:t xml:space="preserve">, </w:t>
      </w:r>
      <w:hyperlink r:id="rId139" w:history="1">
        <w:r w:rsidRPr="00CF1B34">
          <w:rPr>
            <w:rFonts w:ascii="Arial" w:hAnsi="Arial" w:cs="Arial"/>
            <w:color w:val="DC143C"/>
            <w:sz w:val="22"/>
            <w:szCs w:val="22"/>
            <w:u w:val="single"/>
            <w:lang w:val="es-ES_tradnl"/>
          </w:rPr>
          <w:t>préstamos</w:t>
        </w:r>
      </w:hyperlink>
      <w:r w:rsidRPr="00CF1B34">
        <w:rPr>
          <w:rFonts w:ascii="Arial" w:hAnsi="Arial" w:cs="Arial"/>
          <w:color w:val="333333"/>
          <w:sz w:val="22"/>
          <w:szCs w:val="22"/>
          <w:lang w:val="es-ES_tradnl"/>
        </w:rPr>
        <w:t>, fondos, y demás. Cómo indican más alta es la relación del cliente con la entidad, mayores facilidades podrá tener para exigir una rebaja en las tarifas que le cobra su entidad.</w:t>
      </w:r>
    </w:p>
    <w:p w14:paraId="2CF4B68C" w14:textId="77777777" w:rsidR="00CA08E3" w:rsidRPr="00CF1B34" w:rsidRDefault="00CA08E3"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Respecto a esto desde el Banco de España, remarcan que –nadie queda obligado de manera indefinida a pagar una comisión-, lo que conviene es calcular los gastos anuales en comisiones y, tras los resultados,</w:t>
      </w:r>
      <w:r w:rsidRPr="00CF1B34">
        <w:rPr>
          <w:rFonts w:ascii="Arial" w:hAnsi="Arial" w:cs="Arial"/>
          <w:color w:val="333333"/>
          <w:sz w:val="22"/>
          <w:szCs w:val="22"/>
          <w:lang w:val="es-ES_tradnl"/>
        </w:rPr>
        <w:t> sentarse a negociar con la entidad. Para dicha negociación, algunos expertos desaconsejan pedir una reducción de una sola vez de todas las comisiones que se paguen. Lo mejor es que el cliente negocie poco a poco las tarifas e iniciar las negociaciones por las de las operaciones que son más habituales, como las transferencias.</w:t>
      </w:r>
    </w:p>
    <w:p w14:paraId="54A4A0E3" w14:textId="77777777" w:rsidR="00CA08E3" w:rsidRPr="00CF1B34" w:rsidRDefault="00CA08E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La entidad debe publicar en el tablón de las sucursales las nuevas tarifas con 2 meses previos. Si opera con entidades vía telefónica, deberán comunicar por escrito los cambios; y si son bancos on-line, deben incluirlos en sus páginas Web.</w:t>
      </w:r>
    </w:p>
    <w:p w14:paraId="79B7E0CF" w14:textId="77777777" w:rsidR="00F476FC" w:rsidRPr="00CF1B34" w:rsidRDefault="00F476FC" w:rsidP="0005621A">
      <w:pPr>
        <w:jc w:val="both"/>
        <w:rPr>
          <w:rFonts w:ascii="Arial" w:hAnsi="Arial" w:cs="Arial"/>
          <w:b/>
          <w:bCs/>
          <w:color w:val="004773"/>
          <w:sz w:val="22"/>
          <w:szCs w:val="22"/>
          <w:lang w:val="es-ES_tradnl"/>
        </w:rPr>
      </w:pPr>
    </w:p>
    <w:p w14:paraId="525B3E30" w14:textId="7236C81C" w:rsidR="00F476FC" w:rsidRPr="00CF1B34" w:rsidRDefault="00F476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Comisiones (CFDs)</w:t>
      </w:r>
    </w:p>
    <w:p w14:paraId="3AA7C52C" w14:textId="5143EB25" w:rsidR="00F476FC" w:rsidRPr="00CF1B34" w:rsidRDefault="00F476FC" w:rsidP="0005621A">
      <w:pPr>
        <w:jc w:val="both"/>
        <w:rPr>
          <w:rFonts w:ascii="Arial" w:hAnsi="Arial" w:cs="Arial"/>
          <w:b/>
          <w:bCs/>
          <w:color w:val="004773"/>
          <w:sz w:val="22"/>
          <w:szCs w:val="22"/>
          <w:lang w:val="es-ES_tradnl"/>
        </w:rPr>
      </w:pPr>
    </w:p>
    <w:p w14:paraId="791174DE" w14:textId="77777777" w:rsidR="00F476FC" w:rsidRPr="00CF1B34" w:rsidRDefault="00F476FC" w:rsidP="0005621A">
      <w:pPr>
        <w:jc w:val="both"/>
        <w:rPr>
          <w:rFonts w:ascii="Arial" w:hAnsi="Arial" w:cs="Arial"/>
          <w:b/>
          <w:bCs/>
          <w:color w:val="004773"/>
          <w:sz w:val="22"/>
          <w:szCs w:val="22"/>
          <w:lang w:val="es-ES_tradnl"/>
        </w:rPr>
      </w:pPr>
    </w:p>
    <w:p w14:paraId="3ABE5D15" w14:textId="77777777" w:rsidR="00F476FC" w:rsidRPr="00CF1B34" w:rsidRDefault="00F476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Comisiones (planes de pensiones)</w:t>
      </w:r>
    </w:p>
    <w:p w14:paraId="3EBD8687" w14:textId="77777777" w:rsidR="00CA08E3" w:rsidRPr="00CF1B34" w:rsidRDefault="00CA08E3"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shd w:val="clear" w:color="auto" w:fill="FFFFFF"/>
          <w:lang w:val="es-ES_tradnl"/>
        </w:rPr>
        <w:t xml:space="preserve">A partir del 10 de abril de 2018, </w:t>
      </w:r>
      <w:r w:rsidRPr="00CF1B34">
        <w:rPr>
          <w:rFonts w:ascii="Arial" w:hAnsi="Arial" w:cs="Arial"/>
          <w:color w:val="333333"/>
          <w:sz w:val="22"/>
          <w:szCs w:val="22"/>
          <w:shd w:val="clear" w:color="auto" w:fill="FFFFFF"/>
          <w:lang w:val="es-ES_tradnl"/>
        </w:rPr>
        <w:t>entra en vigor el</w:t>
      </w:r>
      <w:r w:rsidRPr="00CF1B34">
        <w:rPr>
          <w:rStyle w:val="Textoennegrita"/>
          <w:rFonts w:ascii="Arial" w:hAnsi="Arial" w:cs="Arial"/>
          <w:color w:val="333333"/>
          <w:sz w:val="22"/>
          <w:szCs w:val="22"/>
          <w:shd w:val="clear" w:color="auto" w:fill="FFFFFF"/>
          <w:lang w:val="es-ES_tradnl"/>
        </w:rPr>
        <w:t xml:space="preserve"> </w:t>
      </w:r>
      <w:hyperlink r:id="rId140" w:history="1">
        <w:r w:rsidRPr="00CF1B34">
          <w:rPr>
            <w:rStyle w:val="Hipervnculo"/>
            <w:rFonts w:ascii="Arial" w:hAnsi="Arial" w:cs="Arial"/>
            <w:b/>
            <w:bCs/>
            <w:color w:val="DC143C"/>
            <w:sz w:val="22"/>
            <w:szCs w:val="22"/>
            <w:u w:val="none"/>
            <w:lang w:val="es-ES_tradnl"/>
          </w:rPr>
          <w:t>decreto del Gobierno que establece tres tramos con sendos tipos máximos</w:t>
        </w:r>
      </w:hyperlink>
      <w:r w:rsidRPr="00CF1B34">
        <w:rPr>
          <w:rStyle w:val="Textoennegrita"/>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 xml:space="preserve">aunque se publicó en el </w:t>
      </w:r>
      <w:r w:rsidRPr="00CF1B34">
        <w:rPr>
          <w:rStyle w:val="Textoennegrita"/>
          <w:rFonts w:ascii="Arial" w:hAnsi="Arial" w:cs="Arial"/>
          <w:color w:val="333333"/>
          <w:sz w:val="22"/>
          <w:szCs w:val="22"/>
          <w:shd w:val="clear" w:color="auto" w:fill="FFFFFF"/>
          <w:lang w:val="es-ES_tradnl"/>
        </w:rPr>
        <w:t>Boletín Oficial del Estado (BOE)</w:t>
      </w:r>
      <w:r w:rsidRPr="00CF1B34">
        <w:rPr>
          <w:rFonts w:ascii="Arial" w:hAnsi="Arial" w:cs="Arial"/>
          <w:color w:val="333333"/>
          <w:sz w:val="22"/>
          <w:szCs w:val="22"/>
          <w:shd w:val="clear" w:color="auto" w:fill="FFFFFF"/>
          <w:lang w:val="es-ES_tradnl"/>
        </w:rPr>
        <w:t xml:space="preserve"> el pasado 9 de febrero. De esta manera, </w:t>
      </w:r>
      <w:r w:rsidRPr="00CF1B34">
        <w:rPr>
          <w:rStyle w:val="Textoennegrita"/>
          <w:rFonts w:ascii="Arial" w:hAnsi="Arial" w:cs="Arial"/>
          <w:color w:val="333333"/>
          <w:sz w:val="22"/>
          <w:szCs w:val="22"/>
          <w:shd w:val="clear" w:color="auto" w:fill="FFFFFF"/>
          <w:lang w:val="es-ES_tradnl"/>
        </w:rPr>
        <w:t xml:space="preserve">la comisión máxima para los fondos de renta fija es del 0,85%; para los de renta mixta, del 1,3%; y para el resto </w:t>
      </w:r>
      <w:r w:rsidRPr="00CF1B34">
        <w:rPr>
          <w:rStyle w:val="Textoennegrita"/>
          <w:rFonts w:ascii="Arial" w:hAnsi="Arial" w:cs="Arial"/>
          <w:color w:val="333333"/>
          <w:sz w:val="22"/>
          <w:szCs w:val="22"/>
          <w:shd w:val="clear" w:color="auto" w:fill="FFFFFF"/>
          <w:lang w:val="es-ES_tradnl"/>
        </w:rPr>
        <w:lastRenderedPageBreak/>
        <w:t>(renta variable y garantizados), del 1,5%, que era el porcentaje tope que hasta ahora se aplicaba a todos estos productos de ahorro</w:t>
      </w:r>
      <w:r w:rsidRPr="00CF1B34">
        <w:rPr>
          <w:rStyle w:val="Textoennegrita"/>
          <w:rFonts w:ascii="Arial" w:hAnsi="Arial" w:cs="Arial"/>
          <w:color w:val="333333"/>
          <w:shd w:val="clear" w:color="auto" w:fill="FFFFFF"/>
          <w:lang w:val="es-ES_tradnl"/>
        </w:rPr>
        <w:t>.</w:t>
      </w:r>
    </w:p>
    <w:p w14:paraId="0F47035A" w14:textId="5F4E095F" w:rsidR="00F476FC" w:rsidRPr="00CF1B34" w:rsidRDefault="0046455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Comisiones por descubierto</w:t>
      </w:r>
    </w:p>
    <w:p w14:paraId="12B34EB3" w14:textId="326CEA17" w:rsidR="009C7E77" w:rsidRPr="00CF1B34" w:rsidRDefault="009C7E77"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Las </w:t>
      </w:r>
      <w:r w:rsidRPr="00CF1B34">
        <w:rPr>
          <w:rFonts w:ascii="Arial" w:hAnsi="Arial" w:cs="Arial"/>
          <w:b/>
          <w:bCs/>
          <w:color w:val="333333"/>
          <w:sz w:val="22"/>
          <w:szCs w:val="22"/>
          <w:lang w:val="es-ES_tradnl"/>
        </w:rPr>
        <w:t>comisiones por descubierto</w:t>
      </w:r>
      <w:r w:rsidRPr="00CF1B34">
        <w:rPr>
          <w:rFonts w:ascii="Arial" w:hAnsi="Arial" w:cs="Arial"/>
          <w:color w:val="333333"/>
          <w:sz w:val="22"/>
          <w:szCs w:val="22"/>
          <w:lang w:val="es-ES_tradnl"/>
        </w:rPr>
        <w:t xml:space="preserve"> son los </w:t>
      </w:r>
      <w:r w:rsidRPr="00CF1B34">
        <w:rPr>
          <w:rFonts w:ascii="Arial" w:hAnsi="Arial" w:cs="Arial"/>
          <w:b/>
          <w:bCs/>
          <w:color w:val="333333"/>
          <w:sz w:val="22"/>
          <w:szCs w:val="22"/>
          <w:lang w:val="es-ES_tradnl"/>
        </w:rPr>
        <w:t xml:space="preserve">gastos que cobran los </w:t>
      </w:r>
      <w:hyperlink r:id="rId141" w:history="1">
        <w:r w:rsidRPr="00CF1B34">
          <w:rPr>
            <w:rFonts w:ascii="Arial" w:hAnsi="Arial" w:cs="Arial"/>
            <w:b/>
            <w:bCs/>
            <w:color w:val="DC143C"/>
            <w:sz w:val="22"/>
            <w:szCs w:val="22"/>
            <w:lang w:val="es-ES_tradnl"/>
          </w:rPr>
          <w:t>bancos y cajas de ahorro</w:t>
        </w:r>
      </w:hyperlink>
      <w:r w:rsidRPr="00CF1B34">
        <w:rPr>
          <w:rFonts w:ascii="Arial" w:hAnsi="Arial" w:cs="Arial"/>
          <w:b/>
          <w:bCs/>
          <w:color w:val="333333"/>
          <w:sz w:val="22"/>
          <w:szCs w:val="22"/>
          <w:lang w:val="es-ES_tradnl"/>
        </w:rPr>
        <w:t xml:space="preserve"> cuando permiten hacer un cargo o disponer de la cuenta en ocasiones en que el saldo sea inferior al que se utiliza</w:t>
      </w:r>
      <w:r w:rsidRPr="00CF1B34">
        <w:rPr>
          <w:rFonts w:ascii="Arial" w:hAnsi="Arial" w:cs="Arial"/>
          <w:color w:val="333333"/>
          <w:sz w:val="22"/>
          <w:szCs w:val="22"/>
          <w:lang w:val="es-ES_tradnl"/>
        </w:rPr>
        <w:t>.</w:t>
      </w:r>
    </w:p>
    <w:p w14:paraId="03DED1CB" w14:textId="70F82C8F" w:rsidR="009C7E77" w:rsidRPr="00CF1B34" w:rsidRDefault="009C7E77"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Estas comisiones son sólo algunas de las que cobran las entidades, y la </w:t>
      </w:r>
      <w:r w:rsidRPr="00CF1B34">
        <w:rPr>
          <w:rFonts w:ascii="Arial" w:hAnsi="Arial" w:cs="Arial"/>
          <w:b/>
          <w:bCs/>
          <w:color w:val="333333"/>
          <w:sz w:val="22"/>
          <w:szCs w:val="22"/>
          <w:lang w:val="es-ES_tradnl"/>
        </w:rPr>
        <w:t>tasa media ronda el 13% en el caso de las cajas y poco más del 14% en los bancos</w:t>
      </w:r>
      <w:r w:rsidRPr="00CF1B34">
        <w:rPr>
          <w:rFonts w:ascii="Arial" w:hAnsi="Arial" w:cs="Arial"/>
          <w:color w:val="333333"/>
          <w:sz w:val="22"/>
          <w:szCs w:val="22"/>
          <w:lang w:val="es-ES_tradnl"/>
        </w:rPr>
        <w:t>. No obstante, y tras muchos abusos, se marcaron tres limitaciones al cobro de esas comisiones, y es importante que los clientes bancarios estén al tanto de esto para no abonar cargos que no corresponden.</w:t>
      </w:r>
    </w:p>
    <w:p w14:paraId="16230508" w14:textId="15A9C3EC" w:rsidR="009C7E77" w:rsidRPr="00CF1B34" w:rsidRDefault="009C7E77" w:rsidP="004F7A62">
      <w:pPr>
        <w:numPr>
          <w:ilvl w:val="0"/>
          <w:numId w:val="13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 comisión no puede ser cobrada dos veces por el mismo saldo negativo o uso del descubierto. En caso de que el cliente gire en descubierto, debe tener en cuenta que a la comisión correspondiente se le adicionarán los intereses relacionados al </w:t>
      </w:r>
      <w:hyperlink r:id="rId142" w:history="1">
        <w:r w:rsidRPr="00CF1B34">
          <w:rPr>
            <w:rFonts w:ascii="Arial" w:hAnsi="Arial" w:cs="Arial"/>
            <w:color w:val="DC143C"/>
            <w:sz w:val="22"/>
            <w:szCs w:val="22"/>
            <w:u w:val="single"/>
            <w:lang w:val="es-ES_tradnl"/>
          </w:rPr>
          <w:t>crédito</w:t>
        </w:r>
      </w:hyperlink>
      <w:r w:rsidRPr="00CF1B34">
        <w:rPr>
          <w:rFonts w:ascii="Arial" w:hAnsi="Arial" w:cs="Arial"/>
          <w:color w:val="333333"/>
          <w:sz w:val="22"/>
          <w:szCs w:val="22"/>
          <w:lang w:val="es-ES_tradnl"/>
        </w:rPr>
        <w:t xml:space="preserve"> tomado de ese modo al banco.</w:t>
      </w:r>
    </w:p>
    <w:p w14:paraId="5884C4CB" w14:textId="77777777" w:rsidR="009C7E77" w:rsidRPr="00CF1B34" w:rsidRDefault="009C7E77" w:rsidP="004F7A62">
      <w:pPr>
        <w:numPr>
          <w:ilvl w:val="0"/>
          <w:numId w:val="13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 causa del descubierto es la diferencia de fechas de valoración entre ingresos y reintegros en esa cuenta debido a los procedimientos bancarios.</w:t>
      </w:r>
    </w:p>
    <w:p w14:paraId="787E851F" w14:textId="758F2DE0" w:rsidR="009C7E77" w:rsidRPr="00CF1B34" w:rsidRDefault="009C7E77" w:rsidP="004F7A62">
      <w:pPr>
        <w:numPr>
          <w:ilvl w:val="0"/>
          <w:numId w:val="13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 comisión mas los intereses originados por el descubierto NUNCA podrán llegar a una </w:t>
      </w:r>
      <w:hyperlink r:id="rId143" w:history="1">
        <w:r w:rsidRPr="00CF1B34">
          <w:rPr>
            <w:rFonts w:ascii="Arial" w:hAnsi="Arial" w:cs="Arial"/>
            <w:color w:val="DC143C"/>
            <w:sz w:val="22"/>
            <w:szCs w:val="22"/>
            <w:u w:val="single"/>
            <w:lang w:val="es-ES_tradnl"/>
          </w:rPr>
          <w:t>Tasa Anual Equivalente (TAE)</w:t>
        </w:r>
      </w:hyperlink>
      <w:r w:rsidRPr="00CF1B34">
        <w:rPr>
          <w:rFonts w:ascii="Arial" w:hAnsi="Arial" w:cs="Arial"/>
          <w:color w:val="333333"/>
          <w:sz w:val="22"/>
          <w:szCs w:val="22"/>
          <w:lang w:val="es-ES_tradnl"/>
        </w:rPr>
        <w:t xml:space="preserve"> a dos veces y medio el interés legal de </w:t>
      </w:r>
      <w:hyperlink r:id="rId144" w:history="1">
        <w:r w:rsidRPr="00CF1B34">
          <w:rPr>
            <w:rFonts w:ascii="Arial" w:hAnsi="Arial" w:cs="Arial"/>
            <w:color w:val="4472C4" w:themeColor="accent1"/>
            <w:sz w:val="22"/>
            <w:szCs w:val="22"/>
            <w:u w:val="single"/>
            <w:lang w:val="es-ES_tradnl"/>
          </w:rPr>
          <w:t>dinero</w:t>
        </w:r>
      </w:hyperlink>
      <w:r w:rsidRPr="00CF1B34">
        <w:rPr>
          <w:rFonts w:ascii="Arial" w:hAnsi="Arial" w:cs="Arial"/>
          <w:color w:val="4472C4" w:themeColor="accent1"/>
          <w:sz w:val="22"/>
          <w:szCs w:val="22"/>
          <w:lang w:val="es-ES_tradnl"/>
        </w:rPr>
        <w:t>.</w:t>
      </w:r>
    </w:p>
    <w:p w14:paraId="50E371A7" w14:textId="77777777" w:rsidR="009C7E77" w:rsidRPr="00CF1B34" w:rsidRDefault="009C7E77" w:rsidP="0005621A">
      <w:pPr>
        <w:pStyle w:val="Prrafodelista"/>
        <w:pBdr>
          <w:bottom w:val="dotted" w:sz="12" w:space="12" w:color="666666"/>
        </w:pBdr>
        <w:spacing w:after="240"/>
        <w:jc w:val="both"/>
        <w:rPr>
          <w:rFonts w:ascii="Arial" w:hAnsi="Arial" w:cs="Arial"/>
          <w:color w:val="212529"/>
          <w:sz w:val="22"/>
          <w:szCs w:val="22"/>
          <w:lang w:val="es-ES_tradnl"/>
        </w:rPr>
      </w:pPr>
    </w:p>
    <w:p w14:paraId="197B7425" w14:textId="16555B1D" w:rsidR="00464557" w:rsidRPr="00CF1B34" w:rsidRDefault="0046455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Comisiones tarjeta de crédito</w:t>
      </w:r>
    </w:p>
    <w:p w14:paraId="236D191B" w14:textId="15053BDC" w:rsidR="00C14695" w:rsidRPr="00CF1B34" w:rsidRDefault="00C14695" w:rsidP="0005621A">
      <w:pPr>
        <w:ind w:left="708"/>
        <w:jc w:val="both"/>
        <w:rPr>
          <w:rFonts w:ascii="Arial" w:hAnsi="Arial" w:cs="Arial"/>
          <w:b/>
          <w:bCs/>
          <w:sz w:val="22"/>
          <w:szCs w:val="22"/>
          <w:lang w:val="es-ES_tradnl"/>
        </w:rPr>
      </w:pPr>
      <w:r w:rsidRPr="00CF1B34">
        <w:rPr>
          <w:rStyle w:val="Textoennegrita"/>
          <w:rFonts w:ascii="Arial" w:hAnsi="Arial" w:cs="Arial"/>
          <w:b w:val="0"/>
          <w:bCs w:val="0"/>
          <w:color w:val="333333"/>
          <w:sz w:val="22"/>
          <w:szCs w:val="22"/>
          <w:shd w:val="clear" w:color="auto" w:fill="FFFFFF"/>
          <w:lang w:val="es-ES_tradnl"/>
        </w:rPr>
        <w:t>Las comisiones de la tarjeta de crédito son uno de los elementos a los que más atención se debe prestar si no queremos salir perdiendo por el uso del dinero de plástico. Y es que</w:t>
      </w:r>
      <w:r w:rsidR="0068627F" w:rsidRPr="00CF1B34">
        <w:rPr>
          <w:rStyle w:val="Textoennegrita"/>
          <w:rFonts w:ascii="Arial" w:hAnsi="Arial" w:cs="Arial"/>
          <w:b w:val="0"/>
          <w:bCs w:val="0"/>
          <w:color w:val="333333"/>
          <w:sz w:val="22"/>
          <w:szCs w:val="22"/>
          <w:shd w:val="clear" w:color="auto" w:fill="FFFFFF"/>
          <w:lang w:val="es-ES_tradnl"/>
        </w:rPr>
        <w:t>,</w:t>
      </w:r>
      <w:r w:rsidRPr="00CF1B34">
        <w:rPr>
          <w:rStyle w:val="Textoennegrita"/>
          <w:rFonts w:ascii="Arial" w:hAnsi="Arial" w:cs="Arial"/>
          <w:b w:val="0"/>
          <w:bCs w:val="0"/>
          <w:color w:val="333333"/>
          <w:sz w:val="22"/>
          <w:szCs w:val="22"/>
          <w:shd w:val="clear" w:color="auto" w:fill="FFFFFF"/>
          <w:lang w:val="es-ES_tradnl"/>
        </w:rPr>
        <w:t xml:space="preserve"> a diferencia de las tarjetas de débito, las comisiones sí pueden marcar la diferencia a la hora de utilizar la tarjeta de crédito.</w:t>
      </w:r>
    </w:p>
    <w:p w14:paraId="205F1086" w14:textId="4503AAC1" w:rsidR="00C40348" w:rsidRPr="00CF1B34" w:rsidRDefault="00C40348" w:rsidP="004F7A62">
      <w:pPr>
        <w:numPr>
          <w:ilvl w:val="0"/>
          <w:numId w:val="13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Comisión por emisión, renovación y mantenimiento:</w:t>
      </w:r>
      <w:r w:rsidR="0068627F"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la posibilidad de cobro debe estar expresamente en el propio contrato, así como la exención de la misma si fuera el caso. Esta comisión es una cantidad fija que el cliente paga al emitirse la tarjeta y que después debe abonar cada año en el momento de la renovación del contrato. El coste de mantenimiento dependerá de las prestaciones de la tarjeta. También suele cobrarse la emisión de copias adicionales, aunque en este caso el coste casi siempre es menor.</w:t>
      </w:r>
    </w:p>
    <w:p w14:paraId="7A09B3E0" w14:textId="3671D751" w:rsidR="00C40348" w:rsidRPr="00CF1B34" w:rsidRDefault="00C40348" w:rsidP="004F7A62">
      <w:pPr>
        <w:numPr>
          <w:ilvl w:val="0"/>
          <w:numId w:val="13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Comisión por transferencia de fondos</w:t>
      </w:r>
      <w:r w:rsidRPr="00CF1B34">
        <w:rPr>
          <w:rFonts w:ascii="Arial" w:hAnsi="Arial" w:cs="Arial"/>
          <w:color w:val="333333"/>
          <w:sz w:val="22"/>
          <w:szCs w:val="22"/>
          <w:lang w:val="es-ES_tradnl"/>
        </w:rPr>
        <w:t>: esta comisión es un porcentaje que la entidad se queda cuando se traspasan fondos de una tarjeta a otra. Suele ser mayor al que se aplica a las operaciones entre cuentas corrientes.</w:t>
      </w:r>
    </w:p>
    <w:p w14:paraId="6146985A" w14:textId="5A7FD546" w:rsidR="00C40348" w:rsidRPr="00CF1B34" w:rsidRDefault="00C40348" w:rsidP="004F7A62">
      <w:pPr>
        <w:numPr>
          <w:ilvl w:val="0"/>
          <w:numId w:val="13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Comisión por descubierto o excedido:</w:t>
      </w:r>
      <w:r w:rsidR="0068627F"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cuando un cliente hace un gasto y en el momento de pago no dispone de dinero en la cuenta para hacer frente al mismo se activa esta comisión, que también funciona cuando se excede el límite de crédito previamente pactado. En este caso puede tratarse de una de una cantidad fija o un porcentaje sobre el dinero descubierto.</w:t>
      </w:r>
    </w:p>
    <w:p w14:paraId="6C4F97D3" w14:textId="77777777" w:rsidR="00C40348" w:rsidRPr="00CF1B34" w:rsidRDefault="00C40348" w:rsidP="004F7A62">
      <w:pPr>
        <w:numPr>
          <w:ilvl w:val="0"/>
          <w:numId w:val="13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Comisión por reclamación por impago</w:t>
      </w:r>
      <w:r w:rsidRPr="00CF1B34">
        <w:rPr>
          <w:rFonts w:ascii="Arial" w:hAnsi="Arial" w:cs="Arial"/>
          <w:color w:val="333333"/>
          <w:sz w:val="22"/>
          <w:szCs w:val="22"/>
          <w:lang w:val="es-ES_tradnl"/>
        </w:rPr>
        <w:t>: se trata de la cantidad que la entidad cobra simplemente por tener que reclamar el pago de saldos adeudados. A esto, claro está, hay que sumarle los intereses que genera esa deuda.</w:t>
      </w:r>
    </w:p>
    <w:p w14:paraId="44805F68" w14:textId="656BFF6B" w:rsidR="00C40348" w:rsidRPr="00CF1B34" w:rsidRDefault="00C40348" w:rsidP="004F7A62">
      <w:pPr>
        <w:numPr>
          <w:ilvl w:val="0"/>
          <w:numId w:val="13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Comisión por cancelación anticipada:</w:t>
      </w:r>
      <w:r w:rsidR="0068627F"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algunas entidades cobran una comisión si el cliente cancela la tarjeta antes de amortizar las deudas. Esta suele ser del 3% del capital pendiente de pago.</w:t>
      </w:r>
    </w:p>
    <w:p w14:paraId="6B576DEB" w14:textId="1D7A095C" w:rsidR="00C40348" w:rsidRPr="00CF1B34" w:rsidRDefault="00C40348" w:rsidP="004F7A62">
      <w:pPr>
        <w:numPr>
          <w:ilvl w:val="0"/>
          <w:numId w:val="13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 xml:space="preserve">Comisión por retirada de efectivo en cajeros: </w:t>
      </w:r>
      <w:r w:rsidRPr="00CF1B34">
        <w:rPr>
          <w:rFonts w:ascii="Arial" w:hAnsi="Arial" w:cs="Arial"/>
          <w:color w:val="333333"/>
          <w:sz w:val="22"/>
          <w:szCs w:val="22"/>
          <w:lang w:val="es-ES_tradnl"/>
        </w:rPr>
        <w:t>si el cajero no pertenece a red de su banco es muy probable que se encuentre con una tasa por retirar dinero efectivo.</w:t>
      </w:r>
    </w:p>
    <w:p w14:paraId="2005C132" w14:textId="21CE6AFF" w:rsidR="00C40348" w:rsidRPr="00CF1B34" w:rsidRDefault="00C4034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lastRenderedPageBreak/>
        <w:t>En general en nuestro país</w:t>
      </w:r>
      <w:r w:rsidR="0068627F"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nos movemos dentro de unos productos financieros caros,</w:t>
      </w:r>
      <w:r w:rsidR="0068627F"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a los que se aplican comisiones muy elevadas. El caso concreto de las tarjetas de crédito tenemos el dudoso honor de estar en las posiciones de cabeza dentro de las comisiones más caras del ámbito europeo.</w:t>
      </w:r>
      <w:r w:rsidRPr="00CF1B34">
        <w:rPr>
          <w:rFonts w:ascii="Arial" w:hAnsi="Arial" w:cs="Arial"/>
          <w:color w:val="212529"/>
          <w:sz w:val="22"/>
          <w:szCs w:val="22"/>
          <w:lang w:val="es-ES_tradnl"/>
        </w:rPr>
        <w:t xml:space="preserve"> </w:t>
      </w:r>
    </w:p>
    <w:p w14:paraId="07709F38" w14:textId="00C0F58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Comisión sobre patrimonio</w:t>
      </w:r>
    </w:p>
    <w:p w14:paraId="0698EE01" w14:textId="22F3663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parte de la comisión de gestión que se calcula como porcentaje sobre el patrimonio del fondo de inversión. Puede alcanzar hasta el 2,25% del patrimonio.</w:t>
      </w:r>
    </w:p>
    <w:p w14:paraId="5F10CF73" w14:textId="77777777" w:rsidR="00C40348" w:rsidRPr="00CF1B34" w:rsidRDefault="00C40348" w:rsidP="0005621A">
      <w:pPr>
        <w:jc w:val="both"/>
        <w:rPr>
          <w:rFonts w:ascii="Arial" w:hAnsi="Arial" w:cs="Arial"/>
          <w:b/>
          <w:bCs/>
          <w:color w:val="004773"/>
          <w:sz w:val="22"/>
          <w:szCs w:val="22"/>
          <w:lang w:val="es-ES_tradnl"/>
        </w:rPr>
      </w:pPr>
    </w:p>
    <w:p w14:paraId="33EF5ADB" w14:textId="2F8010CA"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Comisión sobre resultados</w:t>
      </w:r>
    </w:p>
    <w:p w14:paraId="007D49C5"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Tipo de comisión de gestión que se calcula sobre los rendimientos obtenidos por un fondo aplicando un porcentaje que puede llegar hasta el 18% del rendimiento del fondo.</w:t>
      </w:r>
    </w:p>
    <w:p w14:paraId="3A628F05" w14:textId="77777777" w:rsidR="00464557" w:rsidRPr="00CF1B34" w:rsidRDefault="0046455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Comisiones y gastos en hipotecas</w:t>
      </w:r>
    </w:p>
    <w:p w14:paraId="72157FB1" w14:textId="417663E9" w:rsidR="00464557" w:rsidRPr="00CF1B34" w:rsidRDefault="00A06F6A" w:rsidP="0005621A">
      <w:p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 xml:space="preserve">Estas comisiones dependen de la entidad y pueden ser negociables. </w:t>
      </w:r>
      <w:r w:rsidR="006C3A46" w:rsidRPr="00CF1B34">
        <w:rPr>
          <w:rFonts w:ascii="Arial" w:hAnsi="Arial" w:cs="Arial"/>
          <w:color w:val="000000" w:themeColor="text1"/>
          <w:sz w:val="22"/>
          <w:szCs w:val="22"/>
          <w:lang w:val="es-ES_tradnl"/>
        </w:rPr>
        <w:t>Aplicables al préstamo:</w:t>
      </w:r>
    </w:p>
    <w:p w14:paraId="28AEB92C" w14:textId="67DC60B1" w:rsidR="00464557" w:rsidRPr="00CF1B34" w:rsidRDefault="00A06F6A"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Apertura</w:t>
      </w:r>
    </w:p>
    <w:p w14:paraId="20784751" w14:textId="08BD0636" w:rsidR="00A06F6A" w:rsidRPr="00CF1B34" w:rsidRDefault="00A06F6A"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Estudio</w:t>
      </w:r>
    </w:p>
    <w:p w14:paraId="56A3F44C" w14:textId="5FA214F4" w:rsidR="00A06F6A" w:rsidRPr="00CF1B34" w:rsidRDefault="00A06F6A"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Amortización y cancelación anticipadas</w:t>
      </w:r>
    </w:p>
    <w:p w14:paraId="70081C0A" w14:textId="282C4CF6" w:rsidR="00A06F6A" w:rsidRPr="00CF1B34" w:rsidRDefault="006C3A46" w:rsidP="0005621A">
      <w:p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Asociados al préstamo:</w:t>
      </w:r>
    </w:p>
    <w:p w14:paraId="46913C34" w14:textId="522CD883" w:rsidR="006C3A46" w:rsidRPr="00CF1B34" w:rsidRDefault="006C3A46"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Tasación</w:t>
      </w:r>
    </w:p>
    <w:p w14:paraId="1D7B0617" w14:textId="5567BA7D" w:rsidR="006C3A46" w:rsidRPr="00CF1B34" w:rsidRDefault="006C3A46"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Registro</w:t>
      </w:r>
    </w:p>
    <w:p w14:paraId="75641F7B" w14:textId="616230AD" w:rsidR="006C3A46" w:rsidRPr="00CF1B34" w:rsidRDefault="006C3A46"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Notario</w:t>
      </w:r>
    </w:p>
    <w:p w14:paraId="3427F150" w14:textId="3D22DC7E" w:rsidR="006C3A46" w:rsidRPr="00CF1B34" w:rsidRDefault="006C3A46"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Gestoría</w:t>
      </w:r>
    </w:p>
    <w:p w14:paraId="28ED5205" w14:textId="554C2CDD" w:rsidR="006C3A46" w:rsidRPr="00CF1B34" w:rsidRDefault="006C3A46"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 xml:space="preserve">Impuestos </w:t>
      </w:r>
    </w:p>
    <w:p w14:paraId="11012394" w14:textId="0F6D2AFF" w:rsidR="006C3A46" w:rsidRPr="00CF1B34" w:rsidRDefault="006C3A46" w:rsidP="0005621A">
      <w:p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Seguros:</w:t>
      </w:r>
    </w:p>
    <w:p w14:paraId="6A174104" w14:textId="18D878F6" w:rsidR="006C3A46" w:rsidRPr="00CF1B34" w:rsidRDefault="006C3A46"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Seguro obligatorio</w:t>
      </w:r>
    </w:p>
    <w:p w14:paraId="43A53EA6" w14:textId="7F5C934C" w:rsidR="006C3A46" w:rsidRPr="00CF1B34" w:rsidRDefault="006C3A46" w:rsidP="004F7A62">
      <w:pPr>
        <w:pStyle w:val="Prrafodelista"/>
        <w:numPr>
          <w:ilvl w:val="0"/>
          <w:numId w:val="87"/>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Seguros recomendados</w:t>
      </w:r>
    </w:p>
    <w:p w14:paraId="516620B4" w14:textId="77777777" w:rsidR="006C3A46" w:rsidRPr="00CF1B34" w:rsidRDefault="006C3A46" w:rsidP="0005621A">
      <w:pPr>
        <w:pStyle w:val="Prrafodelista"/>
        <w:pBdr>
          <w:bottom w:val="dotted" w:sz="12" w:space="12" w:color="666666"/>
        </w:pBdr>
        <w:spacing w:after="240"/>
        <w:jc w:val="both"/>
        <w:rPr>
          <w:rFonts w:ascii="Arial" w:hAnsi="Arial" w:cs="Arial"/>
          <w:color w:val="2F5496" w:themeColor="accent1" w:themeShade="BF"/>
          <w:sz w:val="22"/>
          <w:szCs w:val="22"/>
          <w:lang w:val="es-ES_tradnl"/>
        </w:rPr>
      </w:pPr>
    </w:p>
    <w:p w14:paraId="49AFEADE" w14:textId="2AD056A2" w:rsidR="00464557" w:rsidRPr="00CF1B34" w:rsidRDefault="00464557" w:rsidP="0005621A">
      <w:pPr>
        <w:jc w:val="both"/>
        <w:rPr>
          <w:rFonts w:ascii="Arial" w:hAnsi="Arial" w:cs="Arial"/>
          <w:b/>
          <w:bCs/>
          <w:color w:val="004773"/>
          <w:sz w:val="22"/>
          <w:szCs w:val="22"/>
          <w:lang w:val="es-ES_tradnl"/>
        </w:rPr>
      </w:pPr>
      <w:r w:rsidRPr="00CF1B34">
        <w:rPr>
          <w:rFonts w:ascii="Arial" w:hAnsi="Arial" w:cs="Arial"/>
          <w:b/>
          <w:bCs/>
          <w:color w:val="4472C4" w:themeColor="accent1"/>
          <w:sz w:val="22"/>
          <w:szCs w:val="22"/>
          <w:lang w:val="es-ES_tradnl"/>
        </w:rPr>
        <w:t>Commodities</w:t>
      </w:r>
      <w:r w:rsidRPr="00CF1B34">
        <w:rPr>
          <w:rFonts w:ascii="Arial" w:hAnsi="Arial" w:cs="Arial"/>
          <w:b/>
          <w:bCs/>
          <w:color w:val="004773"/>
          <w:sz w:val="22"/>
          <w:szCs w:val="22"/>
          <w:lang w:val="es-ES_tradnl"/>
        </w:rPr>
        <w:t xml:space="preserve"> </w:t>
      </w:r>
    </w:p>
    <w:p w14:paraId="72EE8015" w14:textId="77777777" w:rsidR="006C3A46" w:rsidRPr="00CF1B34" w:rsidRDefault="006C3A46" w:rsidP="0005621A">
      <w:pPr>
        <w:pStyle w:val="Sinespaciado"/>
        <w:jc w:val="both"/>
        <w:rPr>
          <w:rFonts w:ascii="Arial" w:hAnsi="Arial" w:cs="Arial"/>
          <w:sz w:val="22"/>
          <w:szCs w:val="22"/>
          <w:shd w:val="clear" w:color="auto" w:fill="FFFFFF"/>
          <w:lang w:val="es-ES_tradnl"/>
        </w:rPr>
      </w:pPr>
      <w:r w:rsidRPr="00CF1B34">
        <w:rPr>
          <w:rFonts w:ascii="Arial" w:hAnsi="Arial" w:cs="Arial"/>
          <w:sz w:val="22"/>
          <w:szCs w:val="22"/>
          <w:shd w:val="clear" w:color="auto" w:fill="FFFFFF"/>
          <w:lang w:val="es-ES_tradnl"/>
        </w:rPr>
        <w:t xml:space="preserve">Definimos </w:t>
      </w:r>
      <w:r w:rsidRPr="00CF1B34">
        <w:rPr>
          <w:rStyle w:val="Textoennegrita"/>
          <w:rFonts w:ascii="Arial" w:hAnsi="Arial" w:cs="Arial"/>
          <w:color w:val="333333"/>
          <w:sz w:val="22"/>
          <w:szCs w:val="22"/>
          <w:shd w:val="clear" w:color="auto" w:fill="FFFFFF"/>
          <w:lang w:val="es-ES_tradnl"/>
        </w:rPr>
        <w:t>commodity</w:t>
      </w:r>
      <w:r w:rsidRPr="00CF1B34">
        <w:rPr>
          <w:rFonts w:ascii="Arial" w:hAnsi="Arial" w:cs="Arial"/>
          <w:sz w:val="22"/>
          <w:szCs w:val="22"/>
          <w:shd w:val="clear" w:color="auto" w:fill="FFFFFF"/>
          <w:lang w:val="es-ES_tradnl"/>
        </w:rPr>
        <w:t xml:space="preserve"> como todo bien que tiene valor o utilidad, y un muy bajo nivel de diferenciación o especialización. </w:t>
      </w:r>
      <w:r w:rsidRPr="00CF1B34">
        <w:rPr>
          <w:rStyle w:val="Textoennegrita"/>
          <w:rFonts w:ascii="Arial" w:hAnsi="Arial" w:cs="Arial"/>
          <w:color w:val="333333"/>
          <w:sz w:val="22"/>
          <w:szCs w:val="22"/>
          <w:shd w:val="clear" w:color="auto" w:fill="FFFFFF"/>
          <w:lang w:val="es-ES_tradnl"/>
        </w:rPr>
        <w:t xml:space="preserve">Pero esto no significa que todos aquellos bienes que no tengan diferenciación sean commodities, </w:t>
      </w:r>
      <w:r w:rsidRPr="00CF1B34">
        <w:rPr>
          <w:rFonts w:ascii="Arial" w:hAnsi="Arial" w:cs="Arial"/>
          <w:sz w:val="22"/>
          <w:szCs w:val="22"/>
          <w:shd w:val="clear" w:color="auto" w:fill="FFFFFF"/>
          <w:lang w:val="es-ES_tradnl"/>
        </w:rPr>
        <w:t xml:space="preserve">ya </w:t>
      </w:r>
      <w:proofErr w:type="gramStart"/>
      <w:r w:rsidRPr="00CF1B34">
        <w:rPr>
          <w:rFonts w:ascii="Arial" w:hAnsi="Arial" w:cs="Arial"/>
          <w:sz w:val="22"/>
          <w:szCs w:val="22"/>
          <w:shd w:val="clear" w:color="auto" w:fill="FFFFFF"/>
          <w:lang w:val="es-ES_tradnl"/>
        </w:rPr>
        <w:t>que</w:t>
      </w:r>
      <w:proofErr w:type="gramEnd"/>
      <w:r w:rsidRPr="00CF1B34">
        <w:rPr>
          <w:rFonts w:ascii="Arial" w:hAnsi="Arial" w:cs="Arial"/>
          <w:sz w:val="22"/>
          <w:szCs w:val="22"/>
          <w:shd w:val="clear" w:color="auto" w:fill="FFFFFF"/>
          <w:lang w:val="es-ES_tradnl"/>
        </w:rPr>
        <w:t xml:space="preserve"> por ejemplo, el agua del mar, no es un commodity pues no tiene un valor o utilidad. </w:t>
      </w:r>
    </w:p>
    <w:p w14:paraId="06DD8187" w14:textId="072D60FD" w:rsidR="006C3A46" w:rsidRPr="00CF1B34" w:rsidRDefault="006C3A46" w:rsidP="0005621A">
      <w:pPr>
        <w:pStyle w:val="Sinespaciado"/>
        <w:jc w:val="both"/>
        <w:rPr>
          <w:rFonts w:ascii="Arial" w:hAnsi="Arial" w:cs="Arial"/>
          <w:sz w:val="22"/>
          <w:szCs w:val="22"/>
          <w:lang w:val="es-ES_tradnl"/>
        </w:rPr>
      </w:pPr>
      <w:r w:rsidRPr="00CF1B34">
        <w:rPr>
          <w:rFonts w:ascii="Arial" w:hAnsi="Arial" w:cs="Arial"/>
          <w:b/>
          <w:bCs/>
          <w:sz w:val="22"/>
          <w:szCs w:val="22"/>
          <w:lang w:val="es-ES_tradnl"/>
        </w:rPr>
        <w:t>Normalmente cuando se habla de commodities, se habla de materias primas o bienes primarios, destacando por ejemplo el trigo, que se siembra en cualquier parte del mundo y que tendrá el mismo precio y la misma calidad.</w:t>
      </w:r>
    </w:p>
    <w:p w14:paraId="46F76A1C" w14:textId="77777777" w:rsidR="007D0F99" w:rsidRPr="00CF1B34" w:rsidRDefault="007D0F99" w:rsidP="0005621A">
      <w:pPr>
        <w:pStyle w:val="Sinespaciado"/>
        <w:jc w:val="both"/>
        <w:rPr>
          <w:rFonts w:ascii="Arial" w:hAnsi="Arial" w:cs="Arial"/>
          <w:color w:val="4472C4" w:themeColor="accent1"/>
          <w:lang w:val="es-ES_tradnl"/>
        </w:rPr>
      </w:pPr>
      <w:r w:rsidRPr="00CF1B34">
        <w:rPr>
          <w:rFonts w:ascii="Arial" w:hAnsi="Arial" w:cs="Arial"/>
          <w:color w:val="4472C4" w:themeColor="accent1"/>
          <w:lang w:val="es-ES_tradnl"/>
        </w:rPr>
        <w:t>Clasificación de los commodities</w:t>
      </w:r>
    </w:p>
    <w:p w14:paraId="1CAE8C97" w14:textId="77777777" w:rsidR="007D0F99" w:rsidRPr="00CF1B34" w:rsidRDefault="007D0F99" w:rsidP="004F7A62">
      <w:pPr>
        <w:numPr>
          <w:ilvl w:val="0"/>
          <w:numId w:val="13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Granos: Soja, Trigo, Maiz, Avena, Cebada.</w:t>
      </w:r>
    </w:p>
    <w:p w14:paraId="6F543D37" w14:textId="77777777" w:rsidR="007D0F99" w:rsidRPr="00CF1B34" w:rsidRDefault="007D0F99" w:rsidP="004F7A62">
      <w:pPr>
        <w:numPr>
          <w:ilvl w:val="0"/>
          <w:numId w:val="13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Softs: Algodón, Jugo de Naranja, Café, Azúcar, Cacao.</w:t>
      </w:r>
    </w:p>
    <w:p w14:paraId="0DBD684F" w14:textId="77777777" w:rsidR="007D0F99" w:rsidRPr="00CF1B34" w:rsidRDefault="007D0F99" w:rsidP="004F7A62">
      <w:pPr>
        <w:numPr>
          <w:ilvl w:val="0"/>
          <w:numId w:val="13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Energías: Petróleo Crudo, Fuel Oil, Gas Natural, Etanol, Nafta.</w:t>
      </w:r>
    </w:p>
    <w:p w14:paraId="365765F5" w14:textId="77777777" w:rsidR="007D0F99" w:rsidRPr="00CF1B34" w:rsidRDefault="007D0F99" w:rsidP="004F7A62">
      <w:pPr>
        <w:numPr>
          <w:ilvl w:val="0"/>
          <w:numId w:val="13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Metales: Oro, Plata, Cobre, Platino, Aluminio, Paladio.</w:t>
      </w:r>
    </w:p>
    <w:p w14:paraId="51EF37E0" w14:textId="77777777" w:rsidR="007D0F99" w:rsidRPr="00CF1B34" w:rsidRDefault="007D0F99" w:rsidP="004F7A62">
      <w:pPr>
        <w:numPr>
          <w:ilvl w:val="0"/>
          <w:numId w:val="13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Carnes: Ganado Bovino Vivo, Ganado Porcino Vivo, Manteca, Leche.</w:t>
      </w:r>
    </w:p>
    <w:p w14:paraId="613F7E57" w14:textId="77777777" w:rsidR="007D0F99" w:rsidRPr="00CF1B34" w:rsidRDefault="007D0F99" w:rsidP="004F7A62">
      <w:pPr>
        <w:numPr>
          <w:ilvl w:val="0"/>
          <w:numId w:val="13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Financieros: Bonos de 30 años, Eurodollar, Fed Funds a 30 días.</w:t>
      </w:r>
    </w:p>
    <w:p w14:paraId="5BDEB402" w14:textId="77777777" w:rsidR="007D0F99" w:rsidRPr="00CF1B34" w:rsidRDefault="007D0F99" w:rsidP="004F7A62">
      <w:pPr>
        <w:numPr>
          <w:ilvl w:val="0"/>
          <w:numId w:val="13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Índices: Dow Jones, S&amp;P500, Nasdaq100, Nikkei225, E-Mini Nasdaq.</w:t>
      </w:r>
    </w:p>
    <w:p w14:paraId="09AC99DB" w14:textId="6CBD6559" w:rsidR="007D0F99" w:rsidRPr="00CF1B34" w:rsidRDefault="007D0F99" w:rsidP="004F7A62">
      <w:pPr>
        <w:numPr>
          <w:ilvl w:val="0"/>
          <w:numId w:val="13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Monedas: Libra Esterlina, Euro, Rand de Sudáfrica, Franco Suizo, etc.</w:t>
      </w:r>
    </w:p>
    <w:p w14:paraId="6C235FDC" w14:textId="77777777" w:rsidR="007D0F99" w:rsidRPr="00CF1B34" w:rsidRDefault="007D0F99" w:rsidP="004F7A62">
      <w:pPr>
        <w:pStyle w:val="Prrafodelista"/>
        <w:numPr>
          <w:ilvl w:val="0"/>
          <w:numId w:val="137"/>
        </w:numPr>
        <w:pBdr>
          <w:bottom w:val="dotted" w:sz="12" w:space="12" w:color="666666"/>
        </w:pBdr>
        <w:spacing w:after="240"/>
        <w:jc w:val="both"/>
        <w:rPr>
          <w:rFonts w:ascii="Arial" w:hAnsi="Arial" w:cs="Arial"/>
          <w:color w:val="2F5496" w:themeColor="accent1" w:themeShade="BF"/>
          <w:sz w:val="22"/>
          <w:szCs w:val="22"/>
          <w:lang w:val="es-ES_tradnl"/>
        </w:rPr>
      </w:pPr>
    </w:p>
    <w:p w14:paraId="6183C59C" w14:textId="2E8BCB3E" w:rsidR="00C7373E" w:rsidRPr="00CF1B34" w:rsidRDefault="00C7373E"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004773"/>
          <w:sz w:val="22"/>
          <w:szCs w:val="22"/>
          <w:lang w:val="es-ES_tradnl"/>
        </w:rPr>
        <w:lastRenderedPageBreak/>
        <w:t>Comité de auditoria</w:t>
      </w:r>
    </w:p>
    <w:p w14:paraId="1740D09C" w14:textId="2655C972" w:rsidR="00C7373E" w:rsidRPr="00CF1B34" w:rsidRDefault="00C7373E"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Comisión creada en el seno del Consejo de Administración, obligatoria en las sociedades con valores cotizados. Entre sus funciones y competencias se encuentran la propuesta de nombramiento de auditores externos, la supervisión de la auditoría interna y el conocimiento de los sistemas de control interno y del proceso de información financiera. En cuanto a su composición, deberá tener mayoría de consejeros no ejecutivos. El número de integrantes, las competencias y las normas de funcionamiento del Comité de Auditoría se encuentran fijados en los estatutos de la sociedad</w:t>
      </w:r>
      <w:r w:rsidR="006C3A46" w:rsidRPr="00CF1B34">
        <w:rPr>
          <w:rFonts w:ascii="Arial" w:hAnsi="Arial" w:cs="Arial"/>
          <w:color w:val="212529"/>
          <w:sz w:val="22"/>
          <w:szCs w:val="22"/>
          <w:lang w:val="es-ES_tradnl"/>
        </w:rPr>
        <w:t xml:space="preserve">  </w:t>
      </w:r>
      <w:hyperlink r:id="rId145" w:tgtFrame="_self" w:history="1">
        <w:r w:rsidRPr="00CF1B34">
          <w:rPr>
            <w:rFonts w:ascii="Arial" w:hAnsi="Arial" w:cs="Arial"/>
            <w:b/>
            <w:bCs/>
            <w:color w:val="2F5496" w:themeColor="accent1" w:themeShade="BF"/>
            <w:sz w:val="22"/>
            <w:szCs w:val="22"/>
            <w:u w:val="single"/>
            <w:lang w:val="es-ES_tradnl"/>
          </w:rPr>
          <w:t>Ver consejo de administración</w:t>
        </w:r>
      </w:hyperlink>
      <w:r w:rsidRPr="00CF1B34">
        <w:rPr>
          <w:rFonts w:ascii="Arial" w:hAnsi="Arial" w:cs="Arial"/>
          <w:color w:val="2F5496" w:themeColor="accent1" w:themeShade="BF"/>
          <w:sz w:val="22"/>
          <w:szCs w:val="22"/>
          <w:lang w:val="es-ES_tradnl"/>
        </w:rPr>
        <w:t>,</w:t>
      </w:r>
      <w:r w:rsidR="006C3A46" w:rsidRPr="00CF1B34">
        <w:rPr>
          <w:rFonts w:ascii="Arial" w:hAnsi="Arial" w:cs="Arial"/>
          <w:color w:val="2F5496" w:themeColor="accent1" w:themeShade="BF"/>
          <w:sz w:val="22"/>
          <w:szCs w:val="22"/>
          <w:lang w:val="es-ES_tradnl"/>
        </w:rPr>
        <w:t xml:space="preserve"> </w:t>
      </w:r>
      <w:hyperlink r:id="rId146" w:tgtFrame="_self" w:history="1">
        <w:r w:rsidRPr="00CF1B34">
          <w:rPr>
            <w:rFonts w:ascii="Arial" w:hAnsi="Arial" w:cs="Arial"/>
            <w:b/>
            <w:bCs/>
            <w:color w:val="2F5496" w:themeColor="accent1" w:themeShade="BF"/>
            <w:sz w:val="22"/>
            <w:szCs w:val="22"/>
            <w:u w:val="single"/>
            <w:lang w:val="es-ES_tradnl"/>
          </w:rPr>
          <w:t>consejero dominical</w:t>
        </w:r>
      </w:hyperlink>
      <w:r w:rsidRPr="00CF1B34">
        <w:rPr>
          <w:rFonts w:ascii="Arial" w:hAnsi="Arial" w:cs="Arial"/>
          <w:color w:val="2F5496" w:themeColor="accent1" w:themeShade="BF"/>
          <w:sz w:val="22"/>
          <w:szCs w:val="22"/>
          <w:lang w:val="es-ES_tradnl"/>
        </w:rPr>
        <w:t>,</w:t>
      </w:r>
      <w:r w:rsidR="006C3A46" w:rsidRPr="00CF1B34">
        <w:rPr>
          <w:rFonts w:ascii="Arial" w:hAnsi="Arial" w:cs="Arial"/>
          <w:color w:val="2F5496" w:themeColor="accent1" w:themeShade="BF"/>
          <w:sz w:val="22"/>
          <w:szCs w:val="22"/>
          <w:lang w:val="es-ES_tradnl"/>
        </w:rPr>
        <w:t xml:space="preserve"> </w:t>
      </w:r>
      <w:hyperlink r:id="rId147" w:tgtFrame="_self" w:history="1">
        <w:r w:rsidRPr="00CF1B34">
          <w:rPr>
            <w:rFonts w:ascii="Arial" w:hAnsi="Arial" w:cs="Arial"/>
            <w:b/>
            <w:bCs/>
            <w:color w:val="2F5496" w:themeColor="accent1" w:themeShade="BF"/>
            <w:sz w:val="22"/>
            <w:szCs w:val="22"/>
            <w:u w:val="single"/>
            <w:lang w:val="es-ES_tradnl"/>
          </w:rPr>
          <w:t>consejero ejecutivo</w:t>
        </w:r>
      </w:hyperlink>
      <w:r w:rsidR="006C3A46" w:rsidRPr="00CF1B34">
        <w:rPr>
          <w:rFonts w:ascii="Arial" w:hAnsi="Arial" w:cs="Arial"/>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w:t>
      </w:r>
      <w:r w:rsidR="006C3A46" w:rsidRPr="00CF1B34">
        <w:rPr>
          <w:rFonts w:ascii="Arial" w:hAnsi="Arial" w:cs="Arial"/>
          <w:color w:val="2F5496" w:themeColor="accent1" w:themeShade="BF"/>
          <w:sz w:val="22"/>
          <w:szCs w:val="22"/>
          <w:lang w:val="es-ES_tradnl"/>
        </w:rPr>
        <w:t xml:space="preserve"> </w:t>
      </w:r>
      <w:hyperlink r:id="rId148" w:tgtFrame="_self" w:history="1">
        <w:r w:rsidRPr="00CF1B34">
          <w:rPr>
            <w:rFonts w:ascii="Arial" w:hAnsi="Arial" w:cs="Arial"/>
            <w:b/>
            <w:bCs/>
            <w:color w:val="2F5496" w:themeColor="accent1" w:themeShade="BF"/>
            <w:sz w:val="22"/>
            <w:szCs w:val="22"/>
            <w:u w:val="single"/>
            <w:lang w:val="es-ES_tradnl"/>
          </w:rPr>
          <w:t>consejero independiente</w:t>
        </w:r>
      </w:hyperlink>
      <w:r w:rsidRPr="00CF1B34">
        <w:rPr>
          <w:rFonts w:ascii="Arial" w:hAnsi="Arial" w:cs="Arial"/>
          <w:color w:val="2F5496" w:themeColor="accent1" w:themeShade="BF"/>
          <w:sz w:val="22"/>
          <w:szCs w:val="22"/>
          <w:lang w:val="es-ES_tradnl"/>
        </w:rPr>
        <w:t>.</w:t>
      </w:r>
      <w:r w:rsidR="006C3A46" w:rsidRPr="00CF1B34">
        <w:rPr>
          <w:rFonts w:ascii="Arial" w:hAnsi="Arial" w:cs="Arial"/>
          <w:color w:val="2F5496" w:themeColor="accent1" w:themeShade="BF"/>
          <w:sz w:val="22"/>
          <w:szCs w:val="22"/>
          <w:lang w:val="es-ES_tradnl"/>
        </w:rPr>
        <w:t xml:space="preserve"> </w:t>
      </w:r>
    </w:p>
    <w:p w14:paraId="6FE58E92" w14:textId="441DD4A2" w:rsidR="00B95601" w:rsidRPr="00CF1B34" w:rsidRDefault="00B95601"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Comparadores de precios</w:t>
      </w:r>
    </w:p>
    <w:p w14:paraId="3CB60596" w14:textId="77777777" w:rsidR="00EF2501" w:rsidRPr="00CF1B34" w:rsidRDefault="00EF2501"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333333"/>
          <w:sz w:val="22"/>
          <w:szCs w:val="22"/>
          <w:lang w:val="es-ES_tradnl"/>
        </w:rPr>
        <w:t xml:space="preserve">Una de las máximas de todo buen ahorrador es comparar precios para poder escoger la mejor oferta. Gracias a internet hoy en día ya no es necesario recorrer tienda tras tienda para encontrar la que ofrece el coste más asequible. Basta con acceder a la tienda en cuestión a través de la red y en un solo click tendremos a nuestra disposición los artículos deseados. Sin embargo, en ocasiones las cosas son algo más complicadas, porque sólo sabemos el tipo de producto que queremos de forma orientativa, pero no la marca ni el modelo. E incluso con esta información no estamos seguros de si es la elección adecuada. Para hacerlo nada mejor que acudir a los </w:t>
      </w:r>
      <w:r w:rsidRPr="00CF1B34">
        <w:rPr>
          <w:rStyle w:val="Textoennegrita"/>
          <w:rFonts w:ascii="Arial" w:hAnsi="Arial" w:cs="Arial"/>
          <w:color w:val="333333"/>
          <w:sz w:val="22"/>
          <w:szCs w:val="22"/>
          <w:lang w:val="es-ES_tradnl"/>
        </w:rPr>
        <w:t xml:space="preserve">comparadores de precios </w:t>
      </w:r>
      <w:r w:rsidRPr="00CF1B34">
        <w:rPr>
          <w:rFonts w:ascii="Arial" w:hAnsi="Arial" w:cs="Arial"/>
          <w:color w:val="333333"/>
          <w:sz w:val="22"/>
          <w:szCs w:val="22"/>
          <w:lang w:val="es-ES_tradnl"/>
        </w:rPr>
        <w:t>y buscar la opinión de otros usuarios y la valoración del producto.</w:t>
      </w:r>
    </w:p>
    <w:p w14:paraId="1001C2B3" w14:textId="7B67B8E9" w:rsidR="00B95601" w:rsidRPr="00CF1B34" w:rsidRDefault="00B95601"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Competencia de mercado</w:t>
      </w:r>
    </w:p>
    <w:p w14:paraId="6390E6E0" w14:textId="77777777" w:rsidR="00416C9F" w:rsidRPr="00CF1B34" w:rsidRDefault="00416C9F" w:rsidP="0005621A">
      <w:pPr>
        <w:pStyle w:val="NormalWeb"/>
        <w:shd w:val="clear" w:color="auto" w:fill="FFFFFF"/>
        <w:spacing w:before="0" w:beforeAutospacing="0" w:after="165" w:afterAutospacing="0"/>
        <w:jc w:val="both"/>
        <w:rPr>
          <w:rFonts w:ascii="Arial" w:hAnsi="Arial" w:cs="Arial"/>
          <w:color w:val="333333"/>
          <w:sz w:val="22"/>
          <w:szCs w:val="22"/>
          <w:lang w:val="es-ES_tradnl"/>
        </w:rPr>
      </w:pPr>
      <w:r w:rsidRPr="00CF1B34">
        <w:rPr>
          <w:rFonts w:ascii="Arial" w:hAnsi="Arial" w:cs="Arial"/>
          <w:color w:val="333333"/>
          <w:sz w:val="22"/>
          <w:szCs w:val="22"/>
          <w:lang w:val="es-ES_tradnl"/>
        </w:rPr>
        <w:t>Cada una de las tiendas en las que compramos cada día, está dentro de un mercado, con características diferentes de otros, dependiendo por ejemplo de la cantidad de empresas que haya en su mismo sector. Como sería el monopolio (una empresa del sector) u oligopolio, las que se reparten la cuota de mercado.</w:t>
      </w:r>
    </w:p>
    <w:p w14:paraId="48F614F0" w14:textId="77777777" w:rsidR="00416C9F" w:rsidRPr="00CF1B34" w:rsidRDefault="00416C9F" w:rsidP="0005621A">
      <w:pPr>
        <w:pStyle w:val="NormalWeb"/>
        <w:shd w:val="clear" w:color="auto" w:fill="FFFFFF"/>
        <w:spacing w:before="0" w:beforeAutospacing="0" w:after="165" w:afterAutospacing="0"/>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Un mercado es un lugar concreto, donde las personas y empresas concurren para comprar y vender bienes y servicios. Las dos competencias de mercado más conocidas son la perfecta y la imperfecta. A </w:t>
      </w:r>
      <w:proofErr w:type="gramStart"/>
      <w:r w:rsidRPr="00CF1B34">
        <w:rPr>
          <w:rFonts w:ascii="Arial" w:hAnsi="Arial" w:cs="Arial"/>
          <w:color w:val="333333"/>
          <w:sz w:val="22"/>
          <w:szCs w:val="22"/>
          <w:lang w:val="es-ES_tradnl"/>
        </w:rPr>
        <w:t>continuación</w:t>
      </w:r>
      <w:proofErr w:type="gramEnd"/>
      <w:r w:rsidRPr="00CF1B34">
        <w:rPr>
          <w:rFonts w:ascii="Arial" w:hAnsi="Arial" w:cs="Arial"/>
          <w:color w:val="333333"/>
          <w:sz w:val="22"/>
          <w:szCs w:val="22"/>
          <w:lang w:val="es-ES_tradnl"/>
        </w:rPr>
        <w:t xml:space="preserve"> detallaremos los aspectos y características más relevantes de estos dos tipos de situaciones.</w:t>
      </w:r>
    </w:p>
    <w:p w14:paraId="46E6070F" w14:textId="3FCF56D1" w:rsidR="00416C9F" w:rsidRPr="00CF1B34" w:rsidRDefault="00416C9F" w:rsidP="0005621A">
      <w:pPr>
        <w:jc w:val="both"/>
        <w:outlineLvl w:val="1"/>
        <w:rPr>
          <w:rFonts w:ascii="Arial" w:hAnsi="Arial" w:cs="Arial"/>
          <w:b/>
          <w:bCs/>
          <w:color w:val="000000" w:themeColor="text1"/>
          <w:sz w:val="22"/>
          <w:szCs w:val="22"/>
          <w:lang w:val="es-ES_tradnl"/>
        </w:rPr>
      </w:pPr>
      <w:r w:rsidRPr="00CF1B34">
        <w:rPr>
          <w:rFonts w:ascii="Arial" w:hAnsi="Arial" w:cs="Arial"/>
          <w:b/>
          <w:bCs/>
          <w:color w:val="000000" w:themeColor="text1"/>
          <w:sz w:val="22"/>
          <w:szCs w:val="22"/>
          <w:lang w:val="es-ES_tradnl"/>
        </w:rPr>
        <w:t xml:space="preserve">Para la Competencia perfecta: </w:t>
      </w:r>
      <w:r w:rsidRPr="00CF1B34">
        <w:rPr>
          <w:rFonts w:ascii="Arial" w:hAnsi="Arial" w:cs="Arial"/>
          <w:b/>
          <w:bCs/>
          <w:color w:val="333333"/>
          <w:sz w:val="22"/>
          <w:szCs w:val="22"/>
          <w:lang w:val="es-ES_tradnl"/>
        </w:rPr>
        <w:t>Se deben cumplir las siguientes condiciones:</w:t>
      </w:r>
    </w:p>
    <w:p w14:paraId="01A9A365" w14:textId="77777777" w:rsidR="00416C9F" w:rsidRPr="00CF1B34" w:rsidRDefault="00416C9F" w:rsidP="004F7A62">
      <w:pPr>
        <w:numPr>
          <w:ilvl w:val="0"/>
          <w:numId w:val="13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Atomicidad:</w:t>
      </w:r>
      <w:r w:rsidRPr="00CF1B34">
        <w:rPr>
          <w:rFonts w:ascii="Arial" w:hAnsi="Arial" w:cs="Arial"/>
          <w:color w:val="333333"/>
          <w:sz w:val="22"/>
          <w:szCs w:val="22"/>
          <w:lang w:val="es-ES_tradnl"/>
        </w:rPr>
        <w:t> existen muchos demandantes y muchos oferentes, de modo que ningún actor condiciona los precios.</w:t>
      </w:r>
    </w:p>
    <w:p w14:paraId="63EDFE1B" w14:textId="77777777" w:rsidR="00416C9F" w:rsidRPr="00CF1B34" w:rsidRDefault="00416C9F" w:rsidP="004F7A62">
      <w:pPr>
        <w:numPr>
          <w:ilvl w:val="0"/>
          <w:numId w:val="13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Homogeneidad:</w:t>
      </w:r>
      <w:r w:rsidRPr="00CF1B34">
        <w:rPr>
          <w:rFonts w:ascii="Arial" w:hAnsi="Arial" w:cs="Arial"/>
          <w:color w:val="333333"/>
          <w:sz w:val="22"/>
          <w:szCs w:val="22"/>
          <w:lang w:val="es-ES_tradnl"/>
        </w:rPr>
        <w:t> todos los bienes y servicios son iguales. No hay diferenciación.</w:t>
      </w:r>
    </w:p>
    <w:p w14:paraId="3C3A364A" w14:textId="77777777" w:rsidR="00416C9F" w:rsidRPr="00CF1B34" w:rsidRDefault="00416C9F" w:rsidP="004F7A62">
      <w:pPr>
        <w:numPr>
          <w:ilvl w:val="0"/>
          <w:numId w:val="13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Transparencia:</w:t>
      </w:r>
      <w:r w:rsidRPr="00CF1B34">
        <w:rPr>
          <w:rFonts w:ascii="Arial" w:hAnsi="Arial" w:cs="Arial"/>
          <w:color w:val="333333"/>
          <w:sz w:val="22"/>
          <w:szCs w:val="22"/>
          <w:lang w:val="es-ES_tradnl"/>
        </w:rPr>
        <w:t> libre y gratuita circulación de la información, al igual que de personas y empresas.</w:t>
      </w:r>
    </w:p>
    <w:p w14:paraId="20418A14" w14:textId="77777777" w:rsidR="00416C9F" w:rsidRPr="00CF1B34" w:rsidRDefault="00416C9F" w:rsidP="004F7A62">
      <w:pPr>
        <w:numPr>
          <w:ilvl w:val="0"/>
          <w:numId w:val="13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Sin límites:</w:t>
      </w:r>
      <w:r w:rsidRPr="00CF1B34">
        <w:rPr>
          <w:rFonts w:ascii="Arial" w:hAnsi="Arial" w:cs="Arial"/>
          <w:color w:val="333333"/>
          <w:sz w:val="22"/>
          <w:szCs w:val="22"/>
          <w:lang w:val="es-ES_tradnl"/>
        </w:rPr>
        <w:t> no hay restricciones de entrada o salida del mercado. La reventa es desconocida.</w:t>
      </w:r>
    </w:p>
    <w:p w14:paraId="0D5AE8E7" w14:textId="77777777" w:rsidR="00416C9F" w:rsidRPr="00CF1B34" w:rsidRDefault="00416C9F" w:rsidP="004F7A62">
      <w:pPr>
        <w:numPr>
          <w:ilvl w:val="0"/>
          <w:numId w:val="13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No existen costos de transacción.</w:t>
      </w:r>
    </w:p>
    <w:p w14:paraId="46F4F556" w14:textId="2C40ACEE" w:rsidR="00416C9F" w:rsidRPr="00CF1B34" w:rsidRDefault="00416C9F" w:rsidP="0005621A">
      <w:pPr>
        <w:jc w:val="both"/>
        <w:rPr>
          <w:rFonts w:ascii="Arial" w:hAnsi="Arial" w:cs="Arial"/>
          <w:sz w:val="22"/>
          <w:szCs w:val="22"/>
          <w:lang w:val="es-ES_tradnl"/>
        </w:rPr>
      </w:pPr>
      <w:r w:rsidRPr="00CF1B34">
        <w:rPr>
          <w:rFonts w:ascii="Arial" w:hAnsi="Arial" w:cs="Arial"/>
          <w:b/>
          <w:bCs/>
          <w:color w:val="000000" w:themeColor="text1"/>
          <w:sz w:val="22"/>
          <w:szCs w:val="22"/>
          <w:lang w:val="es-ES_tradnl"/>
        </w:rPr>
        <w:t xml:space="preserve">Para la Competencia imperfecta </w:t>
      </w:r>
      <w:r w:rsidR="00624E13" w:rsidRPr="00CF1B34">
        <w:rPr>
          <w:rFonts w:ascii="Arial" w:hAnsi="Arial" w:cs="Arial"/>
          <w:color w:val="333333"/>
          <w:sz w:val="22"/>
          <w:szCs w:val="22"/>
          <w:shd w:val="clear" w:color="auto" w:fill="FFFFFF"/>
          <w:lang w:val="es-ES_tradnl"/>
        </w:rPr>
        <w:t>s</w:t>
      </w:r>
      <w:r w:rsidRPr="00CF1B34">
        <w:rPr>
          <w:rFonts w:ascii="Arial" w:hAnsi="Arial" w:cs="Arial"/>
          <w:color w:val="333333"/>
          <w:sz w:val="22"/>
          <w:szCs w:val="22"/>
          <w:shd w:val="clear" w:color="auto" w:fill="FFFFFF"/>
          <w:lang w:val="es-ES_tradnl"/>
        </w:rPr>
        <w:t>e dan tres casos en particular:</w:t>
      </w:r>
    </w:p>
    <w:p w14:paraId="73424719" w14:textId="77777777" w:rsidR="00416C9F" w:rsidRPr="00CF1B34" w:rsidRDefault="00416C9F" w:rsidP="004F7A62">
      <w:pPr>
        <w:numPr>
          <w:ilvl w:val="0"/>
          <w:numId w:val="13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Monopolio</w:t>
      </w:r>
      <w:r w:rsidRPr="00CF1B34">
        <w:rPr>
          <w:rFonts w:ascii="Arial" w:hAnsi="Arial" w:cs="Arial"/>
          <w:color w:val="333333"/>
          <w:sz w:val="22"/>
          <w:szCs w:val="22"/>
          <w:lang w:val="es-ES_tradnl"/>
        </w:rPr>
        <w:t>: no existe competencia. Una sola empresa es la oferente, suele darse en los suministros de servicios públicos. La empresa controla el factor productivo necesario para producir ese bien. (ENDESA)</w:t>
      </w:r>
    </w:p>
    <w:p w14:paraId="50AE7B73" w14:textId="77777777" w:rsidR="00416C9F" w:rsidRPr="00CF1B34" w:rsidRDefault="00416C9F" w:rsidP="004F7A62">
      <w:pPr>
        <w:numPr>
          <w:ilvl w:val="0"/>
          <w:numId w:val="13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Oligopolio</w:t>
      </w:r>
      <w:r w:rsidRPr="00CF1B34">
        <w:rPr>
          <w:rFonts w:ascii="Arial" w:hAnsi="Arial" w:cs="Arial"/>
          <w:color w:val="333333"/>
          <w:sz w:val="22"/>
          <w:szCs w:val="22"/>
          <w:lang w:val="es-ES_tradnl"/>
        </w:rPr>
        <w:t xml:space="preserve">: pocos oferentes, las líneas áreas son el mejor ejemplo. Esto significa que hay facilidad para elegir otros, hay sustitutos, por </w:t>
      </w:r>
      <w:proofErr w:type="gramStart"/>
      <w:r w:rsidRPr="00CF1B34">
        <w:rPr>
          <w:rFonts w:ascii="Arial" w:hAnsi="Arial" w:cs="Arial"/>
          <w:color w:val="333333"/>
          <w:sz w:val="22"/>
          <w:szCs w:val="22"/>
          <w:lang w:val="es-ES_tradnl"/>
        </w:rPr>
        <w:t>tanto</w:t>
      </w:r>
      <w:proofErr w:type="gramEnd"/>
      <w:r w:rsidRPr="00CF1B34">
        <w:rPr>
          <w:rFonts w:ascii="Arial" w:hAnsi="Arial" w:cs="Arial"/>
          <w:color w:val="333333"/>
          <w:sz w:val="22"/>
          <w:szCs w:val="22"/>
          <w:lang w:val="es-ES_tradnl"/>
        </w:rPr>
        <w:t xml:space="preserve"> hay mucha competitividad para conseguir el mayor número de ventas. (Air Europa, Clickair, Spanair, Iberia)</w:t>
      </w:r>
    </w:p>
    <w:p w14:paraId="50C2BDDF" w14:textId="77777777" w:rsidR="00416C9F" w:rsidRPr="00CF1B34" w:rsidRDefault="00416C9F" w:rsidP="004F7A62">
      <w:pPr>
        <w:numPr>
          <w:ilvl w:val="0"/>
          <w:numId w:val="13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lastRenderedPageBreak/>
        <w:t>Competencia monopolística</w:t>
      </w:r>
      <w:r w:rsidRPr="00CF1B34">
        <w:rPr>
          <w:rFonts w:ascii="Arial" w:hAnsi="Arial" w:cs="Arial"/>
          <w:color w:val="333333"/>
          <w:sz w:val="22"/>
          <w:szCs w:val="22"/>
          <w:lang w:val="es-ES_tradnl"/>
        </w:rPr>
        <w:t>: recorren el mercado muchos oferentes, poca diferenciación de los productos. Ejemplo: las firmas de electrodomésticos. Puede haber competitividad a corto plazo y que una empresa intente hacerse con una mayor cuota, pero a largo plazo no hay problema de entrada a más empresas por lo que puede dejar de ganar. En general muchos productores y muchos compradores. A largo plazo sería más o menos como una mercado competitivo.</w:t>
      </w:r>
    </w:p>
    <w:p w14:paraId="323E1808" w14:textId="77777777" w:rsidR="00624E13" w:rsidRPr="00CF1B34" w:rsidRDefault="00624E13"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333333"/>
          <w:sz w:val="22"/>
          <w:szCs w:val="22"/>
          <w:shd w:val="clear" w:color="auto" w:fill="FFFFFF"/>
          <w:lang w:val="es-ES_tradnl"/>
        </w:rPr>
        <w:t>Otra de las cuestiones típicas de este suceso es que se da la discriminación de precios, denominado “dumping” también. Aquí lo que sucede es que los precios del bien son más baratos que en su país de origen.</w:t>
      </w:r>
    </w:p>
    <w:p w14:paraId="1848FF69" w14:textId="47A79675" w:rsidR="00B95601" w:rsidRPr="00CF1B34" w:rsidRDefault="00B95601"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 xml:space="preserve">Competencia desleal </w:t>
      </w:r>
    </w:p>
    <w:p w14:paraId="6EDE0EDA" w14:textId="23F9F7E3" w:rsidR="00624E13" w:rsidRPr="00CF1B34" w:rsidRDefault="00624E1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En el mundo en que vivimos existen muchas formas de</w:t>
      </w:r>
      <w:r w:rsidR="00E965DD" w:rsidRPr="00CF1B34">
        <w:rPr>
          <w:rFonts w:ascii="Arial" w:hAnsi="Arial" w:cs="Arial"/>
          <w:color w:val="333333"/>
          <w:sz w:val="22"/>
          <w:szCs w:val="22"/>
          <w:shd w:val="clear" w:color="auto" w:fill="FFFFFF"/>
          <w:lang w:val="es-ES_tradnl"/>
        </w:rPr>
        <w:t xml:space="preserve"> </w:t>
      </w:r>
      <w:r w:rsidRPr="00CF1B34">
        <w:rPr>
          <w:rFonts w:ascii="Arial" w:hAnsi="Arial" w:cs="Arial"/>
          <w:b/>
          <w:bCs/>
          <w:color w:val="333333"/>
          <w:sz w:val="22"/>
          <w:szCs w:val="22"/>
          <w:shd w:val="clear" w:color="auto" w:fill="FFFFFF"/>
          <w:lang w:val="es-ES_tradnl"/>
        </w:rPr>
        <w:t>competencia desleal e</w:t>
      </w:r>
      <w:r w:rsidRPr="00CF1B34">
        <w:rPr>
          <w:rFonts w:ascii="Arial" w:hAnsi="Arial" w:cs="Arial"/>
          <w:color w:val="333333"/>
          <w:sz w:val="22"/>
          <w:szCs w:val="22"/>
          <w:shd w:val="clear" w:color="auto" w:fill="FFFFFF"/>
          <w:lang w:val="es-ES_tradnl"/>
        </w:rPr>
        <w:t>n diferentes ámbitos, pero lo que une a estos ámbitos es que existen ciertos puntos de coincidencia si tomamos en cuenta que se basan en</w:t>
      </w:r>
      <w:r w:rsidR="00E965DD" w:rsidRPr="00CF1B34">
        <w:rPr>
          <w:rFonts w:ascii="Arial" w:hAnsi="Arial" w:cs="Arial"/>
          <w:color w:val="333333"/>
          <w:sz w:val="22"/>
          <w:szCs w:val="22"/>
          <w:shd w:val="clear" w:color="auto" w:fill="FFFFFF"/>
          <w:lang w:val="es-ES_tradnl"/>
        </w:rPr>
        <w:t xml:space="preserve"> </w:t>
      </w:r>
      <w:r w:rsidRPr="00CF1B34">
        <w:rPr>
          <w:rFonts w:ascii="Arial" w:hAnsi="Arial" w:cs="Arial"/>
          <w:b/>
          <w:bCs/>
          <w:color w:val="333333"/>
          <w:sz w:val="22"/>
          <w:szCs w:val="22"/>
          <w:shd w:val="clear" w:color="auto" w:fill="FFFFFF"/>
          <w:lang w:val="es-ES_tradnl"/>
        </w:rPr>
        <w:t>prácticas contrarias a las bases de la honestidad y la buena fe. Pueden ser</w:t>
      </w:r>
      <w:r w:rsidR="00E965DD"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realizadas en materia de</w:t>
      </w:r>
      <w:r w:rsidR="00E965DD" w:rsidRPr="00CF1B34">
        <w:rPr>
          <w:rFonts w:ascii="Arial" w:hAnsi="Arial" w:cs="Arial"/>
          <w:color w:val="333333"/>
          <w:sz w:val="22"/>
          <w:szCs w:val="22"/>
          <w:shd w:val="clear" w:color="auto" w:fill="FFFFFF"/>
          <w:lang w:val="es-ES_tradnl"/>
        </w:rPr>
        <w:t xml:space="preserve"> </w:t>
      </w:r>
      <w:hyperlink r:id="rId149" w:history="1">
        <w:r w:rsidRPr="00CF1B34">
          <w:rPr>
            <w:rFonts w:ascii="Arial" w:hAnsi="Arial" w:cs="Arial"/>
            <w:b/>
            <w:bCs/>
            <w:color w:val="DC143C"/>
            <w:sz w:val="22"/>
            <w:szCs w:val="22"/>
            <w:u w:val="single"/>
            <w:lang w:val="es-ES_tradnl"/>
          </w:rPr>
          <w:t>industria y de comercio</w:t>
        </w:r>
      </w:hyperlink>
      <w:r w:rsidRPr="00CF1B34">
        <w:rPr>
          <w:rFonts w:ascii="Arial" w:hAnsi="Arial" w:cs="Arial"/>
          <w:color w:val="333333"/>
          <w:sz w:val="22"/>
          <w:szCs w:val="22"/>
          <w:shd w:val="clear" w:color="auto" w:fill="FFFFFF"/>
          <w:lang w:val="es-ES_tradnl"/>
        </w:rPr>
        <w:t>, más allá de cual sea el sector en concreto, puede ser</w:t>
      </w:r>
      <w:r w:rsidR="00E965DD" w:rsidRPr="00CF1B34">
        <w:rPr>
          <w:rFonts w:ascii="Arial" w:hAnsi="Arial" w:cs="Arial"/>
          <w:color w:val="333333"/>
          <w:sz w:val="22"/>
          <w:szCs w:val="22"/>
          <w:shd w:val="clear" w:color="auto" w:fill="FFFFFF"/>
          <w:lang w:val="es-ES_tradnl"/>
        </w:rPr>
        <w:t xml:space="preserve"> </w:t>
      </w:r>
      <w:r w:rsidRPr="00CF1B34">
        <w:rPr>
          <w:rFonts w:ascii="Arial" w:hAnsi="Arial" w:cs="Arial"/>
          <w:b/>
          <w:bCs/>
          <w:color w:val="333333"/>
          <w:sz w:val="22"/>
          <w:szCs w:val="22"/>
          <w:shd w:val="clear" w:color="auto" w:fill="FFFFFF"/>
          <w:lang w:val="es-ES_tradnl"/>
        </w:rPr>
        <w:t>competencia desleal en el deporte, en la economía, o entre empresas.</w:t>
      </w:r>
    </w:p>
    <w:p w14:paraId="6EA44795" w14:textId="77777777" w:rsidR="00E965DD" w:rsidRPr="00CF1B34" w:rsidRDefault="00E965DD"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Entre las actividades llevadas a cabo como competencia desleal encontramos a las más frecuentes:</w:t>
      </w:r>
    </w:p>
    <w:p w14:paraId="2F5B1BE3" w14:textId="54D1458C" w:rsidR="00E965DD" w:rsidRPr="00CF1B34" w:rsidRDefault="00D83530" w:rsidP="004F7A62">
      <w:pPr>
        <w:numPr>
          <w:ilvl w:val="0"/>
          <w:numId w:val="140"/>
        </w:numPr>
        <w:shd w:val="clear" w:color="auto" w:fill="FFFFFF"/>
        <w:spacing w:before="100" w:beforeAutospacing="1" w:after="100" w:afterAutospacing="1"/>
        <w:jc w:val="both"/>
        <w:rPr>
          <w:rFonts w:ascii="Arial" w:hAnsi="Arial" w:cs="Arial"/>
          <w:color w:val="333333"/>
          <w:sz w:val="22"/>
          <w:szCs w:val="22"/>
          <w:lang w:val="es-ES_tradnl"/>
        </w:rPr>
      </w:pPr>
      <w:hyperlink r:id="rId150" w:history="1">
        <w:r w:rsidR="00E965DD" w:rsidRPr="00CF1B34">
          <w:rPr>
            <w:rStyle w:val="Hipervnculo"/>
            <w:rFonts w:ascii="Arial" w:hAnsi="Arial" w:cs="Arial"/>
            <w:b/>
            <w:bCs/>
            <w:color w:val="DC143C"/>
            <w:sz w:val="22"/>
            <w:szCs w:val="22"/>
            <w:lang w:val="es-ES_tradnl"/>
          </w:rPr>
          <w:t>Dumping</w:t>
        </w:r>
      </w:hyperlink>
      <w:r w:rsidR="00E965DD" w:rsidRPr="00CF1B34">
        <w:rPr>
          <w:rStyle w:val="Textoennegrita"/>
          <w:rFonts w:ascii="Arial" w:hAnsi="Arial" w:cs="Arial"/>
          <w:color w:val="333333"/>
          <w:sz w:val="22"/>
          <w:szCs w:val="22"/>
          <w:lang w:val="es-ES_tradnl"/>
        </w:rPr>
        <w:t xml:space="preserve"> o venta a pérdida</w:t>
      </w:r>
      <w:r w:rsidR="00E965DD" w:rsidRPr="00CF1B34">
        <w:rPr>
          <w:rFonts w:ascii="Arial" w:hAnsi="Arial" w:cs="Arial"/>
          <w:color w:val="333333"/>
          <w:sz w:val="22"/>
          <w:szCs w:val="22"/>
          <w:lang w:val="es-ES_tradnl"/>
        </w:rPr>
        <w:t>: vender debajo del costo.</w:t>
      </w:r>
    </w:p>
    <w:p w14:paraId="55499793" w14:textId="77777777" w:rsidR="00E965DD" w:rsidRPr="00CF1B34" w:rsidRDefault="00E965DD" w:rsidP="004F7A62">
      <w:pPr>
        <w:numPr>
          <w:ilvl w:val="0"/>
          <w:numId w:val="140"/>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Engaño</w:t>
      </w:r>
      <w:r w:rsidRPr="00CF1B34">
        <w:rPr>
          <w:rFonts w:ascii="Arial" w:hAnsi="Arial" w:cs="Arial"/>
          <w:color w:val="333333"/>
          <w:sz w:val="22"/>
          <w:szCs w:val="22"/>
          <w:lang w:val="es-ES_tradnl"/>
        </w:rPr>
        <w:t>: mentir acerca del producto a la venta.</w:t>
      </w:r>
    </w:p>
    <w:p w14:paraId="0348C084" w14:textId="38A792D5" w:rsidR="00E965DD" w:rsidRPr="00CF1B34" w:rsidRDefault="00E965DD" w:rsidP="004F7A62">
      <w:pPr>
        <w:numPr>
          <w:ilvl w:val="0"/>
          <w:numId w:val="140"/>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Denigración</w:t>
      </w:r>
      <w:r w:rsidRPr="00CF1B34">
        <w:rPr>
          <w:rFonts w:ascii="Arial" w:hAnsi="Arial" w:cs="Arial"/>
          <w:color w:val="333333"/>
          <w:sz w:val="22"/>
          <w:szCs w:val="22"/>
          <w:lang w:val="es-ES_tradnl"/>
        </w:rPr>
        <w:t xml:space="preserve">: </w:t>
      </w:r>
      <w:hyperlink r:id="rId151" w:history="1">
        <w:r w:rsidRPr="00CF1B34">
          <w:rPr>
            <w:rStyle w:val="Hipervnculo"/>
            <w:rFonts w:ascii="Arial" w:hAnsi="Arial" w:cs="Arial"/>
            <w:color w:val="2F5496" w:themeColor="accent1" w:themeShade="BF"/>
            <w:sz w:val="22"/>
            <w:szCs w:val="22"/>
            <w:lang w:val="es-ES_tradnl"/>
          </w:rPr>
          <w:t>información falsa acerca de la competencia</w:t>
        </w:r>
      </w:hyperlink>
      <w:r w:rsidR="00011CD6"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y sus productos. Muchas veces suelen recaer en la comparación de productos con los de la competencia, lo cual está prohibido en muchos países.</w:t>
      </w:r>
    </w:p>
    <w:p w14:paraId="190E40D4" w14:textId="77777777" w:rsidR="00E965DD" w:rsidRPr="00CF1B34" w:rsidRDefault="00E965DD" w:rsidP="004F7A62">
      <w:pPr>
        <w:numPr>
          <w:ilvl w:val="0"/>
          <w:numId w:val="140"/>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Confusión</w:t>
      </w:r>
      <w:r w:rsidRPr="00CF1B34">
        <w:rPr>
          <w:rFonts w:ascii="Arial" w:hAnsi="Arial" w:cs="Arial"/>
          <w:color w:val="333333"/>
          <w:sz w:val="22"/>
          <w:szCs w:val="22"/>
          <w:lang w:val="es-ES_tradnl"/>
        </w:rPr>
        <w:t>: parecerse a un competidor para jugar con la imagen ante el consumidor.</w:t>
      </w:r>
    </w:p>
    <w:p w14:paraId="52D9B353" w14:textId="77777777" w:rsidR="00E965DD" w:rsidRPr="00CF1B34" w:rsidRDefault="00E965DD" w:rsidP="004F7A62">
      <w:pPr>
        <w:numPr>
          <w:ilvl w:val="0"/>
          <w:numId w:val="140"/>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Violación de secretos</w:t>
      </w:r>
      <w:r w:rsidRPr="00CF1B34">
        <w:rPr>
          <w:rFonts w:ascii="Arial" w:hAnsi="Arial" w:cs="Arial"/>
          <w:color w:val="333333"/>
          <w:sz w:val="22"/>
          <w:szCs w:val="22"/>
          <w:lang w:val="es-ES_tradnl"/>
        </w:rPr>
        <w:t>: adquisición de patentes por medio de espionaje, o divulgación de secreto industrial.</w:t>
      </w:r>
    </w:p>
    <w:p w14:paraId="322E426C" w14:textId="77777777" w:rsidR="00E965DD" w:rsidRPr="00CF1B34" w:rsidRDefault="00E965DD"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333333"/>
          <w:sz w:val="22"/>
          <w:szCs w:val="22"/>
          <w:shd w:val="clear" w:color="auto" w:fill="FFFFFF"/>
          <w:lang w:val="es-ES_tradnl"/>
        </w:rPr>
        <w:t>Básicamente se trata de obtener un beneficio propio en desmedro del mercado del competidor, tratando de eliminar la competencia sin importar el coste ni las formas.</w:t>
      </w:r>
    </w:p>
    <w:p w14:paraId="76A24DA1" w14:textId="3CEFFACB" w:rsidR="00B95601" w:rsidRPr="00CF1B34" w:rsidRDefault="00B95601"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Competencia laboral</w:t>
      </w:r>
    </w:p>
    <w:p w14:paraId="23C43191" w14:textId="19CF0AF2" w:rsidR="00011CD6" w:rsidRPr="00CF1B34" w:rsidRDefault="00011CD6" w:rsidP="0005621A">
      <w:pPr>
        <w:ind w:left="708"/>
        <w:jc w:val="both"/>
        <w:rPr>
          <w:rFonts w:ascii="Arial" w:hAnsi="Arial" w:cs="Arial"/>
          <w:sz w:val="22"/>
          <w:szCs w:val="22"/>
          <w:lang w:val="es-ES_tradnl"/>
        </w:rPr>
      </w:pPr>
      <w:r w:rsidRPr="00CF1B34">
        <w:rPr>
          <w:rStyle w:val="Textoennegrita"/>
          <w:rFonts w:ascii="Arial" w:hAnsi="Arial" w:cs="Arial"/>
          <w:b w:val="0"/>
          <w:bCs w:val="0"/>
          <w:color w:val="333333"/>
          <w:sz w:val="22"/>
          <w:szCs w:val="22"/>
          <w:lang w:val="es-ES_tradnl"/>
        </w:rPr>
        <w:t>Si se va a los principios del propio concepto o del uso del término, hay que decir que surgió a partir de las investigaciones de David McClelland en los años 70</w:t>
      </w:r>
      <w:r w:rsidRPr="00CF1B34">
        <w:rPr>
          <w:rFonts w:ascii="Arial" w:hAnsi="Arial" w:cs="Arial"/>
          <w:b/>
          <w:bCs/>
          <w:color w:val="333333"/>
          <w:sz w:val="22"/>
          <w:szCs w:val="22"/>
          <w:lang w:val="es-ES_tradnl"/>
        </w:rPr>
        <w:t xml:space="preserve">, que tenían como finalidad enfocarse e identificar las diferentes variables que posibilitarían explicar el desempeño laboral. </w:t>
      </w:r>
      <w:r w:rsidRPr="00CF1B34">
        <w:rPr>
          <w:rStyle w:val="Textoennegrita"/>
          <w:rFonts w:ascii="Arial" w:hAnsi="Arial" w:cs="Arial"/>
          <w:b w:val="0"/>
          <w:bCs w:val="0"/>
          <w:color w:val="333333"/>
          <w:sz w:val="22"/>
          <w:szCs w:val="22"/>
          <w:lang w:val="es-ES_tradnl"/>
        </w:rPr>
        <w:t xml:space="preserve">Y fue el que originó este término en el ámbito laboral y que ha llegado hasta la actualidad. </w:t>
      </w:r>
      <w:r w:rsidRPr="00CF1B34">
        <w:rPr>
          <w:rFonts w:ascii="Arial" w:hAnsi="Arial" w:cs="Arial"/>
          <w:color w:val="333333"/>
          <w:sz w:val="22"/>
          <w:szCs w:val="22"/>
          <w:shd w:val="clear" w:color="auto" w:fill="FFFFFF"/>
          <w:lang w:val="es-ES_tradnl"/>
        </w:rPr>
        <w:t xml:space="preserve">McClelland, finalmente </w:t>
      </w:r>
      <w:r w:rsidRPr="00CF1B34">
        <w:rPr>
          <w:rStyle w:val="Textoennegrita"/>
          <w:rFonts w:ascii="Arial" w:hAnsi="Arial" w:cs="Arial"/>
          <w:color w:val="333333"/>
          <w:sz w:val="22"/>
          <w:szCs w:val="22"/>
          <w:shd w:val="clear" w:color="auto" w:fill="FFFFFF"/>
          <w:lang w:val="es-ES_tradnl"/>
        </w:rPr>
        <w:t>confeccionó una serie de características que diferenciaban los niveles de rendimiento de los empleados,</w:t>
      </w:r>
      <w:r w:rsidRPr="00CF1B34">
        <w:rPr>
          <w:rFonts w:ascii="Arial" w:hAnsi="Arial" w:cs="Arial"/>
          <w:color w:val="333333"/>
          <w:sz w:val="22"/>
          <w:szCs w:val="22"/>
          <w:shd w:val="clear" w:color="auto" w:fill="FFFFFF"/>
          <w:lang w:val="es-ES_tradnl"/>
        </w:rPr>
        <w:t xml:space="preserve"> a partir de una serie de entrevistas y observaciones.</w:t>
      </w:r>
    </w:p>
    <w:p w14:paraId="62599AFE" w14:textId="2EB95046" w:rsidR="00011CD6" w:rsidRPr="00CF1B34" w:rsidRDefault="00011CD6" w:rsidP="0005621A">
      <w:pPr>
        <w:ind w:left="708"/>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 xml:space="preserve">Se trataba de mejorar el modelo de trabajo respecto a la relación entre los programas de formación y la verdadera realidad de las empresas. </w:t>
      </w:r>
      <w:r w:rsidRPr="00CF1B34">
        <w:rPr>
          <w:rFonts w:ascii="Arial" w:hAnsi="Arial" w:cs="Arial"/>
          <w:color w:val="333333"/>
          <w:sz w:val="22"/>
          <w:szCs w:val="22"/>
          <w:shd w:val="clear" w:color="auto" w:fill="FFFFFF"/>
          <w:lang w:val="es-ES_tradnl"/>
        </w:rPr>
        <w:t>Ya que se consideraba que el sistema académico valoraba más la adquisición de conocimientos que la aplicación en el ámbito laboral, buscando un sistema que reconociera la capacidad de desempeñarse efectivamente en el trabajo y no tanto los conocimientos adquiridos.</w:t>
      </w:r>
    </w:p>
    <w:p w14:paraId="747DDFD6" w14:textId="08998EB1" w:rsidR="00011CD6" w:rsidRPr="00CF1B34" w:rsidRDefault="00011CD6"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Para tal fin se llegó a elaborar la definición de</w:t>
      </w:r>
      <w:r w:rsidRPr="00CF1B34">
        <w:rPr>
          <w:rStyle w:val="Textoennegrita"/>
          <w:rFonts w:ascii="Arial" w:hAnsi="Arial" w:cs="Arial"/>
          <w:color w:val="333333"/>
          <w:sz w:val="22"/>
          <w:szCs w:val="22"/>
          <w:shd w:val="clear" w:color="auto" w:fill="FFFFFF"/>
          <w:lang w:val="es-ES_tradnl"/>
        </w:rPr>
        <w:t xml:space="preserve"> un grupo de competencias que fue incluido en el Informe SCANS:</w:t>
      </w:r>
    </w:p>
    <w:p w14:paraId="72CE8325" w14:textId="2E0B3F5E" w:rsidR="00011CD6" w:rsidRPr="00CF1B34" w:rsidRDefault="00011CD6" w:rsidP="0005621A">
      <w:pPr>
        <w:ind w:left="708"/>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Competencias transversales:</w:t>
      </w:r>
      <w:r w:rsidRPr="00CF1B34">
        <w:rPr>
          <w:rFonts w:ascii="Arial" w:hAnsi="Arial" w:cs="Arial"/>
          <w:color w:val="333333"/>
          <w:sz w:val="22"/>
          <w:szCs w:val="22"/>
          <w:lang w:val="es-ES_tradnl"/>
        </w:rPr>
        <w:br/>
      </w:r>
      <w:r w:rsidRPr="00CF1B34">
        <w:rPr>
          <w:rStyle w:val="Textoennegrita"/>
          <w:rFonts w:ascii="Arial" w:hAnsi="Arial" w:cs="Arial"/>
          <w:color w:val="333333"/>
          <w:sz w:val="22"/>
          <w:szCs w:val="22"/>
          <w:shd w:val="clear" w:color="auto" w:fill="FFFFFF"/>
          <w:lang w:val="es-ES_tradnl"/>
        </w:rPr>
        <w:t xml:space="preserve">-Gestión de Recursos: </w:t>
      </w:r>
      <w:r w:rsidRPr="00CF1B34">
        <w:rPr>
          <w:rFonts w:ascii="Arial" w:hAnsi="Arial" w:cs="Arial"/>
          <w:color w:val="333333"/>
          <w:sz w:val="22"/>
          <w:szCs w:val="22"/>
          <w:shd w:val="clear" w:color="auto" w:fill="FFFFFF"/>
          <w:lang w:val="es-ES_tradnl"/>
        </w:rPr>
        <w:t>tiempo, dinero, materiales y distribución, personal.</w:t>
      </w:r>
      <w:r w:rsidRPr="00CF1B34">
        <w:rPr>
          <w:rFonts w:ascii="Arial" w:hAnsi="Arial" w:cs="Arial"/>
          <w:color w:val="333333"/>
          <w:sz w:val="22"/>
          <w:szCs w:val="22"/>
          <w:lang w:val="es-ES_tradnl"/>
        </w:rPr>
        <w:br/>
      </w:r>
      <w:r w:rsidRPr="00CF1B34">
        <w:rPr>
          <w:rStyle w:val="Textoennegrita"/>
          <w:rFonts w:ascii="Arial" w:hAnsi="Arial" w:cs="Arial"/>
          <w:color w:val="333333"/>
          <w:sz w:val="22"/>
          <w:szCs w:val="22"/>
          <w:shd w:val="clear" w:color="auto" w:fill="FFFFFF"/>
          <w:lang w:val="es-ES_tradnl"/>
        </w:rPr>
        <w:t>-Relaciones Interpersonales:</w:t>
      </w:r>
      <w:r w:rsidRPr="00CF1B34">
        <w:rPr>
          <w:rFonts w:ascii="Arial" w:hAnsi="Arial" w:cs="Arial"/>
          <w:color w:val="333333"/>
          <w:sz w:val="22"/>
          <w:szCs w:val="22"/>
          <w:shd w:val="clear" w:color="auto" w:fill="FFFFFF"/>
          <w:lang w:val="es-ES_tradnl"/>
        </w:rPr>
        <w:t xml:space="preserve"> trabajo en equipo, enseñar a otros, servicio a clientes, desplegar liderazgo, negociar y trabajar con personas diversas.</w:t>
      </w:r>
      <w:r w:rsidRPr="00CF1B34">
        <w:rPr>
          <w:rFonts w:ascii="Arial" w:hAnsi="Arial" w:cs="Arial"/>
          <w:color w:val="333333"/>
          <w:sz w:val="22"/>
          <w:szCs w:val="22"/>
          <w:lang w:val="es-ES_tradnl"/>
        </w:rPr>
        <w:br/>
      </w:r>
      <w:r w:rsidRPr="00CF1B34">
        <w:rPr>
          <w:rStyle w:val="Textoennegrita"/>
          <w:rFonts w:ascii="Arial" w:hAnsi="Arial" w:cs="Arial"/>
          <w:color w:val="333333"/>
          <w:sz w:val="22"/>
          <w:szCs w:val="22"/>
          <w:shd w:val="clear" w:color="auto" w:fill="FFFFFF"/>
          <w:lang w:val="es-ES_tradnl"/>
        </w:rPr>
        <w:lastRenderedPageBreak/>
        <w:t>-Gestión de Información:</w:t>
      </w:r>
      <w:r w:rsidRPr="00CF1B34">
        <w:rPr>
          <w:rFonts w:ascii="Arial" w:hAnsi="Arial" w:cs="Arial"/>
          <w:color w:val="333333"/>
          <w:sz w:val="22"/>
          <w:szCs w:val="22"/>
          <w:shd w:val="clear" w:color="auto" w:fill="FFFFFF"/>
          <w:lang w:val="es-ES_tradnl"/>
        </w:rPr>
        <w:t xml:space="preserve"> buscar y evaluar información, organizar y mantener sistemas de información, interpretar y comunicar, usar computadores.</w:t>
      </w:r>
      <w:r w:rsidRPr="00CF1B34">
        <w:rPr>
          <w:rFonts w:ascii="Arial" w:hAnsi="Arial" w:cs="Arial"/>
          <w:color w:val="333333"/>
          <w:sz w:val="22"/>
          <w:szCs w:val="22"/>
          <w:lang w:val="es-ES_tradnl"/>
        </w:rPr>
        <w:br/>
      </w:r>
      <w:r w:rsidRPr="00CF1B34">
        <w:rPr>
          <w:rStyle w:val="Textoennegrita"/>
          <w:rFonts w:ascii="Arial" w:hAnsi="Arial" w:cs="Arial"/>
          <w:color w:val="333333"/>
          <w:sz w:val="22"/>
          <w:szCs w:val="22"/>
          <w:shd w:val="clear" w:color="auto" w:fill="FFFFFF"/>
          <w:lang w:val="es-ES_tradnl"/>
        </w:rPr>
        <w:t xml:space="preserve">-Comprensión Sistémica: </w:t>
      </w:r>
      <w:r w:rsidRPr="00CF1B34">
        <w:rPr>
          <w:rFonts w:ascii="Arial" w:hAnsi="Arial" w:cs="Arial"/>
          <w:color w:val="333333"/>
          <w:sz w:val="22"/>
          <w:szCs w:val="22"/>
          <w:shd w:val="clear" w:color="auto" w:fill="FFFFFF"/>
          <w:lang w:val="es-ES_tradnl"/>
        </w:rPr>
        <w:t>comprender interrelaciones complejas, entender sistemas, monitorear y corregir desempeños, mejorar o diseñar sistemas.</w:t>
      </w:r>
      <w:r w:rsidRPr="00CF1B34">
        <w:rPr>
          <w:rFonts w:ascii="Arial" w:hAnsi="Arial" w:cs="Arial"/>
          <w:color w:val="333333"/>
          <w:sz w:val="22"/>
          <w:szCs w:val="22"/>
          <w:lang w:val="es-ES_tradnl"/>
        </w:rPr>
        <w:br/>
      </w:r>
      <w:r w:rsidRPr="00CF1B34">
        <w:rPr>
          <w:rStyle w:val="Textoennegrita"/>
          <w:rFonts w:ascii="Arial" w:hAnsi="Arial" w:cs="Arial"/>
          <w:color w:val="333333"/>
          <w:sz w:val="22"/>
          <w:szCs w:val="22"/>
          <w:shd w:val="clear" w:color="auto" w:fill="FFFFFF"/>
          <w:lang w:val="es-ES_tradnl"/>
        </w:rPr>
        <w:t>-Dominio tecnológico:</w:t>
      </w:r>
      <w:r w:rsidRPr="00CF1B34">
        <w:rPr>
          <w:rFonts w:ascii="Arial" w:hAnsi="Arial" w:cs="Arial"/>
          <w:color w:val="333333"/>
          <w:sz w:val="22"/>
          <w:szCs w:val="22"/>
          <w:shd w:val="clear" w:color="auto" w:fill="FFFFFF"/>
          <w:lang w:val="es-ES_tradnl"/>
        </w:rPr>
        <w:t xml:space="preserve"> seleccionar tecnologías, aplicarlas en la tarea, dar mantenimiento y reparar equipos.</w:t>
      </w:r>
    </w:p>
    <w:p w14:paraId="00B2B803" w14:textId="77777777" w:rsidR="00006DF1" w:rsidRPr="00CF1B34" w:rsidRDefault="00006DF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Conforme ha pasado el tiempo, hoy día los programas de formación para la competencia laboral son otros, la realidad también, pero el enfoque de su aplicación sigue siendo el mismo y a la vez se ha ampliado.</w:t>
      </w:r>
    </w:p>
    <w:p w14:paraId="6E421C3E" w14:textId="06F998FA" w:rsidR="00B95601" w:rsidRPr="00CF1B34" w:rsidRDefault="00B95601"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Compras al por mayor</w:t>
      </w:r>
    </w:p>
    <w:p w14:paraId="57A30A5D" w14:textId="77777777" w:rsidR="004E7F52" w:rsidRPr="00CF1B34" w:rsidRDefault="004E7F5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Una muy buena forma de </w:t>
      </w:r>
      <w:r w:rsidRPr="00CF1B34">
        <w:rPr>
          <w:rStyle w:val="Textoennegrita"/>
          <w:rFonts w:ascii="Arial" w:hAnsi="Arial" w:cs="Arial"/>
          <w:color w:val="333333"/>
          <w:sz w:val="22"/>
          <w:szCs w:val="22"/>
          <w:shd w:val="clear" w:color="auto" w:fill="FFFFFF"/>
          <w:lang w:val="es-ES_tradnl"/>
        </w:rPr>
        <w:t>ahorrar dinero</w:t>
      </w:r>
      <w:r w:rsidRPr="00CF1B34">
        <w:rPr>
          <w:rFonts w:ascii="Arial" w:hAnsi="Arial" w:cs="Arial"/>
          <w:color w:val="333333"/>
          <w:sz w:val="22"/>
          <w:szCs w:val="22"/>
          <w:shd w:val="clear" w:color="auto" w:fill="FFFFFF"/>
          <w:lang w:val="es-ES_tradnl"/>
        </w:rPr>
        <w:t xml:space="preserve"> con sus compras es consiguiendo precios más bajos, comprando al por mayor. En muchas ocasiones, las compras al por mayor no requieren una cantidad de productos demasiado elevada, y se pueden conseguir seis al precio de cinco unidades.</w:t>
      </w:r>
    </w:p>
    <w:p w14:paraId="1F35D42E" w14:textId="436BAA2F" w:rsidR="000E7730" w:rsidRPr="00CF1B34" w:rsidRDefault="000E7730"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Compra/venta a vencimiento.</w:t>
      </w:r>
    </w:p>
    <w:p w14:paraId="2C48D4D4" w14:textId="77777777" w:rsidR="009F1335" w:rsidRPr="00CF1B34" w:rsidRDefault="00DD61C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operaciones </w:t>
      </w:r>
      <w:r w:rsidR="001A4F5F" w:rsidRPr="00CF1B34">
        <w:rPr>
          <w:rFonts w:ascii="Arial" w:hAnsi="Arial" w:cs="Arial"/>
          <w:color w:val="000000" w:themeColor="text1"/>
          <w:sz w:val="22"/>
          <w:szCs w:val="22"/>
          <w:lang w:val="es-ES_tradnl"/>
        </w:rPr>
        <w:t xml:space="preserve">en las cuales la transmisión de los valores se hace hasta su amortización. Evidentemente esto no significa que dichos valores tengan que permanecer en las carteras de los mismos inversores hasta </w:t>
      </w:r>
      <w:r w:rsidR="009F1335" w:rsidRPr="00CF1B34">
        <w:rPr>
          <w:rFonts w:ascii="Arial" w:hAnsi="Arial" w:cs="Arial"/>
          <w:color w:val="000000" w:themeColor="text1"/>
          <w:sz w:val="22"/>
          <w:szCs w:val="22"/>
          <w:lang w:val="es-ES_tradnl"/>
        </w:rPr>
        <w:t xml:space="preserve"> su vencimiento. Un mismo valor puede ser objeto de numerosas transmisiones antes de su amortización.</w:t>
      </w:r>
    </w:p>
    <w:p w14:paraId="5E3EB58F" w14:textId="17439F68" w:rsidR="00B819A8" w:rsidRPr="00CF1B34" w:rsidRDefault="00B819A8"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Condiciones de la hipoteca</w:t>
      </w:r>
    </w:p>
    <w:p w14:paraId="26C804BE" w14:textId="77777777" w:rsidR="00B819A8" w:rsidRPr="00CF1B34" w:rsidRDefault="00B819A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w:t>
      </w:r>
      <w:r w:rsidRPr="00CF1B34">
        <w:rPr>
          <w:rFonts w:ascii="Arial" w:hAnsi="Arial" w:cs="Arial"/>
          <w:b/>
          <w:bCs/>
          <w:sz w:val="22"/>
          <w:szCs w:val="22"/>
          <w:lang w:val="es-ES_tradnl"/>
        </w:rPr>
        <w:t>condiciones de la hipoteca</w:t>
      </w:r>
      <w:r w:rsidRPr="00CF1B34">
        <w:rPr>
          <w:rFonts w:ascii="Arial" w:hAnsi="Arial" w:cs="Arial"/>
          <w:sz w:val="22"/>
          <w:szCs w:val="22"/>
          <w:lang w:val="es-ES_tradnl"/>
        </w:rPr>
        <w:t> son aquellos requisitos y cláusulas que establece el banco a la hora de concedernos el préstamo. Si en general las condiciones de todas estas entidades de crédito serán bastante parecidas, lo cierto es que a veces difieren en algunos detalles y en cláusulas específicas.</w:t>
      </w:r>
    </w:p>
    <w:p w14:paraId="63584C98" w14:textId="0B5FA17E" w:rsidR="00B819A8" w:rsidRPr="00CF1B34" w:rsidRDefault="00B819A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primer lugar, nos encontraremos con las condiciones de partida, que tendrán en cuenta nuestro </w:t>
      </w:r>
      <w:r w:rsidRPr="00CF1B34">
        <w:rPr>
          <w:rFonts w:ascii="Arial" w:hAnsi="Arial" w:cs="Arial"/>
          <w:b/>
          <w:bCs/>
          <w:sz w:val="22"/>
          <w:szCs w:val="22"/>
          <w:lang w:val="es-ES_tradnl"/>
        </w:rPr>
        <w:t>perfil de ahorro</w:t>
      </w:r>
      <w:r w:rsidRPr="00CF1B34">
        <w:rPr>
          <w:rFonts w:ascii="Arial" w:hAnsi="Arial" w:cs="Arial"/>
          <w:sz w:val="22"/>
          <w:szCs w:val="22"/>
          <w:lang w:val="es-ES_tradnl"/>
        </w:rPr>
        <w:t>, y que determinarán los </w:t>
      </w:r>
      <w:r w:rsidRPr="00CF1B34">
        <w:rPr>
          <w:rFonts w:ascii="Arial" w:hAnsi="Arial" w:cs="Arial"/>
          <w:b/>
          <w:bCs/>
          <w:sz w:val="22"/>
          <w:szCs w:val="22"/>
          <w:lang w:val="es-ES_tradnl"/>
        </w:rPr>
        <w:t>ingresos mínimos</w:t>
      </w:r>
      <w:r w:rsidRPr="00CF1B34">
        <w:rPr>
          <w:rFonts w:ascii="Arial" w:hAnsi="Arial" w:cs="Arial"/>
          <w:sz w:val="22"/>
          <w:szCs w:val="22"/>
          <w:lang w:val="es-ES_tradnl"/>
        </w:rPr>
        <w:t> de los que deberemos disponer para hacer frente a la deuda. No olvidemos que un </w:t>
      </w:r>
      <w:hyperlink r:id="rId152" w:history="1">
        <w:r w:rsidRPr="00CF1B34">
          <w:rPr>
            <w:rFonts w:ascii="Arial" w:hAnsi="Arial" w:cs="Arial"/>
            <w:b/>
            <w:bCs/>
            <w:color w:val="2F5496" w:themeColor="accent1" w:themeShade="BF"/>
            <w:sz w:val="22"/>
            <w:szCs w:val="22"/>
            <w:u w:val="single"/>
            <w:lang w:val="es-ES_tradnl"/>
          </w:rPr>
          <w:t>préstamo hipotecario</w:t>
        </w:r>
      </w:hyperlink>
      <w:r w:rsidR="009F1335" w:rsidRPr="00CF1B34">
        <w:rPr>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es una deuda que contraeremos por muchos años, por lo que la entidad de crédito deberá asegurarse de que por lo menos partamos con una base financiera solvente y saneada.</w:t>
      </w:r>
    </w:p>
    <w:p w14:paraId="4D7F53B0" w14:textId="77777777" w:rsidR="00B819A8" w:rsidRPr="00CF1B34" w:rsidRDefault="00B819A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En este punto será básico tener un nivel de ingresos aceptable; un sueldo estable y mejor cuanto más alto. Si hacemos caso a las recomendaciones del Banco de España, este aconseja no destinar más del 35% de nuestros ingresos a pagar nuestro préstamo hipotecario. En todo caso, ayudará el hecho de compartir la titularidad de la </w:t>
      </w:r>
      <w:proofErr w:type="gramStart"/>
      <w:r w:rsidRPr="00CF1B34">
        <w:rPr>
          <w:rFonts w:ascii="Arial" w:hAnsi="Arial" w:cs="Arial"/>
          <w:sz w:val="22"/>
          <w:szCs w:val="22"/>
          <w:lang w:val="es-ES_tradnl"/>
        </w:rPr>
        <w:t>hipoteca</w:t>
      </w:r>
      <w:proofErr w:type="gramEnd"/>
      <w:r w:rsidRPr="00CF1B34">
        <w:rPr>
          <w:rFonts w:ascii="Arial" w:hAnsi="Arial" w:cs="Arial"/>
          <w:sz w:val="22"/>
          <w:szCs w:val="22"/>
          <w:lang w:val="es-ES_tradnl"/>
        </w:rPr>
        <w:t xml:space="preserve"> por ejemplo, con la persona con quien vayamos a compartir nuestra nueva vivienda.</w:t>
      </w:r>
    </w:p>
    <w:p w14:paraId="28BA5311" w14:textId="77777777" w:rsidR="00B819A8" w:rsidRPr="00CF1B34" w:rsidRDefault="00B819A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Muy unido al nivel de ingresos se encuentra la estabilidad laboral. Así, un empleo estable será un buen índice, y en cambio penalizará que no tengamos un trabajo indefinido, ni mucha antigüedad en nuestra empresa. Por el contrario, las personas jubiladas o funcionarias que perciban un ingreso periódico y fijo serán siempre contarán con un plus en este aspecto.</w:t>
      </w:r>
    </w:p>
    <w:p w14:paraId="0F117BA2" w14:textId="77777777" w:rsidR="00B819A8" w:rsidRPr="00CF1B34" w:rsidRDefault="00B819A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segundo lugar, un buen </w:t>
      </w:r>
      <w:r w:rsidRPr="00CF1B34">
        <w:rPr>
          <w:rFonts w:ascii="Arial" w:hAnsi="Arial" w:cs="Arial"/>
          <w:b/>
          <w:bCs/>
          <w:sz w:val="22"/>
          <w:szCs w:val="22"/>
          <w:lang w:val="es-ES_tradnl"/>
        </w:rPr>
        <w:t>historial crediticio</w:t>
      </w:r>
      <w:r w:rsidRPr="00CF1B34">
        <w:rPr>
          <w:rFonts w:ascii="Arial" w:hAnsi="Arial" w:cs="Arial"/>
          <w:sz w:val="22"/>
          <w:szCs w:val="22"/>
          <w:lang w:val="es-ES_tradnl"/>
        </w:rPr>
        <w:t>, sin impagos, préstamos vigentes u otras posibles deudas que hayamos contraído con terceros. De hecho, la concesión de una hipoteca suele estar sujeta a la ausencia de otras obligaciones por parte del solicitante.</w:t>
      </w:r>
    </w:p>
    <w:p w14:paraId="2CC0C221" w14:textId="77777777" w:rsidR="00B819A8" w:rsidRPr="00CF1B34" w:rsidRDefault="00B819A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En tercer lugar, el </w:t>
      </w:r>
      <w:r w:rsidRPr="00CF1B34">
        <w:rPr>
          <w:rFonts w:ascii="Arial" w:hAnsi="Arial" w:cs="Arial"/>
          <w:b/>
          <w:bCs/>
          <w:sz w:val="22"/>
          <w:szCs w:val="22"/>
          <w:lang w:val="es-ES_tradnl"/>
        </w:rPr>
        <w:t>límite de financiación.</w:t>
      </w:r>
      <w:r w:rsidRPr="00CF1B34">
        <w:rPr>
          <w:rFonts w:ascii="Arial" w:hAnsi="Arial" w:cs="Arial"/>
          <w:sz w:val="22"/>
          <w:szCs w:val="22"/>
          <w:lang w:val="es-ES_tradnl"/>
        </w:rPr>
        <w:t> Normalmente, las entidades de crédito no suelen financiar más allá de un 80% del valor de tasación del inmueble, e incluso de un 70% si no se trata de primera vivienda. En cualquier caso, será necesario que dispongamos de un 30% aproximado del valor de nuestra casa para hacer frente a ese porcentaje que no cubre la hipoteca, y además a los gastos de compraventa, escrituración y de otros costes asociados al propio préstamo.</w:t>
      </w:r>
    </w:p>
    <w:p w14:paraId="79E44261" w14:textId="77777777" w:rsidR="00B819A8" w:rsidRPr="00CF1B34" w:rsidRDefault="00B819A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último, el </w:t>
      </w:r>
      <w:r w:rsidRPr="00CF1B34">
        <w:rPr>
          <w:rFonts w:ascii="Arial" w:hAnsi="Arial" w:cs="Arial"/>
          <w:b/>
          <w:bCs/>
          <w:sz w:val="22"/>
          <w:szCs w:val="22"/>
          <w:lang w:val="es-ES_tradnl"/>
        </w:rPr>
        <w:t>periodo de amortización</w:t>
      </w:r>
      <w:r w:rsidRPr="00CF1B34">
        <w:rPr>
          <w:rFonts w:ascii="Arial" w:hAnsi="Arial" w:cs="Arial"/>
          <w:sz w:val="22"/>
          <w:szCs w:val="22"/>
          <w:lang w:val="es-ES_tradnl"/>
        </w:rPr>
        <w:t>, que es aquel en el que estaremos devolviendo nuestra deuda al banco. Normalmente los plazos irán de 20 a 30 años, aunque puede darse el caso de ampliar hasta 40.</w:t>
      </w:r>
    </w:p>
    <w:p w14:paraId="4F62E9F4" w14:textId="77777777" w:rsidR="00B819A8" w:rsidRPr="00CF1B34" w:rsidRDefault="00B819A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Además de estas condiciones de partida, las condiciones de la hipoteca incluirán otros contenidos como el tipo de hipoteca, el tipo de interés, el reparto de gastos que genera la probación de un préstamo hipotecario o las diferentes comisiones que el banco puede cobrarnos. En cualquier caso, siempre deberán estar muy claras y perfectamente entendidas antes de firmar. Por otro lado, el hecho de comparar hipotecas y la libertad para elegir una u otra nos dará cierto margen de maniobra para negociar algunas de estas condiciones con nuestro banco.</w:t>
      </w:r>
    </w:p>
    <w:p w14:paraId="629F7C1C" w14:textId="17194E20" w:rsidR="000E7730" w:rsidRPr="00CF1B34" w:rsidRDefault="000E773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Condiciones generales</w:t>
      </w:r>
    </w:p>
    <w:p w14:paraId="517688E2" w14:textId="77777777" w:rsidR="00ED0FEB" w:rsidRPr="00CF1B34" w:rsidRDefault="00ED0FE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Normas de un mercado organizado que describen las características concretas década contrato</w:t>
      </w:r>
    </w:p>
    <w:p w14:paraId="2C8FB4EF" w14:textId="7699D981"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 prima de emisión</w:t>
      </w:r>
    </w:p>
    <w:p w14:paraId="201CFA83"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Ampliación de capital en la que el precio de las nuevas acciones es superior a su valor nominal; la diferencia es la prima de emisión. El objetivo de esta prima es compensar a los antiguos accionistas haciendo que los nuevos “paguen” por las plusvalías generadas antes de su entrada en la sociedad. </w:t>
      </w:r>
    </w:p>
    <w:p w14:paraId="12C32439"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Concurso de acreedores</w:t>
      </w:r>
    </w:p>
    <w:p w14:paraId="63514DC3"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Procedimiento para resolver las situaciones de insolvencia, actual o inminente, de una sociedad o de una persona física; es decir, aquellos casos en los que no es capaz de cumplir con sus obligaciones exigibles. El objetivo es satisfacer a los acreedores sin llegar a la total liquidación del patrimonio. La declaración de concurso pueden solicitarla tanto el deudor como cualquiera de sus acreedores. </w:t>
      </w:r>
    </w:p>
    <w:p w14:paraId="3C37271D" w14:textId="77777777" w:rsidR="00034DA0" w:rsidRPr="00CF1B34" w:rsidRDefault="00B956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Confirming </w:t>
      </w:r>
    </w:p>
    <w:p w14:paraId="192F8151" w14:textId="2497BC0E" w:rsidR="00034DA0" w:rsidRPr="00CF1B34" w:rsidRDefault="00034DA0" w:rsidP="0005621A">
      <w:pPr>
        <w:ind w:left="708"/>
        <w:jc w:val="both"/>
        <w:rPr>
          <w:rFonts w:ascii="Arial" w:hAnsi="Arial" w:cs="Arial"/>
          <w:b/>
          <w:bCs/>
          <w:color w:val="004773"/>
          <w:sz w:val="22"/>
          <w:szCs w:val="22"/>
          <w:lang w:val="es-ES_tradnl"/>
        </w:rPr>
      </w:pPr>
      <w:r w:rsidRPr="00CF1B34">
        <w:rPr>
          <w:rStyle w:val="Textoennegrita"/>
          <w:rFonts w:ascii="Arial" w:hAnsi="Arial" w:cs="Arial"/>
          <w:b w:val="0"/>
          <w:bCs w:val="0"/>
          <w:color w:val="333333"/>
          <w:sz w:val="22"/>
          <w:szCs w:val="22"/>
          <w:lang w:val="es-ES_tradnl"/>
        </w:rPr>
        <w:t xml:space="preserve">Conocido como el contrato opuesto al Factoring (denominado en inglés Reverse Factoring), el Confirming es un </w:t>
      </w:r>
      <w:hyperlink r:id="rId153" w:history="1">
        <w:r w:rsidRPr="00CF1B34">
          <w:rPr>
            <w:rStyle w:val="Hipervnculo"/>
            <w:rFonts w:ascii="Arial" w:hAnsi="Arial" w:cs="Arial"/>
            <w:color w:val="000000"/>
            <w:sz w:val="22"/>
            <w:szCs w:val="22"/>
            <w:lang w:val="es-ES_tradnl"/>
          </w:rPr>
          <w:t>producto financiero</w:t>
        </w:r>
      </w:hyperlink>
      <w:r w:rsidRPr="00CF1B34">
        <w:rPr>
          <w:rStyle w:val="Textoennegrita"/>
          <w:rFonts w:ascii="Arial" w:hAnsi="Arial" w:cs="Arial"/>
          <w:b w:val="0"/>
          <w:bCs w:val="0"/>
          <w:color w:val="333333"/>
          <w:sz w:val="22"/>
          <w:szCs w:val="22"/>
          <w:lang w:val="es-ES_tradnl"/>
        </w:rPr>
        <w:t xml:space="preserve"> otorgado por un </w:t>
      </w:r>
      <w:hyperlink r:id="rId154" w:history="1">
        <w:r w:rsidRPr="00CF1B34">
          <w:rPr>
            <w:rStyle w:val="Hipervnculo"/>
            <w:rFonts w:ascii="Arial" w:hAnsi="Arial" w:cs="Arial"/>
            <w:color w:val="000000"/>
            <w:sz w:val="22"/>
            <w:szCs w:val="22"/>
            <w:lang w:val="es-ES_tradnl"/>
          </w:rPr>
          <w:t>banco</w:t>
        </w:r>
      </w:hyperlink>
      <w:r w:rsidRPr="00CF1B34">
        <w:rPr>
          <w:rStyle w:val="Textoennegrita"/>
          <w:rFonts w:ascii="Arial" w:hAnsi="Arial" w:cs="Arial"/>
          <w:b w:val="0"/>
          <w:bCs w:val="0"/>
          <w:color w:val="333333"/>
          <w:sz w:val="22"/>
          <w:szCs w:val="22"/>
          <w:lang w:val="es-ES_tradnl"/>
        </w:rPr>
        <w:t xml:space="preserve"> para facilitar a sus clientes la gestión de pago a sus proveedores. El punto es ofrecer pagar sus facturas con anterioridad a la fecha de vencimiento. Se ve utilizado normalmente en aquellas compañías que posean una amplia gama de proveedores o, con un complejo sistema de pagos.</w:t>
      </w:r>
    </w:p>
    <w:p w14:paraId="4E80AE82" w14:textId="77777777" w:rsidR="00034DA0" w:rsidRPr="00CF1B34" w:rsidRDefault="00034DA0" w:rsidP="0005621A">
      <w:pPr>
        <w:pStyle w:val="Ttulo3"/>
        <w:shd w:val="clear" w:color="auto" w:fill="FFFFFF"/>
        <w:spacing w:before="330" w:after="165"/>
        <w:ind w:firstLine="708"/>
        <w:jc w:val="both"/>
        <w:rPr>
          <w:rFonts w:ascii="Arial" w:hAnsi="Arial" w:cs="Arial"/>
          <w:b/>
          <w:bCs/>
          <w:color w:val="333333"/>
          <w:sz w:val="22"/>
          <w:szCs w:val="22"/>
          <w:lang w:val="es-ES_tradnl"/>
        </w:rPr>
      </w:pPr>
      <w:r w:rsidRPr="00CF1B34">
        <w:rPr>
          <w:rStyle w:val="Textoennegrita"/>
          <w:rFonts w:ascii="Arial" w:hAnsi="Arial" w:cs="Arial"/>
          <w:b w:val="0"/>
          <w:bCs w:val="0"/>
          <w:color w:val="C00000"/>
          <w:sz w:val="22"/>
          <w:szCs w:val="22"/>
          <w:lang w:val="es-ES_tradnl"/>
        </w:rPr>
        <w:t>Inconvenientes</w:t>
      </w:r>
      <w:r w:rsidRPr="00CF1B34">
        <w:rPr>
          <w:rStyle w:val="Textoennegrita"/>
          <w:rFonts w:ascii="Arial" w:hAnsi="Arial" w:cs="Arial"/>
          <w:b w:val="0"/>
          <w:bCs w:val="0"/>
          <w:color w:val="333333"/>
          <w:sz w:val="22"/>
          <w:szCs w:val="22"/>
          <w:lang w:val="es-ES_tradnl"/>
        </w:rPr>
        <w:t>:</w:t>
      </w:r>
    </w:p>
    <w:p w14:paraId="39B37FE7" w14:textId="6C16188F" w:rsidR="00034DA0" w:rsidRPr="00CF1B34" w:rsidRDefault="00034DA0" w:rsidP="004F7A62">
      <w:pPr>
        <w:numPr>
          <w:ilvl w:val="0"/>
          <w:numId w:val="14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Para el cliente: Se encuentra obligado a trabajar con una entidad ajena, lo que quita libertad en sus movimientos e independencia para el manejo de sus proveedores.</w:t>
      </w:r>
    </w:p>
    <w:p w14:paraId="363E901E" w14:textId="77777777" w:rsidR="00034DA0" w:rsidRPr="00CF1B34" w:rsidRDefault="00034DA0" w:rsidP="004F7A62">
      <w:pPr>
        <w:numPr>
          <w:ilvl w:val="0"/>
          <w:numId w:val="14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Para el proveedor: Deja de poseer iniciativa en el cobro.</w:t>
      </w:r>
    </w:p>
    <w:p w14:paraId="192BA884" w14:textId="77777777" w:rsidR="00034DA0" w:rsidRPr="00CF1B34" w:rsidRDefault="00034DA0" w:rsidP="004F7A62">
      <w:pPr>
        <w:numPr>
          <w:ilvl w:val="0"/>
          <w:numId w:val="14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Para el banco: recae en un poso de riesgo financiero en un sólo cliente lo cual puede ser un grave problema.</w:t>
      </w:r>
    </w:p>
    <w:p w14:paraId="3AEC8CB8" w14:textId="77777777" w:rsidR="00034DA0" w:rsidRPr="00CF1B34" w:rsidRDefault="00034DA0" w:rsidP="0005621A">
      <w:pPr>
        <w:pStyle w:val="Ttulo3"/>
        <w:shd w:val="clear" w:color="auto" w:fill="FFFFFF"/>
        <w:spacing w:before="330" w:after="165"/>
        <w:ind w:firstLine="708"/>
        <w:jc w:val="both"/>
        <w:rPr>
          <w:rFonts w:ascii="Arial" w:hAnsi="Arial" w:cs="Arial"/>
          <w:color w:val="538135" w:themeColor="accent6" w:themeShade="BF"/>
          <w:sz w:val="22"/>
          <w:szCs w:val="22"/>
          <w:lang w:val="es-ES_tradnl"/>
        </w:rPr>
      </w:pPr>
      <w:r w:rsidRPr="00CF1B34">
        <w:rPr>
          <w:rStyle w:val="Textoennegrita"/>
          <w:rFonts w:ascii="Arial" w:hAnsi="Arial" w:cs="Arial"/>
          <w:b w:val="0"/>
          <w:bCs w:val="0"/>
          <w:color w:val="538135" w:themeColor="accent6" w:themeShade="BF"/>
          <w:sz w:val="22"/>
          <w:szCs w:val="22"/>
          <w:lang w:val="es-ES_tradnl"/>
        </w:rPr>
        <w:t>Ventajas:</w:t>
      </w:r>
    </w:p>
    <w:p w14:paraId="1FDF5499" w14:textId="77777777" w:rsidR="00034DA0" w:rsidRPr="00CF1B34" w:rsidRDefault="00034DA0" w:rsidP="0005621A">
      <w:pPr>
        <w:pStyle w:val="NormalWeb"/>
        <w:shd w:val="clear" w:color="auto" w:fill="FFFFFF"/>
        <w:spacing w:before="0" w:beforeAutospacing="0" w:after="165" w:afterAutospacing="0"/>
        <w:ind w:firstLine="708"/>
        <w:jc w:val="both"/>
        <w:rPr>
          <w:rFonts w:ascii="Arial" w:hAnsi="Arial" w:cs="Arial"/>
          <w:color w:val="2F5496" w:themeColor="accent1" w:themeShade="BF"/>
          <w:sz w:val="22"/>
          <w:szCs w:val="22"/>
          <w:lang w:val="es-ES_tradnl"/>
        </w:rPr>
      </w:pPr>
      <w:r w:rsidRPr="00CF1B34">
        <w:rPr>
          <w:rStyle w:val="Textoennegrita"/>
          <w:rFonts w:ascii="Arial" w:hAnsi="Arial" w:cs="Arial"/>
          <w:color w:val="2F5496" w:themeColor="accent1" w:themeShade="BF"/>
          <w:sz w:val="22"/>
          <w:szCs w:val="22"/>
          <w:lang w:val="es-ES_tradnl"/>
        </w:rPr>
        <w:t>Para la compañía contratante de este servicio:</w:t>
      </w:r>
    </w:p>
    <w:p w14:paraId="55BD3EAF" w14:textId="77777777" w:rsidR="00034DA0" w:rsidRPr="00CF1B34" w:rsidRDefault="00034DA0" w:rsidP="004F7A62">
      <w:pPr>
        <w:numPr>
          <w:ilvl w:val="0"/>
          <w:numId w:val="14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Mejora su imagen ante sus proveedores gracias al aval de sus pagos mediante la institución financiera.</w:t>
      </w:r>
    </w:p>
    <w:p w14:paraId="581A95E4" w14:textId="77777777" w:rsidR="00034DA0" w:rsidRPr="00CF1B34" w:rsidRDefault="00034DA0" w:rsidP="004F7A62">
      <w:pPr>
        <w:numPr>
          <w:ilvl w:val="0"/>
          <w:numId w:val="14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Deja de emitir pagarés y cheques, reduciendo sus costos.</w:t>
      </w:r>
    </w:p>
    <w:p w14:paraId="0EF52F43" w14:textId="77777777" w:rsidR="00034DA0" w:rsidRPr="00CF1B34" w:rsidRDefault="00034DA0" w:rsidP="004F7A62">
      <w:pPr>
        <w:numPr>
          <w:ilvl w:val="0"/>
          <w:numId w:val="14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Reduce el costo en comunicación con proveedores.</w:t>
      </w:r>
    </w:p>
    <w:p w14:paraId="6F22D23D" w14:textId="77777777" w:rsidR="00034DA0" w:rsidRPr="00CF1B34" w:rsidRDefault="00034DA0" w:rsidP="004F7A62">
      <w:pPr>
        <w:numPr>
          <w:ilvl w:val="0"/>
          <w:numId w:val="14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Reduce el costo en conciliaciones bancarias</w:t>
      </w:r>
    </w:p>
    <w:p w14:paraId="25E85124" w14:textId="77777777" w:rsidR="00034DA0" w:rsidRPr="00CF1B34" w:rsidRDefault="00034DA0" w:rsidP="004F7A62">
      <w:pPr>
        <w:numPr>
          <w:ilvl w:val="0"/>
          <w:numId w:val="14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 empresa mantiene vigente su iniciativa de pago.</w:t>
      </w:r>
    </w:p>
    <w:p w14:paraId="5C7DA9F8" w14:textId="77777777" w:rsidR="00034DA0" w:rsidRPr="00CF1B34" w:rsidRDefault="00034DA0" w:rsidP="0005621A">
      <w:pPr>
        <w:pStyle w:val="NormalWeb"/>
        <w:shd w:val="clear" w:color="auto" w:fill="FFFFFF"/>
        <w:spacing w:before="0" w:beforeAutospacing="0" w:after="165" w:afterAutospacing="0"/>
        <w:ind w:firstLine="708"/>
        <w:jc w:val="both"/>
        <w:rPr>
          <w:rFonts w:ascii="Arial" w:hAnsi="Arial" w:cs="Arial"/>
          <w:color w:val="2F5496" w:themeColor="accent1" w:themeShade="BF"/>
          <w:sz w:val="22"/>
          <w:szCs w:val="22"/>
          <w:lang w:val="es-ES_tradnl"/>
        </w:rPr>
      </w:pPr>
      <w:r w:rsidRPr="00CF1B34">
        <w:rPr>
          <w:rStyle w:val="Textoennegrita"/>
          <w:rFonts w:ascii="Arial" w:hAnsi="Arial" w:cs="Arial"/>
          <w:color w:val="2F5496" w:themeColor="accent1" w:themeShade="BF"/>
          <w:sz w:val="22"/>
          <w:szCs w:val="22"/>
          <w:lang w:val="es-ES_tradnl"/>
        </w:rPr>
        <w:t>Para los proveedores:</w:t>
      </w:r>
    </w:p>
    <w:p w14:paraId="5BEE6B67" w14:textId="77777777" w:rsidR="00034DA0" w:rsidRPr="00CF1B34" w:rsidRDefault="00034DA0" w:rsidP="004F7A62">
      <w:pPr>
        <w:numPr>
          <w:ilvl w:val="0"/>
          <w:numId w:val="14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Cobran sus facturas al contado, sin riesgo de impago.</w:t>
      </w:r>
    </w:p>
    <w:p w14:paraId="649B463A" w14:textId="77777777" w:rsidR="00034DA0" w:rsidRPr="00CF1B34" w:rsidRDefault="00034DA0" w:rsidP="004F7A62">
      <w:pPr>
        <w:numPr>
          <w:ilvl w:val="0"/>
          <w:numId w:val="14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Evitan el pago de cargos, y sellos o timbres al gestionar los cobros a través de traspasos o transferencias</w:t>
      </w:r>
    </w:p>
    <w:p w14:paraId="33E209EB" w14:textId="78CD200A" w:rsidR="00034DA0" w:rsidRPr="00CF1B34" w:rsidRDefault="00034DA0"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En </w:t>
      </w:r>
      <w:proofErr w:type="gramStart"/>
      <w:r w:rsidRPr="00CF1B34">
        <w:rPr>
          <w:rFonts w:ascii="Arial" w:hAnsi="Arial" w:cs="Arial"/>
          <w:color w:val="333333"/>
          <w:sz w:val="22"/>
          <w:szCs w:val="22"/>
          <w:lang w:val="es-ES_tradnl"/>
        </w:rPr>
        <w:t>definitiva</w:t>
      </w:r>
      <w:proofErr w:type="gramEnd"/>
      <w:r w:rsidRPr="00CF1B34">
        <w:rPr>
          <w:rFonts w:ascii="Arial" w:hAnsi="Arial" w:cs="Arial"/>
          <w:color w:val="333333"/>
          <w:sz w:val="22"/>
          <w:szCs w:val="22"/>
          <w:lang w:val="es-ES_tradnl"/>
        </w:rPr>
        <w:t xml:space="preserve"> es un servicio que ofrece una</w:t>
      </w:r>
      <w:r w:rsidRPr="00CF1B34">
        <w:rPr>
          <w:rStyle w:val="Textoennegrita"/>
          <w:rFonts w:ascii="Arial" w:hAnsi="Arial" w:cs="Arial"/>
          <w:color w:val="333333"/>
          <w:sz w:val="22"/>
          <w:szCs w:val="22"/>
          <w:lang w:val="es-ES_tradnl"/>
        </w:rPr>
        <w:t xml:space="preserve"> reducción de costos para las dos partes,</w:t>
      </w:r>
      <w:r w:rsidRPr="00CF1B34">
        <w:rPr>
          <w:rFonts w:ascii="Arial" w:hAnsi="Arial" w:cs="Arial"/>
          <w:color w:val="333333"/>
          <w:sz w:val="22"/>
          <w:szCs w:val="22"/>
          <w:lang w:val="es-ES_tradnl"/>
        </w:rPr>
        <w:t xml:space="preserve"> debido a que un sector de sus estructuras se “transpola” hacia un tercero.</w:t>
      </w:r>
    </w:p>
    <w:p w14:paraId="01A356F7" w14:textId="77777777" w:rsidR="00034DA0" w:rsidRPr="00CF1B34" w:rsidRDefault="00034DA0" w:rsidP="0005621A">
      <w:pPr>
        <w:pStyle w:val="Ttulo3"/>
        <w:shd w:val="clear" w:color="auto" w:fill="FFFFFF"/>
        <w:spacing w:before="330" w:after="165"/>
        <w:ind w:firstLine="360"/>
        <w:jc w:val="both"/>
        <w:rPr>
          <w:rFonts w:ascii="Arial" w:hAnsi="Arial" w:cs="Arial"/>
          <w:color w:val="C45911" w:themeColor="accent2" w:themeShade="BF"/>
          <w:sz w:val="22"/>
          <w:szCs w:val="22"/>
          <w:lang w:val="es-ES_tradnl"/>
        </w:rPr>
      </w:pPr>
      <w:r w:rsidRPr="00CF1B34">
        <w:rPr>
          <w:rStyle w:val="Textoennegrita"/>
          <w:rFonts w:ascii="Arial" w:hAnsi="Arial" w:cs="Arial"/>
          <w:b w:val="0"/>
          <w:bCs w:val="0"/>
          <w:color w:val="C45911" w:themeColor="accent2" w:themeShade="BF"/>
          <w:sz w:val="22"/>
          <w:szCs w:val="22"/>
          <w:lang w:val="es-ES_tradnl"/>
        </w:rPr>
        <w:t>Resumen:</w:t>
      </w:r>
    </w:p>
    <w:p w14:paraId="724BE5FE" w14:textId="7221271A" w:rsidR="00034DA0" w:rsidRPr="00CF1B34" w:rsidRDefault="00034DA0"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Así el</w:t>
      </w:r>
      <w:r w:rsidRPr="00CF1B34">
        <w:rPr>
          <w:rStyle w:val="Textoennegrita"/>
          <w:rFonts w:ascii="Arial" w:hAnsi="Arial" w:cs="Arial"/>
          <w:color w:val="333333"/>
          <w:sz w:val="22"/>
          <w:szCs w:val="22"/>
          <w:lang w:val="es-ES_tradnl"/>
        </w:rPr>
        <w:t>confirming</w:t>
      </w:r>
      <w:r w:rsidRPr="00CF1B34">
        <w:rPr>
          <w:rFonts w:ascii="Arial" w:hAnsi="Arial" w:cs="Arial"/>
          <w:color w:val="333333"/>
          <w:sz w:val="22"/>
          <w:szCs w:val="22"/>
          <w:lang w:val="es-ES_tradnl"/>
        </w:rPr>
        <w:t xml:space="preserve"> es entendido como un servicio financiero que brinda una entidad financiera que les facilitar a los clientes de la entidad  el que puedan gestionar el pago de sus compras.</w:t>
      </w:r>
    </w:p>
    <w:p w14:paraId="5622EB9E" w14:textId="77777777" w:rsidR="00034DA0" w:rsidRPr="00CF1B34" w:rsidRDefault="00034DA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Pudiendo poder pagar las diferentes facturas de forma antcipada a la fecha en que vencerán las </w:t>
      </w:r>
      <w:proofErr w:type="gramStart"/>
      <w:r w:rsidRPr="00CF1B34">
        <w:rPr>
          <w:rFonts w:ascii="Arial" w:hAnsi="Arial" w:cs="Arial"/>
          <w:color w:val="333333"/>
          <w:sz w:val="22"/>
          <w:szCs w:val="22"/>
          <w:lang w:val="es-ES_tradnl"/>
        </w:rPr>
        <w:t>facturas,  también</w:t>
      </w:r>
      <w:proofErr w:type="gramEnd"/>
      <w:r w:rsidRPr="00CF1B34">
        <w:rPr>
          <w:rFonts w:ascii="Arial" w:hAnsi="Arial" w:cs="Arial"/>
          <w:color w:val="333333"/>
          <w:sz w:val="22"/>
          <w:szCs w:val="22"/>
          <w:lang w:val="es-ES_tradnl"/>
        </w:rPr>
        <w:t xml:space="preserve"> les posibilita poder recibir del banco la posibilidad de poder financiarse cuando por ejemplo el proveedor no le dio tal posibilidad, si bien esto no tira abajo el desarrollo entre el cliente y el proveedor, pero sí el cliente puede obtener el plazo que precisa lo que le representa una ventaja.</w:t>
      </w:r>
    </w:p>
    <w:p w14:paraId="41210E60" w14:textId="0C3C69B1"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Conflicto de interés</w:t>
      </w:r>
    </w:p>
    <w:p w14:paraId="2C315F3B"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Situación que se da cuando una entidad intermediaria, un emisor o cualquier otro agente profesional de los mercados de valores tiene en una determinada operación unas expectativas que pueden ser contrapuestas a las del inversor particular (cliente, accionista...). Por ejemplo, puede darse conflicto de interés cuando la entidad que coloca entre el público una oferta de valores actúa también como aseguradora, ya que si la oferta no tiene éxito deberá asumir los valores no colocados; en este caso podría suceder que se diese prioridad a la labor comercializadora de la entidad frente al leal asesoramiento del cliente. La Directiva de Mercados de Instrumentos Financieros exige que las entidades informen en cada caso sobre los posibles conflictos de interés y las políticas que tienen establecidas para su manejo.</w:t>
      </w:r>
    </w:p>
    <w:p w14:paraId="7F10CCE5" w14:textId="7524BE59" w:rsidR="00B95601" w:rsidRPr="00CF1B34" w:rsidRDefault="00B956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Consejo Europeo de Riesgos Sist</w:t>
      </w:r>
      <w:r w:rsidR="00FB678D" w:rsidRPr="00CF1B34">
        <w:rPr>
          <w:rFonts w:ascii="Arial" w:hAnsi="Arial" w:cs="Arial"/>
          <w:b/>
          <w:bCs/>
          <w:color w:val="004773"/>
          <w:sz w:val="22"/>
          <w:szCs w:val="22"/>
          <w:lang w:val="es-ES_tradnl"/>
        </w:rPr>
        <w:t>é</w:t>
      </w:r>
      <w:r w:rsidRPr="00CF1B34">
        <w:rPr>
          <w:rFonts w:ascii="Arial" w:hAnsi="Arial" w:cs="Arial"/>
          <w:b/>
          <w:bCs/>
          <w:color w:val="004773"/>
          <w:sz w:val="22"/>
          <w:szCs w:val="22"/>
          <w:lang w:val="es-ES_tradnl"/>
        </w:rPr>
        <w:t>micos</w:t>
      </w:r>
    </w:p>
    <w:p w14:paraId="1C55A950" w14:textId="129F0F31" w:rsidR="00FB678D" w:rsidRPr="00CF1B34" w:rsidRDefault="00FB678D"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Consejo de </w:t>
      </w:r>
      <w:r w:rsidR="0068627F" w:rsidRPr="00CF1B34">
        <w:rPr>
          <w:rFonts w:ascii="Arial" w:hAnsi="Arial" w:cs="Arial"/>
          <w:color w:val="333333"/>
          <w:sz w:val="22"/>
          <w:szCs w:val="22"/>
          <w:lang w:val="es-ES_tradnl"/>
        </w:rPr>
        <w:t>ministros</w:t>
      </w:r>
      <w:r w:rsidRPr="00CF1B34">
        <w:rPr>
          <w:rFonts w:ascii="Arial" w:hAnsi="Arial" w:cs="Arial"/>
          <w:color w:val="333333"/>
          <w:sz w:val="22"/>
          <w:szCs w:val="22"/>
          <w:lang w:val="es-ES_tradnl"/>
        </w:rPr>
        <w:t xml:space="preserve"> de Economía y Finanzas de la Unión Europea (Ecofin) viene, hace ya bastante tiempo, manteniendo una propuesta para crear un Consejo Europeo de Riesgo Sistémico.</w:t>
      </w:r>
    </w:p>
    <w:p w14:paraId="1D4D2E44" w14:textId="19451A1A" w:rsidR="00FB678D" w:rsidRPr="00CF1B34" w:rsidRDefault="00FB678D"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Este organismo se encargaría de vigilar el sistema financiero y de detectar riesgos que amenacen el sistema en su conjunto. Se encuentra dentro de la reforma que la Comisión realizó para modificar el marco supervisor de la Unión Europea para la</w:t>
      </w:r>
      <w:r w:rsidRPr="00CF1B34">
        <w:rPr>
          <w:rFonts w:ascii="Arial" w:hAnsi="Arial" w:cs="Arial"/>
          <w:b/>
          <w:bCs/>
          <w:color w:val="333333"/>
          <w:sz w:val="22"/>
          <w:szCs w:val="22"/>
          <w:lang w:val="es-ES_tradnl"/>
        </w:rPr>
        <w:t xml:space="preserve"> </w:t>
      </w:r>
      <w:hyperlink r:id="rId155" w:history="1">
        <w:r w:rsidRPr="00CF1B34">
          <w:rPr>
            <w:rFonts w:ascii="Arial" w:hAnsi="Arial" w:cs="Arial"/>
            <w:b/>
            <w:bCs/>
            <w:color w:val="DC143C"/>
            <w:sz w:val="22"/>
            <w:szCs w:val="22"/>
            <w:u w:val="single"/>
            <w:lang w:val="es-ES_tradnl"/>
          </w:rPr>
          <w:t>banca</w:t>
        </w:r>
      </w:hyperlink>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los</w:t>
      </w:r>
      <w:r w:rsidRPr="00CF1B34">
        <w:rPr>
          <w:rFonts w:ascii="Arial" w:hAnsi="Arial" w:cs="Arial"/>
          <w:b/>
          <w:bCs/>
          <w:color w:val="333333"/>
          <w:sz w:val="22"/>
          <w:szCs w:val="22"/>
          <w:lang w:val="es-ES_tradnl"/>
        </w:rPr>
        <w:t xml:space="preserve"> </w:t>
      </w:r>
      <w:hyperlink r:id="rId156" w:history="1">
        <w:r w:rsidRPr="00CF1B34">
          <w:rPr>
            <w:rFonts w:ascii="Arial" w:hAnsi="Arial" w:cs="Arial"/>
            <w:b/>
            <w:bCs/>
            <w:color w:val="DC143C"/>
            <w:sz w:val="22"/>
            <w:szCs w:val="22"/>
            <w:u w:val="single"/>
            <w:lang w:val="es-ES_tradnl"/>
          </w:rPr>
          <w:t>seguros</w:t>
        </w:r>
      </w:hyperlink>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y mercados de valores</w:t>
      </w:r>
      <w:r w:rsidRPr="00CF1B34">
        <w:rPr>
          <w:rFonts w:ascii="Arial" w:hAnsi="Arial" w:cs="Arial"/>
          <w:b/>
          <w:bCs/>
          <w:color w:val="333333"/>
          <w:sz w:val="22"/>
          <w:szCs w:val="22"/>
          <w:lang w:val="es-ES_tradnl"/>
        </w:rPr>
        <w:t>.</w:t>
      </w:r>
    </w:p>
    <w:p w14:paraId="2A0F6C38" w14:textId="4F820F66" w:rsidR="00B95601" w:rsidRPr="00CF1B34" w:rsidRDefault="00FB678D"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La iniciativa que surge en el seno europeo, aparece frente a la crisis financiera mundial, donde la UE ha mostrado su solidaridad colectiva para proteger la estabilidad de la</w:t>
      </w:r>
      <w:r w:rsidR="00D171B7"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Unión Económica y Monetaria.</w:t>
      </w:r>
    </w:p>
    <w:p w14:paraId="0DD4422F" w14:textId="77777777" w:rsidR="00FB678D" w:rsidRPr="00CF1B34" w:rsidRDefault="00FB678D"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Se buscarán afianzar los siguientes puntos:</w:t>
      </w:r>
    </w:p>
    <w:p w14:paraId="22FBB40E" w14:textId="280FB359" w:rsidR="00FB678D" w:rsidRPr="00CF1B34" w:rsidRDefault="00FB678D" w:rsidP="004F7A62">
      <w:pPr>
        <w:numPr>
          <w:ilvl w:val="0"/>
          <w:numId w:val="14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Garantizar la sostenibilidad </w:t>
      </w:r>
      <w:hyperlink r:id="rId157" w:history="1">
        <w:r w:rsidRPr="00CF1B34">
          <w:rPr>
            <w:rStyle w:val="Hipervnculo"/>
            <w:rFonts w:ascii="Arial" w:hAnsi="Arial" w:cs="Arial"/>
            <w:color w:val="DC143C"/>
            <w:sz w:val="22"/>
            <w:szCs w:val="22"/>
            <w:lang w:val="es-ES_tradnl"/>
          </w:rPr>
          <w:t>fiscal</w:t>
        </w:r>
      </w:hyperlink>
    </w:p>
    <w:p w14:paraId="2D3752A8" w14:textId="6CE41F2A" w:rsidR="00FB678D" w:rsidRPr="00CF1B34" w:rsidRDefault="00FB678D" w:rsidP="004F7A62">
      <w:pPr>
        <w:numPr>
          <w:ilvl w:val="0"/>
          <w:numId w:val="14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Garantizar la estabilidad financiera resolviendo los vacíos de la reglamentación y la supervisión de los mercados </w:t>
      </w:r>
      <w:hyperlink r:id="rId158" w:history="1">
        <w:r w:rsidRPr="00CF1B34">
          <w:rPr>
            <w:rStyle w:val="Hipervnculo"/>
            <w:rFonts w:ascii="Arial" w:hAnsi="Arial" w:cs="Arial"/>
            <w:color w:val="DC143C"/>
            <w:sz w:val="22"/>
            <w:szCs w:val="22"/>
            <w:lang w:val="es-ES_tradnl"/>
          </w:rPr>
          <w:t>financieros</w:t>
        </w:r>
      </w:hyperlink>
    </w:p>
    <w:p w14:paraId="3E6ABB24" w14:textId="77777777" w:rsidR="00FB678D" w:rsidRPr="00CF1B34" w:rsidRDefault="00FB678D" w:rsidP="004F7A62">
      <w:pPr>
        <w:numPr>
          <w:ilvl w:val="0"/>
          <w:numId w:val="14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Coordinación de nuestras políticas económicas.</w:t>
      </w:r>
    </w:p>
    <w:p w14:paraId="1F9A3231" w14:textId="468FCDC0" w:rsidR="00FB678D" w:rsidRPr="00CF1B34" w:rsidRDefault="00FB678D"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En concreto,</w:t>
      </w:r>
      <w:r w:rsidR="00D171B7"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se buscará lograr la mejoría del gobierno europeo</w:t>
      </w:r>
      <w:r w:rsidRPr="00CF1B34">
        <w:rPr>
          <w:rFonts w:ascii="Arial" w:hAnsi="Arial" w:cs="Arial"/>
          <w:color w:val="333333"/>
          <w:sz w:val="22"/>
          <w:szCs w:val="22"/>
          <w:lang w:val="es-ES_tradnl"/>
        </w:rPr>
        <w:t>, particularmente en lo que respecta a la supervisión presupuestaria y macroeconómica en general. Por ello, se hará hincapié en:</w:t>
      </w:r>
    </w:p>
    <w:p w14:paraId="79843AAB" w14:textId="4B377386" w:rsidR="00FB678D" w:rsidRPr="00CF1B34" w:rsidRDefault="00FB678D" w:rsidP="004F7A62">
      <w:pPr>
        <w:numPr>
          <w:ilvl w:val="0"/>
          <w:numId w:val="14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Garantizar que la </w:t>
      </w:r>
      <w:r w:rsidRPr="00CF1B34">
        <w:rPr>
          <w:rStyle w:val="Textoennegrita"/>
          <w:rFonts w:ascii="Arial" w:hAnsi="Arial" w:cs="Arial"/>
          <w:color w:val="333333"/>
          <w:sz w:val="22"/>
          <w:szCs w:val="22"/>
          <w:lang w:val="es-ES_tradnl"/>
        </w:rPr>
        <w:t xml:space="preserve">Junta Europea de Riesgos Sistémicos </w:t>
      </w:r>
      <w:r w:rsidRPr="00CF1B34">
        <w:rPr>
          <w:rFonts w:ascii="Arial" w:hAnsi="Arial" w:cs="Arial"/>
          <w:color w:val="333333"/>
          <w:sz w:val="22"/>
          <w:szCs w:val="22"/>
          <w:lang w:val="es-ES_tradnl"/>
        </w:rPr>
        <w:t>y las tres comisiones europeas de supervisión puedan empezar a trabajar ya.</w:t>
      </w:r>
    </w:p>
    <w:p w14:paraId="60CBAD27" w14:textId="796FA60A" w:rsidR="00FB678D" w:rsidRPr="00CF1B34" w:rsidRDefault="00FB678D" w:rsidP="004F7A62">
      <w:pPr>
        <w:numPr>
          <w:ilvl w:val="0"/>
          <w:numId w:val="14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Acordar sobre la legislación de gestores de fondos de inversión alternativos</w:t>
      </w:r>
      <w:r w:rsidR="00D171B7" w:rsidRPr="00CF1B34">
        <w:rPr>
          <w:rFonts w:ascii="Arial" w:hAnsi="Arial" w:cs="Arial"/>
          <w:color w:val="333333"/>
          <w:sz w:val="22"/>
          <w:szCs w:val="22"/>
          <w:lang w:val="es-ES_tradnl"/>
        </w:rPr>
        <w:t>.</w:t>
      </w:r>
    </w:p>
    <w:p w14:paraId="349112F0" w14:textId="77777777" w:rsidR="00D171B7" w:rsidRPr="00CF1B34" w:rsidRDefault="00D171B7" w:rsidP="0005621A">
      <w:pPr>
        <w:pStyle w:val="Prrafodelista"/>
        <w:pBdr>
          <w:bottom w:val="dotted" w:sz="12" w:space="12" w:color="666666"/>
        </w:pBdr>
        <w:spacing w:after="240"/>
        <w:jc w:val="both"/>
        <w:rPr>
          <w:rFonts w:ascii="Arial" w:hAnsi="Arial" w:cs="Arial"/>
          <w:color w:val="212529"/>
          <w:sz w:val="22"/>
          <w:szCs w:val="22"/>
          <w:lang w:val="es-ES_tradnl"/>
        </w:rPr>
      </w:pPr>
    </w:p>
    <w:p w14:paraId="6F24D5B9" w14:textId="2CB76042" w:rsidR="008A00A3" w:rsidRPr="00CF1B34" w:rsidRDefault="008A00A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Consejeros </w:t>
      </w:r>
    </w:p>
    <w:p w14:paraId="5A731DB6" w14:textId="77777777" w:rsidR="008A00A3" w:rsidRPr="00CF1B34" w:rsidRDefault="008A00A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los componentes del consejo de administración que se dedican a dirigir la marcha de una sociedad. Son responsables de la gestión de la compañía. Suelen estar respaldados por un alto volumen de acciones.</w:t>
      </w:r>
    </w:p>
    <w:p w14:paraId="7D1F128D" w14:textId="619C4AA5"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Consejero dominical</w:t>
      </w:r>
    </w:p>
    <w:p w14:paraId="2C17AD4D"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que forma parte del Consejo de Administración por su condición de accionista de la sociedad, o bien por detentar una participación superior al 5% del capital. Pueden formar parte del consejo de forma directa o a través de un representante. </w:t>
      </w:r>
    </w:p>
    <w:p w14:paraId="2360230A"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Consejero ejecutivo</w:t>
      </w:r>
    </w:p>
    <w:p w14:paraId="3A2CF5B9"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Miembro del Consejo de Administración que, además de sus funciones como consejero, interviene en la actividad diaria de la compañía desempeñando tareas de alta dirección, o bien es empleado de la sociedad o de su grupo. </w:t>
      </w:r>
    </w:p>
    <w:p w14:paraId="69DB91CC"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Consejero externo</w:t>
      </w:r>
    </w:p>
    <w:p w14:paraId="277525EA" w14:textId="31913253" w:rsidR="00C7373E" w:rsidRPr="00CF1B34" w:rsidRDefault="00C7373E"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Miembro del Consejo de Administración que no interviene en la actividad diaria de la sociedad; puede ser dominical o independiente.</w:t>
      </w:r>
      <w:r w:rsidR="00AB7911" w:rsidRPr="00CF1B34">
        <w:rPr>
          <w:rFonts w:ascii="Arial" w:hAnsi="Arial" w:cs="Arial"/>
          <w:color w:val="212529"/>
          <w:sz w:val="22"/>
          <w:szCs w:val="22"/>
          <w:lang w:val="es-ES_tradnl"/>
        </w:rPr>
        <w:t xml:space="preserve"> </w:t>
      </w:r>
      <w:hyperlink r:id="rId159" w:tgtFrame="_self" w:history="1">
        <w:r w:rsidRPr="00CF1B34">
          <w:rPr>
            <w:rFonts w:ascii="Arial" w:hAnsi="Arial" w:cs="Arial"/>
            <w:b/>
            <w:bCs/>
            <w:color w:val="2F5496" w:themeColor="accent1" w:themeShade="BF"/>
            <w:sz w:val="22"/>
            <w:szCs w:val="22"/>
            <w:u w:val="single"/>
            <w:lang w:val="es-ES_tradnl"/>
          </w:rPr>
          <w:t>Ver consejero dominical</w:t>
        </w:r>
      </w:hyperlink>
      <w:r w:rsidR="00AB7911" w:rsidRPr="00CF1B34">
        <w:rPr>
          <w:rFonts w:ascii="Arial" w:hAnsi="Arial" w:cs="Arial"/>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w:t>
      </w:r>
      <w:r w:rsidR="00AB7911" w:rsidRPr="00CF1B34">
        <w:rPr>
          <w:rFonts w:ascii="Arial" w:hAnsi="Arial" w:cs="Arial"/>
          <w:color w:val="2F5496" w:themeColor="accent1" w:themeShade="BF"/>
          <w:sz w:val="22"/>
          <w:szCs w:val="22"/>
          <w:lang w:val="es-ES_tradnl"/>
        </w:rPr>
        <w:t xml:space="preserve"> </w:t>
      </w:r>
      <w:hyperlink r:id="rId160" w:tgtFrame="_self" w:history="1">
        <w:r w:rsidRPr="00CF1B34">
          <w:rPr>
            <w:rFonts w:ascii="Arial" w:hAnsi="Arial" w:cs="Arial"/>
            <w:b/>
            <w:bCs/>
            <w:color w:val="2F5496" w:themeColor="accent1" w:themeShade="BF"/>
            <w:sz w:val="22"/>
            <w:szCs w:val="22"/>
            <w:u w:val="single"/>
            <w:lang w:val="es-ES_tradnl"/>
          </w:rPr>
          <w:t>consejero independiente</w:t>
        </w:r>
      </w:hyperlink>
      <w:r w:rsidRPr="00CF1B34">
        <w:rPr>
          <w:rFonts w:ascii="Arial" w:hAnsi="Arial" w:cs="Arial"/>
          <w:color w:val="2F5496" w:themeColor="accent1" w:themeShade="BF"/>
          <w:sz w:val="22"/>
          <w:szCs w:val="22"/>
          <w:lang w:val="es-ES_tradnl"/>
        </w:rPr>
        <w:t>. </w:t>
      </w:r>
    </w:p>
    <w:p w14:paraId="543C3D93"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Consejero independiente </w:t>
      </w:r>
    </w:p>
    <w:p w14:paraId="261319C1"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Miembro del Consejo de Administración que debe desempeñar sus funciones sin verse condicionado por relación alguna con el equipo gestor ni con los accionistas de control de la sociedad. Se elige en atención a sus circunstancias personales y profesionales. La </w:t>
      </w:r>
      <w:r w:rsidRPr="00CF1B34">
        <w:rPr>
          <w:rFonts w:ascii="Arial" w:hAnsi="Arial" w:cs="Arial"/>
          <w:color w:val="212529"/>
          <w:sz w:val="22"/>
          <w:szCs w:val="22"/>
          <w:lang w:val="es-ES_tradnl"/>
        </w:rPr>
        <w:lastRenderedPageBreak/>
        <w:t>misión fundamental de los consejeros independientes es defender los intereses de todos los accionistas, y en particular de los minoritarios que no tienen acceso a un puesto en el Consejo; esto es especialmente relevante en situaciones de conflicto potencial (operaciones vinculadas, OPA, fusiones...). </w:t>
      </w:r>
    </w:p>
    <w:p w14:paraId="45CFC36D"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Consejo de Administración</w:t>
      </w:r>
    </w:p>
    <w:p w14:paraId="4E88FCEC" w14:textId="1AC31E5B"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Órgano de gobierno de una sociedad, compuesto por una serie de miembros (los administradores), nombrados por la Junta General de Accionistas. Le corresponde la gestión, administración y representación de la sociedad. En las sociedades cotizadas el Consejo debe dotarse de un conjunto de normas que determinan sus principios de actuación (Reglamento del Consejo). Otras cuestiones relativas a la composición y funcionamiento del Consejo de Administración se describen con más detalle en las secciones sobre Organismo</w:t>
      </w:r>
      <w:r w:rsidR="008A00A3" w:rsidRPr="00CF1B34">
        <w:rPr>
          <w:rFonts w:ascii="Arial" w:hAnsi="Arial" w:cs="Arial"/>
          <w:color w:val="212529"/>
          <w:sz w:val="22"/>
          <w:szCs w:val="22"/>
          <w:lang w:val="es-ES_tradnl"/>
        </w:rPr>
        <w:t xml:space="preserve">s </w:t>
      </w:r>
      <w:r w:rsidRPr="00CF1B34">
        <w:rPr>
          <w:rFonts w:ascii="Arial" w:hAnsi="Arial" w:cs="Arial"/>
          <w:color w:val="212529"/>
          <w:sz w:val="22"/>
          <w:szCs w:val="22"/>
          <w:lang w:val="es-ES_tradnl"/>
        </w:rPr>
        <w:t>societarios de toma de decisiones y Código de Buen Gobierno. </w:t>
      </w:r>
    </w:p>
    <w:p w14:paraId="522445A0" w14:textId="206A9827" w:rsidR="008A00A3" w:rsidRPr="00CF1B34" w:rsidRDefault="008A00A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Contado/spot</w:t>
      </w:r>
    </w:p>
    <w:p w14:paraId="5F356257" w14:textId="77777777" w:rsidR="00AF389E" w:rsidRPr="00CF1B34" w:rsidRDefault="00AF389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Cambio actual de una divisa contra otra, liquidable a los dos días hábiles de la fecha de contratación.</w:t>
      </w:r>
    </w:p>
    <w:p w14:paraId="7494ACB5" w14:textId="69EACA02" w:rsidR="008A00A3" w:rsidRPr="00CF1B34" w:rsidRDefault="008A00A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Contrapartida</w:t>
      </w:r>
    </w:p>
    <w:p w14:paraId="270FC254" w14:textId="77777777" w:rsidR="00151B77" w:rsidRPr="00CF1B34" w:rsidRDefault="00AF389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Una cotización se establece por el choque entre una orden y su “contrapartida” orden inversa. Operación que consiste</w:t>
      </w:r>
      <w:r w:rsidR="00FD3581" w:rsidRPr="00CF1B34">
        <w:rPr>
          <w:rFonts w:ascii="Arial" w:hAnsi="Arial" w:cs="Arial"/>
          <w:color w:val="000000" w:themeColor="text1"/>
          <w:sz w:val="22"/>
          <w:szCs w:val="22"/>
          <w:lang w:val="es-ES_tradnl"/>
        </w:rPr>
        <w:t>, para un intermediario bursátil, en regularizar el mercado de un valor reduciendo la desviaciones provocadas</w:t>
      </w:r>
      <w:r w:rsidR="00151B77" w:rsidRPr="00CF1B34">
        <w:rPr>
          <w:rFonts w:ascii="Arial" w:hAnsi="Arial" w:cs="Arial"/>
          <w:color w:val="000000" w:themeColor="text1"/>
          <w:sz w:val="22"/>
          <w:szCs w:val="22"/>
          <w:lang w:val="es-ES_tradnl"/>
        </w:rPr>
        <w:t xml:space="preserve"> por un flujo de ordenes dadas en un mismo sentido.</w:t>
      </w:r>
    </w:p>
    <w:p w14:paraId="15727778" w14:textId="681C6FBA" w:rsidR="008A00A3" w:rsidRPr="00CF1B34" w:rsidRDefault="008A00A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Contratación </w:t>
      </w:r>
    </w:p>
    <w:p w14:paraId="18F6BA8E" w14:textId="70D0A182" w:rsidR="00265720" w:rsidRPr="00CF1B34" w:rsidRDefault="0026572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Consiste en el negocio que se realiza en un mercado. Es el volumen que surge de comprar y vender activos financieros en un determinado mercado y en un determinado periodo. En la bolsa de Madrid lo normal es contratar unos 180,30€ (</w:t>
      </w:r>
      <w:proofErr w:type="gramStart"/>
      <w:r w:rsidRPr="00CF1B34">
        <w:rPr>
          <w:rFonts w:ascii="Arial" w:hAnsi="Arial" w:cs="Arial"/>
          <w:color w:val="000000" w:themeColor="text1"/>
          <w:sz w:val="22"/>
          <w:szCs w:val="22"/>
          <w:lang w:val="es-ES_tradnl"/>
        </w:rPr>
        <w:t>30.000 .</w:t>
      </w:r>
      <w:proofErr w:type="gramEnd"/>
      <w:r w:rsidRPr="00CF1B34">
        <w:rPr>
          <w:rFonts w:ascii="Arial" w:hAnsi="Arial" w:cs="Arial"/>
          <w:color w:val="000000" w:themeColor="text1"/>
          <w:sz w:val="22"/>
          <w:szCs w:val="22"/>
          <w:lang w:val="es-ES_tradnl"/>
        </w:rPr>
        <w:t xml:space="preserve"> MM Ptas.) por </w:t>
      </w:r>
      <w:r w:rsidR="00EE68D7" w:rsidRPr="00CF1B34">
        <w:rPr>
          <w:rFonts w:ascii="Arial" w:hAnsi="Arial" w:cs="Arial"/>
          <w:color w:val="000000" w:themeColor="text1"/>
          <w:sz w:val="22"/>
          <w:szCs w:val="22"/>
          <w:lang w:val="es-ES_tradnl"/>
        </w:rPr>
        <w:t>día</w:t>
      </w:r>
      <w:r w:rsidRPr="00CF1B34">
        <w:rPr>
          <w:rFonts w:ascii="Arial" w:hAnsi="Arial" w:cs="Arial"/>
          <w:color w:val="000000" w:themeColor="text1"/>
          <w:sz w:val="22"/>
          <w:szCs w:val="22"/>
          <w:lang w:val="es-ES_tradnl"/>
        </w:rPr>
        <w:t>.</w:t>
      </w:r>
    </w:p>
    <w:p w14:paraId="70E7C4E4" w14:textId="243A1BF9" w:rsidR="008A00A3" w:rsidRPr="00CF1B34" w:rsidRDefault="008A00A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Contrato a plazo o forward</w:t>
      </w:r>
    </w:p>
    <w:p w14:paraId="58107200" w14:textId="77777777" w:rsidR="00EE68D7" w:rsidRPr="00CF1B34" w:rsidRDefault="006F0C9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Contrato entre dos partes por el cual se conviene el intercambio de divisas a un tipo de cambio pactado ahora, pero con entrega en una fecha futura determinada. El contrato no implica ningún desembolso inicial, liquidándose la transacción al vencimiento del contrato, en un único pago realizado por una de las partes, con el objeto de compensar las oscilaciones del tipo de cambio durante</w:t>
      </w:r>
      <w:r w:rsidR="00EE68D7" w:rsidRPr="00CF1B34">
        <w:rPr>
          <w:rFonts w:ascii="Arial" w:hAnsi="Arial" w:cs="Arial"/>
          <w:color w:val="000000" w:themeColor="text1"/>
          <w:sz w:val="22"/>
          <w:szCs w:val="22"/>
          <w:lang w:val="es-ES_tradnl"/>
        </w:rPr>
        <w:t xml:space="preserve"> la vida del contrato. La fecha de entrada puede se especificada en el contrato, fixed forward contract, o puede ser elegida por el cliente entre dos fechas futuras previamente indicadas, option forward.</w:t>
      </w:r>
    </w:p>
    <w:p w14:paraId="7BEF8F0B" w14:textId="4CB7F7E3" w:rsidR="00B95601" w:rsidRPr="00CF1B34" w:rsidRDefault="00B956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Contrato de beca</w:t>
      </w:r>
    </w:p>
    <w:p w14:paraId="01C21C0B" w14:textId="5A0FA03B" w:rsidR="005F1D01" w:rsidRPr="00CF1B34" w:rsidRDefault="005F1D01" w:rsidP="0005621A">
      <w:pPr>
        <w:ind w:left="708"/>
        <w:jc w:val="both"/>
        <w:rPr>
          <w:rFonts w:ascii="Arial" w:hAnsi="Arial" w:cs="Arial"/>
          <w:sz w:val="22"/>
          <w:szCs w:val="22"/>
          <w:lang w:val="es-ES_tradnl"/>
        </w:rPr>
      </w:pPr>
      <w:r w:rsidRPr="00CF1B34">
        <w:rPr>
          <w:rFonts w:ascii="Arial" w:hAnsi="Arial" w:cs="Arial"/>
          <w:b/>
          <w:bCs/>
          <w:color w:val="333333"/>
          <w:sz w:val="22"/>
          <w:szCs w:val="22"/>
          <w:shd w:val="clear" w:color="auto" w:fill="FFFFFF"/>
          <w:lang w:val="es-ES_tradnl"/>
        </w:rPr>
        <w:t>Una beca es un aporte monetario o subvención que se entrega a estudiantes o investigadores</w:t>
      </w:r>
      <w:r w:rsidRPr="00CF1B34">
        <w:rPr>
          <w:rFonts w:ascii="Arial" w:hAnsi="Arial" w:cs="Arial"/>
          <w:color w:val="333333"/>
          <w:sz w:val="22"/>
          <w:szCs w:val="22"/>
          <w:shd w:val="clear" w:color="auto" w:fill="FFFFFF"/>
          <w:lang w:val="es-ES_tradnl"/>
        </w:rPr>
        <w:t xml:space="preserve"> que no cuentan con el </w:t>
      </w:r>
      <w:hyperlink r:id="rId161" w:history="1">
        <w:r w:rsidRPr="00CF1B34">
          <w:rPr>
            <w:rFonts w:ascii="Arial" w:hAnsi="Arial" w:cs="Arial"/>
            <w:color w:val="DC143C"/>
            <w:sz w:val="22"/>
            <w:szCs w:val="22"/>
            <w:u w:val="single"/>
            <w:shd w:val="clear" w:color="auto" w:fill="FFFFFF"/>
            <w:lang w:val="es-ES_tradnl"/>
          </w:rPr>
          <w:t>capital suficiente</w:t>
        </w:r>
      </w:hyperlink>
      <w:r w:rsidRPr="00CF1B34">
        <w:rPr>
          <w:rFonts w:ascii="Arial" w:hAnsi="Arial" w:cs="Arial"/>
          <w:color w:val="333333"/>
          <w:sz w:val="22"/>
          <w:szCs w:val="22"/>
          <w:shd w:val="clear" w:color="auto" w:fill="FFFFFF"/>
          <w:lang w:val="es-ES_tradnl"/>
        </w:rPr>
        <w:t xml:space="preserve"> como para llevar a cabo sus estudios o investigaciones. Es una </w:t>
      </w:r>
      <w:r w:rsidRPr="00CF1B34">
        <w:rPr>
          <w:rStyle w:val="Textoennegrita"/>
          <w:rFonts w:ascii="Arial" w:hAnsi="Arial" w:cs="Arial"/>
          <w:color w:val="333333"/>
          <w:sz w:val="22"/>
          <w:szCs w:val="22"/>
          <w:shd w:val="clear" w:color="auto" w:fill="FFFFFF"/>
          <w:lang w:val="es-ES_tradnl"/>
        </w:rPr>
        <w:t>suma de dinero que puede ser mensual o anual, de carácter temporal, la cual se otorga a un individuo en concreto</w:t>
      </w:r>
      <w:r w:rsidRPr="00CF1B34">
        <w:rPr>
          <w:rFonts w:ascii="Arial" w:hAnsi="Arial" w:cs="Arial"/>
          <w:color w:val="333333"/>
          <w:sz w:val="22"/>
          <w:szCs w:val="22"/>
          <w:shd w:val="clear" w:color="auto" w:fill="FFFFFF"/>
          <w:lang w:val="es-ES_tradnl"/>
        </w:rPr>
        <w:t>, pero que tiene un fin determinado</w:t>
      </w:r>
    </w:p>
    <w:p w14:paraId="7172A09E" w14:textId="4A480D46" w:rsidR="005F1D01" w:rsidRPr="00CF1B34" w:rsidRDefault="005F1D01" w:rsidP="0005621A">
      <w:pPr>
        <w:ind w:left="708"/>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Las becas pueden ser entregadas por los organismos estatales</w:t>
      </w:r>
      <w:r w:rsidRPr="00CF1B34">
        <w:rPr>
          <w:rFonts w:ascii="Arial" w:hAnsi="Arial" w:cs="Arial"/>
          <w:color w:val="333333"/>
          <w:sz w:val="22"/>
          <w:szCs w:val="22"/>
          <w:shd w:val="clear" w:color="auto" w:fill="FFFFFF"/>
          <w:lang w:val="es-ES_tradnl"/>
        </w:rPr>
        <w:t xml:space="preserve"> (Ministerios, Administraciones Autonómicas, etc.)</w:t>
      </w:r>
      <w:r w:rsidRPr="00CF1B34">
        <w:rPr>
          <w:rStyle w:val="Textoennegrita"/>
          <w:rFonts w:ascii="Arial" w:hAnsi="Arial" w:cs="Arial"/>
          <w:color w:val="333333"/>
          <w:sz w:val="22"/>
          <w:szCs w:val="22"/>
          <w:shd w:val="clear" w:color="auto" w:fill="FFFFFF"/>
          <w:lang w:val="es-ES_tradnl"/>
        </w:rPr>
        <w:t xml:space="preserve"> o</w:t>
      </w:r>
      <w:r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instituciones privadas</w:t>
      </w:r>
      <w:r w:rsidRPr="00CF1B34">
        <w:rPr>
          <w:rFonts w:ascii="Arial" w:hAnsi="Arial" w:cs="Arial"/>
          <w:color w:val="333333"/>
          <w:sz w:val="22"/>
          <w:szCs w:val="22"/>
          <w:shd w:val="clear" w:color="auto" w:fill="FFFFFF"/>
          <w:lang w:val="es-ES_tradnl"/>
        </w:rPr>
        <w:t xml:space="preserve"> (empresas, financieras, fundaciones, asociaciones, etc.) y pueden ser:</w:t>
      </w:r>
    </w:p>
    <w:p w14:paraId="0F63C675" w14:textId="77777777" w:rsidR="005F1D01" w:rsidRPr="00CF1B34" w:rsidRDefault="005F1D01" w:rsidP="004F7A62">
      <w:pPr>
        <w:numPr>
          <w:ilvl w:val="0"/>
          <w:numId w:val="146"/>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lastRenderedPageBreak/>
        <w:t>Generales</w:t>
      </w:r>
      <w:r w:rsidRPr="00CF1B34">
        <w:rPr>
          <w:rFonts w:ascii="Arial" w:hAnsi="Arial" w:cs="Arial"/>
          <w:color w:val="333333"/>
          <w:sz w:val="22"/>
          <w:szCs w:val="22"/>
          <w:lang w:val="es-ES_tradnl"/>
        </w:rPr>
        <w:t>: para realizar los estudios ordinarios.</w:t>
      </w:r>
    </w:p>
    <w:p w14:paraId="01C125A3" w14:textId="587F5C6D" w:rsidR="005F1D01" w:rsidRPr="00CF1B34" w:rsidRDefault="005F1D01" w:rsidP="004F7A62">
      <w:pPr>
        <w:numPr>
          <w:ilvl w:val="0"/>
          <w:numId w:val="146"/>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Específicas</w:t>
      </w:r>
      <w:r w:rsidRPr="00CF1B34">
        <w:rPr>
          <w:rFonts w:ascii="Arial" w:hAnsi="Arial" w:cs="Arial"/>
          <w:color w:val="333333"/>
          <w:sz w:val="22"/>
          <w:szCs w:val="22"/>
          <w:lang w:val="es-ES_tradnl"/>
        </w:rPr>
        <w:t>: utilizables para intercambios educativos,</w:t>
      </w:r>
      <w:r w:rsidR="007558E2" w:rsidRPr="00CF1B34">
        <w:rPr>
          <w:rFonts w:ascii="Arial" w:hAnsi="Arial" w:cs="Arial"/>
          <w:color w:val="333333"/>
          <w:sz w:val="22"/>
          <w:szCs w:val="22"/>
          <w:lang w:val="es-ES_tradnl"/>
        </w:rPr>
        <w:t xml:space="preserve"> </w:t>
      </w:r>
      <w:hyperlink r:id="rId162" w:history="1">
        <w:r w:rsidRPr="00CF1B34">
          <w:rPr>
            <w:rStyle w:val="Hipervnculo"/>
            <w:rFonts w:ascii="Arial" w:hAnsi="Arial" w:cs="Arial"/>
            <w:color w:val="DC143C"/>
            <w:sz w:val="22"/>
            <w:szCs w:val="22"/>
            <w:u w:val="none"/>
            <w:lang w:val="es-ES_tradnl"/>
          </w:rPr>
          <w:t>prácticas laborales</w:t>
        </w:r>
      </w:hyperlink>
      <w:r w:rsidRPr="00CF1B34">
        <w:rPr>
          <w:rFonts w:ascii="Arial" w:hAnsi="Arial" w:cs="Arial"/>
          <w:color w:val="333333"/>
          <w:sz w:val="22"/>
          <w:szCs w:val="22"/>
          <w:lang w:val="es-ES_tradnl"/>
        </w:rPr>
        <w:t>, entre otros.</w:t>
      </w:r>
    </w:p>
    <w:p w14:paraId="360FCE05" w14:textId="77777777" w:rsidR="00B339C6" w:rsidRPr="00CF1B34" w:rsidRDefault="00B339C6" w:rsidP="004F7A62">
      <w:pPr>
        <w:pStyle w:val="Prrafodelista"/>
        <w:numPr>
          <w:ilvl w:val="0"/>
          <w:numId w:val="146"/>
        </w:numPr>
        <w:pBdr>
          <w:bottom w:val="dotted" w:sz="12" w:space="12" w:color="666666"/>
        </w:pBdr>
        <w:spacing w:after="240"/>
        <w:jc w:val="both"/>
        <w:rPr>
          <w:rFonts w:ascii="Arial" w:hAnsi="Arial" w:cs="Arial"/>
          <w:color w:val="212529"/>
          <w:sz w:val="22"/>
          <w:szCs w:val="22"/>
          <w:lang w:val="es-ES_tradnl"/>
        </w:rPr>
      </w:pPr>
    </w:p>
    <w:p w14:paraId="785BB8C8" w14:textId="35D44F76" w:rsidR="00C7373E" w:rsidRPr="00CF1B34" w:rsidRDefault="00C7373E" w:rsidP="0005621A">
      <w:pPr>
        <w:ind w:left="360"/>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Contratos de compra/venta de opciones</w:t>
      </w:r>
    </w:p>
    <w:p w14:paraId="71CCC2B2" w14:textId="49B7DBEB"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contratos no negociados en mercados secundarios organizados, por los que una entidad de crédito recibe de sus clientes dinero, valores, o ambas cosas, asumiendo una obligación de reembolso (en dinero o en valores) cuya cuantía dependerá de la evolución de determinados valores o índices bursátiles, sin compromiso de reembolso íntegro del principal recibido. Su riesgo está directamente relacionado con el del valor o instrumento de referencia.</w:t>
      </w:r>
    </w:p>
    <w:p w14:paraId="38337EB9" w14:textId="455BE0C4" w:rsidR="00B95601" w:rsidRPr="00CF1B34" w:rsidRDefault="00B956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Contrato de prestamos </w:t>
      </w:r>
    </w:p>
    <w:p w14:paraId="17B7A0D7" w14:textId="46DDE570" w:rsidR="00B339C6" w:rsidRPr="00CF1B34" w:rsidRDefault="00B339C6"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w:t>
      </w:r>
      <w:r w:rsidRPr="00CF1B34">
        <w:rPr>
          <w:rStyle w:val="Textoennegrita"/>
          <w:rFonts w:ascii="Arial" w:hAnsi="Arial" w:cs="Arial"/>
          <w:b w:val="0"/>
          <w:bCs w:val="0"/>
          <w:color w:val="333333"/>
          <w:sz w:val="22"/>
          <w:szCs w:val="22"/>
          <w:lang w:val="es-ES_tradnl"/>
        </w:rPr>
        <w:t>contrato de préstamos</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es el</w:t>
      </w:r>
      <w:r w:rsidRPr="00CF1B34">
        <w:rPr>
          <w:rFonts w:ascii="Arial" w:hAnsi="Arial" w:cs="Arial"/>
          <w:b/>
          <w:bCs/>
          <w:color w:val="333333"/>
          <w:sz w:val="22"/>
          <w:szCs w:val="22"/>
          <w:lang w:val="es-ES_tradnl"/>
        </w:rPr>
        <w:t xml:space="preserve"> </w:t>
      </w:r>
      <w:r w:rsidRPr="00CF1B34">
        <w:rPr>
          <w:rStyle w:val="Textoennegrita"/>
          <w:rFonts w:ascii="Arial" w:hAnsi="Arial" w:cs="Arial"/>
          <w:b w:val="0"/>
          <w:bCs w:val="0"/>
          <w:color w:val="333333"/>
          <w:sz w:val="22"/>
          <w:szCs w:val="22"/>
          <w:lang w:val="es-ES_tradnl"/>
        </w:rPr>
        <w:t>documento entre la entidad financiera que lo otorga y el/los solicitantes</w:t>
      </w:r>
      <w:r w:rsidRPr="00CF1B34">
        <w:rPr>
          <w:rFonts w:ascii="Arial" w:hAnsi="Arial" w:cs="Arial"/>
          <w:color w:val="333333"/>
          <w:sz w:val="22"/>
          <w:szCs w:val="22"/>
          <w:lang w:val="es-ES_tradnl"/>
        </w:rPr>
        <w:t xml:space="preserve">, en donde se marcan todas </w:t>
      </w:r>
      <w:r w:rsidRPr="00CF1B34">
        <w:rPr>
          <w:rStyle w:val="Textoennegrita"/>
          <w:rFonts w:ascii="Arial" w:hAnsi="Arial" w:cs="Arial"/>
          <w:b w:val="0"/>
          <w:bCs w:val="0"/>
          <w:color w:val="333333"/>
          <w:sz w:val="22"/>
          <w:szCs w:val="22"/>
          <w:lang w:val="es-ES_tradnl"/>
        </w:rPr>
        <w:t>las pautas que regirán la operación entre ambas partes</w:t>
      </w:r>
      <w:r w:rsidRPr="00CF1B34">
        <w:rPr>
          <w:rFonts w:ascii="Arial" w:hAnsi="Arial" w:cs="Arial"/>
          <w:color w:val="333333"/>
          <w:sz w:val="22"/>
          <w:szCs w:val="22"/>
          <w:lang w:val="es-ES_tradnl"/>
        </w:rPr>
        <w:t>, impuestas por el banco bajo la regulación de la ley y el BCE y aceptadas por el cliente desde el momento en que estampa su firma.</w:t>
      </w:r>
    </w:p>
    <w:p w14:paraId="01ADEBF3" w14:textId="77777777" w:rsidR="00B339C6" w:rsidRPr="00CF1B34" w:rsidRDefault="00B339C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Allí encontraremos que se establecen las obligaciones de ambos recíprocamente: la entidad debe entregar el capital acordado prepactado al solicitante y éste, aunque resulte obvio, tiene la obligación de abonar los gastos administrativos, sumado al capital otorgado y a los intereses correspondientes de la mano de la tasa a la cual se efectúe el crédito.</w:t>
      </w:r>
    </w:p>
    <w:p w14:paraId="1759D0A7" w14:textId="6960DE61" w:rsidR="00B95601" w:rsidRPr="00CF1B34" w:rsidRDefault="00B956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Contrato en practicas</w:t>
      </w:r>
      <w:r w:rsidR="00263741" w:rsidRPr="00CF1B34">
        <w:rPr>
          <w:rFonts w:ascii="Arial" w:hAnsi="Arial" w:cs="Arial"/>
          <w:b/>
          <w:bCs/>
          <w:color w:val="004773"/>
          <w:sz w:val="22"/>
          <w:szCs w:val="22"/>
          <w:lang w:val="es-ES_tradnl"/>
        </w:rPr>
        <w:t xml:space="preserve"> </w:t>
      </w:r>
    </w:p>
    <w:p w14:paraId="4DCBEE5F" w14:textId="31083D84" w:rsidR="00B339C6" w:rsidRPr="00CF1B34" w:rsidRDefault="00B339C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Es un </w:t>
      </w:r>
      <w:hyperlink r:id="rId163" w:history="1">
        <w:r w:rsidRPr="00CF1B34">
          <w:rPr>
            <w:rFonts w:ascii="Arial" w:hAnsi="Arial" w:cs="Arial"/>
            <w:b/>
            <w:bCs/>
            <w:color w:val="DC143C"/>
            <w:sz w:val="22"/>
            <w:szCs w:val="22"/>
            <w:u w:val="single"/>
            <w:lang w:val="es-ES_tradnl"/>
          </w:rPr>
          <w:t>tipo de contrato</w:t>
        </w:r>
      </w:hyperlink>
      <w:r w:rsidRPr="00CF1B34">
        <w:rPr>
          <w:rFonts w:ascii="Arial" w:hAnsi="Arial" w:cs="Arial"/>
          <w:b/>
          <w:bCs/>
          <w:color w:val="333333"/>
          <w:sz w:val="22"/>
          <w:szCs w:val="22"/>
          <w:lang w:val="es-ES_tradnl"/>
        </w:rPr>
        <w:t xml:space="preserve"> que tiene como objeto facilitar la obtención de la práctica y </w:t>
      </w:r>
      <w:hyperlink r:id="rId164" w:history="1">
        <w:r w:rsidRPr="00CF1B34">
          <w:rPr>
            <w:rFonts w:ascii="Arial" w:hAnsi="Arial" w:cs="Arial"/>
            <w:b/>
            <w:bCs/>
            <w:color w:val="DC143C"/>
            <w:sz w:val="22"/>
            <w:szCs w:val="22"/>
            <w:u w:val="single"/>
            <w:lang w:val="es-ES_tradnl"/>
          </w:rPr>
          <w:t>experiencia profesional</w:t>
        </w:r>
      </w:hyperlink>
      <w:r w:rsidRPr="00CF1B34">
        <w:rPr>
          <w:rFonts w:ascii="Arial" w:hAnsi="Arial" w:cs="Arial"/>
          <w:color w:val="333333"/>
          <w:sz w:val="22"/>
          <w:szCs w:val="22"/>
          <w:lang w:val="es-ES_tradnl"/>
        </w:rPr>
        <w:t>, correspondiente  con los estudios cursados por los trabajadores.</w:t>
      </w:r>
    </w:p>
    <w:p w14:paraId="23849365" w14:textId="77777777" w:rsidR="00B339C6" w:rsidRPr="00CF1B34" w:rsidRDefault="00B339C6" w:rsidP="0005621A">
      <w:pPr>
        <w:shd w:val="clear" w:color="auto" w:fill="FFFFFF"/>
        <w:spacing w:after="165"/>
        <w:ind w:left="12" w:firstLine="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Requisitos del puesto</w:t>
      </w:r>
    </w:p>
    <w:p w14:paraId="30175E36" w14:textId="120684A7" w:rsidR="00B339C6" w:rsidRPr="00CF1B34" w:rsidRDefault="00B339C6" w:rsidP="004F7A62">
      <w:pPr>
        <w:numPr>
          <w:ilvl w:val="0"/>
          <w:numId w:val="14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 xml:space="preserve">Permitir gana </w:t>
      </w:r>
      <w:hyperlink r:id="rId165" w:history="1">
        <w:r w:rsidRPr="00CF1B34">
          <w:rPr>
            <w:rFonts w:ascii="Arial" w:hAnsi="Arial" w:cs="Arial"/>
            <w:b/>
            <w:bCs/>
            <w:color w:val="DC143C"/>
            <w:sz w:val="22"/>
            <w:szCs w:val="22"/>
            <w:u w:val="single"/>
            <w:lang w:val="es-ES_tradnl"/>
          </w:rPr>
          <w:t>experiencia</w:t>
        </w:r>
      </w:hyperlink>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en la práctica profesional.</w:t>
      </w:r>
    </w:p>
    <w:p w14:paraId="0B861344" w14:textId="1F1BAA79" w:rsidR="00B339C6" w:rsidRPr="00CF1B34" w:rsidRDefault="00B339C6" w:rsidP="004F7A62">
      <w:pPr>
        <w:numPr>
          <w:ilvl w:val="0"/>
          <w:numId w:val="147"/>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Debe ser </w:t>
      </w:r>
      <w:r w:rsidRPr="00CF1B34">
        <w:rPr>
          <w:rFonts w:ascii="Arial" w:hAnsi="Arial" w:cs="Arial"/>
          <w:b/>
          <w:bCs/>
          <w:color w:val="333333"/>
          <w:sz w:val="22"/>
          <w:szCs w:val="22"/>
          <w:lang w:val="es-ES_tradnl"/>
        </w:rPr>
        <w:t>determinado mediante convenio</w:t>
      </w:r>
      <w:r w:rsidRPr="00CF1B34">
        <w:rPr>
          <w:rFonts w:ascii="Arial" w:hAnsi="Arial" w:cs="Arial"/>
          <w:color w:val="333333"/>
          <w:sz w:val="22"/>
          <w:szCs w:val="22"/>
          <w:lang w:val="es-ES_tradnl"/>
        </w:rPr>
        <w:t> colectivo de ámbito sectorial estatal.</w:t>
      </w:r>
    </w:p>
    <w:p w14:paraId="319DBC6B" w14:textId="77777777" w:rsidR="00B339C6" w:rsidRPr="00CF1B34" w:rsidRDefault="00B339C6"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Características del contrato</w:t>
      </w:r>
    </w:p>
    <w:p w14:paraId="0B522EDD" w14:textId="77777777" w:rsidR="00B339C6" w:rsidRPr="00CF1B34" w:rsidRDefault="00B339C6" w:rsidP="004F7A62">
      <w:pPr>
        <w:numPr>
          <w:ilvl w:val="0"/>
          <w:numId w:val="14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Duración</w:t>
      </w:r>
      <w:r w:rsidRPr="00CF1B34">
        <w:rPr>
          <w:rFonts w:ascii="Arial" w:hAnsi="Arial" w:cs="Arial"/>
          <w:color w:val="333333"/>
          <w:sz w:val="22"/>
          <w:szCs w:val="22"/>
          <w:lang w:val="es-ES_tradnl"/>
        </w:rPr>
        <w:t>: Deberá ser como mínimo de seis meses y no podrá superar los dos años.</w:t>
      </w:r>
    </w:p>
    <w:p w14:paraId="6ADC8D87" w14:textId="77777777" w:rsidR="00B339C6" w:rsidRPr="00CF1B34" w:rsidRDefault="00B339C6" w:rsidP="004F7A62">
      <w:pPr>
        <w:numPr>
          <w:ilvl w:val="0"/>
          <w:numId w:val="14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Formalización escrita</w:t>
      </w:r>
      <w:r w:rsidRPr="00CF1B34">
        <w:rPr>
          <w:rFonts w:ascii="Arial" w:hAnsi="Arial" w:cs="Arial"/>
          <w:color w:val="333333"/>
          <w:sz w:val="22"/>
          <w:szCs w:val="22"/>
          <w:lang w:val="es-ES_tradnl"/>
        </w:rPr>
        <w:t>: en caso de no ser respetada se presumirán celebrados por tiempo indefinido.</w:t>
      </w:r>
    </w:p>
    <w:p w14:paraId="2A2E6B8E" w14:textId="77777777" w:rsidR="00B339C6" w:rsidRPr="00CF1B34" w:rsidRDefault="00B339C6" w:rsidP="004F7A62">
      <w:pPr>
        <w:numPr>
          <w:ilvl w:val="0"/>
          <w:numId w:val="14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Período de prueba</w:t>
      </w:r>
      <w:r w:rsidRPr="00CF1B34">
        <w:rPr>
          <w:rFonts w:ascii="Arial" w:hAnsi="Arial" w:cs="Arial"/>
          <w:color w:val="333333"/>
          <w:sz w:val="22"/>
          <w:szCs w:val="22"/>
          <w:lang w:val="es-ES_tradnl"/>
        </w:rPr>
        <w:t>: será de un mes para titulados de grado medio y de dos meses para titulados de grado superior.</w:t>
      </w:r>
    </w:p>
    <w:p w14:paraId="51E0F5A2" w14:textId="3D425448" w:rsidR="00B339C6" w:rsidRPr="00CF1B34" w:rsidRDefault="00D83530" w:rsidP="004F7A62">
      <w:pPr>
        <w:numPr>
          <w:ilvl w:val="0"/>
          <w:numId w:val="148"/>
        </w:numPr>
        <w:shd w:val="clear" w:color="auto" w:fill="FFFFFF"/>
        <w:spacing w:before="100" w:beforeAutospacing="1" w:after="100" w:afterAutospacing="1"/>
        <w:jc w:val="both"/>
        <w:rPr>
          <w:rFonts w:ascii="Arial" w:hAnsi="Arial" w:cs="Arial"/>
          <w:color w:val="333333"/>
          <w:sz w:val="22"/>
          <w:szCs w:val="22"/>
          <w:lang w:val="es-ES_tradnl"/>
        </w:rPr>
      </w:pPr>
      <w:hyperlink r:id="rId166" w:history="1">
        <w:r w:rsidR="00B339C6" w:rsidRPr="00CF1B34">
          <w:rPr>
            <w:rFonts w:ascii="Arial" w:hAnsi="Arial" w:cs="Arial"/>
            <w:b/>
            <w:bCs/>
            <w:color w:val="DC143C"/>
            <w:sz w:val="22"/>
            <w:szCs w:val="22"/>
            <w:lang w:val="es-ES_tradnl"/>
          </w:rPr>
          <w:t>Jornada</w:t>
        </w:r>
      </w:hyperlink>
      <w:r w:rsidR="00B339C6" w:rsidRPr="00CF1B34">
        <w:rPr>
          <w:rFonts w:ascii="Arial" w:hAnsi="Arial" w:cs="Arial"/>
          <w:color w:val="333333"/>
          <w:sz w:val="22"/>
          <w:szCs w:val="22"/>
          <w:lang w:val="es-ES_tradnl"/>
        </w:rPr>
        <w:t xml:space="preserve">: se considera que puede ser a tiempo completo o </w:t>
      </w:r>
      <w:hyperlink r:id="rId167" w:history="1">
        <w:r w:rsidR="00B339C6" w:rsidRPr="00CF1B34">
          <w:rPr>
            <w:rFonts w:ascii="Arial" w:hAnsi="Arial" w:cs="Arial"/>
            <w:color w:val="DC143C"/>
            <w:sz w:val="22"/>
            <w:szCs w:val="22"/>
            <w:u w:val="single"/>
            <w:lang w:val="es-ES_tradnl"/>
          </w:rPr>
          <w:t>parcial</w:t>
        </w:r>
      </w:hyperlink>
      <w:r w:rsidR="00B339C6" w:rsidRPr="00CF1B34">
        <w:rPr>
          <w:rFonts w:ascii="Arial" w:hAnsi="Arial" w:cs="Arial"/>
          <w:color w:val="333333"/>
          <w:sz w:val="22"/>
          <w:szCs w:val="22"/>
          <w:lang w:val="es-ES_tradnl"/>
        </w:rPr>
        <w:t>.</w:t>
      </w:r>
    </w:p>
    <w:p w14:paraId="3E3C39E5" w14:textId="335524D3" w:rsidR="00B339C6" w:rsidRPr="00CF1B34" w:rsidRDefault="00B339C6" w:rsidP="004F7A62">
      <w:pPr>
        <w:numPr>
          <w:ilvl w:val="0"/>
          <w:numId w:val="14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Retribución mínima</w:t>
      </w:r>
      <w:r w:rsidRPr="00CF1B34">
        <w:rPr>
          <w:rFonts w:ascii="Arial" w:hAnsi="Arial" w:cs="Arial"/>
          <w:color w:val="333333"/>
          <w:sz w:val="22"/>
          <w:szCs w:val="22"/>
          <w:lang w:val="es-ES_tradnl"/>
        </w:rPr>
        <w:t xml:space="preserve">: no puede ser inferior al 60 ó el 75% durante el primero o el segundo año de vigencia del contrato, respectivamente. Siempre superiores al </w:t>
      </w:r>
      <w:hyperlink r:id="rId168" w:history="1">
        <w:r w:rsidRPr="00CF1B34">
          <w:rPr>
            <w:rFonts w:ascii="Arial" w:hAnsi="Arial" w:cs="Arial"/>
            <w:color w:val="2F5496" w:themeColor="accent1" w:themeShade="BF"/>
            <w:sz w:val="22"/>
            <w:szCs w:val="22"/>
            <w:u w:val="single"/>
            <w:lang w:val="es-ES_tradnl"/>
          </w:rPr>
          <w:t>salario mínimo interprofesional</w:t>
        </w:r>
      </w:hyperlink>
      <w:r w:rsidRPr="00CF1B34">
        <w:rPr>
          <w:rFonts w:ascii="Arial" w:hAnsi="Arial" w:cs="Arial"/>
          <w:color w:val="2F5496" w:themeColor="accent1" w:themeShade="BF"/>
          <w:sz w:val="22"/>
          <w:szCs w:val="22"/>
          <w:lang w:val="es-ES_tradnl"/>
        </w:rPr>
        <w:t>.</w:t>
      </w:r>
    </w:p>
    <w:p w14:paraId="2785CB34" w14:textId="1945524B" w:rsidR="00B339C6" w:rsidRPr="00CF1B34" w:rsidRDefault="00B339C6" w:rsidP="004F7A62">
      <w:pPr>
        <w:numPr>
          <w:ilvl w:val="0"/>
          <w:numId w:val="14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Certificación</w:t>
      </w:r>
      <w:r w:rsidRPr="00CF1B34">
        <w:rPr>
          <w:rFonts w:ascii="Arial" w:hAnsi="Arial" w:cs="Arial"/>
          <w:color w:val="333333"/>
          <w:sz w:val="22"/>
          <w:szCs w:val="22"/>
          <w:lang w:val="es-ES_tradnl"/>
        </w:rPr>
        <w:t xml:space="preserve"> de las prácticas realizadas</w:t>
      </w:r>
    </w:p>
    <w:p w14:paraId="42907682" w14:textId="6F62016A" w:rsidR="00B95601" w:rsidRPr="00CF1B34" w:rsidRDefault="00B339C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Un tipo de contrato que estimula mucho a los estudiantes para conseguir un puesto que </w:t>
      </w:r>
      <w:r w:rsidRPr="00CF1B34">
        <w:rPr>
          <w:rFonts w:ascii="Arial" w:hAnsi="Arial" w:cs="Arial"/>
          <w:color w:val="2F5496" w:themeColor="accent1" w:themeShade="BF"/>
          <w:sz w:val="22"/>
          <w:szCs w:val="22"/>
          <w:lang w:val="es-ES_tradnl"/>
        </w:rPr>
        <w:t xml:space="preserve">les </w:t>
      </w:r>
      <w:hyperlink r:id="rId169" w:history="1">
        <w:r w:rsidRPr="00CF1B34">
          <w:rPr>
            <w:rFonts w:ascii="Arial" w:hAnsi="Arial" w:cs="Arial"/>
            <w:color w:val="2F5496" w:themeColor="accent1" w:themeShade="BF"/>
            <w:sz w:val="22"/>
            <w:szCs w:val="22"/>
            <w:u w:val="single"/>
            <w:lang w:val="es-ES_tradnl"/>
          </w:rPr>
          <w:t>beneficie dándole más que un ingreso mensual</w:t>
        </w:r>
      </w:hyperlink>
      <w:r w:rsidRPr="00CF1B34">
        <w:rPr>
          <w:rFonts w:ascii="Arial" w:hAnsi="Arial" w:cs="Arial"/>
          <w:color w:val="333333"/>
          <w:sz w:val="22"/>
          <w:szCs w:val="22"/>
          <w:lang w:val="es-ES_tradnl"/>
        </w:rPr>
        <w:t>. La experiencia es muy importante en el ámbito profesional y no hay que descartar las posibilidades de crecimiento mediante este tipo de labores.</w:t>
      </w:r>
    </w:p>
    <w:p w14:paraId="62A2D63F" w14:textId="4E6642EF" w:rsidR="00263741" w:rsidRPr="00CF1B34" w:rsidRDefault="0026374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Contrato por obra y servicios</w:t>
      </w:r>
    </w:p>
    <w:p w14:paraId="3920BEC9" w14:textId="77777777" w:rsidR="002C519E" w:rsidRPr="00CF1B34" w:rsidRDefault="009C5621"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shd w:val="clear" w:color="auto" w:fill="FFFFFF"/>
          <w:lang w:val="es-ES_tradnl"/>
        </w:rPr>
        <w:t xml:space="preserve">Tendrán una ampliación en su duración </w:t>
      </w:r>
      <w:r w:rsidRPr="00CF1B34">
        <w:rPr>
          <w:rFonts w:ascii="Arial" w:hAnsi="Arial" w:cs="Arial"/>
          <w:color w:val="333333"/>
          <w:sz w:val="22"/>
          <w:szCs w:val="22"/>
          <w:shd w:val="clear" w:color="auto" w:fill="FFFFFF"/>
          <w:lang w:val="es-ES_tradnl"/>
        </w:rPr>
        <w:t xml:space="preserve">de 2 años a 3 años la duración máxima de contratos temporales por obra o servicio. Todo trabajador que con cuente con un mínimo de 24 meses, durante los últimos 2 años y medio, lleve al menos 2 contratos temporales dentro de la misma empresa o grupo empresarial, </w:t>
      </w:r>
      <w:r w:rsidRPr="00CF1B34">
        <w:rPr>
          <w:rStyle w:val="Textoennegrita"/>
          <w:rFonts w:ascii="Arial" w:hAnsi="Arial" w:cs="Arial"/>
          <w:color w:val="333333"/>
          <w:sz w:val="22"/>
          <w:szCs w:val="22"/>
          <w:shd w:val="clear" w:color="auto" w:fill="FFFFFF"/>
          <w:lang w:val="es-ES_tradnl"/>
        </w:rPr>
        <w:t>en ese caso pasará de forma automática a ser considerado como un empleado fijo.</w:t>
      </w:r>
    </w:p>
    <w:p w14:paraId="0C410AD5" w14:textId="349121CE" w:rsidR="002C519E" w:rsidRPr="00CF1B34" w:rsidRDefault="0026374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Contrato precario</w:t>
      </w:r>
    </w:p>
    <w:p w14:paraId="6F5AFD15" w14:textId="6B52F91F" w:rsidR="002C519E" w:rsidRPr="00CF1B34" w:rsidRDefault="002C519E" w:rsidP="0005621A">
      <w:pPr>
        <w:ind w:left="708"/>
        <w:jc w:val="both"/>
        <w:rPr>
          <w:rStyle w:val="Textoennegrita"/>
          <w:rFonts w:ascii="Arial" w:hAnsi="Arial" w:cs="Arial"/>
          <w:b w:val="0"/>
          <w:bCs w:val="0"/>
          <w:color w:val="333333"/>
          <w:sz w:val="22"/>
          <w:szCs w:val="22"/>
          <w:lang w:val="es-ES_tradnl"/>
        </w:rPr>
      </w:pPr>
      <w:r w:rsidRPr="00CF1B34">
        <w:rPr>
          <w:rStyle w:val="Textoennegrita"/>
          <w:rFonts w:ascii="Arial" w:hAnsi="Arial" w:cs="Arial"/>
          <w:b w:val="0"/>
          <w:bCs w:val="0"/>
          <w:color w:val="333333"/>
          <w:sz w:val="22"/>
          <w:szCs w:val="22"/>
          <w:lang w:val="es-ES_tradnl"/>
        </w:rPr>
        <w:t>En momentos en que el mercado laboral más que frenado está en desgracia y su nivel de crecimiento es nulo, con</w:t>
      </w:r>
      <w:r w:rsidR="0068627F" w:rsidRPr="00CF1B34">
        <w:rPr>
          <w:rStyle w:val="Textoennegrita"/>
          <w:rFonts w:ascii="Arial" w:hAnsi="Arial" w:cs="Arial"/>
          <w:b w:val="0"/>
          <w:bCs w:val="0"/>
          <w:color w:val="333333"/>
          <w:sz w:val="22"/>
          <w:szCs w:val="22"/>
          <w:lang w:val="es-ES_tradnl"/>
        </w:rPr>
        <w:t xml:space="preserve"> </w:t>
      </w:r>
      <w:hyperlink r:id="rId170" w:history="1"/>
      <w:r w:rsidR="0068627F" w:rsidRPr="00CF1B34">
        <w:rPr>
          <w:rStyle w:val="Hipervnculo"/>
          <w:rFonts w:ascii="Arial" w:hAnsi="Arial" w:cs="Arial"/>
          <w:color w:val="000000"/>
          <w:sz w:val="22"/>
          <w:szCs w:val="22"/>
          <w:lang w:val="es-ES_tradnl"/>
        </w:rPr>
        <w:t xml:space="preserve"> </w:t>
      </w:r>
      <w:r w:rsidRPr="00CF1B34">
        <w:rPr>
          <w:rStyle w:val="Textoennegrita"/>
          <w:rFonts w:ascii="Arial" w:hAnsi="Arial" w:cs="Arial"/>
          <w:b w:val="0"/>
          <w:bCs w:val="0"/>
          <w:color w:val="333333"/>
          <w:sz w:val="22"/>
          <w:szCs w:val="22"/>
          <w:lang w:val="es-ES_tradnl"/>
        </w:rPr>
        <w:t>que no solo preocupan al Gobieno español sino a la UE y a Bruselas que aplican un</w:t>
      </w:r>
      <w:r w:rsidR="00323918" w:rsidRPr="00CF1B34">
        <w:rPr>
          <w:rStyle w:val="Textoennegrita"/>
          <w:rFonts w:ascii="Arial" w:hAnsi="Arial" w:cs="Arial"/>
          <w:b w:val="0"/>
          <w:bCs w:val="0"/>
          <w:color w:val="333333"/>
          <w:sz w:val="22"/>
          <w:szCs w:val="22"/>
          <w:lang w:val="es-ES_tradnl"/>
        </w:rPr>
        <w:t xml:space="preserve"> </w:t>
      </w:r>
      <w:hyperlink r:id="rId171" w:history="1">
        <w:r w:rsidRPr="00CF1B34">
          <w:rPr>
            <w:rStyle w:val="Hipervnculo"/>
            <w:rFonts w:ascii="Arial" w:hAnsi="Arial" w:cs="Arial"/>
            <w:color w:val="000000"/>
            <w:sz w:val="22"/>
            <w:szCs w:val="22"/>
            <w:lang w:val="es-ES_tradnl"/>
          </w:rPr>
          <w:t>nuevo plan de empleo</w:t>
        </w:r>
      </w:hyperlink>
      <w:r w:rsidRPr="00CF1B34">
        <w:rPr>
          <w:rStyle w:val="Textoennegrita"/>
          <w:rFonts w:ascii="Arial" w:hAnsi="Arial" w:cs="Arial"/>
          <w:b w:val="0"/>
          <w:bCs w:val="0"/>
          <w:color w:val="333333"/>
          <w:sz w:val="22"/>
          <w:szCs w:val="22"/>
          <w:lang w:val="es-ES_tradnl"/>
        </w:rPr>
        <w:t>. Lo que hace que la precariedad laboral o el trabajo precario como se suele definir esta situación laboral,</w:t>
      </w:r>
      <w:r w:rsidR="0068627F" w:rsidRPr="00CF1B34">
        <w:rPr>
          <w:rStyle w:val="Textoennegrita"/>
          <w:rFonts w:ascii="Arial" w:hAnsi="Arial" w:cs="Arial"/>
          <w:b w:val="0"/>
          <w:bCs w:val="0"/>
          <w:color w:val="333333"/>
          <w:sz w:val="22"/>
          <w:szCs w:val="22"/>
          <w:lang w:val="es-ES_tradnl"/>
        </w:rPr>
        <w:t xml:space="preserve"> </w:t>
      </w:r>
      <w:r w:rsidRPr="00CF1B34">
        <w:rPr>
          <w:rStyle w:val="Textoennegrita"/>
          <w:rFonts w:ascii="Arial" w:hAnsi="Arial" w:cs="Arial"/>
          <w:b w:val="0"/>
          <w:bCs w:val="0"/>
          <w:color w:val="333333"/>
          <w:sz w:val="22"/>
          <w:szCs w:val="22"/>
          <w:lang w:val="es-ES_tradnl"/>
        </w:rPr>
        <w:t>y que se denomina a una situación de trabajo donde el contrato posee algunas carencias que generan que las personas trabajadoras sufran</w:t>
      </w:r>
      <w:r w:rsidR="00323918" w:rsidRPr="00CF1B34">
        <w:rPr>
          <w:rStyle w:val="Textoennegrita"/>
          <w:rFonts w:ascii="Arial" w:hAnsi="Arial" w:cs="Arial"/>
          <w:b w:val="0"/>
          <w:bCs w:val="0"/>
          <w:color w:val="333333"/>
          <w:sz w:val="22"/>
          <w:szCs w:val="22"/>
          <w:lang w:val="es-ES_tradnl"/>
        </w:rPr>
        <w:t xml:space="preserve"> </w:t>
      </w:r>
      <w:hyperlink r:id="rId172" w:history="1">
        <w:r w:rsidRPr="00CF1B34">
          <w:rPr>
            <w:rStyle w:val="Hipervnculo"/>
            <w:rFonts w:ascii="Arial" w:hAnsi="Arial" w:cs="Arial"/>
            <w:color w:val="000000"/>
            <w:sz w:val="22"/>
            <w:szCs w:val="22"/>
            <w:lang w:val="es-ES_tradnl"/>
          </w:rPr>
          <w:t>condiciones de trabajo</w:t>
        </w:r>
      </w:hyperlink>
      <w:r w:rsidR="0068627F" w:rsidRPr="00CF1B34">
        <w:rPr>
          <w:rStyle w:val="Textoennegrita"/>
          <w:rFonts w:ascii="Arial" w:hAnsi="Arial" w:cs="Arial"/>
          <w:b w:val="0"/>
          <w:bCs w:val="0"/>
          <w:color w:val="333333"/>
          <w:sz w:val="22"/>
          <w:szCs w:val="22"/>
          <w:lang w:val="es-ES_tradnl"/>
        </w:rPr>
        <w:t xml:space="preserve"> </w:t>
      </w:r>
      <w:r w:rsidRPr="00CF1B34">
        <w:rPr>
          <w:rStyle w:val="Textoennegrita"/>
          <w:rFonts w:ascii="Arial" w:hAnsi="Arial" w:cs="Arial"/>
          <w:b w:val="0"/>
          <w:bCs w:val="0"/>
          <w:color w:val="333333"/>
          <w:sz w:val="22"/>
          <w:szCs w:val="22"/>
          <w:lang w:val="es-ES_tradnl"/>
        </w:rPr>
        <w:t>debajo de lo “normal”. Normalmente se relaciona a la precariedad en el</w:t>
      </w:r>
      <w:r w:rsidR="00323918" w:rsidRPr="00CF1B34">
        <w:rPr>
          <w:rStyle w:val="Textoennegrita"/>
          <w:rFonts w:ascii="Arial" w:hAnsi="Arial" w:cs="Arial"/>
          <w:b w:val="0"/>
          <w:bCs w:val="0"/>
          <w:color w:val="333333"/>
          <w:sz w:val="22"/>
          <w:szCs w:val="22"/>
          <w:lang w:val="es-ES_tradnl"/>
        </w:rPr>
        <w:t xml:space="preserve"> </w:t>
      </w:r>
      <w:hyperlink r:id="rId173" w:history="1">
        <w:r w:rsidRPr="00CF1B34">
          <w:rPr>
            <w:rStyle w:val="Hipervnculo"/>
            <w:rFonts w:ascii="Arial" w:hAnsi="Arial" w:cs="Arial"/>
            <w:color w:val="000000"/>
            <w:sz w:val="22"/>
            <w:szCs w:val="22"/>
            <w:lang w:val="es-ES_tradnl"/>
          </w:rPr>
          <w:t>contrato laboral</w:t>
        </w:r>
      </w:hyperlink>
      <w:r w:rsidR="00323918" w:rsidRPr="00CF1B34">
        <w:rPr>
          <w:rStyle w:val="Textoennegrita"/>
          <w:rFonts w:ascii="Arial" w:hAnsi="Arial" w:cs="Arial"/>
          <w:b w:val="0"/>
          <w:bCs w:val="0"/>
          <w:color w:val="333333"/>
          <w:sz w:val="22"/>
          <w:szCs w:val="22"/>
          <w:lang w:val="es-ES_tradnl"/>
        </w:rPr>
        <w:t xml:space="preserve"> </w:t>
      </w:r>
      <w:r w:rsidRPr="00CF1B34">
        <w:rPr>
          <w:rStyle w:val="Textoennegrita"/>
          <w:rFonts w:ascii="Arial" w:hAnsi="Arial" w:cs="Arial"/>
          <w:b w:val="0"/>
          <w:bCs w:val="0"/>
          <w:color w:val="333333"/>
          <w:sz w:val="22"/>
          <w:szCs w:val="22"/>
          <w:lang w:val="es-ES_tradnl"/>
        </w:rPr>
        <w:t>con el nivel de ingresos que se perciben por el trabajo. Éstos, son</w:t>
      </w:r>
      <w:r w:rsidR="00323918" w:rsidRPr="00CF1B34">
        <w:rPr>
          <w:rStyle w:val="Textoennegrita"/>
          <w:rFonts w:ascii="Arial" w:hAnsi="Arial" w:cs="Arial"/>
          <w:b w:val="0"/>
          <w:bCs w:val="0"/>
          <w:color w:val="333333"/>
          <w:sz w:val="22"/>
          <w:szCs w:val="22"/>
          <w:lang w:val="es-ES_tradnl"/>
        </w:rPr>
        <w:t xml:space="preserve"> </w:t>
      </w:r>
      <w:r w:rsidRPr="00CF1B34">
        <w:rPr>
          <w:rStyle w:val="Textoennegrita"/>
          <w:rFonts w:ascii="Arial" w:hAnsi="Arial" w:cs="Arial"/>
          <w:b w:val="0"/>
          <w:bCs w:val="0"/>
          <w:color w:val="333333"/>
          <w:sz w:val="22"/>
          <w:szCs w:val="22"/>
          <w:lang w:val="es-ES_tradnl"/>
        </w:rPr>
        <w:t>insuficientes para cubrir las necesidades básicas, es decir, inferiores al</w:t>
      </w:r>
      <w:r w:rsidR="00323918" w:rsidRPr="00CF1B34">
        <w:rPr>
          <w:rStyle w:val="Textoennegrita"/>
          <w:rFonts w:ascii="Arial" w:hAnsi="Arial" w:cs="Arial"/>
          <w:b w:val="0"/>
          <w:bCs w:val="0"/>
          <w:color w:val="333333"/>
          <w:sz w:val="22"/>
          <w:szCs w:val="22"/>
          <w:lang w:val="es-ES_tradnl"/>
        </w:rPr>
        <w:t xml:space="preserve"> </w:t>
      </w:r>
      <w:r w:rsidR="00323918" w:rsidRPr="00CF1B34">
        <w:rPr>
          <w:rFonts w:ascii="Arial" w:hAnsi="Arial" w:cs="Arial"/>
          <w:sz w:val="22"/>
          <w:szCs w:val="22"/>
          <w:lang w:val="es-ES_tradnl"/>
        </w:rPr>
        <w:t>salario mínimo</w:t>
      </w:r>
      <w:r w:rsidR="00323918" w:rsidRPr="00CF1B34">
        <w:rPr>
          <w:rStyle w:val="Textoennegrita"/>
          <w:rFonts w:ascii="Arial" w:hAnsi="Arial" w:cs="Arial"/>
          <w:b w:val="0"/>
          <w:bCs w:val="0"/>
          <w:color w:val="333333"/>
          <w:sz w:val="22"/>
          <w:szCs w:val="22"/>
          <w:lang w:val="es-ES_tradnl"/>
        </w:rPr>
        <w:t xml:space="preserve"> </w:t>
      </w:r>
      <w:r w:rsidRPr="00CF1B34">
        <w:rPr>
          <w:rStyle w:val="Textoennegrita"/>
          <w:rFonts w:ascii="Arial" w:hAnsi="Arial" w:cs="Arial"/>
          <w:b w:val="0"/>
          <w:bCs w:val="0"/>
          <w:color w:val="333333"/>
          <w:sz w:val="22"/>
          <w:szCs w:val="22"/>
          <w:lang w:val="es-ES_tradnl"/>
        </w:rPr>
        <w:t>vital.</w:t>
      </w:r>
    </w:p>
    <w:p w14:paraId="7800B9D7" w14:textId="77777777" w:rsidR="008872A9" w:rsidRPr="00CF1B34" w:rsidRDefault="008872A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Por otro lado, tanto en España, como en el resto de los países donde existen los contratos laborales precarios, las carencias más significativas son:</w:t>
      </w:r>
    </w:p>
    <w:p w14:paraId="4EE66152" w14:textId="10F2AD00" w:rsidR="008872A9" w:rsidRPr="00CF1B34" w:rsidRDefault="008872A9" w:rsidP="004F7A62">
      <w:pPr>
        <w:numPr>
          <w:ilvl w:val="0"/>
          <w:numId w:val="14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 temporalidad de los</w:t>
      </w:r>
      <w:r w:rsidR="00323918" w:rsidRPr="00CF1B34">
        <w:rPr>
          <w:rStyle w:val="Textoennegrita"/>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contratos de trabajo.</w:t>
      </w:r>
      <w:r w:rsidR="00323918"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Bajo este modo de contratación se genera</w:t>
      </w:r>
      <w:r w:rsidR="00323918" w:rsidRPr="00CF1B34">
        <w:rPr>
          <w:rStyle w:val="Textoennegrita"/>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desempleo</w:t>
      </w:r>
      <w:r w:rsidR="00323918"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e inseguridad. Basándose en la rotación del empleado,</w:t>
      </w:r>
      <w:r w:rsidR="00323918" w:rsidRPr="00CF1B34">
        <w:rPr>
          <w:rFonts w:ascii="Arial" w:hAnsi="Arial" w:cs="Arial"/>
          <w:color w:val="333333"/>
          <w:sz w:val="22"/>
          <w:szCs w:val="22"/>
          <w:lang w:val="es-ES_tradnl"/>
        </w:rPr>
        <w:t xml:space="preserve"> </w:t>
      </w:r>
      <w:hyperlink r:id="rId174" w:history="1">
        <w:r w:rsidRPr="00CF1B34">
          <w:rPr>
            <w:rStyle w:val="Hipervnculo"/>
            <w:rFonts w:ascii="Arial" w:hAnsi="Arial" w:cs="Arial"/>
            <w:color w:val="DC143C"/>
            <w:sz w:val="22"/>
            <w:szCs w:val="22"/>
            <w:lang w:val="es-ES_tradnl"/>
          </w:rPr>
          <w:t>genera que la población de parados sea constante</w:t>
        </w:r>
      </w:hyperlink>
      <w:r w:rsidR="00323918"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y se pueda mantener los salarios bajos.</w:t>
      </w:r>
    </w:p>
    <w:p w14:paraId="77305623" w14:textId="77777777" w:rsidR="008872A9" w:rsidRPr="00CF1B34" w:rsidRDefault="008872A9" w:rsidP="004F7A62">
      <w:pPr>
        <w:numPr>
          <w:ilvl w:val="0"/>
          <w:numId w:val="14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 retribución salarial. Factor clave de la precariedad. Si es insuficiente para cubrir las necesidades básicas y vitales, no es posible que una persona viva, aunque trabaje, en dichas condiciones.</w:t>
      </w:r>
    </w:p>
    <w:p w14:paraId="14656445" w14:textId="5DF28615" w:rsidR="008872A9" w:rsidRPr="00CF1B34" w:rsidRDefault="008872A9" w:rsidP="004F7A62">
      <w:pPr>
        <w:numPr>
          <w:ilvl w:val="0"/>
          <w:numId w:val="14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Jornada de trabajo. La precariedad en cuanto a la jornada laboral se puede ver cuando una persona deba trabajar más del tiempo “jornada” citado en las leyes, o bien, deba</w:t>
      </w:r>
      <w:r w:rsidR="00323918" w:rsidRPr="00CF1B34">
        <w:rPr>
          <w:rFonts w:ascii="Arial" w:hAnsi="Arial" w:cs="Arial"/>
          <w:color w:val="333333"/>
          <w:sz w:val="22"/>
          <w:szCs w:val="22"/>
          <w:lang w:val="es-ES_tradnl"/>
        </w:rPr>
        <w:t xml:space="preserve"> </w:t>
      </w:r>
      <w:hyperlink r:id="rId175" w:history="1">
        <w:r w:rsidRPr="00CF1B34">
          <w:rPr>
            <w:rStyle w:val="Hipervnculo"/>
            <w:rFonts w:ascii="Arial" w:hAnsi="Arial" w:cs="Arial"/>
            <w:color w:val="DC143C"/>
            <w:sz w:val="22"/>
            <w:szCs w:val="22"/>
            <w:lang w:val="es-ES_tradnl"/>
          </w:rPr>
          <w:t>trabajar el doble para lograr el salario necesario</w:t>
        </w:r>
      </w:hyperlink>
      <w:r w:rsidRPr="00CF1B34">
        <w:rPr>
          <w:rFonts w:ascii="Arial" w:hAnsi="Arial" w:cs="Arial"/>
          <w:color w:val="333333"/>
          <w:sz w:val="22"/>
          <w:szCs w:val="22"/>
          <w:lang w:val="es-ES_tradnl"/>
        </w:rPr>
        <w:t>.</w:t>
      </w:r>
    </w:p>
    <w:p w14:paraId="10C45FBF" w14:textId="77777777" w:rsidR="008872A9" w:rsidRPr="00CF1B34" w:rsidRDefault="008872A9" w:rsidP="004F7A62">
      <w:pPr>
        <w:numPr>
          <w:ilvl w:val="0"/>
          <w:numId w:val="14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“No registración” o personas que no son dados de alta en la Seguridad Social son también víctimas de la precariedad laboral; es decir que no están protegidos por la Seguridad Social.</w:t>
      </w:r>
    </w:p>
    <w:p w14:paraId="13C19259" w14:textId="313CBF72" w:rsidR="008872A9" w:rsidRPr="00CF1B34" w:rsidRDefault="008872A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Por otra parte, es importante destacar </w:t>
      </w:r>
      <w:proofErr w:type="gramStart"/>
      <w:r w:rsidRPr="00CF1B34">
        <w:rPr>
          <w:rFonts w:ascii="Arial" w:hAnsi="Arial" w:cs="Arial"/>
          <w:color w:val="333333"/>
          <w:sz w:val="22"/>
          <w:szCs w:val="22"/>
          <w:lang w:val="es-ES_tradnl"/>
        </w:rPr>
        <w:t>que</w:t>
      </w:r>
      <w:proofErr w:type="gramEnd"/>
      <w:r w:rsidRPr="00CF1B34">
        <w:rPr>
          <w:rFonts w:ascii="Arial" w:hAnsi="Arial" w:cs="Arial"/>
          <w:color w:val="333333"/>
          <w:sz w:val="22"/>
          <w:szCs w:val="22"/>
          <w:lang w:val="es-ES_tradnl"/>
        </w:rPr>
        <w:t xml:space="preserve"> según las estadísticas, los</w:t>
      </w:r>
      <w:r w:rsidR="00323918" w:rsidRPr="00CF1B34">
        <w:rPr>
          <w:rFonts w:ascii="Arial" w:hAnsi="Arial" w:cs="Arial"/>
          <w:color w:val="333333"/>
          <w:sz w:val="22"/>
          <w:szCs w:val="22"/>
          <w:lang w:val="es-ES_tradnl"/>
        </w:rPr>
        <w:t xml:space="preserve"> </w:t>
      </w:r>
      <w:hyperlink r:id="rId176" w:history="1">
        <w:r w:rsidRPr="00CF1B34">
          <w:rPr>
            <w:rStyle w:val="Hipervnculo"/>
            <w:rFonts w:ascii="Arial" w:hAnsi="Arial" w:cs="Arial"/>
            <w:color w:val="DC143C"/>
            <w:sz w:val="22"/>
            <w:szCs w:val="22"/>
            <w:u w:val="none"/>
            <w:lang w:val="es-ES_tradnl"/>
          </w:rPr>
          <w:t>contratos precarios</w:t>
        </w:r>
      </w:hyperlink>
      <w:r w:rsidR="00323918"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se ven con mayor frecuencia en las </w:t>
      </w:r>
      <w:r w:rsidRPr="00CF1B34">
        <w:rPr>
          <w:rStyle w:val="Textoennegrita"/>
          <w:rFonts w:ascii="Arial" w:hAnsi="Arial" w:cs="Arial"/>
          <w:color w:val="333333"/>
          <w:sz w:val="22"/>
          <w:szCs w:val="22"/>
          <w:lang w:val="es-ES_tradnl"/>
        </w:rPr>
        <w:t>siguientes clases de trabajadores:</w:t>
      </w:r>
    </w:p>
    <w:p w14:paraId="04180C52" w14:textId="77777777" w:rsidR="008872A9" w:rsidRPr="00CF1B34" w:rsidRDefault="008872A9" w:rsidP="004F7A62">
      <w:pPr>
        <w:numPr>
          <w:ilvl w:val="0"/>
          <w:numId w:val="15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Mujeres</w:t>
      </w:r>
    </w:p>
    <w:p w14:paraId="299D4ACE" w14:textId="77777777" w:rsidR="008872A9" w:rsidRPr="00CF1B34" w:rsidRDefault="00D83530" w:rsidP="004F7A62">
      <w:pPr>
        <w:numPr>
          <w:ilvl w:val="0"/>
          <w:numId w:val="150"/>
        </w:numPr>
        <w:shd w:val="clear" w:color="auto" w:fill="FFFFFF"/>
        <w:spacing w:before="100" w:beforeAutospacing="1" w:after="100" w:afterAutospacing="1"/>
        <w:jc w:val="both"/>
        <w:rPr>
          <w:rFonts w:ascii="Arial" w:hAnsi="Arial" w:cs="Arial"/>
          <w:color w:val="333333"/>
          <w:sz w:val="22"/>
          <w:szCs w:val="22"/>
          <w:lang w:val="es-ES_tradnl"/>
        </w:rPr>
      </w:pPr>
      <w:hyperlink r:id="rId177" w:history="1">
        <w:r w:rsidR="008872A9" w:rsidRPr="00CF1B34">
          <w:rPr>
            <w:rStyle w:val="Hipervnculo"/>
            <w:rFonts w:ascii="Arial" w:hAnsi="Arial" w:cs="Arial"/>
            <w:color w:val="DC143C"/>
            <w:sz w:val="22"/>
            <w:szCs w:val="22"/>
            <w:u w:val="none"/>
            <w:lang w:val="es-ES_tradnl"/>
          </w:rPr>
          <w:t>Jóvenes</w:t>
        </w:r>
      </w:hyperlink>
    </w:p>
    <w:p w14:paraId="124B9057" w14:textId="77777777" w:rsidR="008872A9" w:rsidRPr="00CF1B34" w:rsidRDefault="008872A9" w:rsidP="004F7A62">
      <w:pPr>
        <w:numPr>
          <w:ilvl w:val="0"/>
          <w:numId w:val="15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Mayores de 40 años</w:t>
      </w:r>
    </w:p>
    <w:p w14:paraId="77ED025D" w14:textId="77777777" w:rsidR="008872A9" w:rsidRPr="00CF1B34" w:rsidRDefault="008872A9" w:rsidP="004F7A62">
      <w:pPr>
        <w:numPr>
          <w:ilvl w:val="0"/>
          <w:numId w:val="15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Minorías étnicas</w:t>
      </w:r>
    </w:p>
    <w:p w14:paraId="5A80A2CB" w14:textId="77777777" w:rsidR="008872A9" w:rsidRPr="00CF1B34" w:rsidRDefault="008872A9" w:rsidP="004F7A62">
      <w:pPr>
        <w:numPr>
          <w:ilvl w:val="0"/>
          <w:numId w:val="15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Inmigrantes</w:t>
      </w:r>
    </w:p>
    <w:p w14:paraId="13F22D13" w14:textId="19906609" w:rsidR="008872A9" w:rsidRPr="00CF1B34" w:rsidRDefault="008872A9" w:rsidP="004F7A62">
      <w:pPr>
        <w:numPr>
          <w:ilvl w:val="0"/>
          <w:numId w:val="15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Con discapacidad</w:t>
      </w:r>
    </w:p>
    <w:p w14:paraId="4C91A4DE" w14:textId="77777777" w:rsidR="008872A9" w:rsidRPr="00CF1B34" w:rsidRDefault="008872A9" w:rsidP="004F7A62">
      <w:pPr>
        <w:pStyle w:val="Prrafodelista"/>
        <w:numPr>
          <w:ilvl w:val="0"/>
          <w:numId w:val="150"/>
        </w:numPr>
        <w:pBdr>
          <w:bottom w:val="dotted" w:sz="12" w:space="12" w:color="666666"/>
        </w:pBdr>
        <w:spacing w:after="240"/>
        <w:jc w:val="both"/>
        <w:rPr>
          <w:rFonts w:ascii="Arial" w:hAnsi="Arial" w:cs="Arial"/>
          <w:color w:val="212529"/>
          <w:sz w:val="22"/>
          <w:szCs w:val="22"/>
          <w:lang w:val="es-ES_tradnl"/>
        </w:rPr>
      </w:pPr>
    </w:p>
    <w:p w14:paraId="21751286" w14:textId="35C6161A" w:rsidR="00263741" w:rsidRPr="00CF1B34" w:rsidRDefault="0026374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Contratos a tiempo parcial</w:t>
      </w:r>
    </w:p>
    <w:p w14:paraId="17C7AE26" w14:textId="1F1F0C8A" w:rsidR="002A3E61" w:rsidRPr="00CF1B34" w:rsidRDefault="002A3E61"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Los</w:t>
      </w:r>
      <w:r w:rsidR="00323918"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contratos a tiempo parcial</w:t>
      </w:r>
      <w:r w:rsidR="00323918" w:rsidRPr="00CF1B34">
        <w:rPr>
          <w:rStyle w:val="Textoennegrita"/>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pueden ser de una</w:t>
      </w:r>
      <w:r w:rsidR="00323918"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duración determinada</w:t>
      </w:r>
      <w:r w:rsidR="00323918" w:rsidRPr="00CF1B34">
        <w:rPr>
          <w:rStyle w:val="Textoennegrita"/>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 xml:space="preserve">(también conocidos como contratos temporales y que también incluyen los contratos por obra y </w:t>
      </w:r>
      <w:proofErr w:type="gramStart"/>
      <w:r w:rsidRPr="00CF1B34">
        <w:rPr>
          <w:rFonts w:ascii="Arial" w:hAnsi="Arial" w:cs="Arial"/>
          <w:color w:val="333333"/>
          <w:sz w:val="22"/>
          <w:szCs w:val="22"/>
          <w:shd w:val="clear" w:color="auto" w:fill="FFFFFF"/>
          <w:lang w:val="es-ES_tradnl"/>
        </w:rPr>
        <w:t>servicio )</w:t>
      </w:r>
      <w:proofErr w:type="gramEnd"/>
      <w:r w:rsidR="00323918"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o indefinidos</w:t>
      </w:r>
      <w:r w:rsidRPr="00CF1B34">
        <w:rPr>
          <w:rFonts w:ascii="Arial" w:hAnsi="Arial" w:cs="Arial"/>
          <w:color w:val="333333"/>
          <w:sz w:val="22"/>
          <w:szCs w:val="22"/>
          <w:shd w:val="clear" w:color="auto" w:fill="FFFFFF"/>
          <w:lang w:val="es-ES_tradnl"/>
        </w:rPr>
        <w:t>. En cualquier caso, cuando la duración de estos fuera inferior a siete días, la cuota empresarial a la Seguridad Social por contingencias comunes se incrementará un 36%.</w:t>
      </w:r>
    </w:p>
    <w:p w14:paraId="3165409D" w14:textId="77777777" w:rsidR="002A3E61" w:rsidRPr="00CF1B34" w:rsidRDefault="002A3E61"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 Ministerio de Trabajo contempla la forma de contratos a tiempo parcial en los siguientes supuestos:</w:t>
      </w:r>
    </w:p>
    <w:p w14:paraId="146C8681" w14:textId="77777777" w:rsidR="002A3E61" w:rsidRPr="00CF1B34" w:rsidRDefault="002A3E61" w:rsidP="004F7A62">
      <w:pPr>
        <w:numPr>
          <w:ilvl w:val="0"/>
          <w:numId w:val="15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Para realizar trabajos fijos y periódicos dentro del volumen normal de actividad de la empresa, en cuyo caso se considera un trabajo indefinido.</w:t>
      </w:r>
    </w:p>
    <w:p w14:paraId="2270B092" w14:textId="77777777" w:rsidR="002A3E61" w:rsidRPr="00CF1B34" w:rsidRDefault="002A3E61" w:rsidP="004F7A62">
      <w:pPr>
        <w:numPr>
          <w:ilvl w:val="0"/>
          <w:numId w:val="15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Está permitida la celebración a tiempo parcial en las siguientes modalidades de contratación de duración determinada:</w:t>
      </w:r>
    </w:p>
    <w:p w14:paraId="5832A33C" w14:textId="77777777" w:rsidR="002A3E61" w:rsidRPr="00CF1B34" w:rsidRDefault="002A3E61" w:rsidP="004F7A62">
      <w:pPr>
        <w:numPr>
          <w:ilvl w:val="1"/>
          <w:numId w:val="15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Contratación para la realización de una obra o servicio determinado.</w:t>
      </w:r>
    </w:p>
    <w:p w14:paraId="29AD189A" w14:textId="77777777" w:rsidR="002A3E61" w:rsidRPr="00CF1B34" w:rsidRDefault="002A3E61" w:rsidP="004F7A62">
      <w:pPr>
        <w:numPr>
          <w:ilvl w:val="1"/>
          <w:numId w:val="15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Contratación por circunstancias del mercado, acumulación de tareas o excesos de pedidos.</w:t>
      </w:r>
    </w:p>
    <w:p w14:paraId="7095A3AF" w14:textId="77777777" w:rsidR="002A3E61" w:rsidRPr="00CF1B34" w:rsidRDefault="002A3E61" w:rsidP="004F7A62">
      <w:pPr>
        <w:numPr>
          <w:ilvl w:val="1"/>
          <w:numId w:val="15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Contratación para sustitución de trabajadores con reserva del puesto de trabajo.</w:t>
      </w:r>
    </w:p>
    <w:p w14:paraId="37B56550" w14:textId="77777777" w:rsidR="002A3E61" w:rsidRPr="00CF1B34" w:rsidRDefault="002A3E61" w:rsidP="004F7A62">
      <w:pPr>
        <w:numPr>
          <w:ilvl w:val="1"/>
          <w:numId w:val="15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Contratos en prácticas.</w:t>
      </w:r>
    </w:p>
    <w:p w14:paraId="44FC87E7" w14:textId="0530D058" w:rsidR="002A3E61" w:rsidRPr="00CF1B34" w:rsidRDefault="002A3E61" w:rsidP="004F7A62">
      <w:pPr>
        <w:numPr>
          <w:ilvl w:val="1"/>
          <w:numId w:val="15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Contrato de sustitución (vacaciones, maternidad.).</w:t>
      </w:r>
    </w:p>
    <w:p w14:paraId="26F67A97" w14:textId="2A6199C8" w:rsidR="002A3E61" w:rsidRPr="00CF1B34" w:rsidRDefault="002A3E61" w:rsidP="004F7A62">
      <w:pPr>
        <w:numPr>
          <w:ilvl w:val="0"/>
          <w:numId w:val="15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No está permitida la celebración a tiempo parcial en los contratos para la formación y en la modalidad contractual de anticipación de la edad de jubilación como medida de fomento del empleo.</w:t>
      </w:r>
    </w:p>
    <w:p w14:paraId="4D3FE989" w14:textId="77777777" w:rsidR="002A3E61" w:rsidRPr="00CF1B34" w:rsidRDefault="002A3E61" w:rsidP="004F7A62">
      <w:pPr>
        <w:pStyle w:val="Prrafodelista"/>
        <w:numPr>
          <w:ilvl w:val="0"/>
          <w:numId w:val="151"/>
        </w:numPr>
        <w:pBdr>
          <w:bottom w:val="dotted" w:sz="12" w:space="12" w:color="666666"/>
        </w:pBdr>
        <w:spacing w:after="240"/>
        <w:jc w:val="both"/>
        <w:rPr>
          <w:rFonts w:ascii="Arial" w:hAnsi="Arial" w:cs="Arial"/>
          <w:color w:val="212529"/>
          <w:sz w:val="22"/>
          <w:szCs w:val="22"/>
          <w:lang w:val="es-ES_tradnl"/>
        </w:rPr>
      </w:pPr>
    </w:p>
    <w:p w14:paraId="5756122F" w14:textId="3B1F28BA" w:rsidR="00C7373E" w:rsidRPr="00CF1B34" w:rsidRDefault="00C7373E" w:rsidP="0005621A">
      <w:p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004773"/>
          <w:sz w:val="22"/>
          <w:szCs w:val="22"/>
          <w:lang w:val="es-ES_tradnl"/>
        </w:rPr>
        <w:t>Contratos por diferencias (CFD, Contracts for Difference)</w:t>
      </w:r>
    </w:p>
    <w:p w14:paraId="1C048817"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Contratos en los que un inversor y una entidad financiera acuerdan intercambiarse la diferencia entre el precio de compra y el precio de venta de un determinado activo subyacente (valores negociables, índices, divisas…). En esta operativa no es necesario desembolsar la totalidad del capital que se necesitaría para comprar o vender directamente el activo subyacente, por lo que la inversión presentará un determinado nivel de apalancamiento (que dependerá del importe que los inversores deban depositar en concepto de garantía para cada operación).Además, suele decirse que los CFD no tienen vencimiento, ya que si bien se liquidan cada día, el inversor tiene la posibilidad de prorrogar la posición abierta los días que desee. En caso de que se opte por esta posibilidad, es habitual que la entidad exija el pago de unos intereses por las posiciones compradas (en concepto de financiación) y cabe la posibilidad de que retribuya las posiciones vendidas (generalmente a un tipo de interés menor). Por otro lado los CFD reflejan en su precio todas aquellas operaciones financieras o de reconocimiento de derechos económicos que afectan al </w:t>
      </w:r>
      <w:proofErr w:type="gramStart"/>
      <w:r w:rsidRPr="00CF1B34">
        <w:rPr>
          <w:rFonts w:ascii="Arial" w:hAnsi="Arial" w:cs="Arial"/>
          <w:color w:val="212529"/>
          <w:sz w:val="22"/>
          <w:szCs w:val="22"/>
          <w:lang w:val="es-ES_tradnl"/>
        </w:rPr>
        <w:t>subyacente.Al</w:t>
      </w:r>
      <w:proofErr w:type="gramEnd"/>
      <w:r w:rsidRPr="00CF1B34">
        <w:rPr>
          <w:rFonts w:ascii="Arial" w:hAnsi="Arial" w:cs="Arial"/>
          <w:color w:val="212529"/>
          <w:sz w:val="22"/>
          <w:szCs w:val="22"/>
          <w:lang w:val="es-ES_tradnl"/>
        </w:rPr>
        <w:t xml:space="preserve"> tratarse de productos no estandarizados, el inversor debe considerar las posibles particularidades y riesgos específicos que pudieran presentar en cada caso (negociación de forma bilateral, cotización fuera de mercados regulados, riesgo de contraparte, etc.).</w:t>
      </w:r>
    </w:p>
    <w:p w14:paraId="3B811634" w14:textId="77777777" w:rsidR="00D925CE" w:rsidRPr="00CF1B34" w:rsidRDefault="00D925CE" w:rsidP="0005621A">
      <w:pPr>
        <w:pStyle w:val="Ttulo2"/>
        <w:shd w:val="clear" w:color="auto" w:fill="FFFFFF"/>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Contrato de arras</w:t>
      </w:r>
    </w:p>
    <w:p w14:paraId="58C08AFC" w14:textId="77777777" w:rsidR="00D925CE" w:rsidRPr="00CF1B34" w:rsidRDefault="00D925C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El contrato de arras es el acuerdo que regula la cantidad que el comprador de una vivienda entrega al vendedor como garantía de que se cumpla el contrato y se lleve a cabo la compraventa. Es como una especie de reserva, una señal, un preacuerdo que evita que alguno de los dos se retracte antes de firmar la escritura pública. Aunque forma parte del precio final de la vivienda, no es un simple anticipo, ya que podría perderse en caso de que el contrato no se llevara a cabo.</w:t>
      </w:r>
    </w:p>
    <w:p w14:paraId="028ED23F" w14:textId="2F7FDD76"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Contrato de </w:t>
      </w:r>
      <w:r w:rsidR="00EE68D7" w:rsidRPr="00CF1B34">
        <w:rPr>
          <w:rFonts w:ascii="Arial" w:hAnsi="Arial" w:cs="Arial"/>
          <w:b/>
          <w:bCs/>
          <w:color w:val="004773"/>
          <w:sz w:val="22"/>
          <w:szCs w:val="22"/>
          <w:lang w:val="es-ES_tradnl"/>
        </w:rPr>
        <w:t>Opción</w:t>
      </w:r>
    </w:p>
    <w:p w14:paraId="1CD33D7D" w14:textId="77777777" w:rsidR="00AB7911" w:rsidRPr="00CF1B34" w:rsidRDefault="00EE68D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Aquel contrato que otorga a su poseedor</w:t>
      </w:r>
      <w:r w:rsidR="0081595A"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el derecho a comprar o vender una determinada cantidad de activos, de acuerdo con una determinad</w:t>
      </w:r>
      <w:r w:rsidR="0081595A"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s condiciones previamente acordadas. Por, contrato, para el vendedor o emisor de la opción</w:t>
      </w:r>
      <w:r w:rsidR="0081595A" w:rsidRPr="00CF1B34">
        <w:rPr>
          <w:rFonts w:ascii="Arial" w:hAnsi="Arial" w:cs="Arial"/>
          <w:color w:val="000000" w:themeColor="text1"/>
          <w:sz w:val="22"/>
          <w:szCs w:val="22"/>
          <w:lang w:val="es-ES_tradnl"/>
        </w:rPr>
        <w:t>, el contrato conlleva la obligación de vender o comprar el activo subyacente. Existen dos tipos de opciones: Call y Put.</w:t>
      </w:r>
    </w:p>
    <w:p w14:paraId="74E5AD39" w14:textId="627896C8"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Contratos tipo</w:t>
      </w:r>
    </w:p>
    <w:p w14:paraId="2A335FDD" w14:textId="56221152"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los modelos de contrato que han de utilizar las empresas que prestan servicios de inversión para formalizar las relaciones con sus clientes, en determinadas operaciones que por su carácter habitual alcanzan una difusión masiva.</w:t>
      </w:r>
    </w:p>
    <w:p w14:paraId="05F0D2E7" w14:textId="1B421D20" w:rsidR="0002696A" w:rsidRPr="00CF1B34" w:rsidRDefault="000269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Control de cambios</w:t>
      </w:r>
    </w:p>
    <w:p w14:paraId="734297C2" w14:textId="77777777" w:rsidR="0002696A" w:rsidRPr="00CF1B34" w:rsidRDefault="000269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Política de la autoridad monetaria orientada a controlar la compra y venta de moneda extranjera. Puede involucrar la determinación del tipo de cambio y/o el volumen de divisas transadas. Tiende a impedir la libre convertibilidad entre la moneda nacional y extranjera.</w:t>
      </w:r>
    </w:p>
    <w:p w14:paraId="76692851" w14:textId="44D55EEC" w:rsidR="0018171E" w:rsidRPr="00CF1B34" w:rsidRDefault="0018171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Control interno (PYME)</w:t>
      </w:r>
    </w:p>
    <w:p w14:paraId="3A780493" w14:textId="6BA20CFD" w:rsidR="008D40B0" w:rsidRPr="00CF1B34" w:rsidRDefault="008D40B0"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Muchas pymes no tienen en cuenta ciertas</w:t>
      </w:r>
      <w:r w:rsidR="00323918" w:rsidRPr="00CF1B34">
        <w:rPr>
          <w:rFonts w:ascii="Arial" w:hAnsi="Arial" w:cs="Arial"/>
          <w:color w:val="333333"/>
          <w:sz w:val="22"/>
          <w:szCs w:val="22"/>
          <w:shd w:val="clear" w:color="auto" w:fill="FFFFFF"/>
          <w:lang w:val="es-ES_tradnl"/>
        </w:rPr>
        <w:t xml:space="preserve"> </w:t>
      </w:r>
      <w:r w:rsidRPr="00CF1B34">
        <w:rPr>
          <w:rFonts w:ascii="Arial" w:hAnsi="Arial" w:cs="Arial"/>
          <w:b/>
          <w:bCs/>
          <w:color w:val="333333"/>
          <w:sz w:val="22"/>
          <w:szCs w:val="22"/>
          <w:shd w:val="clear" w:color="auto" w:fill="FFFFFF"/>
          <w:lang w:val="es-ES_tradnl"/>
        </w:rPr>
        <w:t>herramientas de gestión y contables,</w:t>
      </w:r>
      <w:r w:rsidR="00323918"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porque no las creen aplicables a su estructura, dado el tamaño reducido, y prefieren un manejo más familiar de la empresa. Pero poco a poco, cuando</w:t>
      </w:r>
      <w:r w:rsidR="00323918" w:rsidRPr="00CF1B34">
        <w:rPr>
          <w:rFonts w:ascii="Arial" w:hAnsi="Arial" w:cs="Arial"/>
          <w:color w:val="333333"/>
          <w:sz w:val="22"/>
          <w:szCs w:val="22"/>
          <w:shd w:val="clear" w:color="auto" w:fill="FFFFFF"/>
          <w:lang w:val="es-ES_tradnl"/>
        </w:rPr>
        <w:t xml:space="preserve"> </w:t>
      </w:r>
      <w:r w:rsidRPr="00CF1B34">
        <w:rPr>
          <w:rFonts w:ascii="Arial" w:hAnsi="Arial" w:cs="Arial"/>
          <w:b/>
          <w:bCs/>
          <w:color w:val="333333"/>
          <w:sz w:val="22"/>
          <w:szCs w:val="22"/>
          <w:shd w:val="clear" w:color="auto" w:fill="FFFFFF"/>
          <w:lang w:val="es-ES_tradnl"/>
        </w:rPr>
        <w:t>van creciendo e incorporando personal, el manejo familiar no puede aplicarse</w:t>
      </w:r>
      <w:r w:rsidR="00323918" w:rsidRPr="00CF1B34">
        <w:rPr>
          <w:rFonts w:ascii="Arial" w:hAnsi="Arial" w:cs="Arial"/>
          <w:b/>
          <w:bCs/>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y comienzan a pedir ayuda a profesionales para intentar resolver los problemas de control de gestión.</w:t>
      </w:r>
    </w:p>
    <w:p w14:paraId="115295F5" w14:textId="77777777" w:rsidR="00323918" w:rsidRPr="00CF1B34" w:rsidRDefault="0032391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Es importante entonces hablar del </w:t>
      </w:r>
      <w:r w:rsidRPr="00CF1B34">
        <w:rPr>
          <w:rFonts w:ascii="Arial" w:hAnsi="Arial" w:cs="Arial"/>
          <w:b/>
          <w:bCs/>
          <w:color w:val="333333"/>
          <w:sz w:val="22"/>
          <w:szCs w:val="22"/>
          <w:lang w:val="es-ES_tradnl"/>
        </w:rPr>
        <w:t>control interno,</w:t>
      </w:r>
      <w:r w:rsidRPr="00CF1B34">
        <w:rPr>
          <w:rFonts w:ascii="Arial" w:hAnsi="Arial" w:cs="Arial"/>
          <w:color w:val="333333"/>
          <w:sz w:val="22"/>
          <w:szCs w:val="22"/>
          <w:lang w:val="es-ES_tradnl"/>
        </w:rPr>
        <w:t> que es un instrumento de gestión y que ha generado muchas líneas de pensamiento y muchos informes sobre este tema, dado que es un tema amplio, ha sido difícil encontrar una definición mundialmente aceptada.</w:t>
      </w:r>
    </w:p>
    <w:p w14:paraId="284F839D" w14:textId="77777777" w:rsidR="00323918" w:rsidRPr="00CF1B34" w:rsidRDefault="0032391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Para la </w:t>
      </w:r>
      <w:r w:rsidRPr="00CF1B34">
        <w:rPr>
          <w:rFonts w:ascii="Arial" w:hAnsi="Arial" w:cs="Arial"/>
          <w:b/>
          <w:bCs/>
          <w:color w:val="333333"/>
          <w:sz w:val="22"/>
          <w:szCs w:val="22"/>
          <w:lang w:val="es-ES_tradnl"/>
        </w:rPr>
        <w:t>Organización Internacional de Instituciones Fiscalizadoras Superiores (INTOSAI)</w:t>
      </w:r>
      <w:r w:rsidRPr="00CF1B34">
        <w:rPr>
          <w:rFonts w:ascii="Arial" w:hAnsi="Arial" w:cs="Arial"/>
          <w:color w:val="333333"/>
          <w:sz w:val="22"/>
          <w:szCs w:val="22"/>
          <w:lang w:val="es-ES_tradnl"/>
        </w:rPr>
        <w:t> el control interno representa el </w:t>
      </w:r>
      <w:r w:rsidRPr="00CF1B34">
        <w:rPr>
          <w:rFonts w:ascii="Arial" w:hAnsi="Arial" w:cs="Arial"/>
          <w:b/>
          <w:bCs/>
          <w:color w:val="333333"/>
          <w:sz w:val="22"/>
          <w:szCs w:val="22"/>
          <w:lang w:val="es-ES_tradnl"/>
        </w:rPr>
        <w:t>conjunto de los planes, métodos, procedimientos </w:t>
      </w:r>
      <w:r w:rsidRPr="00CF1B34">
        <w:rPr>
          <w:rFonts w:ascii="Arial" w:hAnsi="Arial" w:cs="Arial"/>
          <w:color w:val="333333"/>
          <w:sz w:val="22"/>
          <w:szCs w:val="22"/>
          <w:lang w:val="es-ES_tradnl"/>
        </w:rPr>
        <w:t>y otras medidas, incluyendo la actitud de la dirección, para ofrecer una garantía razonable de que se han cumplido los objetivos generales siguientes:</w:t>
      </w:r>
    </w:p>
    <w:p w14:paraId="0D78ECF0" w14:textId="77777777" w:rsidR="00323918" w:rsidRPr="00CF1B34" w:rsidRDefault="0032391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a) </w:t>
      </w:r>
      <w:r w:rsidRPr="00CF1B34">
        <w:rPr>
          <w:rFonts w:ascii="Arial" w:hAnsi="Arial" w:cs="Arial"/>
          <w:b/>
          <w:bCs/>
          <w:color w:val="333333"/>
          <w:sz w:val="22"/>
          <w:szCs w:val="22"/>
          <w:lang w:val="es-ES_tradnl"/>
        </w:rPr>
        <w:t>Promover las operaciones metódicas</w:t>
      </w:r>
      <w:r w:rsidRPr="00CF1B34">
        <w:rPr>
          <w:rFonts w:ascii="Arial" w:hAnsi="Arial" w:cs="Arial"/>
          <w:color w:val="333333"/>
          <w:sz w:val="22"/>
          <w:szCs w:val="22"/>
          <w:lang w:val="es-ES_tradnl"/>
        </w:rPr>
        <w:t>, económicas, eficientes y eficaces y los productos y servicios de calidad, acorde con la misión que la institución debe cumplir;</w:t>
      </w:r>
    </w:p>
    <w:p w14:paraId="732670ED" w14:textId="77777777" w:rsidR="00323918" w:rsidRPr="00CF1B34" w:rsidRDefault="0032391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b) Preservar los recursos frente a cualquier pérdida por despilfarro, abuso, mala gestión, errores, fraude e irregularidades;</w:t>
      </w:r>
    </w:p>
    <w:p w14:paraId="24C727B7" w14:textId="77777777" w:rsidR="00323918" w:rsidRPr="00CF1B34" w:rsidRDefault="00323918"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c) Respetar las leyes, reglamentaciones y directivas de la dirección; y</w:t>
      </w:r>
    </w:p>
    <w:p w14:paraId="074B5573" w14:textId="77777777" w:rsidR="00323918" w:rsidRPr="00CF1B34" w:rsidRDefault="0032391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d) Elaborar y mantener datos financieros y de gestión fiables y presentarlos correctamente en los informes oportunos.</w:t>
      </w:r>
    </w:p>
    <w:p w14:paraId="7019D891" w14:textId="4A947436" w:rsidR="00323918" w:rsidRPr="00CF1B34" w:rsidRDefault="0032391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También es muy conocido, y muy divulgado en esta década el </w:t>
      </w:r>
      <w:r w:rsidRPr="00CF1B34">
        <w:rPr>
          <w:rFonts w:ascii="Arial" w:hAnsi="Arial" w:cs="Arial"/>
          <w:b/>
          <w:bCs/>
          <w:color w:val="333333"/>
          <w:sz w:val="22"/>
          <w:szCs w:val="22"/>
          <w:lang w:val="es-ES_tradnl"/>
        </w:rPr>
        <w:t>Informe elaborado por el Comité of Sponsoring Organizations of the Treadway Commission</w:t>
      </w:r>
      <w:r w:rsidRPr="00CF1B34">
        <w:rPr>
          <w:rFonts w:ascii="Arial" w:hAnsi="Arial" w:cs="Arial"/>
          <w:color w:val="333333"/>
          <w:sz w:val="22"/>
          <w:szCs w:val="22"/>
          <w:lang w:val="es-ES_tradnl"/>
        </w:rPr>
        <w:t>, conocido por sus siglas (</w:t>
      </w:r>
      <w:r w:rsidRPr="00CF1B34">
        <w:rPr>
          <w:rFonts w:ascii="Arial" w:hAnsi="Arial" w:cs="Arial"/>
          <w:b/>
          <w:bCs/>
          <w:color w:val="333333"/>
          <w:sz w:val="22"/>
          <w:szCs w:val="22"/>
          <w:lang w:val="es-ES_tradnl"/>
        </w:rPr>
        <w:t>COSO),</w:t>
      </w:r>
      <w:r w:rsidRPr="00CF1B34">
        <w:rPr>
          <w:rFonts w:ascii="Arial" w:hAnsi="Arial" w:cs="Arial"/>
          <w:color w:val="333333"/>
          <w:sz w:val="22"/>
          <w:szCs w:val="22"/>
          <w:lang w:val="es-ES_tradnl"/>
        </w:rPr>
        <w:t xml:space="preserve"> grupo de trabajo creado en 1985, que reunió la información sobre las principales tendencias a nivel mundial y presentó un nuevo enfoque desde el punto de vista de la gerencia moderna.</w:t>
      </w:r>
    </w:p>
    <w:p w14:paraId="2A9630EE" w14:textId="77777777" w:rsidR="00323918" w:rsidRPr="00CF1B34" w:rsidRDefault="0032391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Según este Informe Control Interno </w:t>
      </w:r>
      <w:r w:rsidRPr="00CF1B34">
        <w:rPr>
          <w:rFonts w:ascii="Arial" w:hAnsi="Arial" w:cs="Arial"/>
          <w:b/>
          <w:bCs/>
          <w:color w:val="333333"/>
          <w:sz w:val="22"/>
          <w:szCs w:val="22"/>
          <w:lang w:val="es-ES_tradnl"/>
        </w:rPr>
        <w:t>es un proceso efectuado por el Consejo de Administración, la Dirección y el resto del personal de una entidad</w:t>
      </w:r>
      <w:r w:rsidRPr="00CF1B34">
        <w:rPr>
          <w:rFonts w:ascii="Arial" w:hAnsi="Arial" w:cs="Arial"/>
          <w:color w:val="333333"/>
          <w:sz w:val="22"/>
          <w:szCs w:val="22"/>
          <w:lang w:val="es-ES_tradnl"/>
        </w:rPr>
        <w:t>, diseñado con el objetivo de proporcionar un grado de seguridad razonable en cuanto a la consecución de objetivos dentro de las siguientes categorías:</w:t>
      </w:r>
    </w:p>
    <w:p w14:paraId="5EDFF6D9" w14:textId="77777777" w:rsidR="00323918" w:rsidRPr="00CF1B34" w:rsidRDefault="00323918"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a.- Eficacia y eficiencia de las operaciones.</w:t>
      </w:r>
    </w:p>
    <w:p w14:paraId="510DBB3F" w14:textId="77777777" w:rsidR="00323918" w:rsidRPr="00CF1B34" w:rsidRDefault="00323918"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b.- Fiabilidad de la información financiera, y</w:t>
      </w:r>
    </w:p>
    <w:p w14:paraId="16D5469E" w14:textId="77777777" w:rsidR="00323918" w:rsidRPr="00CF1B34" w:rsidRDefault="00323918" w:rsidP="0005621A">
      <w:pPr>
        <w:shd w:val="clear" w:color="auto" w:fill="FFFFFF"/>
        <w:spacing w:after="165"/>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c.- Cumplimiento de las leyes y normas que sean aplicables.</w:t>
      </w:r>
    </w:p>
    <w:p w14:paraId="0F02D000" w14:textId="77777777" w:rsidR="00323918" w:rsidRPr="00CF1B34" w:rsidRDefault="00323918"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Para llevar esta definición a un plano más práctico, digamos que el control interno </w:t>
      </w:r>
      <w:r w:rsidRPr="00CF1B34">
        <w:rPr>
          <w:rFonts w:ascii="Arial" w:hAnsi="Arial" w:cs="Arial"/>
          <w:b/>
          <w:bCs/>
          <w:color w:val="333333"/>
          <w:sz w:val="22"/>
          <w:szCs w:val="22"/>
          <w:lang w:val="es-ES_tradnl"/>
        </w:rPr>
        <w:t xml:space="preserve">establece un conjunto de acciones estructuradas y coordinadas dirigidas a </w:t>
      </w:r>
      <w:r w:rsidRPr="00CF1B34">
        <w:rPr>
          <w:rFonts w:ascii="Arial" w:hAnsi="Arial" w:cs="Arial"/>
          <w:b/>
          <w:bCs/>
          <w:color w:val="333333"/>
          <w:sz w:val="22"/>
          <w:szCs w:val="22"/>
          <w:lang w:val="es-ES_tradnl"/>
        </w:rPr>
        <w:lastRenderedPageBreak/>
        <w:t>un fin o resultado</w:t>
      </w:r>
      <w:r w:rsidRPr="00CF1B34">
        <w:rPr>
          <w:rFonts w:ascii="Arial" w:hAnsi="Arial" w:cs="Arial"/>
          <w:color w:val="333333"/>
          <w:sz w:val="22"/>
          <w:szCs w:val="22"/>
          <w:lang w:val="es-ES_tradnl"/>
        </w:rPr>
        <w:t>, que resultan integradas a la gestión de la entidad como parte inseparable de su actividad.</w:t>
      </w:r>
    </w:p>
    <w:p w14:paraId="3FC7714A" w14:textId="77777777" w:rsidR="00323918" w:rsidRPr="00CF1B34" w:rsidRDefault="0032391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Es importante entender que las “reglas” establecidas por el control interno </w:t>
      </w:r>
      <w:r w:rsidRPr="00CF1B34">
        <w:rPr>
          <w:rStyle w:val="Textoennegrita"/>
          <w:rFonts w:ascii="Arial" w:hAnsi="Arial" w:cs="Arial"/>
          <w:color w:val="333333"/>
          <w:sz w:val="22"/>
          <w:szCs w:val="22"/>
          <w:shd w:val="clear" w:color="auto" w:fill="FFFFFF"/>
          <w:lang w:val="es-ES_tradnl"/>
        </w:rPr>
        <w:t>no son mera burocracia, sino la mejor manera de evitar riesgos, detectar problemas y lograr la eficacia y eficiencia de las operaciones. Y </w:t>
      </w:r>
      <w:r w:rsidRPr="00CF1B34">
        <w:rPr>
          <w:rFonts w:ascii="Arial" w:hAnsi="Arial" w:cs="Arial"/>
          <w:color w:val="333333"/>
          <w:sz w:val="22"/>
          <w:szCs w:val="22"/>
          <w:shd w:val="clear" w:color="auto" w:fill="FFFFFF"/>
          <w:lang w:val="es-ES_tradnl"/>
        </w:rPr>
        <w:t>debe ser visto como un proceso integrado de todas las fases sucesivas o secuencia lógica ordenada de una operación u actividad. A su vez es una base importante para establecer un adecuado control interno la </w:t>
      </w:r>
      <w:r w:rsidRPr="00CF1B34">
        <w:rPr>
          <w:rStyle w:val="Textoennegrita"/>
          <w:rFonts w:ascii="Arial" w:hAnsi="Arial" w:cs="Arial"/>
          <w:color w:val="333333"/>
          <w:sz w:val="22"/>
          <w:szCs w:val="22"/>
          <w:shd w:val="clear" w:color="auto" w:fill="FFFFFF"/>
          <w:lang w:val="es-ES_tradnl"/>
        </w:rPr>
        <w:t>división del trabajo y la fijación de responsabilidades</w:t>
      </w:r>
      <w:r w:rsidRPr="00CF1B34">
        <w:rPr>
          <w:rFonts w:ascii="Arial" w:hAnsi="Arial" w:cs="Arial"/>
          <w:color w:val="333333"/>
          <w:sz w:val="22"/>
          <w:szCs w:val="22"/>
          <w:shd w:val="clear" w:color="auto" w:fill="FFFFFF"/>
          <w:lang w:val="es-ES_tradnl"/>
        </w:rPr>
        <w:t>.</w:t>
      </w:r>
    </w:p>
    <w:p w14:paraId="4F3FE6BA" w14:textId="372E61E4" w:rsidR="0018171E" w:rsidRPr="00CF1B34" w:rsidRDefault="0018171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Convenio colectivo de trabajo</w:t>
      </w:r>
    </w:p>
    <w:p w14:paraId="7CF70772" w14:textId="77777777" w:rsidR="006E03F3" w:rsidRPr="00CF1B34" w:rsidRDefault="006E03F3"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Un </w:t>
      </w:r>
      <w:r w:rsidRPr="00CF1B34">
        <w:rPr>
          <w:rFonts w:ascii="Arial" w:hAnsi="Arial" w:cs="Arial"/>
          <w:b/>
          <w:bCs/>
          <w:color w:val="333333"/>
          <w:sz w:val="22"/>
          <w:szCs w:val="22"/>
          <w:lang w:val="es-ES_tradnl"/>
        </w:rPr>
        <w:t>convenio colectivo de trabajo (CCT)</w:t>
      </w:r>
      <w:r w:rsidRPr="00CF1B34">
        <w:rPr>
          <w:rFonts w:ascii="Arial" w:hAnsi="Arial" w:cs="Arial"/>
          <w:color w:val="333333"/>
          <w:sz w:val="22"/>
          <w:szCs w:val="22"/>
          <w:lang w:val="es-ES_tradnl"/>
        </w:rPr>
        <w:t> es un acuerdo de representación plural </w:t>
      </w:r>
      <w:r w:rsidRPr="00CF1B34">
        <w:rPr>
          <w:rFonts w:ascii="Arial" w:hAnsi="Arial" w:cs="Arial"/>
          <w:b/>
          <w:bCs/>
          <w:color w:val="333333"/>
          <w:sz w:val="22"/>
          <w:szCs w:val="22"/>
          <w:lang w:val="es-ES_tradnl"/>
        </w:rPr>
        <w:t>entre representantes de las empresas y los representantes de los trabajadores</w:t>
      </w:r>
      <w:r w:rsidRPr="00CF1B34">
        <w:rPr>
          <w:rFonts w:ascii="Arial" w:hAnsi="Arial" w:cs="Arial"/>
          <w:color w:val="333333"/>
          <w:sz w:val="22"/>
          <w:szCs w:val="22"/>
          <w:lang w:val="es-ES_tradnl"/>
        </w:rPr>
        <w:t>. Mediante éste, empresarios y trabajadores regulan las </w:t>
      </w:r>
      <w:r w:rsidRPr="00CF1B34">
        <w:rPr>
          <w:rFonts w:ascii="Arial" w:hAnsi="Arial" w:cs="Arial"/>
          <w:b/>
          <w:bCs/>
          <w:color w:val="333333"/>
          <w:sz w:val="22"/>
          <w:szCs w:val="22"/>
          <w:lang w:val="es-ES_tradnl"/>
        </w:rPr>
        <w:t>condiciones de trabajo</w:t>
      </w:r>
      <w:r w:rsidRPr="00CF1B34">
        <w:rPr>
          <w:rFonts w:ascii="Arial" w:hAnsi="Arial" w:cs="Arial"/>
          <w:color w:val="333333"/>
          <w:sz w:val="22"/>
          <w:szCs w:val="22"/>
          <w:lang w:val="es-ES_tradnl"/>
        </w:rPr>
        <w:t> y en contrapartida se pactan obligaciones recíprocas.</w:t>
      </w:r>
    </w:p>
    <w:p w14:paraId="2BE58E30" w14:textId="77777777" w:rsidR="006E03F3" w:rsidRPr="00CF1B34" w:rsidRDefault="006E03F3"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También, para los casos que no existiera un sindicato, el CCT puede ser celebrado por representantes de los trabajadores, debidamente elegidos, de acuerdo con la legislación nacional.</w:t>
      </w:r>
    </w:p>
    <w:p w14:paraId="208C7EF6" w14:textId="77777777" w:rsidR="006E03F3" w:rsidRPr="00CF1B34" w:rsidRDefault="006E03F3"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 convenio colectivo de trabajo puede regular todos los aspectos de la relación laboral desde</w:t>
      </w:r>
      <w:r w:rsidRPr="00CF1B34">
        <w:rPr>
          <w:rFonts w:ascii="Arial" w:hAnsi="Arial" w:cs="Arial"/>
          <w:b/>
          <w:bCs/>
          <w:color w:val="333333"/>
          <w:sz w:val="22"/>
          <w:szCs w:val="22"/>
          <w:lang w:val="es-ES_tradnl"/>
        </w:rPr>
        <w:t> salarios, jornada, descansos, vacaciones, licencias</w:t>
      </w:r>
      <w:r w:rsidRPr="00CF1B34">
        <w:rPr>
          <w:rFonts w:ascii="Arial" w:hAnsi="Arial" w:cs="Arial"/>
          <w:color w:val="333333"/>
          <w:sz w:val="22"/>
          <w:szCs w:val="22"/>
          <w:lang w:val="es-ES_tradnl"/>
        </w:rPr>
        <w:t>, hasta también, </w:t>
      </w:r>
      <w:r w:rsidRPr="00CF1B34">
        <w:rPr>
          <w:rFonts w:ascii="Arial" w:hAnsi="Arial" w:cs="Arial"/>
          <w:b/>
          <w:bCs/>
          <w:color w:val="333333"/>
          <w:sz w:val="22"/>
          <w:szCs w:val="22"/>
          <w:lang w:val="es-ES_tradnl"/>
        </w:rPr>
        <w:t>condiciones de trabajo, capacitación profesional, régimen de </w:t>
      </w:r>
      <w:hyperlink r:id="rId178" w:history="1">
        <w:r w:rsidRPr="00CF1B34">
          <w:rPr>
            <w:rFonts w:ascii="Arial" w:hAnsi="Arial" w:cs="Arial"/>
            <w:b/>
            <w:bCs/>
            <w:color w:val="DC143C"/>
            <w:sz w:val="22"/>
            <w:szCs w:val="22"/>
            <w:u w:val="single"/>
            <w:lang w:val="es-ES_tradnl"/>
          </w:rPr>
          <w:t>despidos</w:t>
        </w:r>
      </w:hyperlink>
      <w:r w:rsidRPr="00CF1B34">
        <w:rPr>
          <w:rFonts w:ascii="Arial" w:hAnsi="Arial" w:cs="Arial"/>
          <w:color w:val="333333"/>
          <w:sz w:val="22"/>
          <w:szCs w:val="22"/>
          <w:lang w:val="es-ES_tradnl"/>
        </w:rPr>
        <w:t>, etc. Por otra parte, pueden determinar reglas para la relación entre los sindicatos y los empleadores.</w:t>
      </w:r>
    </w:p>
    <w:p w14:paraId="76F87D1C" w14:textId="77777777" w:rsidR="006E03F3" w:rsidRPr="00CF1B34" w:rsidRDefault="006E03F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Los convenios de trabajo </w:t>
      </w:r>
      <w:r w:rsidRPr="00CF1B34">
        <w:rPr>
          <w:rFonts w:ascii="Arial" w:hAnsi="Arial" w:cs="Arial"/>
          <w:b/>
          <w:bCs/>
          <w:color w:val="333333"/>
          <w:sz w:val="22"/>
          <w:szCs w:val="22"/>
          <w:lang w:val="es-ES_tradnl"/>
        </w:rPr>
        <w:t>se aplican a todos los trabajadores del ámbito alcanzado</w:t>
      </w:r>
      <w:r w:rsidRPr="00CF1B34">
        <w:rPr>
          <w:rFonts w:ascii="Arial" w:hAnsi="Arial" w:cs="Arial"/>
          <w:color w:val="333333"/>
          <w:sz w:val="22"/>
          <w:szCs w:val="22"/>
          <w:lang w:val="es-ES_tradnl"/>
        </w:rPr>
        <w:t xml:space="preserve">, aunque no estén afiliados al sindicato. </w:t>
      </w:r>
      <w:r w:rsidRPr="00CF1B34">
        <w:rPr>
          <w:rFonts w:ascii="Arial" w:hAnsi="Arial" w:cs="Arial"/>
          <w:b/>
          <w:bCs/>
          <w:color w:val="333333"/>
          <w:sz w:val="22"/>
          <w:szCs w:val="22"/>
          <w:lang w:val="es-ES_tradnl"/>
        </w:rPr>
        <w:t>Las condiciones del convenio suelen considerarse como un mínimo y similares a la ley</w:t>
      </w:r>
      <w:r w:rsidRPr="00CF1B34">
        <w:rPr>
          <w:rFonts w:ascii="Arial" w:hAnsi="Arial" w:cs="Arial"/>
          <w:color w:val="333333"/>
          <w:sz w:val="22"/>
          <w:szCs w:val="22"/>
          <w:lang w:val="es-ES_tradnl"/>
        </w:rPr>
        <w:t>. Esto quiere decir que las cláusulas que las partes firmen pueden mejorarlas, pero </w:t>
      </w:r>
      <w:r w:rsidRPr="00CF1B34">
        <w:rPr>
          <w:rFonts w:ascii="Arial" w:hAnsi="Arial" w:cs="Arial"/>
          <w:b/>
          <w:bCs/>
          <w:color w:val="333333"/>
          <w:sz w:val="22"/>
          <w:szCs w:val="22"/>
          <w:lang w:val="es-ES_tradnl"/>
        </w:rPr>
        <w:t>nunca establecer condiciones más desfavorables </w:t>
      </w:r>
      <w:r w:rsidRPr="00CF1B34">
        <w:rPr>
          <w:rFonts w:ascii="Arial" w:hAnsi="Arial" w:cs="Arial"/>
          <w:color w:val="333333"/>
          <w:sz w:val="22"/>
          <w:szCs w:val="22"/>
          <w:lang w:val="es-ES_tradnl"/>
        </w:rPr>
        <w:t>para el trabajador.</w:t>
      </w:r>
    </w:p>
    <w:p w14:paraId="0CD0B588" w14:textId="14EFD15F"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Corporaciones financieras</w:t>
      </w:r>
    </w:p>
    <w:p w14:paraId="49E1DAA3" w14:textId="77777777" w:rsidR="001F4DBF" w:rsidRPr="00CF1B34" w:rsidRDefault="001F4DB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Denominación que se aplica, en general, a las diferentes formas de organización de la banca federada, en las que una entidad, bancaria o no, actúa como sociedad de cartera o holding de las participaciones en un conjunto de entidades financieras especialidades.</w:t>
      </w:r>
    </w:p>
    <w:p w14:paraId="2DB5FFFC" w14:textId="02D1CA79"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Corredor </w:t>
      </w:r>
    </w:p>
    <w:p w14:paraId="58CE2139" w14:textId="77777777" w:rsidR="00A343B2" w:rsidRPr="00CF1B34" w:rsidRDefault="00A343B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Intermediario que hace posible en un mercado financiero la confrontación entre compradores y vendedores, a cambio de la percepción de una comisión</w:t>
      </w:r>
    </w:p>
    <w:p w14:paraId="0FF17A61" w14:textId="63BBDD2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Corretaje</w:t>
      </w:r>
    </w:p>
    <w:p w14:paraId="3DF08D97"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Comisión que cobran los intermediarios financieros por su intervención en la operativa de los mercados de valores, particularmente en Bolsa. Constituyen el coste de intermediación.</w:t>
      </w:r>
    </w:p>
    <w:p w14:paraId="61BB1E41" w14:textId="5749A3A3" w:rsidR="0018171E" w:rsidRPr="00CF1B34" w:rsidRDefault="0018171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Corralito financiero </w:t>
      </w:r>
    </w:p>
    <w:p w14:paraId="54F14E22" w14:textId="77777777" w:rsidR="006E03F3" w:rsidRPr="00CF1B34" w:rsidRDefault="006E03F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Esta expresión tiene origen en la situación que se originó en Argentina a fines de 2001 y que desembocó en la peor crisis política y económica del país sudamericano.</w:t>
      </w:r>
    </w:p>
    <w:p w14:paraId="1B351A27" w14:textId="2DFBB922" w:rsidR="0056294C" w:rsidRPr="00CF1B34" w:rsidRDefault="0056294C"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Corralito</w:t>
      </w:r>
      <w:r w:rsidRPr="00CF1B34">
        <w:rPr>
          <w:rFonts w:ascii="Arial" w:hAnsi="Arial" w:cs="Arial"/>
          <w:color w:val="333333"/>
          <w:sz w:val="22"/>
          <w:szCs w:val="22"/>
          <w:lang w:val="es-ES_tradnl"/>
        </w:rPr>
        <w:t>, según el diccionario, significa “</w:t>
      </w:r>
      <w:r w:rsidRPr="00CF1B34">
        <w:rPr>
          <w:rFonts w:ascii="Arial" w:hAnsi="Arial" w:cs="Arial"/>
          <w:b/>
          <w:bCs/>
          <w:i/>
          <w:iCs/>
          <w:color w:val="333333"/>
          <w:sz w:val="22"/>
          <w:szCs w:val="22"/>
          <w:lang w:val="es-ES_tradnl"/>
        </w:rPr>
        <w:t>recinto con barrotes para que los niños jueguen adentro</w:t>
      </w:r>
      <w:r w:rsidRPr="00CF1B34">
        <w:rPr>
          <w:rFonts w:ascii="Arial" w:hAnsi="Arial" w:cs="Arial"/>
          <w:color w:val="333333"/>
          <w:sz w:val="22"/>
          <w:szCs w:val="22"/>
          <w:lang w:val="es-ES_tradnl"/>
        </w:rPr>
        <w:t xml:space="preserve">”. Y algo de ironía hay en esto: el dinero está dentro del </w:t>
      </w:r>
      <w:proofErr w:type="gramStart"/>
      <w:r w:rsidRPr="00CF1B34">
        <w:rPr>
          <w:rFonts w:ascii="Arial" w:hAnsi="Arial" w:cs="Arial"/>
          <w:color w:val="333333"/>
          <w:sz w:val="22"/>
          <w:szCs w:val="22"/>
          <w:lang w:val="es-ES_tradnl"/>
        </w:rPr>
        <w:t>sistema</w:t>
      </w:r>
      <w:proofErr w:type="gramEnd"/>
      <w:r w:rsidRPr="00CF1B34">
        <w:rPr>
          <w:rFonts w:ascii="Arial" w:hAnsi="Arial" w:cs="Arial"/>
          <w:color w:val="333333"/>
          <w:sz w:val="22"/>
          <w:szCs w:val="22"/>
          <w:lang w:val="es-ES_tradnl"/>
        </w:rPr>
        <w:t xml:space="preserve"> pero </w:t>
      </w:r>
      <w:r w:rsidRPr="00CF1B34">
        <w:rPr>
          <w:rFonts w:ascii="Arial" w:hAnsi="Arial" w:cs="Arial"/>
          <w:color w:val="333333"/>
          <w:sz w:val="22"/>
          <w:szCs w:val="22"/>
          <w:lang w:val="es-ES_tradnl"/>
        </w:rPr>
        <w:lastRenderedPageBreak/>
        <w:t xml:space="preserve">no puede salir. Una acepción más acertada, que se ha agregado como un argentinismo al mismo diccionario, puede ser </w:t>
      </w:r>
      <w:r w:rsidRPr="00CF1B34">
        <w:rPr>
          <w:rFonts w:ascii="Arial" w:hAnsi="Arial" w:cs="Arial"/>
          <w:i/>
          <w:iCs/>
          <w:color w:val="333333"/>
          <w:sz w:val="22"/>
          <w:szCs w:val="22"/>
          <w:lang w:val="es-ES_tradnl"/>
        </w:rPr>
        <w:t>«perverso mecanismo bancario, por el cual los ahorristas no podían retirar más que una suma fija mensual”.</w:t>
      </w:r>
    </w:p>
    <w:p w14:paraId="1A1F56AE" w14:textId="77777777" w:rsidR="0056294C" w:rsidRPr="00CF1B34" w:rsidRDefault="0056294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El objetivo de una medida de esta naturaleza es muy simple: </w:t>
      </w:r>
      <w:r w:rsidRPr="00CF1B34">
        <w:rPr>
          <w:rFonts w:ascii="Arial" w:hAnsi="Arial" w:cs="Arial"/>
          <w:b/>
          <w:bCs/>
          <w:color w:val="333333"/>
          <w:sz w:val="22"/>
          <w:szCs w:val="22"/>
          <w:lang w:val="es-ES_tradnl"/>
        </w:rPr>
        <w:t>detener el pánico bancario y evitar la consiguiente crisis financiera y económica que esto traería,</w:t>
      </w:r>
      <w:r w:rsidRPr="00CF1B34">
        <w:rPr>
          <w:rFonts w:ascii="Arial" w:hAnsi="Arial" w:cs="Arial"/>
          <w:color w:val="333333"/>
          <w:sz w:val="22"/>
          <w:szCs w:val="22"/>
          <w:lang w:val="es-ES_tradnl"/>
        </w:rPr>
        <w:t xml:space="preserve"> con la consecuente </w:t>
      </w:r>
      <w:r w:rsidRPr="00CF1B34">
        <w:rPr>
          <w:rFonts w:ascii="Arial" w:hAnsi="Arial" w:cs="Arial"/>
          <w:b/>
          <w:bCs/>
          <w:color w:val="333333"/>
          <w:sz w:val="22"/>
          <w:szCs w:val="22"/>
          <w:lang w:val="es-ES_tradnl"/>
        </w:rPr>
        <w:t>caída de bancos</w:t>
      </w:r>
      <w:r w:rsidRPr="00CF1B34">
        <w:rPr>
          <w:rFonts w:ascii="Arial" w:hAnsi="Arial" w:cs="Arial"/>
          <w:color w:val="333333"/>
          <w:sz w:val="22"/>
          <w:szCs w:val="22"/>
          <w:lang w:val="es-ES_tradnl"/>
        </w:rPr>
        <w:t xml:space="preserve"> y el</w:t>
      </w:r>
      <w:r w:rsidRPr="00CF1B34">
        <w:rPr>
          <w:rFonts w:ascii="Arial" w:hAnsi="Arial" w:cs="Arial"/>
          <w:b/>
          <w:bCs/>
          <w:color w:val="333333"/>
          <w:sz w:val="22"/>
          <w:szCs w:val="22"/>
          <w:lang w:val="es-ES_tradnl"/>
        </w:rPr>
        <w:t xml:space="preserve"> colapso del sistema financiero</w:t>
      </w:r>
      <w:r w:rsidRPr="00CF1B34">
        <w:rPr>
          <w:rFonts w:ascii="Arial" w:hAnsi="Arial" w:cs="Arial"/>
          <w:color w:val="333333"/>
          <w:sz w:val="22"/>
          <w:szCs w:val="22"/>
          <w:lang w:val="es-ES_tradnl"/>
        </w:rPr>
        <w:t xml:space="preserve"> por la falta de liquidez como para hacer frente a la salida simultánea de dinero.</w:t>
      </w:r>
    </w:p>
    <w:p w14:paraId="5721B680" w14:textId="000FE92B"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Corro </w:t>
      </w:r>
    </w:p>
    <w:p w14:paraId="3AEFCD0C" w14:textId="77777777" w:rsidR="00A343B2" w:rsidRPr="00CF1B34" w:rsidRDefault="00A343B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Lugar reservado a los agentes de cambio que cotizan en el personalmente los mas prestigiosos valores nacionales y extranjeros.</w:t>
      </w:r>
    </w:p>
    <w:p w14:paraId="67912AD1" w14:textId="6C6594FF"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Corto plazo</w:t>
      </w:r>
    </w:p>
    <w:p w14:paraId="0D7D0328" w14:textId="0C123F13" w:rsidR="005C0363" w:rsidRPr="00CF1B34" w:rsidRDefault="00A343B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corto plazo se fija en el año o dieciocho</w:t>
      </w:r>
      <w:r w:rsidR="005C0363" w:rsidRPr="00CF1B34">
        <w:rPr>
          <w:rFonts w:ascii="Arial" w:hAnsi="Arial" w:cs="Arial"/>
          <w:color w:val="000000" w:themeColor="text1"/>
          <w:sz w:val="22"/>
          <w:szCs w:val="22"/>
          <w:lang w:val="es-ES_tradnl"/>
        </w:rPr>
        <w:t xml:space="preserve"> meses como máximo. Sin embargo en el mercado intercambiario se dan operaciones a cortísimos plazos, </w:t>
      </w:r>
      <w:proofErr w:type="gramStart"/>
      <w:r w:rsidR="005C0363" w:rsidRPr="00CF1B34">
        <w:rPr>
          <w:rFonts w:ascii="Arial" w:hAnsi="Arial" w:cs="Arial"/>
          <w:color w:val="000000" w:themeColor="text1"/>
          <w:sz w:val="22"/>
          <w:szCs w:val="22"/>
          <w:lang w:val="es-ES_tradnl"/>
        </w:rPr>
        <w:t>días ,</w:t>
      </w:r>
      <w:proofErr w:type="gramEnd"/>
      <w:r w:rsidR="005C0363" w:rsidRPr="00CF1B34">
        <w:rPr>
          <w:rFonts w:ascii="Arial" w:hAnsi="Arial" w:cs="Arial"/>
          <w:color w:val="000000" w:themeColor="text1"/>
          <w:sz w:val="22"/>
          <w:szCs w:val="22"/>
          <w:lang w:val="es-ES_tradnl"/>
        </w:rPr>
        <w:t xml:space="preserve"> semanas, quincenas. Por otra parte</w:t>
      </w:r>
      <w:r w:rsidR="0056294C" w:rsidRPr="00CF1B34">
        <w:rPr>
          <w:rFonts w:ascii="Arial" w:hAnsi="Arial" w:cs="Arial"/>
          <w:color w:val="000000" w:themeColor="text1"/>
          <w:sz w:val="22"/>
          <w:szCs w:val="22"/>
          <w:lang w:val="es-ES_tradnl"/>
        </w:rPr>
        <w:t>,</w:t>
      </w:r>
      <w:r w:rsidR="005C0363" w:rsidRPr="00CF1B34">
        <w:rPr>
          <w:rFonts w:ascii="Arial" w:hAnsi="Arial" w:cs="Arial"/>
          <w:color w:val="000000" w:themeColor="text1"/>
          <w:sz w:val="22"/>
          <w:szCs w:val="22"/>
          <w:lang w:val="es-ES_tradnl"/>
        </w:rPr>
        <w:t xml:space="preserve"> cualquier inversor puede comprar y vender una acción en una misma jornada.</w:t>
      </w:r>
    </w:p>
    <w:p w14:paraId="3F4D5D0A" w14:textId="4577C30D"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Coste de capital</w:t>
      </w:r>
    </w:p>
    <w:p w14:paraId="1172136B" w14:textId="77777777" w:rsidR="00D8078B" w:rsidRPr="00CF1B34" w:rsidRDefault="005C036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suma del coste ponderado de los recursos ajenos y de los recursos propios. Su expresión general es cppc = [Cte RA* (1´</w:t>
      </w:r>
      <w:proofErr w:type="gramStart"/>
      <w:r w:rsidRPr="00CF1B34">
        <w:rPr>
          <w:rFonts w:ascii="Arial" w:hAnsi="Arial" w:cs="Arial"/>
          <w:color w:val="000000" w:themeColor="text1"/>
          <w:sz w:val="22"/>
          <w:szCs w:val="22"/>
          <w:lang w:val="es-ES_tradnl"/>
        </w:rPr>
        <w:t>t)*</w:t>
      </w:r>
      <w:proofErr w:type="gramEnd"/>
      <w:r w:rsidRPr="00CF1B34">
        <w:rPr>
          <w:rFonts w:ascii="Arial" w:hAnsi="Arial" w:cs="Arial"/>
          <w:color w:val="000000" w:themeColor="text1"/>
          <w:sz w:val="22"/>
          <w:szCs w:val="22"/>
          <w:lang w:val="es-ES_tradnl"/>
        </w:rPr>
        <w:t xml:space="preserve"> (RA/ (RA+RP))</w:t>
      </w:r>
      <w:r w:rsidR="00D8078B"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 + [Cte RP* (RP /</w:t>
      </w:r>
      <w:r w:rsidR="00D8078B" w:rsidRPr="00CF1B34">
        <w:rPr>
          <w:rFonts w:ascii="Arial" w:hAnsi="Arial" w:cs="Arial"/>
          <w:color w:val="000000" w:themeColor="text1"/>
          <w:sz w:val="22"/>
          <w:szCs w:val="22"/>
          <w:lang w:val="es-ES_tradnl"/>
        </w:rPr>
        <w:t xml:space="preserve"> (RA+RP)) ]</w:t>
      </w:r>
    </w:p>
    <w:p w14:paraId="5074B617" w14:textId="5851A860"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Coste de oportunidad</w:t>
      </w:r>
    </w:p>
    <w:p w14:paraId="287A8133"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Cualquier inversión lleva asociado un coste de oportunidad, que consiste en la rentabilidad que se hubiese obtenido de haber elegido la mejor alternativa posible.</w:t>
      </w:r>
    </w:p>
    <w:p w14:paraId="1393366B" w14:textId="15D563B0"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Coste de recursos de clientes</w:t>
      </w:r>
    </w:p>
    <w:p w14:paraId="641F09FA" w14:textId="77777777" w:rsidR="00D8078B" w:rsidRPr="00CF1B34" w:rsidRDefault="00D8078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Coste financiero de los saldos acreedores de la entidad mas el coste financiero de los empréstitos respecto de los recursos de clientes.</w:t>
      </w:r>
    </w:p>
    <w:p w14:paraId="617DFF55" w14:textId="4489A42B"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Coste por empleado</w:t>
      </w:r>
    </w:p>
    <w:p w14:paraId="51DCBD7B" w14:textId="77777777" w:rsidR="00012569" w:rsidRPr="00CF1B34" w:rsidRDefault="0001256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G</w:t>
      </w:r>
      <w:r w:rsidR="00D8078B" w:rsidRPr="00CF1B34">
        <w:rPr>
          <w:rFonts w:ascii="Arial" w:hAnsi="Arial" w:cs="Arial"/>
          <w:color w:val="000000" w:themeColor="text1"/>
          <w:sz w:val="22"/>
          <w:szCs w:val="22"/>
          <w:lang w:val="es-ES_tradnl"/>
        </w:rPr>
        <w:t>astos</w:t>
      </w:r>
      <w:r w:rsidRPr="00CF1B34">
        <w:rPr>
          <w:rFonts w:ascii="Arial" w:hAnsi="Arial" w:cs="Arial"/>
          <w:color w:val="000000" w:themeColor="text1"/>
          <w:sz w:val="22"/>
          <w:szCs w:val="22"/>
          <w:lang w:val="es-ES_tradnl"/>
        </w:rPr>
        <w:t xml:space="preserve"> del personal entre el numero de empleados.</w:t>
      </w:r>
    </w:p>
    <w:p w14:paraId="01D41BFC" w14:textId="2F02DB9A"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Cotización</w:t>
      </w:r>
    </w:p>
    <w:p w14:paraId="748C236C" w14:textId="77777777" w:rsidR="00012569" w:rsidRPr="00CF1B34" w:rsidRDefault="0001256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nuestro país hay muchísimas sociedades anónimas, aunque solo 400 de ellas cumplen las normas que exige el mercado y colocan todas o parte de sus acciones en la bolsa con el fin de que se negocien.</w:t>
      </w:r>
    </w:p>
    <w:p w14:paraId="3489F141" w14:textId="74585683"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Cotización continua</w:t>
      </w:r>
    </w:p>
    <w:p w14:paraId="3F3DFACB" w14:textId="50F6C055" w:rsidR="00012569" w:rsidRPr="00CF1B34" w:rsidRDefault="0001256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cotización asistida continuada (CAT) registra una sucesión de precios a lo largo de la jornada sobre un mismo titulo, a diferencia de la cotización tradicional de fixing, que determina un precio a hora fija.</w:t>
      </w:r>
    </w:p>
    <w:p w14:paraId="7EBB4A21" w14:textId="5DA6ED63"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Cotización de cierre</w:t>
      </w:r>
    </w:p>
    <w:p w14:paraId="7217D490"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Último precio al que se negocia un activo en el mercado antes de que finalice la sesión de negociación. Implica un acuerdo entre comprador y vendedor para efectuar la transacción de un volumen determinado a ese precio. Sirve como referencia para el inicio de la subasta de apertura en la siguiente sesión. </w:t>
      </w:r>
    </w:p>
    <w:p w14:paraId="17428CD4"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Cotización excupón</w:t>
      </w:r>
    </w:p>
    <w:p w14:paraId="6F2165DF"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Cotización de un valor en la que no se tiene en cuenta la parte del cupón devengada y no cobrada hasta esa fecha</w:t>
      </w:r>
      <w:r w:rsidRPr="00CF1B34">
        <w:rPr>
          <w:rFonts w:ascii="Arial" w:hAnsi="Arial" w:cs="Arial"/>
          <w:color w:val="2F5496" w:themeColor="accent1" w:themeShade="BF"/>
          <w:sz w:val="22"/>
          <w:szCs w:val="22"/>
          <w:lang w:val="es-ES_tradnl"/>
        </w:rPr>
        <w:t>. </w:t>
      </w:r>
      <w:hyperlink r:id="rId179" w:tgtFrame="_self" w:history="1">
        <w:r w:rsidRPr="00CF1B34">
          <w:rPr>
            <w:rFonts w:ascii="Arial" w:hAnsi="Arial" w:cs="Arial"/>
            <w:b/>
            <w:bCs/>
            <w:color w:val="2F5496" w:themeColor="accent1" w:themeShade="BF"/>
            <w:sz w:val="22"/>
            <w:szCs w:val="22"/>
            <w:u w:val="single"/>
            <w:lang w:val="es-ES_tradnl"/>
          </w:rPr>
          <w:t>Ver cotización por cupón corrido</w:t>
        </w:r>
      </w:hyperlink>
      <w:r w:rsidRPr="00CF1B34">
        <w:rPr>
          <w:rFonts w:ascii="Arial" w:hAnsi="Arial" w:cs="Arial"/>
          <w:color w:val="212529"/>
          <w:sz w:val="22"/>
          <w:szCs w:val="22"/>
          <w:lang w:val="es-ES_tradnl"/>
        </w:rPr>
        <w:t>.</w:t>
      </w:r>
    </w:p>
    <w:p w14:paraId="6F4E1970"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Cotización por cupón corrido</w:t>
      </w:r>
    </w:p>
    <w:p w14:paraId="2232E097"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cotización en la que se incluye la parte del cupón devengada y no cobrada (cupón corrido). Es decir, significa que en el precio ya se tiene en cuenta el derecho del vendedor a resarcirse por la parte de los intereses que no cobrará en la fecha de vencimiento del cupón, puesto que éste será íntegramente percibido por el comprador.</w:t>
      </w:r>
    </w:p>
    <w:p w14:paraId="11ABD7BE" w14:textId="36935717" w:rsidR="00A811A8" w:rsidRPr="00CF1B34" w:rsidRDefault="00A811A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Cotizaciónes Seguridad Social</w:t>
      </w:r>
    </w:p>
    <w:p w14:paraId="342DDBE4" w14:textId="0879D169" w:rsidR="00BC17CA" w:rsidRPr="00CF1B34" w:rsidRDefault="00BC17CA" w:rsidP="0005621A">
      <w:pPr>
        <w:pStyle w:val="Sinespaciado"/>
        <w:ind w:left="708"/>
        <w:jc w:val="both"/>
        <w:rPr>
          <w:rFonts w:ascii="Arial" w:hAnsi="Arial" w:cs="Arial"/>
          <w:sz w:val="22"/>
          <w:szCs w:val="22"/>
          <w:lang w:val="es-ES_tradnl"/>
        </w:rPr>
      </w:pPr>
      <w:r w:rsidRPr="00CF1B34">
        <w:rPr>
          <w:rFonts w:ascii="Arial" w:hAnsi="Arial" w:cs="Arial"/>
          <w:sz w:val="22"/>
          <w:szCs w:val="22"/>
          <w:shd w:val="clear" w:color="auto" w:fill="FEF1E5"/>
          <w:lang w:val="es-ES_tradnl"/>
        </w:rPr>
        <w:t xml:space="preserve">El </w:t>
      </w:r>
      <w:r w:rsidRPr="00CF1B34">
        <w:rPr>
          <w:rStyle w:val="Textoennegrita"/>
          <w:rFonts w:ascii="Arial" w:hAnsi="Arial" w:cs="Arial"/>
          <w:color w:val="4B4F58"/>
          <w:sz w:val="22"/>
          <w:szCs w:val="22"/>
          <w:shd w:val="clear" w:color="auto" w:fill="FEF1E5"/>
          <w:lang w:val="es-ES_tradnl"/>
        </w:rPr>
        <w:t>sistema de seguridad social</w:t>
      </w:r>
      <w:r w:rsidRPr="00CF1B34">
        <w:rPr>
          <w:rFonts w:ascii="Arial" w:hAnsi="Arial" w:cs="Arial"/>
          <w:sz w:val="22"/>
          <w:szCs w:val="22"/>
          <w:shd w:val="clear" w:color="auto" w:fill="FEF1E5"/>
          <w:lang w:val="es-ES_tradnl"/>
        </w:rPr>
        <w:t xml:space="preserve"> es complejo en todos los países complejo, y difícil de entender para muchos. Pero desde el lugar que ocupemos, sea usted un trabajador, autónomo o empleador, estamos obligados a aportar a este sistema y por ello es importante informarse sobre el mismo</w:t>
      </w:r>
    </w:p>
    <w:p w14:paraId="1B2C5813" w14:textId="77777777" w:rsidR="00BC17CA" w:rsidRPr="00CF1B34" w:rsidRDefault="00BC17CA" w:rsidP="0005621A">
      <w:pPr>
        <w:pStyle w:val="Sinespaciado"/>
        <w:ind w:firstLine="708"/>
        <w:jc w:val="both"/>
        <w:rPr>
          <w:rFonts w:ascii="Arial" w:hAnsi="Arial" w:cs="Arial"/>
          <w:color w:val="4B4F58"/>
          <w:sz w:val="22"/>
          <w:szCs w:val="22"/>
          <w:lang w:val="es-ES_tradnl"/>
        </w:rPr>
      </w:pPr>
      <w:r w:rsidRPr="00CF1B34">
        <w:rPr>
          <w:rFonts w:ascii="Arial" w:hAnsi="Arial" w:cs="Arial"/>
          <w:color w:val="4B4F58"/>
          <w:sz w:val="22"/>
          <w:szCs w:val="22"/>
          <w:lang w:val="es-ES_tradnl"/>
        </w:rPr>
        <w:t>Hay tres conceptos básicos de los cuales debemos partir:</w:t>
      </w:r>
    </w:p>
    <w:p w14:paraId="0F3B81D5"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t>– Las cuotas de cotización</w:t>
      </w:r>
      <w:r w:rsidRPr="00CF1B34">
        <w:rPr>
          <w:rFonts w:ascii="Arial" w:hAnsi="Arial" w:cs="Arial"/>
          <w:color w:val="4B4F58"/>
          <w:sz w:val="22"/>
          <w:szCs w:val="22"/>
          <w:lang w:val="es-ES_tradnl"/>
        </w:rPr>
        <w:br/>
        <w:t>– Los tipos de cotización</w:t>
      </w:r>
      <w:r w:rsidRPr="00CF1B34">
        <w:rPr>
          <w:rFonts w:ascii="Arial" w:hAnsi="Arial" w:cs="Arial"/>
          <w:color w:val="4B4F58"/>
          <w:sz w:val="22"/>
          <w:szCs w:val="22"/>
          <w:lang w:val="es-ES_tradnl"/>
        </w:rPr>
        <w:br/>
        <w:t>– Las bases de cotización</w:t>
      </w:r>
    </w:p>
    <w:p w14:paraId="78F0934E" w14:textId="77777777" w:rsidR="00BC17CA" w:rsidRPr="00CF1B34" w:rsidRDefault="00BC17CA" w:rsidP="0005621A">
      <w:pPr>
        <w:pStyle w:val="Sinespaciado"/>
        <w:ind w:firstLine="708"/>
        <w:jc w:val="both"/>
        <w:rPr>
          <w:rFonts w:ascii="Arial" w:hAnsi="Arial" w:cs="Arial"/>
          <w:color w:val="4B4F58"/>
          <w:sz w:val="22"/>
          <w:szCs w:val="22"/>
          <w:lang w:val="es-ES_tradnl"/>
        </w:rPr>
      </w:pPr>
      <w:r w:rsidRPr="00CF1B34">
        <w:rPr>
          <w:rStyle w:val="Textoennegrita"/>
          <w:rFonts w:ascii="Arial" w:hAnsi="Arial" w:cs="Arial"/>
          <w:color w:val="4B4F58"/>
          <w:sz w:val="22"/>
          <w:szCs w:val="22"/>
          <w:lang w:val="es-ES_tradnl"/>
        </w:rPr>
        <w:t>Cuotas de cotización:</w:t>
      </w:r>
    </w:p>
    <w:p w14:paraId="405009C0"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t>Las cuotas son las cantidades a ingresar a la Seguridad Social, y dentro de la cuota se puede distinguir la cotización por diferentes conceptos:</w:t>
      </w:r>
    </w:p>
    <w:p w14:paraId="5992F2AD" w14:textId="3BFDAB1B" w:rsidR="00BC17CA" w:rsidRPr="00CF1B34" w:rsidRDefault="00BC17CA" w:rsidP="0005621A">
      <w:pPr>
        <w:pStyle w:val="Sinespaciado"/>
        <w:ind w:left="708"/>
        <w:jc w:val="both"/>
        <w:rPr>
          <w:rFonts w:ascii="Arial" w:hAnsi="Arial" w:cs="Arial"/>
          <w:color w:val="4B4F58"/>
          <w:sz w:val="22"/>
          <w:szCs w:val="22"/>
          <w:lang w:val="es-ES_tradnl"/>
        </w:rPr>
      </w:pPr>
      <w:r w:rsidRPr="00CF1B34">
        <w:rPr>
          <w:rStyle w:val="nfasis"/>
          <w:rFonts w:ascii="Arial" w:hAnsi="Arial" w:cs="Arial"/>
          <w:color w:val="4B4F58"/>
          <w:sz w:val="22"/>
          <w:szCs w:val="22"/>
          <w:lang w:val="es-ES_tradnl"/>
        </w:rPr>
        <w:t>– Contingencias comunes.</w:t>
      </w:r>
      <w:r w:rsidR="00A33938"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Aportación destinada a la cobertura de las situaciones incluidas en el Régimen General de la Seguridad Social.</w:t>
      </w:r>
    </w:p>
    <w:p w14:paraId="7574AE36" w14:textId="6915C173" w:rsidR="00BC17CA" w:rsidRPr="00CF1B34" w:rsidRDefault="00BC17CA" w:rsidP="0005621A">
      <w:pPr>
        <w:pStyle w:val="Sinespaciado"/>
        <w:ind w:left="708"/>
        <w:jc w:val="both"/>
        <w:rPr>
          <w:rFonts w:ascii="Arial" w:hAnsi="Arial" w:cs="Arial"/>
          <w:color w:val="4B4F58"/>
          <w:sz w:val="22"/>
          <w:szCs w:val="22"/>
          <w:lang w:val="es-ES_tradnl"/>
        </w:rPr>
      </w:pPr>
      <w:r w:rsidRPr="00CF1B34">
        <w:rPr>
          <w:rStyle w:val="nfasis"/>
          <w:rFonts w:ascii="Arial" w:hAnsi="Arial" w:cs="Arial"/>
          <w:color w:val="4B4F58"/>
          <w:sz w:val="22"/>
          <w:szCs w:val="22"/>
          <w:lang w:val="es-ES_tradnl"/>
        </w:rPr>
        <w:t>– Contingencias profesionales.</w:t>
      </w:r>
      <w:r w:rsidR="00A33938" w:rsidRPr="00CF1B34">
        <w:rPr>
          <w:rStyle w:val="nfasis"/>
          <w:rFonts w:ascii="Arial" w:hAnsi="Arial" w:cs="Arial"/>
          <w:color w:val="4B4F58"/>
          <w:sz w:val="22"/>
          <w:szCs w:val="22"/>
          <w:lang w:val="es-ES_tradnl"/>
        </w:rPr>
        <w:t xml:space="preserve"> </w:t>
      </w:r>
      <w:r w:rsidRPr="00CF1B34">
        <w:rPr>
          <w:rFonts w:ascii="Arial" w:hAnsi="Arial" w:cs="Arial"/>
          <w:color w:val="4B4F58"/>
          <w:sz w:val="22"/>
          <w:szCs w:val="22"/>
          <w:lang w:val="es-ES_tradnl"/>
        </w:rPr>
        <w:t>Cubre los riesgos derivados de accidentes de trabajo y enfermedades profesionales producidas como consecuencia del trabajo por cuenta ajena. Se dividen en: Cuotas por incapacidad temporal (IT) y Cuotas por Incapacidad permanente, Muerte y Supervivencia (ISM)</w:t>
      </w:r>
    </w:p>
    <w:p w14:paraId="184C45E1" w14:textId="77777777" w:rsidR="00BC17CA" w:rsidRPr="00CF1B34" w:rsidRDefault="00BC17CA" w:rsidP="0005621A">
      <w:pPr>
        <w:pStyle w:val="Sinespaciado"/>
        <w:ind w:firstLine="708"/>
        <w:jc w:val="both"/>
        <w:rPr>
          <w:rFonts w:ascii="Arial" w:hAnsi="Arial" w:cs="Arial"/>
          <w:color w:val="4B4F58"/>
          <w:sz w:val="22"/>
          <w:szCs w:val="22"/>
          <w:lang w:val="es-ES_tradnl"/>
        </w:rPr>
      </w:pPr>
      <w:r w:rsidRPr="00CF1B34">
        <w:rPr>
          <w:rStyle w:val="nfasis"/>
          <w:rFonts w:ascii="Arial" w:hAnsi="Arial" w:cs="Arial"/>
          <w:color w:val="4B4F58"/>
          <w:sz w:val="22"/>
          <w:szCs w:val="22"/>
          <w:lang w:val="es-ES_tradnl"/>
        </w:rPr>
        <w:t>– Horas extraordinarias, estructurales o no estructurales.</w:t>
      </w:r>
    </w:p>
    <w:p w14:paraId="412190BF" w14:textId="73DAC9C5" w:rsidR="00BC17CA" w:rsidRPr="00CF1B34" w:rsidRDefault="00BC17CA" w:rsidP="0005621A">
      <w:pPr>
        <w:pStyle w:val="Sinespaciado"/>
        <w:ind w:left="708"/>
        <w:jc w:val="both"/>
        <w:rPr>
          <w:rFonts w:ascii="Arial" w:hAnsi="Arial" w:cs="Arial"/>
          <w:color w:val="4B4F58"/>
          <w:sz w:val="22"/>
          <w:szCs w:val="22"/>
          <w:lang w:val="es-ES_tradnl"/>
        </w:rPr>
      </w:pPr>
      <w:r w:rsidRPr="00CF1B34">
        <w:rPr>
          <w:rStyle w:val="nfasis"/>
          <w:rFonts w:ascii="Arial" w:hAnsi="Arial" w:cs="Arial"/>
          <w:color w:val="4B4F58"/>
          <w:sz w:val="22"/>
          <w:szCs w:val="22"/>
          <w:lang w:val="es-ES_tradnl"/>
        </w:rPr>
        <w:t>– Otros conceptos:</w:t>
      </w:r>
      <w:r w:rsidR="00A33938" w:rsidRPr="00CF1B34">
        <w:rPr>
          <w:rFonts w:ascii="Arial" w:hAnsi="Arial" w:cs="Arial"/>
          <w:color w:val="4B4F58"/>
          <w:sz w:val="22"/>
          <w:szCs w:val="22"/>
          <w:lang w:val="es-ES_tradnl"/>
        </w:rPr>
        <w:t xml:space="preserve"> </w:t>
      </w:r>
      <w:r w:rsidRPr="00CF1B34">
        <w:rPr>
          <w:rFonts w:ascii="Arial" w:hAnsi="Arial" w:cs="Arial"/>
          <w:color w:val="4B4F58"/>
          <w:sz w:val="22"/>
          <w:szCs w:val="22"/>
          <w:lang w:val="es-ES_tradnl"/>
        </w:rPr>
        <w:t>Desempleo, Fondo de Garantía Salarial y Formación profesional.</w:t>
      </w:r>
    </w:p>
    <w:p w14:paraId="3FBAB838" w14:textId="77777777" w:rsidR="00BC17CA" w:rsidRPr="00CF1B34" w:rsidRDefault="00BC17CA" w:rsidP="0005621A">
      <w:pPr>
        <w:pStyle w:val="Sinespaciado"/>
        <w:ind w:firstLine="708"/>
        <w:jc w:val="both"/>
        <w:rPr>
          <w:rFonts w:ascii="Arial" w:hAnsi="Arial" w:cs="Arial"/>
          <w:color w:val="4B4F58"/>
          <w:sz w:val="22"/>
          <w:szCs w:val="22"/>
          <w:lang w:val="es-ES_tradnl"/>
        </w:rPr>
      </w:pPr>
      <w:r w:rsidRPr="00CF1B34">
        <w:rPr>
          <w:rStyle w:val="Textoennegrita"/>
          <w:rFonts w:ascii="Arial" w:hAnsi="Arial" w:cs="Arial"/>
          <w:color w:val="4B4F58"/>
          <w:sz w:val="22"/>
          <w:szCs w:val="22"/>
          <w:lang w:val="es-ES_tradnl"/>
        </w:rPr>
        <w:t>Tipos de cotización:</w:t>
      </w:r>
    </w:p>
    <w:p w14:paraId="793A0519"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t>Es la cuantía por la que se ha de cotizar, es decir los porcentajes establecidos por el Gobierno, y que varían según la contingencia protegida, sobre una cantidad que está determinada por la remuneración del trabajador (base de cotización).</w:t>
      </w:r>
    </w:p>
    <w:p w14:paraId="282B5BDB" w14:textId="77777777" w:rsidR="00BC17CA" w:rsidRPr="00CF1B34" w:rsidRDefault="00BC17CA" w:rsidP="0005621A">
      <w:pPr>
        <w:pStyle w:val="Sinespaciado"/>
        <w:ind w:firstLine="708"/>
        <w:jc w:val="both"/>
        <w:rPr>
          <w:rFonts w:ascii="Arial" w:hAnsi="Arial" w:cs="Arial"/>
          <w:color w:val="4B4F58"/>
          <w:sz w:val="22"/>
          <w:szCs w:val="22"/>
          <w:lang w:val="es-ES_tradnl"/>
        </w:rPr>
      </w:pPr>
      <w:r w:rsidRPr="00CF1B34">
        <w:rPr>
          <w:rStyle w:val="Textoennegrita"/>
          <w:rFonts w:ascii="Arial" w:hAnsi="Arial" w:cs="Arial"/>
          <w:color w:val="4B4F58"/>
          <w:sz w:val="22"/>
          <w:szCs w:val="22"/>
          <w:lang w:val="es-ES_tradnl"/>
        </w:rPr>
        <w:t>Bases de cotización:</w:t>
      </w:r>
    </w:p>
    <w:p w14:paraId="226FB408"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t>La base de cotización en el Régimen General, para todas las contingencias, está integrada por la remuneración total, cualquiera que sea su forma y denominación, que mensualmente tenga derecho a percibir el trabajador, o la que realmente perciba, de ser ésta superior, en el mes al que se refiere la cotización.</w:t>
      </w:r>
    </w:p>
    <w:p w14:paraId="325A57B8"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Style w:val="nfasis"/>
          <w:rFonts w:ascii="Arial" w:hAnsi="Arial" w:cs="Arial"/>
          <w:color w:val="4B4F58"/>
          <w:sz w:val="22"/>
          <w:szCs w:val="22"/>
          <w:lang w:val="es-ES_tradnl"/>
        </w:rPr>
        <w:t>Remuneración Total:</w:t>
      </w:r>
      <w:r w:rsidRPr="00CF1B34">
        <w:rPr>
          <w:rFonts w:ascii="Arial" w:hAnsi="Arial" w:cs="Arial"/>
          <w:color w:val="4B4F58"/>
          <w:sz w:val="22"/>
          <w:szCs w:val="22"/>
          <w:lang w:val="es-ES_tradnl"/>
        </w:rPr>
        <w:t> es la totalidad de las percepciones económicas recibidas, en dinero o en especie, ya retribuyan el trabajo efectivo o los períodos de descanso computables como de trabajo, así como los que resulten de exceso respecto de los conceptos excluidos. A ello se añadirá la parte proporcional de las pagas extraordinarias y las demás percepciones de vencimiento superior al mensual o que no tengan carácter periódico y se satisfagan en el ejercicio.</w:t>
      </w:r>
    </w:p>
    <w:p w14:paraId="4EE40C41" w14:textId="77777777" w:rsidR="00BC17CA" w:rsidRPr="00CF1B34" w:rsidRDefault="00BC17CA" w:rsidP="0005621A">
      <w:pPr>
        <w:pStyle w:val="Sinespaciado"/>
        <w:ind w:firstLine="708"/>
        <w:jc w:val="both"/>
        <w:rPr>
          <w:rFonts w:ascii="Arial" w:hAnsi="Arial" w:cs="Arial"/>
          <w:color w:val="4B4F58"/>
          <w:sz w:val="22"/>
          <w:szCs w:val="22"/>
          <w:lang w:val="es-ES_tradnl"/>
        </w:rPr>
      </w:pPr>
      <w:r w:rsidRPr="00CF1B34">
        <w:rPr>
          <w:rFonts w:ascii="Arial" w:hAnsi="Arial" w:cs="Arial"/>
          <w:color w:val="4B4F58"/>
          <w:sz w:val="22"/>
          <w:szCs w:val="22"/>
          <w:lang w:val="es-ES_tradnl"/>
        </w:rPr>
        <w:t>Conceptos excluidos de la base de cotización:</w:t>
      </w:r>
    </w:p>
    <w:p w14:paraId="1DB6EE5C"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lastRenderedPageBreak/>
        <w:t>– Las dietas y asignaciones para gastos de viaje, gastos de locomoción, cuando correspondan a desplazamientos del trabajador fuera de su centro habitual de trabajo para realizar el mismo en lugar distinto, así como los pluses de transporte urbano y de distancia por desplazamiento del trabajador desde su domicilio al centro de trabajo habitual, con la cuantía y alcance que reglamentariamente se establezcan.</w:t>
      </w:r>
    </w:p>
    <w:p w14:paraId="0DE3039C"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t>– Las indemnizaciones por fallecimiento y las correspondientes a traslados, suspensiones y despidos.</w:t>
      </w:r>
    </w:p>
    <w:p w14:paraId="590E3663"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t>– Las cantidades que se abonen en concepto de quebranto de moneda y las indemnizaciones por desgaste de útiles o herramientas y adquisición de prendas de trabajo.</w:t>
      </w:r>
    </w:p>
    <w:p w14:paraId="11494F15" w14:textId="77777777" w:rsidR="00BC17CA" w:rsidRPr="00CF1B34" w:rsidRDefault="00BC17CA" w:rsidP="0005621A">
      <w:pPr>
        <w:pStyle w:val="Sinespaciado"/>
        <w:ind w:firstLine="708"/>
        <w:jc w:val="both"/>
        <w:rPr>
          <w:rFonts w:ascii="Arial" w:hAnsi="Arial" w:cs="Arial"/>
          <w:color w:val="4B4F58"/>
          <w:sz w:val="22"/>
          <w:szCs w:val="22"/>
          <w:lang w:val="es-ES_tradnl"/>
        </w:rPr>
      </w:pPr>
      <w:r w:rsidRPr="00CF1B34">
        <w:rPr>
          <w:rFonts w:ascii="Arial" w:hAnsi="Arial" w:cs="Arial"/>
          <w:color w:val="4B4F58"/>
          <w:sz w:val="22"/>
          <w:szCs w:val="22"/>
          <w:lang w:val="es-ES_tradnl"/>
        </w:rPr>
        <w:t>– Los productos en especie concedidos voluntariamente por las empresas.</w:t>
      </w:r>
    </w:p>
    <w:p w14:paraId="446B874F" w14:textId="77777777" w:rsidR="00BC17CA" w:rsidRPr="00CF1B34" w:rsidRDefault="00BC17CA" w:rsidP="0005621A">
      <w:pPr>
        <w:pStyle w:val="Sinespaciado"/>
        <w:ind w:firstLine="708"/>
        <w:jc w:val="both"/>
        <w:rPr>
          <w:rFonts w:ascii="Arial" w:hAnsi="Arial" w:cs="Arial"/>
          <w:color w:val="4B4F58"/>
          <w:sz w:val="22"/>
          <w:szCs w:val="22"/>
          <w:lang w:val="es-ES_tradnl"/>
        </w:rPr>
      </w:pPr>
      <w:r w:rsidRPr="00CF1B34">
        <w:rPr>
          <w:rFonts w:ascii="Arial" w:hAnsi="Arial" w:cs="Arial"/>
          <w:color w:val="4B4F58"/>
          <w:sz w:val="22"/>
          <w:szCs w:val="22"/>
          <w:lang w:val="es-ES_tradnl"/>
        </w:rPr>
        <w:t>– Las percepciones por matrimonio.</w:t>
      </w:r>
    </w:p>
    <w:p w14:paraId="6C32C1C1"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t>– Las prestaciones de la Seguridad Social, así como sus mejoras y las asignaciones asistenciales concedidas por las empresas.</w:t>
      </w:r>
    </w:p>
    <w:p w14:paraId="72400411"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t>– Las horas extraordinarias, salvo para la cotización por accidentes de trabajo y enfermedades profesionales de la Seguridad Social.</w:t>
      </w:r>
    </w:p>
    <w:p w14:paraId="1CE9033A" w14:textId="77777777" w:rsidR="00BC17CA" w:rsidRPr="00CF1B34" w:rsidRDefault="00BC17CA" w:rsidP="0005621A">
      <w:pPr>
        <w:pStyle w:val="Sinespaciado"/>
        <w:ind w:left="708"/>
        <w:jc w:val="both"/>
        <w:rPr>
          <w:rFonts w:ascii="Arial" w:hAnsi="Arial" w:cs="Arial"/>
          <w:color w:val="4B4F58"/>
          <w:sz w:val="22"/>
          <w:szCs w:val="22"/>
          <w:lang w:val="es-ES_tradnl"/>
        </w:rPr>
      </w:pPr>
      <w:r w:rsidRPr="00CF1B34">
        <w:rPr>
          <w:rFonts w:ascii="Arial" w:hAnsi="Arial" w:cs="Arial"/>
          <w:color w:val="4B4F58"/>
          <w:sz w:val="22"/>
          <w:szCs w:val="22"/>
          <w:lang w:val="es-ES_tradnl"/>
        </w:rPr>
        <w:t>Tanto las bases de cotización (mensuales o diarias) mínimas y máximas para las distintas contingencias y categorías profesionales de los trabajadores (grupos de cotización), como los tipos de cotización son establecidos anualmente.</w:t>
      </w:r>
    </w:p>
    <w:p w14:paraId="79138F98" w14:textId="77777777" w:rsidR="00BC17CA" w:rsidRPr="00CF1B34" w:rsidRDefault="00BC17C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4B4F58"/>
          <w:sz w:val="22"/>
          <w:szCs w:val="22"/>
          <w:lang w:val="es-ES_tradnl"/>
        </w:rPr>
        <w:t>Todos los años, los trabajadores autónomos podrán cambiar de base de cotización, eligiendo otra de las establecidas, siempre que efectúen el cambio antes del 1 de octubre de cada año, surtiendo efecto a partir del 1 de enero del año siguiente.</w:t>
      </w:r>
    </w:p>
    <w:p w14:paraId="61EAAEB3" w14:textId="33C8CB82" w:rsidR="00A811A8" w:rsidRPr="00CF1B34" w:rsidRDefault="00A811A8" w:rsidP="0005621A">
      <w:pPr>
        <w:pStyle w:val="Sinespaciado"/>
        <w:jc w:val="both"/>
        <w:rPr>
          <w:rFonts w:ascii="Arial" w:hAnsi="Arial" w:cs="Arial"/>
          <w:b/>
          <w:bCs/>
          <w:color w:val="2F5496" w:themeColor="accent1" w:themeShade="BF"/>
          <w:lang w:val="es-ES_tradnl"/>
        </w:rPr>
      </w:pPr>
      <w:r w:rsidRPr="00CF1B34">
        <w:rPr>
          <w:rFonts w:ascii="Arial" w:hAnsi="Arial" w:cs="Arial"/>
          <w:b/>
          <w:bCs/>
          <w:color w:val="2F5496" w:themeColor="accent1" w:themeShade="BF"/>
          <w:lang w:val="es-ES_tradnl"/>
        </w:rPr>
        <w:t xml:space="preserve">Couchsurfing </w:t>
      </w:r>
    </w:p>
    <w:p w14:paraId="0E06B7BD" w14:textId="77777777" w:rsidR="00F316E3" w:rsidRPr="00CF1B34" w:rsidRDefault="00D83530" w:rsidP="0005621A">
      <w:pPr>
        <w:pBdr>
          <w:bottom w:val="dotted" w:sz="12" w:space="12" w:color="666666"/>
        </w:pBdr>
        <w:spacing w:after="240"/>
        <w:ind w:left="720"/>
        <w:jc w:val="both"/>
        <w:rPr>
          <w:rFonts w:ascii="Arial" w:hAnsi="Arial" w:cs="Arial"/>
          <w:color w:val="333333"/>
          <w:sz w:val="22"/>
          <w:szCs w:val="22"/>
          <w:lang w:val="es-ES_tradnl"/>
        </w:rPr>
      </w:pPr>
      <w:hyperlink r:id="rId180" w:history="1">
        <w:r w:rsidR="00A33938" w:rsidRPr="00CF1B34">
          <w:rPr>
            <w:rFonts w:ascii="Arial" w:hAnsi="Arial" w:cs="Arial"/>
            <w:color w:val="000000"/>
            <w:sz w:val="22"/>
            <w:szCs w:val="22"/>
            <w:u w:val="single"/>
            <w:lang w:val="es-ES_tradnl"/>
          </w:rPr>
          <w:t>Couchsurfing</w:t>
        </w:r>
      </w:hyperlink>
      <w:r w:rsidR="00A33938" w:rsidRPr="00CF1B34">
        <w:rPr>
          <w:rFonts w:ascii="Arial" w:hAnsi="Arial" w:cs="Arial"/>
          <w:color w:val="333333"/>
          <w:sz w:val="22"/>
          <w:szCs w:val="22"/>
          <w:lang w:val="es-ES_tradnl"/>
        </w:rPr>
        <w:t xml:space="preserve">, este servicio se basa en localizar a una persona que ofrezca un “sofá” para dormir en los destinos de viaje, y a la vez hospedar a viajeros de cualquier parte del mundo. Couchsurfing, una red para buscar hospedaje en cualquier parte del mundo, apareció en el 2003 gracias a la insistente búsqueda de un viajero sin techo. Actualmente, se ha convertido en una red internacional que une personas con </w:t>
      </w:r>
      <w:hyperlink r:id="rId181" w:history="1">
        <w:r w:rsidR="00A33938" w:rsidRPr="00CF1B34">
          <w:rPr>
            <w:rFonts w:ascii="Arial" w:hAnsi="Arial" w:cs="Arial"/>
            <w:color w:val="000000"/>
            <w:sz w:val="22"/>
            <w:szCs w:val="22"/>
            <w:u w:val="single"/>
            <w:lang w:val="es-ES_tradnl"/>
          </w:rPr>
          <w:t>bajo presupuesto</w:t>
        </w:r>
      </w:hyperlink>
      <w:r w:rsidR="00A33938" w:rsidRPr="00CF1B34">
        <w:rPr>
          <w:rFonts w:ascii="Arial" w:hAnsi="Arial" w:cs="Arial"/>
          <w:color w:val="333333"/>
          <w:sz w:val="22"/>
          <w:szCs w:val="22"/>
          <w:lang w:val="es-ES_tradnl"/>
        </w:rPr>
        <w:t xml:space="preserve"> dispuesta a recorrer el mundo, con mente abierta y aventureros.</w:t>
      </w:r>
    </w:p>
    <w:p w14:paraId="145189F4" w14:textId="77777777" w:rsidR="00F316E3" w:rsidRPr="00CF1B34" w:rsidRDefault="00F316E3" w:rsidP="0005621A">
      <w:pPr>
        <w:pBdr>
          <w:bottom w:val="dotted" w:sz="12" w:space="12" w:color="666666"/>
        </w:pBdr>
        <w:spacing w:after="240"/>
        <w:ind w:left="720"/>
        <w:jc w:val="both"/>
        <w:rPr>
          <w:rFonts w:ascii="Arial" w:hAnsi="Arial" w:cs="Arial"/>
          <w:color w:val="333333"/>
          <w:sz w:val="22"/>
          <w:szCs w:val="22"/>
          <w:lang w:val="es-ES_tradnl"/>
        </w:rPr>
      </w:pPr>
      <w:r w:rsidRPr="00CF1B34">
        <w:rPr>
          <w:rFonts w:ascii="Arial" w:hAnsi="Arial" w:cs="Arial"/>
          <w:color w:val="333333"/>
          <w:sz w:val="22"/>
          <w:szCs w:val="22"/>
          <w:lang w:val="es-ES_tradnl"/>
        </w:rPr>
        <w:t>El sistema de Couchsurfing se basa en ciertos niveles básicos de la seguridad de los datos:</w:t>
      </w:r>
    </w:p>
    <w:p w14:paraId="2C68F0D8" w14:textId="5C1AA735" w:rsidR="00F316E3" w:rsidRPr="00CF1B34" w:rsidRDefault="00F316E3" w:rsidP="0005621A">
      <w:pPr>
        <w:pBdr>
          <w:bottom w:val="dotted" w:sz="12" w:space="12" w:color="666666"/>
        </w:pBdr>
        <w:spacing w:after="240"/>
        <w:ind w:left="720"/>
        <w:jc w:val="both"/>
        <w:rPr>
          <w:rFonts w:ascii="Arial" w:hAnsi="Arial" w:cs="Arial"/>
          <w:color w:val="333333"/>
          <w:sz w:val="22"/>
          <w:szCs w:val="22"/>
          <w:lang w:val="es-ES_tradnl"/>
        </w:rPr>
      </w:pPr>
      <w:r w:rsidRPr="00CF1B34">
        <w:rPr>
          <w:rFonts w:ascii="Arial" w:hAnsi="Arial" w:cs="Arial"/>
          <w:color w:val="333333"/>
          <w:sz w:val="22"/>
          <w:szCs w:val="22"/>
          <w:lang w:val="es-ES_tradnl"/>
        </w:rPr>
        <w:t>- Referencias personales: Se trata de los comentarios de los viajeros en el perfil en el estos ofrecen su experiencia dando su opinión y algunos consejos a los demás</w:t>
      </w:r>
    </w:p>
    <w:p w14:paraId="156DD2C6" w14:textId="03AA02D6" w:rsidR="00F316E3" w:rsidRPr="00CF1B34" w:rsidRDefault="00F316E3" w:rsidP="0005621A">
      <w:pPr>
        <w:pBdr>
          <w:bottom w:val="dotted" w:sz="12" w:space="12" w:color="666666"/>
        </w:pBdr>
        <w:spacing w:after="240"/>
        <w:ind w:left="720"/>
        <w:jc w:val="both"/>
        <w:rPr>
          <w:rFonts w:ascii="Arial" w:hAnsi="Arial" w:cs="Arial"/>
          <w:color w:val="333333"/>
          <w:sz w:val="22"/>
          <w:szCs w:val="22"/>
          <w:lang w:val="es-ES_tradnl"/>
        </w:rPr>
      </w:pPr>
      <w:r w:rsidRPr="00CF1B34">
        <w:rPr>
          <w:rFonts w:ascii="Arial" w:hAnsi="Arial" w:cs="Arial"/>
          <w:color w:val="333333"/>
          <w:sz w:val="22"/>
          <w:szCs w:val="22"/>
          <w:lang w:val="es-ES_tradnl"/>
        </w:rPr>
        <w:t>- Niveles de verificación: En el se hace una verificación del nombre y dirección con la tarjeta de credito.</w:t>
      </w:r>
    </w:p>
    <w:p w14:paraId="36379032" w14:textId="330A6E7B" w:rsidR="00F316E3" w:rsidRPr="00CF1B34" w:rsidRDefault="00F316E3" w:rsidP="0005621A">
      <w:pPr>
        <w:pBdr>
          <w:bottom w:val="dotted" w:sz="12" w:space="12" w:color="666666"/>
        </w:pBdr>
        <w:spacing w:after="240"/>
        <w:ind w:left="720"/>
        <w:jc w:val="both"/>
        <w:rPr>
          <w:rFonts w:ascii="Arial" w:hAnsi="Arial" w:cs="Arial"/>
          <w:color w:val="333333"/>
          <w:sz w:val="22"/>
          <w:szCs w:val="22"/>
          <w:lang w:val="es-ES_tradnl"/>
        </w:rPr>
      </w:pPr>
      <w:r w:rsidRPr="00CF1B34">
        <w:rPr>
          <w:rFonts w:ascii="Arial" w:hAnsi="Arial" w:cs="Arial"/>
          <w:color w:val="333333"/>
          <w:sz w:val="22"/>
          <w:szCs w:val="22"/>
          <w:lang w:val="es-ES_tradnl"/>
        </w:rPr>
        <w:t>- Avales («vouch»): Este se trata de la</w:t>
      </w:r>
      <w:r w:rsidR="0056294C" w:rsidRPr="00CF1B34">
        <w:rPr>
          <w:rFonts w:ascii="Arial" w:hAnsi="Arial" w:cs="Arial"/>
          <w:color w:val="333333"/>
          <w:sz w:val="22"/>
          <w:szCs w:val="22"/>
          <w:lang w:val="es-ES_tradnl"/>
        </w:rPr>
        <w:t>s</w:t>
      </w:r>
      <w:r w:rsidRPr="00CF1B34">
        <w:rPr>
          <w:rFonts w:ascii="Arial" w:hAnsi="Arial" w:cs="Arial"/>
          <w:color w:val="333333"/>
          <w:sz w:val="22"/>
          <w:szCs w:val="22"/>
          <w:lang w:val="es-ES_tradnl"/>
        </w:rPr>
        <w:t xml:space="preserve"> credenciales que los viajeros-usuarios </w:t>
      </w:r>
      <w:proofErr w:type="gramStart"/>
      <w:r w:rsidRPr="00CF1B34">
        <w:rPr>
          <w:rFonts w:ascii="Arial" w:hAnsi="Arial" w:cs="Arial"/>
          <w:color w:val="333333"/>
          <w:sz w:val="22"/>
          <w:szCs w:val="22"/>
          <w:lang w:val="es-ES_tradnl"/>
        </w:rPr>
        <w:t>le</w:t>
      </w:r>
      <w:proofErr w:type="gramEnd"/>
      <w:r w:rsidRPr="00CF1B34">
        <w:rPr>
          <w:rFonts w:ascii="Arial" w:hAnsi="Arial" w:cs="Arial"/>
          <w:color w:val="333333"/>
          <w:sz w:val="22"/>
          <w:szCs w:val="22"/>
          <w:lang w:val="es-ES_tradnl"/>
        </w:rPr>
        <w:t xml:space="preserve"> otorgan solo a personas de confianza.</w:t>
      </w:r>
    </w:p>
    <w:p w14:paraId="602A00A7" w14:textId="6D3C88E1" w:rsidR="00F316E3" w:rsidRPr="00CF1B34" w:rsidRDefault="00F316E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Crawling Peg (devaluación gota a gota)</w:t>
      </w:r>
    </w:p>
    <w:p w14:paraId="38E69A5E" w14:textId="7052A658" w:rsidR="00F24F1E" w:rsidRPr="00CF1B34" w:rsidRDefault="00F316E3" w:rsidP="0005621A">
      <w:pPr>
        <w:pBdr>
          <w:bottom w:val="dotted" w:sz="12" w:space="12" w:color="666666"/>
        </w:pBdr>
        <w:spacing w:after="240"/>
        <w:ind w:left="720"/>
        <w:jc w:val="both"/>
        <w:rPr>
          <w:rFonts w:ascii="Arial" w:hAnsi="Arial" w:cs="Arial"/>
          <w:color w:val="333333"/>
          <w:sz w:val="22"/>
          <w:szCs w:val="22"/>
          <w:lang w:val="es-ES_tradnl"/>
        </w:rPr>
      </w:pPr>
      <w:r w:rsidRPr="00CF1B34">
        <w:rPr>
          <w:rFonts w:ascii="Arial" w:hAnsi="Arial" w:cs="Arial"/>
          <w:color w:val="333333"/>
          <w:sz w:val="22"/>
          <w:szCs w:val="22"/>
          <w:lang w:val="es-ES_tradnl"/>
        </w:rPr>
        <w:t>Ante la</w:t>
      </w:r>
      <w:r w:rsidRPr="00CF1B34">
        <w:rPr>
          <w:rStyle w:val="Textoennegrita"/>
          <w:rFonts w:ascii="Arial" w:hAnsi="Arial" w:cs="Arial"/>
          <w:b w:val="0"/>
          <w:bCs w:val="0"/>
          <w:color w:val="333333"/>
          <w:sz w:val="22"/>
          <w:szCs w:val="22"/>
          <w:lang w:val="es-ES_tradnl"/>
        </w:rPr>
        <w:t xml:space="preserve"> crisis de deuda</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resurgen ciertos</w:t>
      </w:r>
      <w:r w:rsidRPr="00CF1B34">
        <w:rPr>
          <w:rStyle w:val="Textoennegrita"/>
          <w:rFonts w:ascii="Arial" w:hAnsi="Arial" w:cs="Arial"/>
          <w:color w:val="333333"/>
          <w:sz w:val="22"/>
          <w:szCs w:val="22"/>
          <w:lang w:val="es-ES_tradnl"/>
        </w:rPr>
        <w:t xml:space="preserve"> términos</w:t>
      </w:r>
      <w:r w:rsidRPr="00CF1B34">
        <w:rPr>
          <w:rFonts w:ascii="Arial" w:hAnsi="Arial" w:cs="Arial"/>
          <w:color w:val="333333"/>
          <w:sz w:val="22"/>
          <w:szCs w:val="22"/>
          <w:lang w:val="es-ES_tradnl"/>
        </w:rPr>
        <w:t xml:space="preserve"> que cuando uno</w:t>
      </w:r>
      <w:r w:rsidR="0056294C" w:rsidRPr="00CF1B34">
        <w:rPr>
          <w:rFonts w:ascii="Arial" w:hAnsi="Arial" w:cs="Arial"/>
          <w:color w:val="333333"/>
          <w:sz w:val="22"/>
          <w:szCs w:val="22"/>
          <w:lang w:val="es-ES_tradnl"/>
        </w:rPr>
        <w:t>s</w:t>
      </w:r>
      <w:r w:rsidRPr="00CF1B34">
        <w:rPr>
          <w:rFonts w:ascii="Arial" w:hAnsi="Arial" w:cs="Arial"/>
          <w:color w:val="333333"/>
          <w:sz w:val="22"/>
          <w:szCs w:val="22"/>
          <w:lang w:val="es-ES_tradnl"/>
        </w:rPr>
        <w:t xml:space="preserve"> creen que perdieron vigencia vuelven al candelero de las bocas de los economistas y de los medios y uno que</w:t>
      </w:r>
      <w:r w:rsidR="0056294C" w:rsidRPr="00CF1B34">
        <w:rPr>
          <w:rFonts w:ascii="Arial" w:hAnsi="Arial" w:cs="Arial"/>
          <w:color w:val="333333"/>
          <w:sz w:val="22"/>
          <w:szCs w:val="22"/>
          <w:lang w:val="es-ES_tradnl"/>
        </w:rPr>
        <w:t>,</w:t>
      </w:r>
      <w:r w:rsidRPr="00CF1B34">
        <w:rPr>
          <w:rFonts w:ascii="Arial" w:hAnsi="Arial" w:cs="Arial"/>
          <w:color w:val="333333"/>
          <w:sz w:val="22"/>
          <w:szCs w:val="22"/>
          <w:lang w:val="es-ES_tradnl"/>
        </w:rPr>
        <w:t xml:space="preserve"> si bien no es de los mas nombrados, puede ser citado en algunos casos es el </w:t>
      </w:r>
      <w:r w:rsidRPr="00CF1B34">
        <w:rPr>
          <w:rStyle w:val="Textoennegrita"/>
          <w:rFonts w:ascii="Arial" w:hAnsi="Arial" w:cs="Arial"/>
          <w:b w:val="0"/>
          <w:bCs w:val="0"/>
          <w:color w:val="333333"/>
          <w:sz w:val="22"/>
          <w:szCs w:val="22"/>
          <w:lang w:val="es-ES_tradnl"/>
        </w:rPr>
        <w:t>«Crawling Peg»</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 xml:space="preserve">que se lo conoce como una </w:t>
      </w:r>
      <w:hyperlink r:id="rId182" w:history="1"/>
      <w:r w:rsidRPr="00CF1B34">
        <w:rPr>
          <w:rStyle w:val="Textoennegrita"/>
          <w:rFonts w:ascii="Arial" w:hAnsi="Arial" w:cs="Arial"/>
          <w:color w:val="333333"/>
          <w:sz w:val="22"/>
          <w:szCs w:val="22"/>
          <w:lang w:val="es-ES_tradnl"/>
        </w:rPr>
        <w:t xml:space="preserve"> </w:t>
      </w:r>
      <w:r w:rsidRPr="00CF1B34">
        <w:rPr>
          <w:rStyle w:val="Textoennegrita"/>
          <w:rFonts w:ascii="Arial" w:hAnsi="Arial" w:cs="Arial"/>
          <w:b w:val="0"/>
          <w:bCs w:val="0"/>
          <w:color w:val="333333"/>
          <w:sz w:val="22"/>
          <w:szCs w:val="22"/>
          <w:lang w:val="es-ES_tradnl"/>
        </w:rPr>
        <w:t>“gota a gota”</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es un</w:t>
      </w:r>
      <w:r w:rsidRPr="00CF1B34">
        <w:rPr>
          <w:rFonts w:ascii="Arial" w:hAnsi="Arial" w:cs="Arial"/>
          <w:b/>
          <w:bCs/>
          <w:color w:val="333333"/>
          <w:sz w:val="22"/>
          <w:szCs w:val="22"/>
          <w:lang w:val="es-ES_tradnl"/>
        </w:rPr>
        <w:t xml:space="preserve"> </w:t>
      </w:r>
      <w:r w:rsidRPr="00CF1B34">
        <w:rPr>
          <w:rStyle w:val="Textoennegrita"/>
          <w:rFonts w:ascii="Arial" w:hAnsi="Arial" w:cs="Arial"/>
          <w:b w:val="0"/>
          <w:bCs w:val="0"/>
          <w:color w:val="333333"/>
          <w:sz w:val="22"/>
          <w:szCs w:val="22"/>
          <w:lang w:val="es-ES_tradnl"/>
        </w:rPr>
        <w:t>régimen de tipo de cambio móvil.</w:t>
      </w:r>
      <w:r w:rsidRPr="00CF1B34">
        <w:rPr>
          <w:rFonts w:ascii="Arial" w:hAnsi="Arial" w:cs="Arial"/>
          <w:b/>
          <w:bCs/>
          <w:color w:val="333333"/>
          <w:sz w:val="22"/>
          <w:szCs w:val="22"/>
          <w:lang w:val="es-ES_tradnl"/>
        </w:rPr>
        <w:t xml:space="preserve"> Considerado generalmente como un </w:t>
      </w:r>
      <w:hyperlink r:id="rId183" w:history="1">
        <w:r w:rsidRPr="00CF1B34">
          <w:rPr>
            <w:rStyle w:val="Textoennegrita"/>
            <w:rFonts w:ascii="Arial" w:hAnsi="Arial" w:cs="Arial"/>
            <w:b w:val="0"/>
            <w:bCs w:val="0"/>
            <w:color w:val="000000"/>
            <w:sz w:val="22"/>
            <w:szCs w:val="22"/>
            <w:lang w:val="es-ES_tradnl"/>
          </w:rPr>
          <w:t>tipo de cambio fijado</w:t>
        </w:r>
      </w:hyperlink>
      <w:r w:rsidRPr="00CF1B34">
        <w:rPr>
          <w:rFonts w:ascii="Arial" w:hAnsi="Arial" w:cs="Arial"/>
          <w:b/>
          <w:bCs/>
          <w:color w:val="333333"/>
          <w:sz w:val="22"/>
          <w:szCs w:val="22"/>
          <w:lang w:val="es-ES_tradnl"/>
        </w:rPr>
        <w:t xml:space="preserve"> que les permite la </w:t>
      </w:r>
      <w:r w:rsidRPr="00CF1B34">
        <w:rPr>
          <w:rStyle w:val="Textoennegrita"/>
          <w:rFonts w:ascii="Arial" w:hAnsi="Arial" w:cs="Arial"/>
          <w:b w:val="0"/>
          <w:bCs w:val="0"/>
          <w:color w:val="333333"/>
          <w:sz w:val="22"/>
          <w:szCs w:val="22"/>
          <w:lang w:val="es-ES_tradnl"/>
        </w:rPr>
        <w:t>depreciación o apreciación de un tipo de cambio gradual</w:t>
      </w:r>
      <w:r w:rsidRPr="00CF1B34">
        <w:rPr>
          <w:rFonts w:ascii="Arial" w:hAnsi="Arial" w:cs="Arial"/>
          <w:b/>
          <w:bCs/>
          <w:color w:val="333333"/>
          <w:sz w:val="22"/>
          <w:szCs w:val="22"/>
          <w:lang w:val="es-ES_tradnl"/>
        </w:rPr>
        <w:t>.</w:t>
      </w:r>
    </w:p>
    <w:p w14:paraId="6B2EAD39" w14:textId="7F7C2949" w:rsidR="00A951B7" w:rsidRPr="00CF1B34" w:rsidRDefault="00A951B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Coworking</w:t>
      </w:r>
    </w:p>
    <w:p w14:paraId="32BF7C54" w14:textId="7521D458" w:rsidR="00A951B7" w:rsidRPr="00CF1B34" w:rsidRDefault="00A951B7" w:rsidP="0005621A">
      <w:pPr>
        <w:ind w:left="708"/>
        <w:jc w:val="both"/>
        <w:rPr>
          <w:rFonts w:ascii="Arial" w:hAnsi="Arial" w:cs="Arial"/>
          <w:sz w:val="22"/>
          <w:szCs w:val="22"/>
          <w:lang w:val="es-ES_tradnl"/>
        </w:rPr>
      </w:pPr>
      <w:r w:rsidRPr="00CF1B34">
        <w:rPr>
          <w:rFonts w:ascii="Arial" w:hAnsi="Arial" w:cs="Arial"/>
          <w:color w:val="000000"/>
          <w:sz w:val="22"/>
          <w:szCs w:val="22"/>
          <w:shd w:val="clear" w:color="auto" w:fill="FFFFFF"/>
          <w:lang w:val="es-ES_tradnl"/>
        </w:rPr>
        <w:lastRenderedPageBreak/>
        <w:t xml:space="preserve">El </w:t>
      </w:r>
      <w:r w:rsidRPr="00CF1B34">
        <w:rPr>
          <w:rFonts w:ascii="Arial" w:hAnsi="Arial" w:cs="Arial"/>
          <w:i/>
          <w:iCs/>
          <w:color w:val="1F3864" w:themeColor="accent1" w:themeShade="80"/>
          <w:sz w:val="22"/>
          <w:szCs w:val="22"/>
          <w:shd w:val="clear" w:color="auto" w:fill="FFFFFF"/>
          <w:lang w:val="es-ES_tradnl"/>
        </w:rPr>
        <w:t>coworking</w:t>
      </w:r>
      <w:r w:rsidRPr="00CF1B34">
        <w:rPr>
          <w:rFonts w:ascii="Arial" w:hAnsi="Arial" w:cs="Arial"/>
          <w:i/>
          <w:iCs/>
          <w:color w:val="4472C4" w:themeColor="accent1"/>
          <w:sz w:val="22"/>
          <w:szCs w:val="22"/>
          <w:shd w:val="clear" w:color="auto" w:fill="FFFFFF"/>
          <w:lang w:val="es-ES_tradnl"/>
        </w:rPr>
        <w:t xml:space="preserve"> </w:t>
      </w:r>
      <w:r w:rsidRPr="00CF1B34">
        <w:rPr>
          <w:rFonts w:ascii="Arial" w:hAnsi="Arial" w:cs="Arial"/>
          <w:color w:val="000000"/>
          <w:sz w:val="22"/>
          <w:szCs w:val="22"/>
          <w:shd w:val="clear" w:color="auto" w:fill="FFFFFF"/>
          <w:lang w:val="es-ES_tradnl"/>
        </w:rPr>
        <w:t xml:space="preserve">como un espacio compartido -físico o virtual- donde profesionales individuales como autónomos, empresarios o empleados que cuentan con la modalidad parcial o total de teletrabajo, así como </w:t>
      </w:r>
      <w:hyperlink r:id="rId184" w:history="1">
        <w:r w:rsidRPr="00CF1B34">
          <w:rPr>
            <w:rFonts w:ascii="Arial" w:hAnsi="Arial" w:cs="Arial"/>
            <w:color w:val="EC0000"/>
            <w:sz w:val="22"/>
            <w:szCs w:val="22"/>
            <w:u w:val="single"/>
            <w:shd w:val="clear" w:color="auto" w:fill="FFFFFF"/>
            <w:lang w:val="es-ES_tradnl"/>
          </w:rPr>
          <w:t>pymes</w:t>
        </w:r>
      </w:hyperlink>
      <w:r w:rsidRPr="00CF1B34">
        <w:rPr>
          <w:rFonts w:ascii="Arial" w:hAnsi="Arial" w:cs="Arial"/>
          <w:color w:val="000000"/>
          <w:sz w:val="22"/>
          <w:szCs w:val="22"/>
          <w:shd w:val="clear" w:color="auto" w:fill="FFFFFF"/>
          <w:lang w:val="es-ES_tradnl"/>
        </w:rPr>
        <w:t xml:space="preserve"> o </w:t>
      </w:r>
      <w:r w:rsidRPr="00CF1B34">
        <w:rPr>
          <w:rFonts w:ascii="Arial" w:hAnsi="Arial" w:cs="Arial"/>
          <w:i/>
          <w:iCs/>
          <w:color w:val="C45911" w:themeColor="accent2" w:themeShade="BF"/>
          <w:sz w:val="22"/>
          <w:szCs w:val="22"/>
          <w:shd w:val="clear" w:color="auto" w:fill="FFFFFF"/>
          <w:lang w:val="es-ES_tradnl"/>
        </w:rPr>
        <w:t xml:space="preserve">startups </w:t>
      </w:r>
      <w:r w:rsidRPr="00CF1B34">
        <w:rPr>
          <w:rFonts w:ascii="Arial" w:hAnsi="Arial" w:cs="Arial"/>
          <w:color w:val="000000"/>
          <w:sz w:val="22"/>
          <w:szCs w:val="22"/>
          <w:shd w:val="clear" w:color="auto" w:fill="FFFFFF"/>
          <w:lang w:val="es-ES_tradnl"/>
        </w:rPr>
        <w:t>pueden desarrollar su actividad.</w:t>
      </w:r>
      <w:r w:rsidR="00012942" w:rsidRPr="00CF1B34">
        <w:rPr>
          <w:rFonts w:ascii="Arial" w:hAnsi="Arial" w:cs="Arial"/>
          <w:color w:val="000000"/>
          <w:sz w:val="22"/>
          <w:szCs w:val="22"/>
          <w:shd w:val="clear" w:color="auto" w:fill="FFFFFF"/>
          <w:lang w:val="es-ES_tradnl"/>
        </w:rPr>
        <w:t xml:space="preserve"> </w:t>
      </w:r>
    </w:p>
    <w:p w14:paraId="13F8F66E" w14:textId="4373EEEA" w:rsidR="00012942" w:rsidRPr="00CF1B34" w:rsidRDefault="00012942" w:rsidP="0005621A">
      <w:pPr>
        <w:pStyle w:val="NormalWeb"/>
        <w:shd w:val="clear" w:color="auto" w:fill="FFFFFF"/>
        <w:spacing w:before="0" w:beforeAutospacing="0" w:after="0" w:afterAutospacing="0"/>
        <w:ind w:firstLine="630"/>
        <w:jc w:val="both"/>
        <w:rPr>
          <w:rFonts w:ascii="Arial" w:hAnsi="Arial" w:cs="Arial"/>
          <w:color w:val="000000"/>
          <w:sz w:val="22"/>
          <w:szCs w:val="22"/>
          <w:lang w:val="es-ES_tradnl"/>
        </w:rPr>
      </w:pPr>
      <w:r w:rsidRPr="00CF1B34">
        <w:rPr>
          <w:rFonts w:ascii="Arial" w:hAnsi="Arial" w:cs="Arial"/>
          <w:color w:val="000000"/>
          <w:sz w:val="22"/>
          <w:szCs w:val="22"/>
          <w:lang w:val="es-ES_tradnl"/>
        </w:rPr>
        <w:t>Los usuarios pueden disfrutar de las siguientes ventajas:</w:t>
      </w:r>
    </w:p>
    <w:p w14:paraId="51128365" w14:textId="2E08AE1C" w:rsidR="00012942" w:rsidRPr="00CF1B34" w:rsidRDefault="00012942" w:rsidP="004F7A62">
      <w:pPr>
        <w:numPr>
          <w:ilvl w:val="0"/>
          <w:numId w:val="115"/>
        </w:numPr>
        <w:shd w:val="clear" w:color="auto" w:fill="FFFFFF"/>
        <w:spacing w:before="100" w:beforeAutospacing="1" w:after="100" w:afterAutospacing="1"/>
        <w:ind w:left="990"/>
        <w:jc w:val="both"/>
        <w:rPr>
          <w:rFonts w:ascii="Arial" w:hAnsi="Arial" w:cs="Arial"/>
          <w:color w:val="000000"/>
          <w:sz w:val="22"/>
          <w:szCs w:val="22"/>
          <w:lang w:val="es-ES_tradnl"/>
        </w:rPr>
      </w:pPr>
      <w:r w:rsidRPr="00CF1B34">
        <w:rPr>
          <w:rStyle w:val="Textoennegrita"/>
          <w:rFonts w:ascii="Arial" w:hAnsi="Arial" w:cs="Arial"/>
          <w:color w:val="000000"/>
          <w:sz w:val="22"/>
          <w:szCs w:val="22"/>
          <w:lang w:val="es-ES_tradnl"/>
        </w:rPr>
        <w:t xml:space="preserve">Flexibilidad: </w:t>
      </w:r>
      <w:r w:rsidRPr="00CF1B34">
        <w:rPr>
          <w:rFonts w:ascii="Arial" w:hAnsi="Arial" w:cs="Arial"/>
          <w:color w:val="000000"/>
          <w:sz w:val="22"/>
          <w:szCs w:val="22"/>
          <w:lang w:val="es-ES_tradnl"/>
        </w:rPr>
        <w:t xml:space="preserve">los espacios </w:t>
      </w:r>
      <w:r w:rsidRPr="00CF1B34">
        <w:rPr>
          <w:rStyle w:val="nfasis"/>
          <w:rFonts w:ascii="Arial" w:hAnsi="Arial" w:cs="Arial"/>
          <w:color w:val="1F3864" w:themeColor="accent1" w:themeShade="80"/>
          <w:sz w:val="22"/>
          <w:szCs w:val="22"/>
          <w:lang w:val="es-ES_tradnl"/>
        </w:rPr>
        <w:t xml:space="preserve">coworking </w:t>
      </w:r>
      <w:r w:rsidRPr="00CF1B34">
        <w:rPr>
          <w:rFonts w:ascii="Arial" w:hAnsi="Arial" w:cs="Arial"/>
          <w:color w:val="000000"/>
          <w:sz w:val="22"/>
          <w:szCs w:val="22"/>
          <w:lang w:val="es-ES_tradnl"/>
        </w:rPr>
        <w:t xml:space="preserve">cuentan con distintos planes para adaptarse a las necesidades del solicitante; por ejemplo, usos de corta duración, media o larga; salas de reuniones, etc. </w:t>
      </w:r>
    </w:p>
    <w:p w14:paraId="4E47A4B0" w14:textId="6602A3C8" w:rsidR="00012942" w:rsidRPr="00CF1B34" w:rsidRDefault="00012942" w:rsidP="004F7A62">
      <w:pPr>
        <w:numPr>
          <w:ilvl w:val="0"/>
          <w:numId w:val="115"/>
        </w:numPr>
        <w:shd w:val="clear" w:color="auto" w:fill="FFFFFF"/>
        <w:spacing w:before="100" w:beforeAutospacing="1" w:after="100" w:afterAutospacing="1"/>
        <w:ind w:left="990"/>
        <w:jc w:val="both"/>
        <w:rPr>
          <w:rFonts w:ascii="Arial" w:hAnsi="Arial" w:cs="Arial"/>
          <w:color w:val="000000"/>
          <w:sz w:val="22"/>
          <w:szCs w:val="22"/>
          <w:lang w:val="es-ES_tradnl"/>
        </w:rPr>
      </w:pPr>
      <w:r w:rsidRPr="00CF1B34">
        <w:rPr>
          <w:rStyle w:val="Textoennegrita"/>
          <w:rFonts w:ascii="Arial" w:hAnsi="Arial" w:cs="Arial"/>
          <w:color w:val="000000"/>
          <w:sz w:val="22"/>
          <w:szCs w:val="22"/>
          <w:lang w:val="es-ES_tradnl"/>
        </w:rPr>
        <w:t xml:space="preserve">Abaratamiento de costes: </w:t>
      </w:r>
      <w:r w:rsidRPr="00CF1B34">
        <w:rPr>
          <w:rFonts w:ascii="Arial" w:hAnsi="Arial" w:cs="Arial"/>
          <w:color w:val="000000"/>
          <w:sz w:val="22"/>
          <w:szCs w:val="22"/>
          <w:lang w:val="es-ES_tradnl"/>
        </w:rPr>
        <w:t>esta opción es más barata, generalmente, que alquilar una oficina o adquirirla en propiedad.</w:t>
      </w:r>
    </w:p>
    <w:p w14:paraId="2D85DC77" w14:textId="0E522CA4" w:rsidR="00012942" w:rsidRPr="00CF1B34" w:rsidRDefault="00012942" w:rsidP="004F7A62">
      <w:pPr>
        <w:numPr>
          <w:ilvl w:val="0"/>
          <w:numId w:val="115"/>
        </w:numPr>
        <w:shd w:val="clear" w:color="auto" w:fill="FFFFFF"/>
        <w:spacing w:before="100" w:beforeAutospacing="1" w:after="100" w:afterAutospacing="1"/>
        <w:ind w:left="990"/>
        <w:jc w:val="both"/>
        <w:rPr>
          <w:rFonts w:ascii="Arial" w:hAnsi="Arial" w:cs="Arial"/>
          <w:color w:val="000000"/>
          <w:sz w:val="22"/>
          <w:szCs w:val="22"/>
          <w:lang w:val="es-ES_tradnl"/>
        </w:rPr>
      </w:pPr>
      <w:r w:rsidRPr="00CF1B34">
        <w:rPr>
          <w:rStyle w:val="Textoennegrita"/>
          <w:rFonts w:ascii="Arial" w:hAnsi="Arial" w:cs="Arial"/>
          <w:color w:val="000000"/>
          <w:sz w:val="22"/>
          <w:szCs w:val="22"/>
          <w:lang w:val="es-ES_tradnl"/>
        </w:rPr>
        <w:t xml:space="preserve">Estimulación de sinergias positivas: </w:t>
      </w:r>
      <w:r w:rsidRPr="00CF1B34">
        <w:rPr>
          <w:rFonts w:ascii="Arial" w:hAnsi="Arial" w:cs="Arial"/>
          <w:color w:val="000000"/>
          <w:sz w:val="22"/>
          <w:szCs w:val="22"/>
          <w:lang w:val="es-ES_tradnl"/>
        </w:rPr>
        <w:t xml:space="preserve">aunque los profesionales no guarden, necesariamente, relación laboral entre sí, esto no quiere decir que en el futuro no pueda surgir. Estar en contacto con otras personas, de funciones y sectores similares o diferentes, facilita el </w:t>
      </w:r>
      <w:hyperlink r:id="rId185" w:tgtFrame="_self" w:history="1">
        <w:r w:rsidRPr="00CF1B34">
          <w:rPr>
            <w:rStyle w:val="Hipervnculo"/>
            <w:rFonts w:ascii="Arial" w:hAnsi="Arial" w:cs="Arial"/>
            <w:i/>
            <w:iCs/>
            <w:color w:val="EC0000"/>
            <w:sz w:val="22"/>
            <w:szCs w:val="22"/>
            <w:lang w:val="es-ES_tradnl"/>
          </w:rPr>
          <w:t>networking</w:t>
        </w:r>
      </w:hyperlink>
      <w:r w:rsidRPr="00CF1B34">
        <w:rPr>
          <w:rStyle w:val="nfasis"/>
          <w:rFonts w:ascii="Arial" w:hAnsi="Arial" w:cs="Arial"/>
          <w:color w:val="000000"/>
          <w:sz w:val="22"/>
          <w:szCs w:val="22"/>
          <w:lang w:val="es-ES_tradnl"/>
        </w:rPr>
        <w:t xml:space="preserve"> </w:t>
      </w:r>
      <w:r w:rsidRPr="00CF1B34">
        <w:rPr>
          <w:rFonts w:ascii="Arial" w:hAnsi="Arial" w:cs="Arial"/>
          <w:color w:val="000000"/>
          <w:sz w:val="22"/>
          <w:szCs w:val="22"/>
          <w:lang w:val="es-ES_tradnl"/>
        </w:rPr>
        <w:t>y da lugar a la proliferación de nuevas ideas y proyectos comunes.</w:t>
      </w:r>
    </w:p>
    <w:p w14:paraId="0367839F" w14:textId="51A1595A" w:rsidR="00012942" w:rsidRPr="00CF1B34" w:rsidRDefault="00012942" w:rsidP="0005621A">
      <w:pPr>
        <w:pStyle w:val="NormalWeb"/>
        <w:shd w:val="clear" w:color="auto" w:fill="FFFFFF"/>
        <w:spacing w:before="0" w:beforeAutospacing="0" w:after="0" w:afterAutospacing="0"/>
        <w:ind w:left="630"/>
        <w:jc w:val="both"/>
        <w:rPr>
          <w:rFonts w:ascii="Arial" w:hAnsi="Arial" w:cs="Arial"/>
          <w:color w:val="000000"/>
          <w:sz w:val="22"/>
          <w:szCs w:val="22"/>
          <w:lang w:val="es-ES_tradnl"/>
        </w:rPr>
      </w:pPr>
      <w:r w:rsidRPr="00CF1B34">
        <w:rPr>
          <w:rFonts w:ascii="Arial" w:hAnsi="Arial" w:cs="Arial"/>
          <w:color w:val="000000"/>
          <w:sz w:val="22"/>
          <w:szCs w:val="22"/>
          <w:lang w:val="es-ES_tradnl"/>
        </w:rPr>
        <w:t>No obstante, no todos son puntos positivos. Entre los inconvenientes más reseñables, podemos mencionar la disminución o falta de privacidad si se trata de temas sensibles o confidenciales, ya que los profesionales de alrededor no pertenecen a la misma organización; los horarios, que en algunos casos suelen ser más rígidos en términos de apertura y cierre, condicionando la jornada laboral; o las distracciones provocadas por el incremento de estímulos presentes en espacios abiertos.</w:t>
      </w:r>
    </w:p>
    <w:p w14:paraId="6763E894" w14:textId="35EDC370" w:rsidR="00A951B7" w:rsidRPr="00CF1B34" w:rsidRDefault="00A951B7" w:rsidP="0005621A">
      <w:pPr>
        <w:jc w:val="both"/>
        <w:rPr>
          <w:rFonts w:ascii="Arial" w:hAnsi="Arial" w:cs="Arial"/>
          <w:b/>
          <w:bCs/>
          <w:color w:val="004773"/>
          <w:sz w:val="22"/>
          <w:szCs w:val="22"/>
          <w:lang w:val="es-ES_tradnl"/>
        </w:rPr>
      </w:pPr>
    </w:p>
    <w:p w14:paraId="7D6F6F2F" w14:textId="67C6A414" w:rsidR="00012942" w:rsidRPr="00CF1B34" w:rsidRDefault="00012942" w:rsidP="0005621A">
      <w:pPr>
        <w:ind w:firstLine="360"/>
        <w:jc w:val="both"/>
        <w:rPr>
          <w:rFonts w:ascii="Arial" w:hAnsi="Arial" w:cs="Arial"/>
          <w:b/>
          <w:bCs/>
          <w:color w:val="004773"/>
          <w:lang w:val="es-ES_tradnl"/>
        </w:rPr>
      </w:pPr>
      <w:proofErr w:type="gramStart"/>
      <w:r w:rsidRPr="00CF1B34">
        <w:rPr>
          <w:rFonts w:ascii="Arial" w:hAnsi="Arial" w:cs="Arial"/>
          <w:b/>
          <w:bCs/>
          <w:i/>
          <w:iCs/>
          <w:color w:val="004773"/>
          <w:lang w:val="es-ES_tradnl"/>
        </w:rPr>
        <w:t>Centro de negocios o coworking</w:t>
      </w:r>
      <w:r w:rsidRPr="00CF1B34">
        <w:rPr>
          <w:rFonts w:ascii="Arial" w:hAnsi="Arial" w:cs="Arial"/>
          <w:b/>
          <w:bCs/>
          <w:color w:val="004773"/>
          <w:lang w:val="es-ES_tradnl"/>
        </w:rPr>
        <w:t>?</w:t>
      </w:r>
      <w:proofErr w:type="gramEnd"/>
    </w:p>
    <w:p w14:paraId="77561943" w14:textId="77777777" w:rsidR="00012942" w:rsidRPr="00CF1B34" w:rsidRDefault="00012942" w:rsidP="0005621A">
      <w:pPr>
        <w:shd w:val="clear" w:color="auto" w:fill="FFFFFF"/>
        <w:spacing w:afterAutospacing="1"/>
        <w:ind w:firstLine="360"/>
        <w:jc w:val="both"/>
        <w:rPr>
          <w:rFonts w:ascii="Arial" w:hAnsi="Arial" w:cs="Arial"/>
          <w:color w:val="000000"/>
          <w:sz w:val="22"/>
          <w:szCs w:val="22"/>
          <w:lang w:val="es-ES_tradnl"/>
        </w:rPr>
      </w:pPr>
      <w:r w:rsidRPr="00CF1B34">
        <w:rPr>
          <w:rFonts w:ascii="Arial" w:hAnsi="Arial" w:cs="Arial"/>
          <w:b/>
          <w:bCs/>
          <w:color w:val="000000"/>
          <w:sz w:val="22"/>
          <w:szCs w:val="22"/>
          <w:lang w:val="es-ES_tradnl"/>
        </w:rPr>
        <w:t>1. Propósito</w:t>
      </w:r>
    </w:p>
    <w:p w14:paraId="3D142995" w14:textId="77777777" w:rsidR="00012942" w:rsidRPr="00CF1B34" w:rsidRDefault="00012942" w:rsidP="004F7A62">
      <w:pPr>
        <w:numPr>
          <w:ilvl w:val="0"/>
          <w:numId w:val="116"/>
        </w:numPr>
        <w:shd w:val="clear" w:color="auto" w:fill="FFFFFF"/>
        <w:spacing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Centro de Negocios: Diseñado para empresas establecidas que buscan un espacio de oficina privada equipado con servicios adicionales, como domicilio fiscal o comercial, acceso a espacios comunes y salas de juntas, y servicio de asistencia.</w:t>
      </w:r>
    </w:p>
    <w:p w14:paraId="498C17EA" w14:textId="77777777" w:rsidR="00012942" w:rsidRPr="00CF1B34" w:rsidRDefault="00012942" w:rsidP="004F7A62">
      <w:pPr>
        <w:numPr>
          <w:ilvl w:val="0"/>
          <w:numId w:val="116"/>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 xml:space="preserve">Coworking: Proporciona un espacio de trabajo compartido para </w:t>
      </w:r>
      <w:r w:rsidRPr="00CF1B34">
        <w:rPr>
          <w:rFonts w:ascii="Arial" w:hAnsi="Arial" w:cs="Arial"/>
          <w:color w:val="7030A0"/>
          <w:sz w:val="22"/>
          <w:szCs w:val="22"/>
          <w:lang w:val="es-ES_tradnl"/>
        </w:rPr>
        <w:t>freelancers</w:t>
      </w:r>
      <w:r w:rsidRPr="00CF1B34">
        <w:rPr>
          <w:rFonts w:ascii="Arial" w:hAnsi="Arial" w:cs="Arial"/>
          <w:color w:val="000000"/>
          <w:sz w:val="22"/>
          <w:szCs w:val="22"/>
          <w:lang w:val="es-ES_tradnl"/>
        </w:rPr>
        <w:t xml:space="preserve">, emprendedores y </w:t>
      </w:r>
      <w:r w:rsidRPr="00CF1B34">
        <w:rPr>
          <w:rFonts w:ascii="Arial" w:hAnsi="Arial" w:cs="Arial"/>
          <w:color w:val="C45911" w:themeColor="accent2" w:themeShade="BF"/>
          <w:sz w:val="22"/>
          <w:szCs w:val="22"/>
          <w:lang w:val="es-ES_tradnl"/>
        </w:rPr>
        <w:t>startups</w:t>
      </w:r>
      <w:r w:rsidRPr="00CF1B34">
        <w:rPr>
          <w:rFonts w:ascii="Arial" w:hAnsi="Arial" w:cs="Arial"/>
          <w:color w:val="000000"/>
          <w:sz w:val="22"/>
          <w:szCs w:val="22"/>
          <w:lang w:val="es-ES_tradnl"/>
        </w:rPr>
        <w:t xml:space="preserve">, enfocado en la colaboración y </w:t>
      </w:r>
      <w:r w:rsidRPr="00CF1B34">
        <w:rPr>
          <w:rFonts w:ascii="Arial" w:hAnsi="Arial" w:cs="Arial"/>
          <w:color w:val="C00000"/>
          <w:sz w:val="22"/>
          <w:szCs w:val="22"/>
          <w:lang w:val="es-ES_tradnl"/>
        </w:rPr>
        <w:t xml:space="preserve">networking </w:t>
      </w:r>
      <w:r w:rsidRPr="00CF1B34">
        <w:rPr>
          <w:rFonts w:ascii="Arial" w:hAnsi="Arial" w:cs="Arial"/>
          <w:color w:val="000000"/>
          <w:sz w:val="22"/>
          <w:szCs w:val="22"/>
          <w:lang w:val="es-ES_tradnl"/>
        </w:rPr>
        <w:t>entre miembros.</w:t>
      </w:r>
    </w:p>
    <w:p w14:paraId="1E7E3D3C" w14:textId="77777777" w:rsidR="00012942" w:rsidRPr="00CF1B34" w:rsidRDefault="00012942" w:rsidP="0005621A">
      <w:pPr>
        <w:shd w:val="clear" w:color="auto" w:fill="FFFFFF"/>
        <w:spacing w:beforeAutospacing="1" w:afterAutospacing="1"/>
        <w:ind w:firstLine="360"/>
        <w:jc w:val="both"/>
        <w:rPr>
          <w:rFonts w:ascii="Arial" w:hAnsi="Arial" w:cs="Arial"/>
          <w:color w:val="000000"/>
          <w:sz w:val="22"/>
          <w:szCs w:val="22"/>
          <w:lang w:val="es-ES_tradnl"/>
        </w:rPr>
      </w:pPr>
      <w:r w:rsidRPr="00CF1B34">
        <w:rPr>
          <w:rFonts w:ascii="Arial" w:hAnsi="Arial" w:cs="Arial"/>
          <w:b/>
          <w:bCs/>
          <w:color w:val="000000"/>
          <w:sz w:val="22"/>
          <w:szCs w:val="22"/>
          <w:lang w:val="es-ES_tradnl"/>
        </w:rPr>
        <w:t>2. Contratación</w:t>
      </w:r>
    </w:p>
    <w:p w14:paraId="6BFFD660" w14:textId="77777777" w:rsidR="00012942" w:rsidRPr="00CF1B34" w:rsidRDefault="00012942" w:rsidP="004F7A62">
      <w:pPr>
        <w:numPr>
          <w:ilvl w:val="0"/>
          <w:numId w:val="117"/>
        </w:numPr>
        <w:shd w:val="clear" w:color="auto" w:fill="FFFFFF"/>
        <w:spacing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Centro de Negocios: Contratos a largo plazo, generalmente con un compromiso de varios años.</w:t>
      </w:r>
    </w:p>
    <w:p w14:paraId="50D007D3" w14:textId="77777777" w:rsidR="00012942" w:rsidRPr="00CF1B34" w:rsidRDefault="00012942" w:rsidP="004F7A62">
      <w:pPr>
        <w:numPr>
          <w:ilvl w:val="0"/>
          <w:numId w:val="117"/>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Coworking: Contratos flexibles y a corto plazo, permitiendo a los miembros adaptarse a las necesidades cambiantes de su negocio.</w:t>
      </w:r>
    </w:p>
    <w:p w14:paraId="57C919AB" w14:textId="77777777" w:rsidR="00012942" w:rsidRPr="00CF1B34" w:rsidRDefault="00012942" w:rsidP="0005621A">
      <w:pPr>
        <w:shd w:val="clear" w:color="auto" w:fill="FFFFFF"/>
        <w:spacing w:beforeAutospacing="1" w:afterAutospacing="1"/>
        <w:ind w:firstLine="360"/>
        <w:jc w:val="both"/>
        <w:rPr>
          <w:rFonts w:ascii="Arial" w:hAnsi="Arial" w:cs="Arial"/>
          <w:color w:val="000000"/>
          <w:sz w:val="22"/>
          <w:szCs w:val="22"/>
          <w:lang w:val="es-ES_tradnl"/>
        </w:rPr>
      </w:pPr>
      <w:r w:rsidRPr="00CF1B34">
        <w:rPr>
          <w:rFonts w:ascii="Arial" w:hAnsi="Arial" w:cs="Arial"/>
          <w:b/>
          <w:bCs/>
          <w:color w:val="000000"/>
          <w:sz w:val="22"/>
          <w:szCs w:val="22"/>
          <w:lang w:val="es-ES_tradnl"/>
        </w:rPr>
        <w:t>3. Espacios</w:t>
      </w:r>
    </w:p>
    <w:p w14:paraId="58EAA42A" w14:textId="77777777" w:rsidR="00012942" w:rsidRPr="00CF1B34" w:rsidRDefault="00012942" w:rsidP="004F7A62">
      <w:pPr>
        <w:numPr>
          <w:ilvl w:val="0"/>
          <w:numId w:val="118"/>
        </w:numPr>
        <w:shd w:val="clear" w:color="auto" w:fill="FFFFFF"/>
        <w:spacing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Centro de Negocios: Oficinas privadas y espacios comunes, pero con un enfoque en la privacidad y la exclusividad.</w:t>
      </w:r>
    </w:p>
    <w:p w14:paraId="3CA8C071" w14:textId="77777777" w:rsidR="00012942" w:rsidRPr="00CF1B34" w:rsidRDefault="00012942" w:rsidP="004F7A62">
      <w:pPr>
        <w:numPr>
          <w:ilvl w:val="0"/>
          <w:numId w:val="118"/>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 xml:space="preserve">Coworking: Espacios abiertos y compartidos, con áreas comunes para reuniones, </w:t>
      </w:r>
      <w:r w:rsidRPr="00CF1B34">
        <w:rPr>
          <w:rFonts w:ascii="Arial" w:hAnsi="Arial" w:cs="Arial"/>
          <w:color w:val="C00000"/>
          <w:sz w:val="22"/>
          <w:szCs w:val="22"/>
          <w:lang w:val="es-ES_tradnl"/>
        </w:rPr>
        <w:t xml:space="preserve">networking </w:t>
      </w:r>
      <w:r w:rsidRPr="00CF1B34">
        <w:rPr>
          <w:rFonts w:ascii="Arial" w:hAnsi="Arial" w:cs="Arial"/>
          <w:color w:val="000000"/>
          <w:sz w:val="22"/>
          <w:szCs w:val="22"/>
          <w:lang w:val="es-ES_tradnl"/>
        </w:rPr>
        <w:t>y eventos.</w:t>
      </w:r>
    </w:p>
    <w:p w14:paraId="30EB7915" w14:textId="77777777" w:rsidR="00012942" w:rsidRPr="00CF1B34" w:rsidRDefault="00012942" w:rsidP="0005621A">
      <w:pPr>
        <w:shd w:val="clear" w:color="auto" w:fill="FFFFFF"/>
        <w:spacing w:beforeAutospacing="1" w:afterAutospacing="1"/>
        <w:ind w:firstLine="360"/>
        <w:jc w:val="both"/>
        <w:rPr>
          <w:rFonts w:ascii="Arial" w:hAnsi="Arial" w:cs="Arial"/>
          <w:color w:val="000000"/>
          <w:sz w:val="22"/>
          <w:szCs w:val="22"/>
          <w:lang w:val="es-ES_tradnl"/>
        </w:rPr>
      </w:pPr>
      <w:r w:rsidRPr="00CF1B34">
        <w:rPr>
          <w:rFonts w:ascii="Arial" w:hAnsi="Arial" w:cs="Arial"/>
          <w:b/>
          <w:bCs/>
          <w:color w:val="000000"/>
          <w:sz w:val="22"/>
          <w:szCs w:val="22"/>
          <w:lang w:val="es-ES_tradnl"/>
        </w:rPr>
        <w:t>4. Servicios</w:t>
      </w:r>
    </w:p>
    <w:p w14:paraId="5490DFC9" w14:textId="77777777" w:rsidR="00012942" w:rsidRPr="00CF1B34" w:rsidRDefault="00012942" w:rsidP="004F7A62">
      <w:pPr>
        <w:numPr>
          <w:ilvl w:val="0"/>
          <w:numId w:val="119"/>
        </w:numPr>
        <w:shd w:val="clear" w:color="auto" w:fill="FFFFFF"/>
        <w:spacing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Centro de Negocios: Ofrece servicios adicionales como asistencia, recepción, copias y correo electrónico.</w:t>
      </w:r>
    </w:p>
    <w:p w14:paraId="54E614F5" w14:textId="77777777" w:rsidR="00012942" w:rsidRPr="00CF1B34" w:rsidRDefault="00012942" w:rsidP="004F7A62">
      <w:pPr>
        <w:numPr>
          <w:ilvl w:val="0"/>
          <w:numId w:val="119"/>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Coworking: Los servicios pueden variar, pero comúnmente incluyen acceso a impresoras, internet y áreas comunes.</w:t>
      </w:r>
    </w:p>
    <w:p w14:paraId="19BEED46" w14:textId="77777777" w:rsidR="00012942" w:rsidRPr="00CF1B34" w:rsidRDefault="00012942" w:rsidP="0005621A">
      <w:pPr>
        <w:shd w:val="clear" w:color="auto" w:fill="FFFFFF"/>
        <w:spacing w:beforeAutospacing="1" w:afterAutospacing="1"/>
        <w:ind w:firstLine="360"/>
        <w:jc w:val="both"/>
        <w:rPr>
          <w:rFonts w:ascii="Arial" w:hAnsi="Arial" w:cs="Arial"/>
          <w:color w:val="000000"/>
          <w:sz w:val="22"/>
          <w:szCs w:val="22"/>
          <w:lang w:val="es-ES_tradnl"/>
        </w:rPr>
      </w:pPr>
      <w:r w:rsidRPr="00CF1B34">
        <w:rPr>
          <w:rFonts w:ascii="Arial" w:hAnsi="Arial" w:cs="Arial"/>
          <w:b/>
          <w:bCs/>
          <w:color w:val="000000"/>
          <w:sz w:val="22"/>
          <w:szCs w:val="22"/>
          <w:lang w:val="es-ES_tradnl"/>
        </w:rPr>
        <w:t>5. Flexibilidad</w:t>
      </w:r>
    </w:p>
    <w:p w14:paraId="4CA149FB" w14:textId="77777777" w:rsidR="00012942" w:rsidRPr="00CF1B34" w:rsidRDefault="00012942" w:rsidP="004F7A62">
      <w:pPr>
        <w:numPr>
          <w:ilvl w:val="0"/>
          <w:numId w:val="120"/>
        </w:numPr>
        <w:shd w:val="clear" w:color="auto" w:fill="FFFFFF"/>
        <w:spacing w:afterAutospacing="1"/>
        <w:jc w:val="both"/>
        <w:rPr>
          <w:rFonts w:ascii="Arial" w:hAnsi="Arial" w:cs="Arial"/>
          <w:color w:val="000000"/>
          <w:sz w:val="22"/>
          <w:szCs w:val="22"/>
          <w:lang w:val="es-ES_tradnl"/>
        </w:rPr>
      </w:pPr>
      <w:r w:rsidRPr="00CF1B34">
        <w:rPr>
          <w:rFonts w:ascii="Arial" w:hAnsi="Arial" w:cs="Arial"/>
          <w:b/>
          <w:bCs/>
          <w:color w:val="000000"/>
          <w:sz w:val="22"/>
          <w:szCs w:val="22"/>
          <w:lang w:val="es-ES_tradnl"/>
        </w:rPr>
        <w:lastRenderedPageBreak/>
        <w:t>Centro de Negocios: Menos flexibilidad en términos de tamaño y configuración del espacio</w:t>
      </w:r>
      <w:r w:rsidRPr="00CF1B34">
        <w:rPr>
          <w:rFonts w:ascii="Arial" w:hAnsi="Arial" w:cs="Arial"/>
          <w:color w:val="000000"/>
          <w:sz w:val="22"/>
          <w:szCs w:val="22"/>
          <w:lang w:val="es-ES_tradnl"/>
        </w:rPr>
        <w:t>.</w:t>
      </w:r>
    </w:p>
    <w:p w14:paraId="629FFAD2" w14:textId="77777777" w:rsidR="00012942" w:rsidRPr="00CF1B34" w:rsidRDefault="00012942" w:rsidP="004F7A62">
      <w:pPr>
        <w:numPr>
          <w:ilvl w:val="0"/>
          <w:numId w:val="120"/>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Coworking: Mayor flexibilidad en términos de tamaño y configuración del espacio, permitiendo a los miembros adaptarse a sus necesidades cambiantes.</w:t>
      </w:r>
    </w:p>
    <w:p w14:paraId="2E6645EC" w14:textId="77777777" w:rsidR="00012942" w:rsidRPr="00CF1B34" w:rsidRDefault="00012942" w:rsidP="0005621A">
      <w:pPr>
        <w:shd w:val="clear" w:color="auto" w:fill="FFFFFF"/>
        <w:spacing w:beforeAutospacing="1" w:afterAutospacing="1"/>
        <w:ind w:firstLine="360"/>
        <w:jc w:val="both"/>
        <w:rPr>
          <w:rFonts w:ascii="Arial" w:hAnsi="Arial" w:cs="Arial"/>
          <w:color w:val="000000"/>
          <w:sz w:val="22"/>
          <w:szCs w:val="22"/>
          <w:lang w:val="es-ES_tradnl"/>
        </w:rPr>
      </w:pPr>
      <w:r w:rsidRPr="00CF1B34">
        <w:rPr>
          <w:rFonts w:ascii="Arial" w:hAnsi="Arial" w:cs="Arial"/>
          <w:b/>
          <w:bCs/>
          <w:color w:val="000000"/>
          <w:sz w:val="22"/>
          <w:szCs w:val="22"/>
          <w:lang w:val="es-ES_tradnl"/>
        </w:rPr>
        <w:t>6. Comunidad</w:t>
      </w:r>
    </w:p>
    <w:p w14:paraId="24953D56" w14:textId="77777777" w:rsidR="00012942" w:rsidRPr="00CF1B34" w:rsidRDefault="00012942" w:rsidP="004F7A62">
      <w:pPr>
        <w:numPr>
          <w:ilvl w:val="0"/>
          <w:numId w:val="121"/>
        </w:numPr>
        <w:shd w:val="clear" w:color="auto" w:fill="FFFFFF"/>
        <w:spacing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Centro de Negocios: La comunidad es más limitada, ya que los inquilinos suelen ser empresas establecidas con objetivos similares.</w:t>
      </w:r>
    </w:p>
    <w:p w14:paraId="0C5ED47A" w14:textId="77777777" w:rsidR="00012942" w:rsidRPr="00CF1B34" w:rsidRDefault="00012942" w:rsidP="004F7A62">
      <w:pPr>
        <w:numPr>
          <w:ilvl w:val="0"/>
          <w:numId w:val="121"/>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 xml:space="preserve">Coworking: La comunidad es más dinámica y diversa, con miembros que comparten objetivos y valores similares, lo que fomenta la colaboración y el </w:t>
      </w:r>
      <w:r w:rsidRPr="00CF1B34">
        <w:rPr>
          <w:rFonts w:ascii="Arial" w:hAnsi="Arial" w:cs="Arial"/>
          <w:color w:val="C00000"/>
          <w:sz w:val="22"/>
          <w:szCs w:val="22"/>
          <w:lang w:val="es-ES_tradnl"/>
        </w:rPr>
        <w:t>networking</w:t>
      </w:r>
      <w:r w:rsidRPr="00CF1B34">
        <w:rPr>
          <w:rFonts w:ascii="Arial" w:hAnsi="Arial" w:cs="Arial"/>
          <w:color w:val="000000"/>
          <w:sz w:val="22"/>
          <w:szCs w:val="22"/>
          <w:lang w:val="es-ES_tradnl"/>
        </w:rPr>
        <w:t>.</w:t>
      </w:r>
    </w:p>
    <w:p w14:paraId="332B95E4" w14:textId="77777777" w:rsidR="00012942" w:rsidRPr="00CF1B34" w:rsidRDefault="0001294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lang w:val="es-ES_tradnl"/>
        </w:rPr>
        <w:t>En resumen, un centro de negocios se enfoca en la privacidad y la exclusividad, con contratos a largo plazo y servicios adicionales, mientras que el coworking se centra en la colaboración y la flexibilidad, con contratos a corto plazo y espacios compartidos. La elección entre ambos depende de las necesidades específicas de la empresa o emprendedor</w:t>
      </w:r>
      <w:r w:rsidRPr="00CF1B34">
        <w:rPr>
          <w:rFonts w:ascii="Arial" w:hAnsi="Arial" w:cs="Arial"/>
          <w:color w:val="000000"/>
          <w:lang w:val="es-ES_tradnl"/>
        </w:rPr>
        <w:t>.</w:t>
      </w:r>
    </w:p>
    <w:p w14:paraId="66966E30" w14:textId="7EDE64BB" w:rsidR="004E25E8" w:rsidRPr="00CF1B34" w:rsidRDefault="004E25E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Crash </w:t>
      </w:r>
    </w:p>
    <w:p w14:paraId="3515FBC3" w14:textId="05856BBB" w:rsidR="004E25E8" w:rsidRPr="00CF1B34" w:rsidRDefault="004E25E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Termino anglosajón que define los movimientos bajistas bruscos de los mercados. Los “crash” suelen ser la antesala de un mal ciclo económico, advierten que la época de vacas gordas h terminado o esta a punto de terminar. La bolsa es el mercado que mayor capacidad de anticipación tiene.</w:t>
      </w:r>
    </w:p>
    <w:p w14:paraId="14DEC0EC" w14:textId="743C800E"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Creador de mercado</w:t>
      </w:r>
    </w:p>
    <w:p w14:paraId="409BDCD3"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Miembro de un mercado que asume el compromiso de aportar liquidez a un determinado valor o clase de valores, introduciendo órdenes de compra y venta, que sirven de contrapartida a las existentes.</w:t>
      </w:r>
    </w:p>
    <w:p w14:paraId="6F224C37" w14:textId="00AB576E" w:rsidR="00927814" w:rsidRPr="00CF1B34" w:rsidRDefault="0092781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Credit Default Swaps</w:t>
      </w:r>
    </w:p>
    <w:p w14:paraId="6A6CE1C8" w14:textId="7EE19110" w:rsidR="00F24F1E" w:rsidRPr="00CF1B34" w:rsidRDefault="00F24F1E" w:rsidP="0005621A">
      <w:pPr>
        <w:ind w:left="708"/>
        <w:jc w:val="both"/>
        <w:rPr>
          <w:rFonts w:ascii="Arial" w:hAnsi="Arial" w:cs="Arial"/>
          <w:sz w:val="22"/>
          <w:szCs w:val="22"/>
          <w:lang w:val="es-ES_tradnl"/>
        </w:rPr>
      </w:pPr>
      <w:r w:rsidRPr="00CF1B34">
        <w:rPr>
          <w:rFonts w:ascii="Arial" w:hAnsi="Arial" w:cs="Arial"/>
          <w:sz w:val="22"/>
          <w:szCs w:val="22"/>
          <w:lang w:val="es-ES_tradnl"/>
        </w:rPr>
        <w:t xml:space="preserve">Los </w:t>
      </w:r>
      <w:r w:rsidRPr="00CF1B34">
        <w:rPr>
          <w:rStyle w:val="Textoennegrita"/>
          <w:rFonts w:ascii="Arial" w:hAnsi="Arial" w:cs="Arial"/>
          <w:color w:val="333333"/>
          <w:sz w:val="22"/>
          <w:szCs w:val="22"/>
          <w:lang w:val="es-ES_tradnl"/>
        </w:rPr>
        <w:t xml:space="preserve">CDS </w:t>
      </w:r>
      <w:r w:rsidRPr="00CF1B34">
        <w:rPr>
          <w:rFonts w:ascii="Arial" w:hAnsi="Arial" w:cs="Arial"/>
          <w:sz w:val="22"/>
          <w:szCs w:val="22"/>
          <w:lang w:val="es-ES_tradnl"/>
        </w:rPr>
        <w:t xml:space="preserve">o </w:t>
      </w:r>
      <w:r w:rsidRPr="00CF1B34">
        <w:rPr>
          <w:rStyle w:val="Textoennegrita"/>
          <w:rFonts w:ascii="Arial" w:hAnsi="Arial" w:cs="Arial"/>
          <w:color w:val="333333"/>
          <w:sz w:val="22"/>
          <w:szCs w:val="22"/>
          <w:lang w:val="es-ES_tradnl"/>
        </w:rPr>
        <w:t>Credit Default Swap</w:t>
      </w:r>
      <w:r w:rsidRPr="00CF1B34">
        <w:rPr>
          <w:rFonts w:ascii="Arial" w:hAnsi="Arial" w:cs="Arial"/>
          <w:sz w:val="22"/>
          <w:szCs w:val="22"/>
          <w:lang w:val="es-ES_tradnl"/>
        </w:rPr>
        <w:t xml:space="preserve">s (en castellano, </w:t>
      </w:r>
      <w:r w:rsidRPr="00CF1B34">
        <w:rPr>
          <w:rStyle w:val="Textoennegrita"/>
          <w:rFonts w:ascii="Arial" w:hAnsi="Arial" w:cs="Arial"/>
          <w:color w:val="333333"/>
          <w:sz w:val="22"/>
          <w:szCs w:val="22"/>
          <w:lang w:val="es-ES_tradnl"/>
        </w:rPr>
        <w:t>Permutas de Riesgo Crediticio</w:t>
      </w:r>
      <w:r w:rsidRPr="00CF1B34">
        <w:rPr>
          <w:rFonts w:ascii="Arial" w:hAnsi="Arial" w:cs="Arial"/>
          <w:sz w:val="22"/>
          <w:szCs w:val="22"/>
          <w:lang w:val="es-ES_tradnl"/>
        </w:rPr>
        <w:t xml:space="preserve">) no dejan de ser un contrato de </w:t>
      </w:r>
      <w:r w:rsidRPr="00CF1B34">
        <w:rPr>
          <w:rStyle w:val="Textoennegrita"/>
          <w:rFonts w:ascii="Arial" w:hAnsi="Arial" w:cs="Arial"/>
          <w:color w:val="333333"/>
          <w:sz w:val="22"/>
          <w:szCs w:val="22"/>
          <w:lang w:val="es-ES_tradnl"/>
        </w:rPr>
        <w:t>seguro</w:t>
      </w:r>
      <w:r w:rsidRPr="00CF1B34">
        <w:rPr>
          <w:rFonts w:ascii="Arial" w:hAnsi="Arial" w:cs="Arial"/>
          <w:sz w:val="22"/>
          <w:szCs w:val="22"/>
          <w:lang w:val="es-ES_tradnl"/>
        </w:rPr>
        <w:t>, en donde a cambio de pagar una prima, el tenedor de un crédito puede asegurarse ante el riesgo de impago del mismo.</w:t>
      </w:r>
    </w:p>
    <w:p w14:paraId="0011F646" w14:textId="76DD9D0D" w:rsidR="00F24F1E" w:rsidRPr="00CF1B34" w:rsidRDefault="00F24F1E" w:rsidP="0005621A">
      <w:pPr>
        <w:ind w:left="708"/>
        <w:jc w:val="both"/>
        <w:rPr>
          <w:rFonts w:ascii="Arial" w:hAnsi="Arial" w:cs="Arial"/>
          <w:sz w:val="22"/>
          <w:szCs w:val="22"/>
          <w:lang w:val="es-ES_tradnl"/>
        </w:rPr>
      </w:pPr>
      <w:r w:rsidRPr="00CF1B34">
        <w:rPr>
          <w:rFonts w:ascii="Arial" w:hAnsi="Arial" w:cs="Arial"/>
          <w:sz w:val="22"/>
          <w:szCs w:val="22"/>
          <w:lang w:val="es-ES_tradnl"/>
        </w:rPr>
        <w:t>Sin embargo, la dinámica especulativa del mercado ha transformado en un aparentemente inofensivo especie de</w:t>
      </w:r>
      <w:r w:rsidR="009852E7" w:rsidRPr="00CF1B34">
        <w:rPr>
          <w:rFonts w:ascii="Arial" w:hAnsi="Arial" w:cs="Arial"/>
          <w:sz w:val="22"/>
          <w:szCs w:val="22"/>
          <w:lang w:val="es-ES_tradnl"/>
        </w:rPr>
        <w:t xml:space="preserve"> </w:t>
      </w:r>
      <w:r w:rsidRPr="00CF1B34">
        <w:rPr>
          <w:rStyle w:val="Textoennegrita"/>
          <w:rFonts w:ascii="Arial" w:hAnsi="Arial" w:cs="Arial"/>
          <w:color w:val="333333"/>
          <w:sz w:val="22"/>
          <w:szCs w:val="22"/>
          <w:lang w:val="es-ES_tradnl"/>
        </w:rPr>
        <w:t>seguro contra impagos</w:t>
      </w:r>
      <w:r w:rsidR="009852E7" w:rsidRPr="00CF1B34">
        <w:rPr>
          <w:rStyle w:val="Textoennegrita"/>
          <w:rFonts w:ascii="Arial" w:hAnsi="Arial" w:cs="Arial"/>
          <w:color w:val="333333"/>
          <w:sz w:val="22"/>
          <w:szCs w:val="22"/>
          <w:lang w:val="es-ES_tradnl"/>
        </w:rPr>
        <w:t xml:space="preserve"> </w:t>
      </w:r>
      <w:r w:rsidRPr="00CF1B34">
        <w:rPr>
          <w:rFonts w:ascii="Arial" w:hAnsi="Arial" w:cs="Arial"/>
          <w:sz w:val="22"/>
          <w:szCs w:val="22"/>
          <w:lang w:val="es-ES_tradnl"/>
        </w:rPr>
        <w:t>en un gigantesco </w:t>
      </w:r>
      <w:r w:rsidRPr="00CF1B34">
        <w:rPr>
          <w:rStyle w:val="Textoennegrita"/>
          <w:rFonts w:ascii="Arial" w:hAnsi="Arial" w:cs="Arial"/>
          <w:color w:val="333333"/>
          <w:sz w:val="22"/>
          <w:szCs w:val="22"/>
          <w:lang w:val="es-ES_tradnl"/>
        </w:rPr>
        <w:t>mercado de</w:t>
      </w:r>
      <w:r w:rsidR="009852E7" w:rsidRPr="00CF1B34">
        <w:rPr>
          <w:rStyle w:val="Textoennegrita"/>
          <w:rFonts w:ascii="Arial" w:hAnsi="Arial" w:cs="Arial"/>
          <w:color w:val="333333"/>
          <w:sz w:val="22"/>
          <w:szCs w:val="22"/>
          <w:lang w:val="es-ES_tradnl"/>
        </w:rPr>
        <w:t xml:space="preserve"> </w:t>
      </w:r>
      <w:hyperlink r:id="rId186" w:history="1">
        <w:r w:rsidRPr="00CF1B34">
          <w:rPr>
            <w:rStyle w:val="Hipervnculo"/>
            <w:rFonts w:ascii="Arial" w:hAnsi="Arial" w:cs="Arial"/>
            <w:b/>
            <w:bCs/>
            <w:color w:val="DC143C"/>
            <w:sz w:val="22"/>
            <w:szCs w:val="22"/>
            <w:lang w:val="es-ES_tradnl"/>
          </w:rPr>
          <w:t>derivados</w:t>
        </w:r>
      </w:hyperlink>
      <w:r w:rsidRPr="00CF1B34">
        <w:rPr>
          <w:rFonts w:ascii="Arial" w:hAnsi="Arial" w:cs="Arial"/>
          <w:sz w:val="22"/>
          <w:szCs w:val="22"/>
          <w:lang w:val="es-ES_tradnl"/>
        </w:rPr>
        <w:t>, donde se estima que el volumen de CDS supera a la deuda real que cubre en una</w:t>
      </w:r>
      <w:r w:rsidR="009852E7" w:rsidRPr="00CF1B34">
        <w:rPr>
          <w:rFonts w:ascii="Arial" w:hAnsi="Arial" w:cs="Arial"/>
          <w:sz w:val="22"/>
          <w:szCs w:val="22"/>
          <w:lang w:val="es-ES_tradnl"/>
        </w:rPr>
        <w:t xml:space="preserve"> </w:t>
      </w:r>
      <w:r w:rsidRPr="00CF1B34">
        <w:rPr>
          <w:rStyle w:val="Textoennegrita"/>
          <w:rFonts w:ascii="Arial" w:hAnsi="Arial" w:cs="Arial"/>
          <w:color w:val="333333"/>
          <w:sz w:val="22"/>
          <w:szCs w:val="22"/>
          <w:lang w:val="es-ES_tradnl"/>
        </w:rPr>
        <w:t>relación de 10 a 1.</w:t>
      </w:r>
    </w:p>
    <w:p w14:paraId="4A0FEE82" w14:textId="7494ECEB" w:rsidR="00F24F1E" w:rsidRPr="00CF1B34" w:rsidRDefault="00F24F1E" w:rsidP="0005621A">
      <w:pPr>
        <w:ind w:left="708"/>
        <w:jc w:val="both"/>
        <w:rPr>
          <w:rFonts w:ascii="Arial" w:hAnsi="Arial" w:cs="Arial"/>
          <w:sz w:val="22"/>
          <w:szCs w:val="22"/>
          <w:lang w:val="es-ES_tradnl"/>
        </w:rPr>
      </w:pPr>
      <w:r w:rsidRPr="00CF1B34">
        <w:rPr>
          <w:rFonts w:ascii="Arial" w:hAnsi="Arial" w:cs="Arial"/>
          <w:sz w:val="22"/>
          <w:szCs w:val="22"/>
          <w:lang w:val="es-ES_tradnl"/>
        </w:rPr>
        <w:t>Los</w:t>
      </w:r>
      <w:r w:rsidR="009852E7" w:rsidRPr="00CF1B34">
        <w:rPr>
          <w:rFonts w:ascii="Arial" w:hAnsi="Arial" w:cs="Arial"/>
          <w:sz w:val="22"/>
          <w:szCs w:val="22"/>
          <w:lang w:val="es-ES_tradnl"/>
        </w:rPr>
        <w:t xml:space="preserve"> </w:t>
      </w:r>
      <w:r w:rsidRPr="00CF1B34">
        <w:rPr>
          <w:rStyle w:val="Textoennegrita"/>
          <w:rFonts w:ascii="Arial" w:hAnsi="Arial" w:cs="Arial"/>
          <w:color w:val="333333"/>
          <w:sz w:val="22"/>
          <w:szCs w:val="22"/>
          <w:lang w:val="es-ES_tradnl"/>
        </w:rPr>
        <w:t>CDS</w:t>
      </w:r>
      <w:r w:rsidR="009852E7" w:rsidRPr="00CF1B34">
        <w:rPr>
          <w:rStyle w:val="Textoennegrita"/>
          <w:rFonts w:ascii="Arial" w:hAnsi="Arial" w:cs="Arial"/>
          <w:color w:val="333333"/>
          <w:sz w:val="22"/>
          <w:szCs w:val="22"/>
          <w:lang w:val="es-ES_tradnl"/>
        </w:rPr>
        <w:t xml:space="preserve"> </w:t>
      </w:r>
      <w:r w:rsidRPr="00CF1B34">
        <w:rPr>
          <w:rFonts w:ascii="Arial" w:hAnsi="Arial" w:cs="Arial"/>
          <w:sz w:val="22"/>
          <w:szCs w:val="22"/>
          <w:lang w:val="es-ES_tradnl"/>
        </w:rPr>
        <w:t xml:space="preserve">son objeto de gran debate, ya que en la crisis financiera de 2008 </w:t>
      </w:r>
      <w:r w:rsidR="009852E7" w:rsidRPr="00CF1B34">
        <w:rPr>
          <w:rFonts w:ascii="Arial" w:hAnsi="Arial" w:cs="Arial"/>
          <w:sz w:val="22"/>
          <w:szCs w:val="22"/>
          <w:lang w:val="es-ES_tradnl"/>
        </w:rPr>
        <w:t>fueron</w:t>
      </w:r>
      <w:r w:rsidRPr="00CF1B34">
        <w:rPr>
          <w:rFonts w:ascii="Arial" w:hAnsi="Arial" w:cs="Arial"/>
          <w:sz w:val="22"/>
          <w:szCs w:val="22"/>
          <w:lang w:val="es-ES_tradnl"/>
        </w:rPr>
        <w:t xml:space="preserve"> utilizados como</w:t>
      </w:r>
      <w:r w:rsidR="009852E7" w:rsidRPr="00CF1B34">
        <w:rPr>
          <w:rFonts w:ascii="Arial" w:hAnsi="Arial" w:cs="Arial"/>
          <w:sz w:val="22"/>
          <w:szCs w:val="22"/>
          <w:lang w:val="es-ES_tradnl"/>
        </w:rPr>
        <w:t xml:space="preserve"> </w:t>
      </w:r>
      <w:r w:rsidRPr="00CF1B34">
        <w:rPr>
          <w:rStyle w:val="Textoennegrita"/>
          <w:rFonts w:ascii="Arial" w:hAnsi="Arial" w:cs="Arial"/>
          <w:color w:val="333333"/>
          <w:sz w:val="22"/>
          <w:szCs w:val="22"/>
          <w:lang w:val="es-ES_tradnl"/>
        </w:rPr>
        <w:t>instrumentos de ataque a la deuda pública de algunos países</w:t>
      </w:r>
      <w:r w:rsidRPr="00CF1B34">
        <w:rPr>
          <w:rFonts w:ascii="Arial" w:hAnsi="Arial" w:cs="Arial"/>
          <w:sz w:val="22"/>
          <w:szCs w:val="22"/>
          <w:lang w:val="es-ES_tradnl"/>
        </w:rPr>
        <w:t>, como es el caso de Grecia hace unos pocos meses. También fueron responsables de la caída en 2008 de la empresa norteamericana</w:t>
      </w:r>
      <w:r w:rsidR="009852E7" w:rsidRPr="00CF1B34">
        <w:rPr>
          <w:rFonts w:ascii="Arial" w:hAnsi="Arial" w:cs="Arial"/>
          <w:sz w:val="22"/>
          <w:szCs w:val="22"/>
          <w:lang w:val="es-ES_tradnl"/>
        </w:rPr>
        <w:t xml:space="preserve"> </w:t>
      </w:r>
      <w:r w:rsidRPr="00CF1B34">
        <w:rPr>
          <w:rStyle w:val="Textoennegrita"/>
          <w:rFonts w:ascii="Arial" w:hAnsi="Arial" w:cs="Arial"/>
          <w:color w:val="333333"/>
          <w:sz w:val="22"/>
          <w:szCs w:val="22"/>
          <w:lang w:val="es-ES_tradnl"/>
        </w:rPr>
        <w:t>American International Group (AIG)</w:t>
      </w:r>
      <w:r w:rsidRPr="00CF1B34">
        <w:rPr>
          <w:rFonts w:ascii="Arial" w:hAnsi="Arial" w:cs="Arial"/>
          <w:sz w:val="22"/>
          <w:szCs w:val="22"/>
          <w:lang w:val="es-ES_tradnl"/>
        </w:rPr>
        <w:t>.</w:t>
      </w:r>
    </w:p>
    <w:p w14:paraId="50C656DF" w14:textId="77777777" w:rsidR="009852E7" w:rsidRPr="00CF1B34" w:rsidRDefault="00F24F1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Muchos dirigentes europeos, como la canciller alemana Angela Merkel, se mostr</w:t>
      </w:r>
      <w:r w:rsidR="009852E7" w:rsidRPr="00CF1B34">
        <w:rPr>
          <w:rFonts w:ascii="Arial" w:hAnsi="Arial" w:cs="Arial"/>
          <w:sz w:val="22"/>
          <w:szCs w:val="22"/>
          <w:lang w:val="es-ES_tradnl"/>
        </w:rPr>
        <w:t>ar</w:t>
      </w:r>
      <w:r w:rsidRPr="00CF1B34">
        <w:rPr>
          <w:rFonts w:ascii="Arial" w:hAnsi="Arial" w:cs="Arial"/>
          <w:sz w:val="22"/>
          <w:szCs w:val="22"/>
          <w:lang w:val="es-ES_tradnl"/>
        </w:rPr>
        <w:t>o</w:t>
      </w:r>
      <w:r w:rsidR="009852E7" w:rsidRPr="00CF1B34">
        <w:rPr>
          <w:rFonts w:ascii="Arial" w:hAnsi="Arial" w:cs="Arial"/>
          <w:sz w:val="22"/>
          <w:szCs w:val="22"/>
          <w:lang w:val="es-ES_tradnl"/>
        </w:rPr>
        <w:t>n</w:t>
      </w:r>
      <w:r w:rsidRPr="00CF1B34">
        <w:rPr>
          <w:rFonts w:ascii="Arial" w:hAnsi="Arial" w:cs="Arial"/>
          <w:sz w:val="22"/>
          <w:szCs w:val="22"/>
          <w:lang w:val="es-ES_tradnl"/>
        </w:rPr>
        <w:t xml:space="preserve"> partidarios de prohibir en la Unión Europea y en el G20 los</w:t>
      </w:r>
      <w:r w:rsidR="009852E7" w:rsidRPr="00CF1B34">
        <w:rPr>
          <w:rFonts w:ascii="Arial" w:hAnsi="Arial" w:cs="Arial"/>
          <w:sz w:val="22"/>
          <w:szCs w:val="22"/>
          <w:lang w:val="es-ES_tradnl"/>
        </w:rPr>
        <w:t xml:space="preserve"> </w:t>
      </w:r>
      <w:r w:rsidRPr="00CF1B34">
        <w:rPr>
          <w:rStyle w:val="Textoennegrita"/>
          <w:rFonts w:ascii="Arial" w:hAnsi="Arial" w:cs="Arial"/>
          <w:color w:val="333333"/>
          <w:sz w:val="22"/>
          <w:szCs w:val="22"/>
          <w:lang w:val="es-ES_tradnl"/>
        </w:rPr>
        <w:t>credit default swap (CDS)</w:t>
      </w:r>
      <w:r w:rsidR="009852E7" w:rsidRPr="00CF1B34">
        <w:rPr>
          <w:rFonts w:ascii="Arial" w:hAnsi="Arial" w:cs="Arial"/>
          <w:sz w:val="22"/>
          <w:szCs w:val="22"/>
          <w:lang w:val="es-ES_tradnl"/>
        </w:rPr>
        <w:t xml:space="preserve"> </w:t>
      </w:r>
      <w:r w:rsidRPr="00CF1B34">
        <w:rPr>
          <w:rFonts w:ascii="Arial" w:hAnsi="Arial" w:cs="Arial"/>
          <w:sz w:val="22"/>
          <w:szCs w:val="22"/>
          <w:lang w:val="es-ES_tradnl"/>
        </w:rPr>
        <w:t>que pueden ser utilizados de forma especulativa para apostar contra los estados.</w:t>
      </w:r>
    </w:p>
    <w:p w14:paraId="6F897C53" w14:textId="2843133E"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Crédito</w:t>
      </w:r>
    </w:p>
    <w:p w14:paraId="42D6D982" w14:textId="77777777" w:rsidR="004E25E8" w:rsidRPr="00CF1B34" w:rsidRDefault="004E25E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Se trata de prestamos que conceden las cajas y los bancos a quien precise el dinero. En la bolsa es frecuente la operativa a crédito que ofrecen los intermediarios para la compra de acciones o prestan los títulos para la ventea y posterior recompra. En el primer caso </w:t>
      </w:r>
      <w:r w:rsidRPr="00CF1B34">
        <w:rPr>
          <w:rFonts w:ascii="Arial" w:hAnsi="Arial" w:cs="Arial"/>
          <w:color w:val="000000" w:themeColor="text1"/>
          <w:sz w:val="22"/>
          <w:szCs w:val="22"/>
          <w:lang w:val="es-ES_tradnl"/>
        </w:rPr>
        <w:lastRenderedPageBreak/>
        <w:t xml:space="preserve">el inversor apuesta  por una subida en el valor de la </w:t>
      </w:r>
      <w:proofErr w:type="gramStart"/>
      <w:r w:rsidRPr="00CF1B34">
        <w:rPr>
          <w:rFonts w:ascii="Arial" w:hAnsi="Arial" w:cs="Arial"/>
          <w:color w:val="000000" w:themeColor="text1"/>
          <w:sz w:val="22"/>
          <w:szCs w:val="22"/>
          <w:lang w:val="es-ES_tradnl"/>
        </w:rPr>
        <w:t>acción,.</w:t>
      </w:r>
      <w:proofErr w:type="gramEnd"/>
      <w:r w:rsidRPr="00CF1B34">
        <w:rPr>
          <w:rFonts w:ascii="Arial" w:hAnsi="Arial" w:cs="Arial"/>
          <w:color w:val="000000" w:themeColor="text1"/>
          <w:sz w:val="22"/>
          <w:szCs w:val="22"/>
          <w:lang w:val="es-ES_tradnl"/>
        </w:rPr>
        <w:t xml:space="preserve"> Y en el segundo por una caída en el precio.</w:t>
      </w:r>
    </w:p>
    <w:p w14:paraId="5EB7A53F" w14:textId="77777777" w:rsidR="00040F97" w:rsidRPr="00CF1B34" w:rsidRDefault="0092781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Crédito al consumo</w:t>
      </w:r>
    </w:p>
    <w:p w14:paraId="23889CEE" w14:textId="70328F7D" w:rsidR="00040F97" w:rsidRPr="00CF1B34" w:rsidRDefault="00040F97" w:rsidP="0005621A">
      <w:pPr>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Son aquellos que conceden las entidades financieras para la adquisición de un bien o servicio de consumo.</w:t>
      </w:r>
    </w:p>
    <w:p w14:paraId="021DD7EA" w14:textId="0595AF75" w:rsidR="009852E7" w:rsidRPr="00CF1B34" w:rsidRDefault="009852E7"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Las entidades financieras han quedado sumamente expuestas en esta crisis. Sus irresponsabilidades y su casi nula condescendencia con sus clientes </w:t>
      </w:r>
      <w:proofErr w:type="gramStart"/>
      <w:r w:rsidRPr="00CF1B34">
        <w:rPr>
          <w:rFonts w:ascii="Arial" w:hAnsi="Arial" w:cs="Arial"/>
          <w:color w:val="333333"/>
          <w:sz w:val="22"/>
          <w:szCs w:val="22"/>
          <w:lang w:val="es-ES_tradnl"/>
        </w:rPr>
        <w:t>ha</w:t>
      </w:r>
      <w:proofErr w:type="gramEnd"/>
      <w:r w:rsidRPr="00CF1B34">
        <w:rPr>
          <w:rFonts w:ascii="Arial" w:hAnsi="Arial" w:cs="Arial"/>
          <w:color w:val="333333"/>
          <w:sz w:val="22"/>
          <w:szCs w:val="22"/>
          <w:lang w:val="es-ES_tradnl"/>
        </w:rPr>
        <w:t xml:space="preserve"> enfurecido a muchos españoles que han visto sucumbir sus proyectos.</w:t>
      </w:r>
    </w:p>
    <w:p w14:paraId="4DF0DDD6" w14:textId="6B4FC04B" w:rsidR="009852E7" w:rsidRPr="00CF1B34" w:rsidRDefault="009852E7"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 escaso acceso a la financiación de las familias y las pymes desató un enfado con justificaciones valederas, mientras la banca salía</w:t>
      </w:r>
      <w:r w:rsidR="002F67AC"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a prestarle a sectores más fr</w:t>
      </w:r>
      <w:r w:rsidR="002F67AC" w:rsidRPr="00CF1B34">
        <w:rPr>
          <w:rFonts w:ascii="Arial" w:hAnsi="Arial" w:cs="Arial"/>
          <w:color w:val="333333"/>
          <w:sz w:val="22"/>
          <w:szCs w:val="22"/>
          <w:lang w:val="es-ES_tradnl"/>
        </w:rPr>
        <w:t>í</w:t>
      </w:r>
      <w:r w:rsidRPr="00CF1B34">
        <w:rPr>
          <w:rFonts w:ascii="Arial" w:hAnsi="Arial" w:cs="Arial"/>
          <w:color w:val="333333"/>
          <w:sz w:val="22"/>
          <w:szCs w:val="22"/>
          <w:lang w:val="es-ES_tradnl"/>
        </w:rPr>
        <w:t>volos.</w:t>
      </w:r>
      <w:r w:rsidR="002F67AC"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Por eso, es bueno que se intente</w:t>
      </w:r>
      <w:r w:rsidR="002F67AC"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encontrar de lleno una cura a la enfermedad,</w:t>
      </w:r>
      <w:r w:rsidR="002F67AC"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y no solo se compren aspirinas.</w:t>
      </w:r>
    </w:p>
    <w:p w14:paraId="641333EF" w14:textId="77777777" w:rsidR="002F67AC" w:rsidRPr="00CF1B34" w:rsidRDefault="002F67AC" w:rsidP="0005621A">
      <w:pPr>
        <w:ind w:firstLine="708"/>
        <w:jc w:val="both"/>
        <w:rPr>
          <w:rFonts w:ascii="Arial" w:hAnsi="Arial" w:cs="Arial"/>
          <w:color w:val="333333"/>
          <w:sz w:val="22"/>
          <w:szCs w:val="22"/>
          <w:shd w:val="clear" w:color="auto" w:fill="FFFFFF"/>
          <w:lang w:val="es-ES_tradnl"/>
        </w:rPr>
      </w:pPr>
      <w:r w:rsidRPr="00CF1B34">
        <w:rPr>
          <w:rStyle w:val="Textoennegrita"/>
          <w:rFonts w:ascii="Arial" w:hAnsi="Arial" w:cs="Arial"/>
          <w:color w:val="333333"/>
          <w:sz w:val="22"/>
          <w:szCs w:val="22"/>
          <w:shd w:val="clear" w:color="auto" w:fill="FFFFFF"/>
          <w:lang w:val="es-ES_tradnl"/>
        </w:rPr>
        <w:t>La ley de crédito al consumo</w:t>
      </w:r>
      <w:r w:rsidRPr="00CF1B34">
        <w:rPr>
          <w:rFonts w:ascii="Arial" w:hAnsi="Arial" w:cs="Arial"/>
          <w:color w:val="333333"/>
          <w:sz w:val="22"/>
          <w:szCs w:val="22"/>
          <w:shd w:val="clear" w:color="auto" w:fill="FFFFFF"/>
          <w:lang w:val="es-ES_tradnl"/>
        </w:rPr>
        <w:t xml:space="preserve"> plantea dos puntos muy importantes. </w:t>
      </w:r>
    </w:p>
    <w:p w14:paraId="1C1C0B61" w14:textId="78BF75B2" w:rsidR="002F67AC" w:rsidRPr="00CF1B34" w:rsidRDefault="002F67AC"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El primero de ellos establece como punto central que </w:t>
      </w:r>
      <w:r w:rsidRPr="00CF1B34">
        <w:rPr>
          <w:rStyle w:val="Textoennegrita"/>
          <w:rFonts w:ascii="Arial" w:hAnsi="Arial" w:cs="Arial"/>
          <w:color w:val="333333"/>
          <w:sz w:val="22"/>
          <w:szCs w:val="22"/>
          <w:shd w:val="clear" w:color="auto" w:fill="FFFFFF"/>
          <w:lang w:val="es-ES_tradnl"/>
        </w:rPr>
        <w:t>las entidades financieras deberán comunicar a su clientela</w:t>
      </w:r>
      <w:r w:rsidRPr="00CF1B34">
        <w:rPr>
          <w:rFonts w:ascii="Arial" w:hAnsi="Arial" w:cs="Arial"/>
          <w:color w:val="333333"/>
          <w:sz w:val="22"/>
          <w:szCs w:val="22"/>
          <w:shd w:val="clear" w:color="auto" w:fill="FFFFFF"/>
          <w:lang w:val="es-ES_tradnl"/>
        </w:rPr>
        <w:t xml:space="preserve">, el coste total de la deuda que asume en caso de solicitar un préstamo. Esto </w:t>
      </w:r>
      <w:r w:rsidRPr="00CF1B34">
        <w:rPr>
          <w:rStyle w:val="Textoennegrita"/>
          <w:rFonts w:ascii="Arial" w:hAnsi="Arial" w:cs="Arial"/>
          <w:color w:val="333333"/>
          <w:sz w:val="22"/>
          <w:szCs w:val="22"/>
          <w:shd w:val="clear" w:color="auto" w:fill="FFFFFF"/>
          <w:lang w:val="es-ES_tradnl"/>
        </w:rPr>
        <w:t>incluye, intereses y comisiones</w:t>
      </w:r>
      <w:r w:rsidRPr="00CF1B34">
        <w:rPr>
          <w:rFonts w:ascii="Arial" w:hAnsi="Arial" w:cs="Arial"/>
          <w:color w:val="333333"/>
          <w:sz w:val="22"/>
          <w:szCs w:val="22"/>
          <w:shd w:val="clear" w:color="auto" w:fill="FFFFFF"/>
          <w:lang w:val="es-ES_tradnl"/>
        </w:rPr>
        <w:t>.</w:t>
      </w:r>
    </w:p>
    <w:p w14:paraId="7E792BD2" w14:textId="08F5B96A" w:rsidR="002F67AC" w:rsidRPr="00CF1B34" w:rsidRDefault="002F67AC"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Esta</w:t>
      </w:r>
      <w:r w:rsidR="00404399" w:rsidRPr="00CF1B34">
        <w:rPr>
          <w:rFonts w:ascii="Arial" w:hAnsi="Arial" w:cs="Arial"/>
          <w:color w:val="333333"/>
          <w:sz w:val="22"/>
          <w:szCs w:val="22"/>
          <w:shd w:val="clear" w:color="auto" w:fill="FFFFFF"/>
          <w:lang w:val="es-ES_tradnl"/>
        </w:rPr>
        <w:t>s</w:t>
      </w:r>
      <w:r w:rsidRPr="00CF1B34">
        <w:rPr>
          <w:rFonts w:ascii="Arial" w:hAnsi="Arial" w:cs="Arial"/>
          <w:color w:val="333333"/>
          <w:sz w:val="22"/>
          <w:szCs w:val="22"/>
          <w:shd w:val="clear" w:color="auto" w:fill="FFFFFF"/>
          <w:lang w:val="es-ES_tradnl"/>
        </w:rPr>
        <w:t xml:space="preserve"> medida</w:t>
      </w:r>
      <w:r w:rsidR="00404399" w:rsidRPr="00CF1B34">
        <w:rPr>
          <w:rFonts w:ascii="Arial" w:hAnsi="Arial" w:cs="Arial"/>
          <w:color w:val="333333"/>
          <w:sz w:val="22"/>
          <w:szCs w:val="22"/>
          <w:shd w:val="clear" w:color="auto" w:fill="FFFFFF"/>
          <w:lang w:val="es-ES_tradnl"/>
        </w:rPr>
        <w:t>s</w:t>
      </w:r>
      <w:r w:rsidRPr="00CF1B34">
        <w:rPr>
          <w:rFonts w:ascii="Arial" w:hAnsi="Arial" w:cs="Arial"/>
          <w:color w:val="333333"/>
          <w:sz w:val="22"/>
          <w:szCs w:val="22"/>
          <w:shd w:val="clear" w:color="auto" w:fill="FFFFFF"/>
          <w:lang w:val="es-ES_tradnl"/>
        </w:rPr>
        <w:t xml:space="preserve"> no ha</w:t>
      </w:r>
      <w:r w:rsidR="00ED28F2" w:rsidRPr="00CF1B34">
        <w:rPr>
          <w:rFonts w:ascii="Arial" w:hAnsi="Arial" w:cs="Arial"/>
          <w:color w:val="333333"/>
          <w:sz w:val="22"/>
          <w:szCs w:val="22"/>
          <w:shd w:val="clear" w:color="auto" w:fill="FFFFFF"/>
          <w:lang w:val="es-ES_tradnl"/>
        </w:rPr>
        <w:t>n</w:t>
      </w:r>
      <w:r w:rsidRPr="00CF1B34">
        <w:rPr>
          <w:rFonts w:ascii="Arial" w:hAnsi="Arial" w:cs="Arial"/>
          <w:color w:val="333333"/>
          <w:sz w:val="22"/>
          <w:szCs w:val="22"/>
          <w:shd w:val="clear" w:color="auto" w:fill="FFFFFF"/>
          <w:lang w:val="es-ES_tradnl"/>
        </w:rPr>
        <w:t xml:space="preserve"> nacido en nuestro país, sino que tiene cierta «imposición» europea, ya que proviene de una directiva que traspasa las fronteras nacionales.</w:t>
      </w:r>
    </w:p>
    <w:p w14:paraId="7CA3B771" w14:textId="77777777" w:rsidR="00404399" w:rsidRPr="00CF1B34" w:rsidRDefault="002F67A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El otro punto que contempla este anteproyecto es la </w:t>
      </w:r>
      <w:r w:rsidRPr="00CF1B34">
        <w:rPr>
          <w:rStyle w:val="Textoennegrita"/>
          <w:rFonts w:ascii="Arial" w:hAnsi="Arial" w:cs="Arial"/>
          <w:color w:val="333333"/>
          <w:sz w:val="22"/>
          <w:szCs w:val="22"/>
          <w:shd w:val="clear" w:color="auto" w:fill="FFFFFF"/>
          <w:lang w:val="es-ES_tradnl"/>
        </w:rPr>
        <w:t>documentación que se le exigirá a las entidades para conceder este tipo de financiación</w:t>
      </w:r>
      <w:r w:rsidRPr="00CF1B34">
        <w:rPr>
          <w:rFonts w:ascii="Arial" w:hAnsi="Arial" w:cs="Arial"/>
          <w:color w:val="333333"/>
          <w:sz w:val="22"/>
          <w:szCs w:val="22"/>
          <w:shd w:val="clear" w:color="auto" w:fill="FFFFFF"/>
          <w:lang w:val="es-ES_tradnl"/>
        </w:rPr>
        <w:t xml:space="preserve">. Ya no se podrá conceder un préstamo instantáneo, o en 24 horas ya que establece un </w:t>
      </w:r>
      <w:r w:rsidRPr="00CF1B34">
        <w:rPr>
          <w:rStyle w:val="Textoennegrita"/>
          <w:rFonts w:ascii="Arial" w:hAnsi="Arial" w:cs="Arial"/>
          <w:color w:val="333333"/>
          <w:sz w:val="22"/>
          <w:szCs w:val="22"/>
          <w:shd w:val="clear" w:color="auto" w:fill="FFFFFF"/>
          <w:lang w:val="es-ES_tradnl"/>
        </w:rPr>
        <w:t>periodo mínimo de cinco días desde que el cliente recibe la información del precontrato hasta que firma la operación</w:t>
      </w:r>
      <w:r w:rsidR="00404399" w:rsidRPr="00CF1B34">
        <w:rPr>
          <w:rStyle w:val="Textoennegrita"/>
          <w:rFonts w:ascii="Arial" w:hAnsi="Arial" w:cs="Arial"/>
          <w:color w:val="333333"/>
          <w:sz w:val="22"/>
          <w:szCs w:val="22"/>
          <w:shd w:val="clear" w:color="auto" w:fill="FFFFFF"/>
          <w:lang w:val="es-ES_tradnl"/>
        </w:rPr>
        <w:t>.</w:t>
      </w:r>
    </w:p>
    <w:p w14:paraId="4DCE0120" w14:textId="3B3D6C87" w:rsidR="00A056E0" w:rsidRPr="00CF1B34" w:rsidRDefault="00A056E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Crédito al mercado</w:t>
      </w:r>
    </w:p>
    <w:p w14:paraId="7F0DB808" w14:textId="3D3ACFA3" w:rsidR="00A056E0" w:rsidRPr="00CF1B34" w:rsidRDefault="00A056E0" w:rsidP="0005621A">
      <w:pPr>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En una operación bursátil en la que una entidad determinada concede, bien un crédito en dinero única y exclusivamente para comprar títulos, o bien, un crédito en valores para su vente, en ambos casos por un plazo de tres meses y medio.</w:t>
      </w:r>
    </w:p>
    <w:p w14:paraId="5ABFA5EE" w14:textId="574568EA" w:rsidR="00243930" w:rsidRPr="00CF1B34" w:rsidRDefault="00A056E0" w:rsidP="0005621A">
      <w:pPr>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 xml:space="preserve">Utilizar este mecanismo perite al inversor dar ordenes de compra por un valor </w:t>
      </w:r>
      <w:r w:rsidR="00243930" w:rsidRPr="00CF1B34">
        <w:rPr>
          <w:rFonts w:ascii="Arial" w:hAnsi="Arial" w:cs="Arial"/>
          <w:color w:val="000000" w:themeColor="text1"/>
          <w:sz w:val="22"/>
          <w:szCs w:val="22"/>
          <w:lang w:val="es-ES_tradnl"/>
        </w:rPr>
        <w:t>superior a la tesorería disponible. En las compras a crédito el inversos piensa que el valor comprado va a subir durante el plazo de contratación del crédito y por tanto vender las acciones a un precio superior. Con el importe de la venta devolverá el préstamo y los intereses y su potencial beneficio será superior al que hubiese obtenido si hubiera comprado utilizando únicamente disponibilidad financiera.</w:t>
      </w:r>
    </w:p>
    <w:p w14:paraId="77EAF584" w14:textId="55D6C06B" w:rsidR="00E06170" w:rsidRPr="00CF1B34" w:rsidRDefault="002439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Permite igualmente realizar operaciones de venta sobre títulos que no se disponen. En este caso el inversos tiene expectativas bajistas, por lo que vende los títulos que </w:t>
      </w:r>
      <w:r w:rsidR="00E06170" w:rsidRPr="00CF1B34">
        <w:rPr>
          <w:rFonts w:ascii="Arial" w:hAnsi="Arial" w:cs="Arial"/>
          <w:color w:val="000000" w:themeColor="text1"/>
          <w:sz w:val="22"/>
          <w:szCs w:val="22"/>
          <w:lang w:val="es-ES_tradnl"/>
        </w:rPr>
        <w:t xml:space="preserve">ha recibido como préstamo esperando que durante el plazo de vigencia del préstamo </w:t>
      </w:r>
      <w:proofErr w:type="gramStart"/>
      <w:r w:rsidR="00E06170" w:rsidRPr="00CF1B34">
        <w:rPr>
          <w:rFonts w:ascii="Arial" w:hAnsi="Arial" w:cs="Arial"/>
          <w:color w:val="000000" w:themeColor="text1"/>
          <w:sz w:val="22"/>
          <w:szCs w:val="22"/>
          <w:lang w:val="es-ES_tradnl"/>
        </w:rPr>
        <w:t>el precio de las acciones vendidas bajen</w:t>
      </w:r>
      <w:proofErr w:type="gramEnd"/>
      <w:r w:rsidR="00E06170" w:rsidRPr="00CF1B34">
        <w:rPr>
          <w:rFonts w:ascii="Arial" w:hAnsi="Arial" w:cs="Arial"/>
          <w:color w:val="000000" w:themeColor="text1"/>
          <w:sz w:val="22"/>
          <w:szCs w:val="22"/>
          <w:lang w:val="es-ES_tradnl"/>
        </w:rPr>
        <w:t xml:space="preserve"> para comprar</w:t>
      </w:r>
      <w:r w:rsidR="00ED28F2" w:rsidRPr="00CF1B34">
        <w:rPr>
          <w:rFonts w:ascii="Arial" w:hAnsi="Arial" w:cs="Arial"/>
          <w:color w:val="000000" w:themeColor="text1"/>
          <w:sz w:val="22"/>
          <w:szCs w:val="22"/>
          <w:lang w:val="es-ES_tradnl"/>
        </w:rPr>
        <w:t>l</w:t>
      </w:r>
      <w:r w:rsidR="00E06170" w:rsidRPr="00CF1B34">
        <w:rPr>
          <w:rFonts w:ascii="Arial" w:hAnsi="Arial" w:cs="Arial"/>
          <w:color w:val="000000" w:themeColor="text1"/>
          <w:sz w:val="22"/>
          <w:szCs w:val="22"/>
          <w:lang w:val="es-ES_tradnl"/>
        </w:rPr>
        <w:t>as mas baratas y poder devolverlas obteniendo beneficio.</w:t>
      </w:r>
    </w:p>
    <w:p w14:paraId="72D30D84" w14:textId="4C5A0CE8"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Crédito impositivo</w:t>
      </w:r>
    </w:p>
    <w:p w14:paraId="118462D0" w14:textId="77777777" w:rsidR="00A056E0" w:rsidRPr="00CF1B34" w:rsidRDefault="00A056E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Retención en origen pagada por la sociedad emisora. Es recuperable como haber fiscal.</w:t>
      </w:r>
    </w:p>
    <w:p w14:paraId="69132323" w14:textId="6DC919C5" w:rsidR="00927814" w:rsidRPr="00CF1B34" w:rsidRDefault="0092781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Crédito sindicado</w:t>
      </w:r>
    </w:p>
    <w:p w14:paraId="6F4BB40A" w14:textId="466917EA" w:rsidR="00566F1E" w:rsidRPr="00CF1B34" w:rsidRDefault="00566F1E" w:rsidP="0005621A">
      <w:pPr>
        <w:ind w:left="708"/>
        <w:jc w:val="both"/>
        <w:rPr>
          <w:rFonts w:ascii="Arial" w:hAnsi="Arial" w:cs="Arial"/>
          <w:sz w:val="22"/>
          <w:szCs w:val="22"/>
          <w:lang w:val="es-ES_tradnl"/>
        </w:rPr>
      </w:pPr>
      <w:r w:rsidRPr="00CF1B34">
        <w:rPr>
          <w:rStyle w:val="Textoennegrita"/>
          <w:rFonts w:ascii="Arial" w:hAnsi="Arial" w:cs="Arial"/>
          <w:b w:val="0"/>
          <w:bCs w:val="0"/>
          <w:color w:val="333333"/>
          <w:sz w:val="22"/>
          <w:szCs w:val="22"/>
          <w:shd w:val="clear" w:color="auto" w:fill="FFFFFF"/>
          <w:lang w:val="es-ES_tradnl"/>
        </w:rPr>
        <w:t>Un</w:t>
      </w:r>
      <w:r w:rsidRPr="00CF1B34">
        <w:rPr>
          <w:rStyle w:val="Textoennegrita"/>
          <w:rFonts w:ascii="Arial" w:hAnsi="Arial" w:cs="Arial"/>
          <w:color w:val="333333"/>
          <w:sz w:val="22"/>
          <w:szCs w:val="22"/>
          <w:shd w:val="clear" w:color="auto" w:fill="FFFFFF"/>
          <w:lang w:val="es-ES_tradnl"/>
        </w:rPr>
        <w:t xml:space="preserve"> crédito sindicado </w:t>
      </w:r>
      <w:r w:rsidRPr="00CF1B34">
        <w:rPr>
          <w:rStyle w:val="Textoennegrita"/>
          <w:rFonts w:ascii="Arial" w:hAnsi="Arial" w:cs="Arial"/>
          <w:b w:val="0"/>
          <w:bCs w:val="0"/>
          <w:color w:val="333333"/>
          <w:sz w:val="22"/>
          <w:szCs w:val="22"/>
          <w:shd w:val="clear" w:color="auto" w:fill="FFFFFF"/>
          <w:lang w:val="es-ES_tradnl"/>
        </w:rPr>
        <w:t xml:space="preserve">es un tipo de </w:t>
      </w:r>
      <w:hyperlink r:id="rId187" w:history="1">
        <w:r w:rsidRPr="00CF1B34">
          <w:rPr>
            <w:rStyle w:val="Hipervnculo"/>
            <w:rFonts w:ascii="Arial" w:hAnsi="Arial" w:cs="Arial"/>
            <w:b/>
            <w:bCs/>
            <w:color w:val="000000" w:themeColor="text1"/>
            <w:sz w:val="22"/>
            <w:szCs w:val="22"/>
            <w:u w:val="none"/>
            <w:lang w:val="es-ES_tradnl"/>
          </w:rPr>
          <w:t>financiación</w:t>
        </w:r>
      </w:hyperlink>
      <w:r w:rsidRPr="00CF1B34">
        <w:rPr>
          <w:rStyle w:val="Textoennegrita"/>
          <w:rFonts w:ascii="Arial" w:hAnsi="Arial" w:cs="Arial"/>
          <w:color w:val="000000" w:themeColor="text1"/>
          <w:sz w:val="22"/>
          <w:szCs w:val="22"/>
          <w:shd w:val="clear" w:color="auto" w:fill="FFFFFF"/>
          <w:lang w:val="es-ES_tradnl"/>
        </w:rPr>
        <w:t xml:space="preserve"> </w:t>
      </w:r>
      <w:r w:rsidRPr="00CF1B34">
        <w:rPr>
          <w:rStyle w:val="Textoennegrita"/>
          <w:rFonts w:ascii="Arial" w:hAnsi="Arial" w:cs="Arial"/>
          <w:b w:val="0"/>
          <w:bCs w:val="0"/>
          <w:color w:val="333333"/>
          <w:sz w:val="22"/>
          <w:szCs w:val="22"/>
          <w:shd w:val="clear" w:color="auto" w:fill="FFFFFF"/>
          <w:lang w:val="es-ES_tradnl"/>
        </w:rPr>
        <w:t>externa que se crea a través de deuda</w:t>
      </w:r>
      <w:r w:rsidRPr="00CF1B34">
        <w:rPr>
          <w:rFonts w:ascii="Arial" w:hAnsi="Arial" w:cs="Arial"/>
          <w:color w:val="333333"/>
          <w:sz w:val="22"/>
          <w:szCs w:val="22"/>
          <w:shd w:val="clear" w:color="auto" w:fill="FFFFFF"/>
          <w:lang w:val="es-ES_tradnl"/>
        </w:rPr>
        <w:t xml:space="preserve">. Se diferencia, de los </w:t>
      </w:r>
      <w:hyperlink r:id="rId188" w:history="1">
        <w:r w:rsidRPr="00CF1B34">
          <w:rPr>
            <w:rStyle w:val="Hipervnculo"/>
            <w:rFonts w:ascii="Arial" w:hAnsi="Arial" w:cs="Arial"/>
            <w:color w:val="DC143C"/>
            <w:sz w:val="22"/>
            <w:szCs w:val="22"/>
            <w:u w:val="none"/>
            <w:shd w:val="clear" w:color="auto" w:fill="FFFFFF"/>
            <w:lang w:val="es-ES_tradnl"/>
          </w:rPr>
          <w:t>créditos</w:t>
        </w:r>
      </w:hyperlink>
      <w:r w:rsidRPr="00CF1B34">
        <w:rPr>
          <w:rFonts w:ascii="Arial" w:hAnsi="Arial" w:cs="Arial"/>
          <w:color w:val="333333"/>
          <w:sz w:val="22"/>
          <w:szCs w:val="22"/>
          <w:shd w:val="clear" w:color="auto" w:fill="FFFFFF"/>
          <w:lang w:val="es-ES_tradnl"/>
        </w:rPr>
        <w:t xml:space="preserve"> y </w:t>
      </w:r>
      <w:hyperlink r:id="rId189" w:history="1">
        <w:r w:rsidRPr="00CF1B34">
          <w:rPr>
            <w:rStyle w:val="Hipervnculo"/>
            <w:rFonts w:ascii="Arial" w:hAnsi="Arial" w:cs="Arial"/>
            <w:color w:val="DC143C"/>
            <w:sz w:val="22"/>
            <w:szCs w:val="22"/>
            <w:u w:val="none"/>
            <w:shd w:val="clear" w:color="auto" w:fill="FFFFFF"/>
            <w:lang w:val="es-ES_tradnl"/>
          </w:rPr>
          <w:t>préstamos</w:t>
        </w:r>
      </w:hyperlink>
      <w:r w:rsidRPr="00CF1B34">
        <w:rPr>
          <w:rFonts w:ascii="Arial" w:hAnsi="Arial" w:cs="Arial"/>
          <w:color w:val="333333"/>
          <w:sz w:val="22"/>
          <w:szCs w:val="22"/>
          <w:shd w:val="clear" w:color="auto" w:fill="FFFFFF"/>
          <w:lang w:val="es-ES_tradnl"/>
        </w:rPr>
        <w:t xml:space="preserve"> normales, en que las empresas obtienen un préstamo (dado su tamaño) que se divide entre varios </w:t>
      </w:r>
      <w:hyperlink r:id="rId190" w:history="1">
        <w:r w:rsidRPr="00CF1B34">
          <w:rPr>
            <w:rStyle w:val="Hipervnculo"/>
            <w:rFonts w:ascii="Arial" w:hAnsi="Arial" w:cs="Arial"/>
            <w:color w:val="DC143C"/>
            <w:sz w:val="22"/>
            <w:szCs w:val="22"/>
            <w:u w:val="none"/>
            <w:shd w:val="clear" w:color="auto" w:fill="FFFFFF"/>
            <w:lang w:val="es-ES_tradnl"/>
          </w:rPr>
          <w:t>bancos</w:t>
        </w:r>
      </w:hyperlink>
      <w:r w:rsidRPr="00CF1B34">
        <w:rPr>
          <w:rFonts w:ascii="Arial" w:hAnsi="Arial" w:cs="Arial"/>
          <w:color w:val="333333"/>
          <w:sz w:val="22"/>
          <w:szCs w:val="22"/>
          <w:shd w:val="clear" w:color="auto" w:fill="FFFFFF"/>
          <w:lang w:val="es-ES_tradnl"/>
        </w:rPr>
        <w:t>.</w:t>
      </w:r>
    </w:p>
    <w:p w14:paraId="7A23DF9E" w14:textId="35846425" w:rsidR="00566F1E" w:rsidRPr="00CF1B34" w:rsidRDefault="00566F1E"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lastRenderedPageBreak/>
        <w:t xml:space="preserve">Una empresa solicita a varios bancos para conocer como éstos pueden financiarla. </w:t>
      </w:r>
      <w:r w:rsidRPr="00CF1B34">
        <w:rPr>
          <w:rStyle w:val="Textoennegrita"/>
          <w:rFonts w:ascii="Arial" w:hAnsi="Arial" w:cs="Arial"/>
          <w:b w:val="0"/>
          <w:bCs w:val="0"/>
          <w:color w:val="333333"/>
          <w:sz w:val="22"/>
          <w:szCs w:val="22"/>
          <w:shd w:val="clear" w:color="auto" w:fill="FFFFFF"/>
          <w:lang w:val="es-ES_tradnl"/>
        </w:rPr>
        <w:t>Cada banco tiene un tope en el tamaño del préstamo a dar a determinado tipo de empresa</w:t>
      </w:r>
      <w:r w:rsidRPr="00CF1B34">
        <w:rPr>
          <w:rFonts w:ascii="Arial" w:hAnsi="Arial" w:cs="Arial"/>
          <w:b/>
          <w:bCs/>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Si, la empresa pide más de ese nivel, se puede acordar un </w:t>
      </w:r>
      <w:r w:rsidRPr="00CF1B34">
        <w:rPr>
          <w:rStyle w:val="Textoennegrita"/>
          <w:rFonts w:ascii="Arial" w:hAnsi="Arial" w:cs="Arial"/>
          <w:color w:val="333333"/>
          <w:sz w:val="22"/>
          <w:szCs w:val="22"/>
          <w:shd w:val="clear" w:color="auto" w:fill="FFFFFF"/>
          <w:lang w:val="es-ES_tradnl"/>
        </w:rPr>
        <w:t>crédito sindicado</w:t>
      </w:r>
      <w:r w:rsidRPr="00CF1B34">
        <w:rPr>
          <w:rFonts w:ascii="Arial" w:hAnsi="Arial" w:cs="Arial"/>
          <w:color w:val="333333"/>
          <w:sz w:val="22"/>
          <w:szCs w:val="22"/>
          <w:shd w:val="clear" w:color="auto" w:fill="FFFFFF"/>
          <w:lang w:val="es-ES_tradnl"/>
        </w:rPr>
        <w:t>.</w:t>
      </w:r>
    </w:p>
    <w:p w14:paraId="7EADCF17" w14:textId="71C67144" w:rsidR="00040F97" w:rsidRPr="00CF1B34" w:rsidRDefault="00040F97"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Varios bancos pueden actuar como bancos agentes o coordinadores conjuntamente y también pueden existir distintos niveles de bancos participantes, es decir, </w:t>
      </w:r>
      <w:r w:rsidRPr="00CF1B34">
        <w:rPr>
          <w:rStyle w:val="Textoennegrita"/>
          <w:rFonts w:ascii="Arial" w:hAnsi="Arial" w:cs="Arial"/>
          <w:color w:val="333333"/>
          <w:sz w:val="22"/>
          <w:szCs w:val="22"/>
          <w:shd w:val="clear" w:color="auto" w:fill="FFFFFF"/>
          <w:lang w:val="es-ES_tradnl"/>
        </w:rPr>
        <w:t xml:space="preserve">algunos bancos pueden participar prestando más que otros. </w:t>
      </w:r>
      <w:r w:rsidRPr="00CF1B34">
        <w:rPr>
          <w:rFonts w:ascii="Arial" w:hAnsi="Arial" w:cs="Arial"/>
          <w:color w:val="333333"/>
          <w:sz w:val="22"/>
          <w:szCs w:val="22"/>
          <w:shd w:val="clear" w:color="auto" w:fill="FFFFFF"/>
          <w:lang w:val="es-ES_tradnl"/>
        </w:rPr>
        <w:t>Acordada la división del préstamo, se realiza un contrato donde todos los bancos firman como participantes en el crédito sindicato.</w:t>
      </w:r>
    </w:p>
    <w:p w14:paraId="7D539CBA" w14:textId="77777777" w:rsidR="00040F97" w:rsidRPr="00CF1B34" w:rsidRDefault="00040F97"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shd w:val="clear" w:color="auto" w:fill="FFFFFF"/>
          <w:lang w:val="es-ES_tradnl"/>
        </w:rPr>
        <w:t>Las ventajas del crédito sindicado </w:t>
      </w:r>
      <w:r w:rsidRPr="00CF1B34">
        <w:rPr>
          <w:rFonts w:ascii="Arial" w:hAnsi="Arial" w:cs="Arial"/>
          <w:color w:val="333333"/>
          <w:sz w:val="22"/>
          <w:szCs w:val="22"/>
          <w:shd w:val="clear" w:color="auto" w:fill="FFFFFF"/>
          <w:lang w:val="es-ES_tradnl"/>
        </w:rPr>
        <w:t>para la empresa son que consigue préstamos más amplios de lo que es normal de sus bancos normales. Asimismo, le da más flexibilidad y alternativas.</w:t>
      </w:r>
    </w:p>
    <w:p w14:paraId="5670A400" w14:textId="7DADDC80" w:rsidR="00927814" w:rsidRPr="00CF1B34" w:rsidRDefault="0092781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Créditos ECTS</w:t>
      </w:r>
    </w:p>
    <w:p w14:paraId="67116242" w14:textId="699959AC" w:rsidR="00AC74DD" w:rsidRPr="00CF1B34" w:rsidRDefault="00AC74DD" w:rsidP="0005621A">
      <w:pPr>
        <w:ind w:left="708"/>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ECTS </w:t>
      </w:r>
      <w:r w:rsidRPr="00CF1B34">
        <w:rPr>
          <w:rFonts w:ascii="Arial" w:hAnsi="Arial" w:cs="Arial"/>
          <w:color w:val="333333"/>
          <w:sz w:val="22"/>
          <w:szCs w:val="22"/>
          <w:shd w:val="clear" w:color="auto" w:fill="FFFFFF"/>
          <w:lang w:val="es-ES_tradnl"/>
        </w:rPr>
        <w:t>son las siglas del sistema denominado</w:t>
      </w:r>
      <w:r w:rsidR="00137388"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Sistema europeo de transferencia y acumulación de créditos.</w:t>
      </w:r>
    </w:p>
    <w:p w14:paraId="234D14EC" w14:textId="3C283560" w:rsidR="007052D9" w:rsidRPr="00CF1B34" w:rsidRDefault="007052D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En general, un</w:t>
      </w:r>
      <w:r w:rsidR="00137388"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sistema de créditos </w:t>
      </w:r>
      <w:r w:rsidRPr="00CF1B34">
        <w:rPr>
          <w:rFonts w:ascii="Arial" w:hAnsi="Arial" w:cs="Arial"/>
          <w:color w:val="333333"/>
          <w:sz w:val="22"/>
          <w:szCs w:val="22"/>
          <w:lang w:val="es-ES_tradnl"/>
        </w:rPr>
        <w:t>puede definirse como una forma sistemática de describir un programa de educación asignando</w:t>
      </w:r>
      <w:r w:rsidR="002023AF" w:rsidRPr="00CF1B34">
        <w:rPr>
          <w:rFonts w:ascii="Arial" w:hAnsi="Arial" w:cs="Arial"/>
          <w:color w:val="333333"/>
          <w:sz w:val="22"/>
          <w:szCs w:val="22"/>
          <w:lang w:val="es-ES_tradnl"/>
        </w:rPr>
        <w:t xml:space="preserve"> </w:t>
      </w:r>
      <w:hyperlink r:id="rId191" w:history="1">
        <w:r w:rsidRPr="00CF1B34">
          <w:rPr>
            <w:rStyle w:val="Textoennegrita"/>
            <w:rFonts w:ascii="Arial" w:hAnsi="Arial" w:cs="Arial"/>
            <w:color w:val="DC143C"/>
            <w:sz w:val="22"/>
            <w:szCs w:val="22"/>
            <w:lang w:val="es-ES_tradnl"/>
          </w:rPr>
          <w:t>créditos </w:t>
        </w:r>
      </w:hyperlink>
      <w:r w:rsidRPr="00CF1B34">
        <w:rPr>
          <w:rFonts w:ascii="Arial" w:hAnsi="Arial" w:cs="Arial"/>
          <w:color w:val="333333"/>
          <w:sz w:val="22"/>
          <w:szCs w:val="22"/>
          <w:lang w:val="es-ES_tradnl"/>
        </w:rPr>
        <w:t>a sus componentes</w:t>
      </w:r>
    </w:p>
    <w:p w14:paraId="5F287115" w14:textId="330426B7" w:rsidR="007052D9" w:rsidRPr="00CF1B34" w:rsidRDefault="007052D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w:t>
      </w:r>
      <w:r w:rsidR="00ED28F2"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Sistema europeo de transferencia y acumulación de créditos (ECTS)</w:t>
      </w:r>
      <w:r w:rsidRPr="00CF1B34">
        <w:rPr>
          <w:rFonts w:ascii="Arial" w:hAnsi="Arial" w:cs="Arial"/>
          <w:color w:val="333333"/>
          <w:sz w:val="22"/>
          <w:szCs w:val="22"/>
          <w:lang w:val="es-ES_tradnl"/>
        </w:rPr>
        <w:t> es un sistema centrado en el estudiante, que se basa en la carga de trabajo de</w:t>
      </w:r>
      <w:r w:rsidR="00ED28F2" w:rsidRPr="00CF1B34">
        <w:rPr>
          <w:rFonts w:ascii="Arial" w:hAnsi="Arial" w:cs="Arial"/>
          <w:color w:val="333333"/>
          <w:sz w:val="22"/>
          <w:szCs w:val="22"/>
          <w:lang w:val="es-ES_tradnl"/>
        </w:rPr>
        <w:t xml:space="preserve"> un</w:t>
      </w:r>
      <w:r w:rsidRPr="00CF1B34">
        <w:rPr>
          <w:rFonts w:ascii="Arial" w:hAnsi="Arial" w:cs="Arial"/>
          <w:color w:val="333333"/>
          <w:sz w:val="22"/>
          <w:szCs w:val="22"/>
          <w:lang w:val="es-ES_tradnl"/>
        </w:rPr>
        <w:t xml:space="preserve"> estudiante necesaria para la consecución de los objetivos de un programa.</w:t>
      </w:r>
    </w:p>
    <w:p w14:paraId="297FBDEC" w14:textId="7744CB7A" w:rsidR="002023AF" w:rsidRPr="00CF1B34" w:rsidRDefault="007052D9" w:rsidP="0005621A">
      <w:pPr>
        <w:ind w:left="708"/>
        <w:jc w:val="both"/>
        <w:rPr>
          <w:rFonts w:ascii="Arial" w:hAnsi="Arial" w:cs="Arial"/>
          <w:sz w:val="22"/>
          <w:szCs w:val="22"/>
          <w:lang w:val="es-ES_tradnl"/>
        </w:rPr>
      </w:pPr>
      <w:r w:rsidRPr="00CF1B34">
        <w:rPr>
          <w:rFonts w:ascii="Arial" w:hAnsi="Arial" w:cs="Arial"/>
          <w:color w:val="333333"/>
          <w:sz w:val="22"/>
          <w:szCs w:val="22"/>
          <w:lang w:val="es-ES_tradnl"/>
        </w:rPr>
        <w:t xml:space="preserve">Estos objetivos se especifican preferiblemente en términos de los resultados del aprendizaje y de las competencias que se han de adquirir. </w:t>
      </w:r>
      <w:r w:rsidR="002023AF" w:rsidRPr="00CF1B34">
        <w:rPr>
          <w:rFonts w:ascii="Arial" w:hAnsi="Arial" w:cs="Arial"/>
          <w:color w:val="333333"/>
          <w:sz w:val="22"/>
          <w:szCs w:val="22"/>
          <w:shd w:val="clear" w:color="auto" w:fill="FFFFFF"/>
          <w:lang w:val="es-ES_tradnl"/>
        </w:rPr>
        <w:t>Este sistema cambia radicalmente el</w:t>
      </w:r>
      <w:r w:rsidR="00ED28F2" w:rsidRPr="00CF1B34">
        <w:rPr>
          <w:rFonts w:ascii="Arial" w:hAnsi="Arial" w:cs="Arial"/>
          <w:color w:val="333333"/>
          <w:sz w:val="22"/>
          <w:szCs w:val="22"/>
          <w:shd w:val="clear" w:color="auto" w:fill="FFFFFF"/>
          <w:lang w:val="es-ES_tradnl"/>
        </w:rPr>
        <w:t xml:space="preserve"> </w:t>
      </w:r>
      <w:r w:rsidR="002023AF" w:rsidRPr="00CF1B34">
        <w:rPr>
          <w:rStyle w:val="Textoennegrita"/>
          <w:rFonts w:ascii="Arial" w:hAnsi="Arial" w:cs="Arial"/>
          <w:color w:val="333333"/>
          <w:sz w:val="22"/>
          <w:szCs w:val="22"/>
          <w:shd w:val="clear" w:color="auto" w:fill="FFFFFF"/>
          <w:lang w:val="es-ES_tradnl"/>
        </w:rPr>
        <w:t>sistema educativo superior de España</w:t>
      </w:r>
    </w:p>
    <w:p w14:paraId="5013446D" w14:textId="77777777" w:rsidR="002023AF" w:rsidRPr="00CF1B34" w:rsidRDefault="002023A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Este sistema exige del profesorado la aplicación de nuevas metodologías docentes, y de los estudiantes, el desarrollo de nuevos procesos aprendizaje.</w:t>
      </w:r>
    </w:p>
    <w:p w14:paraId="2C3EC517" w14:textId="1AB3D374" w:rsidR="00927814" w:rsidRPr="00CF1B34" w:rsidRDefault="0092781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Créditos ICO rehabilitación viviendas</w:t>
      </w:r>
    </w:p>
    <w:p w14:paraId="4186B594" w14:textId="77777777" w:rsidR="00771E42" w:rsidRPr="00CF1B34" w:rsidRDefault="00771E42" w:rsidP="0005621A">
      <w:pPr>
        <w:pBdr>
          <w:bottom w:val="dotted" w:sz="12" w:space="12" w:color="666666"/>
        </w:pBdr>
        <w:spacing w:after="240"/>
        <w:ind w:left="720"/>
        <w:jc w:val="both"/>
        <w:rPr>
          <w:rFonts w:ascii="Arial" w:hAnsi="Arial" w:cs="Arial"/>
          <w:b/>
          <w:bCs/>
          <w:color w:val="212529"/>
          <w:sz w:val="22"/>
          <w:szCs w:val="22"/>
          <w:lang w:val="es-ES_tradnl"/>
        </w:rPr>
      </w:pPr>
      <w:r w:rsidRPr="00CF1B34">
        <w:rPr>
          <w:rFonts w:ascii="Arial" w:hAnsi="Arial" w:cs="Arial"/>
          <w:color w:val="000000" w:themeColor="text1"/>
          <w:sz w:val="22"/>
          <w:szCs w:val="22"/>
          <w:lang w:val="es-ES_tradnl"/>
        </w:rPr>
        <w:t>Créditos concedidos a particulares, comunidades de propietarios, así como. autónomos, empresas y entidades para que puedan encarar la remodelación de sus viviendas</w:t>
      </w:r>
      <w:r w:rsidRPr="00CF1B34">
        <w:rPr>
          <w:rFonts w:ascii="Arial" w:hAnsi="Arial" w:cs="Arial"/>
          <w:b/>
          <w:bCs/>
          <w:color w:val="000000" w:themeColor="text1"/>
          <w:sz w:val="22"/>
          <w:szCs w:val="22"/>
          <w:lang w:val="es-ES_tradnl"/>
        </w:rPr>
        <w:t xml:space="preserve">. </w:t>
      </w:r>
      <w:r w:rsidRPr="00CF1B34">
        <w:rPr>
          <w:rFonts w:ascii="Arial" w:hAnsi="Arial" w:cs="Arial"/>
          <w:color w:val="000000" w:themeColor="text1"/>
          <w:sz w:val="22"/>
          <w:szCs w:val="22"/>
          <w:shd w:val="clear" w:color="auto" w:fill="FFFFFF"/>
          <w:lang w:val="es-ES_tradnl"/>
        </w:rPr>
        <w:t>Para acceder a este préstamo tendrá que presentar la documentación solicitada, directamente </w:t>
      </w:r>
      <w:r w:rsidRPr="00CF1B34">
        <w:rPr>
          <w:rStyle w:val="Textoennegrita"/>
          <w:rFonts w:ascii="Arial" w:hAnsi="Arial" w:cs="Arial"/>
          <w:color w:val="000000" w:themeColor="text1"/>
          <w:sz w:val="22"/>
          <w:szCs w:val="22"/>
          <w:shd w:val="clear" w:color="auto" w:fill="FFFFFF"/>
          <w:lang w:val="es-ES_tradnl"/>
        </w:rPr>
        <w:t xml:space="preserve">en </w:t>
      </w:r>
      <w:r w:rsidRPr="00CF1B34">
        <w:rPr>
          <w:rStyle w:val="Textoennegrita"/>
          <w:rFonts w:ascii="Arial" w:hAnsi="Arial" w:cs="Arial"/>
          <w:b w:val="0"/>
          <w:bCs w:val="0"/>
          <w:color w:val="000000" w:themeColor="text1"/>
          <w:sz w:val="22"/>
          <w:szCs w:val="22"/>
          <w:shd w:val="clear" w:color="auto" w:fill="FFFFFF"/>
          <w:lang w:val="es-ES_tradnl"/>
        </w:rPr>
        <w:t>las oficinas de los principales bancos y cajas establecidos en España</w:t>
      </w:r>
      <w:r w:rsidRPr="00CF1B34">
        <w:rPr>
          <w:rFonts w:ascii="Arial" w:hAnsi="Arial" w:cs="Arial"/>
          <w:b/>
          <w:bCs/>
          <w:color w:val="000000" w:themeColor="text1"/>
          <w:sz w:val="22"/>
          <w:szCs w:val="22"/>
          <w:shd w:val="clear" w:color="auto" w:fill="FFFFFF"/>
          <w:lang w:val="es-ES_tradnl"/>
        </w:rPr>
        <w:t>.</w:t>
      </w:r>
    </w:p>
    <w:p w14:paraId="4CB1FC54" w14:textId="7135676E" w:rsidR="00D667B3" w:rsidRPr="00CF1B34" w:rsidRDefault="00D667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Créditos preferenciales</w:t>
      </w:r>
    </w:p>
    <w:p w14:paraId="66B2BE7D" w14:textId="7242A80F" w:rsidR="0002696A" w:rsidRPr="00CF1B34" w:rsidRDefault="00243E7E"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Son los que conceden las entidades financieras a sus mejores clientes. Estos créditos tienen un interés ligeramente superior al que pagan bancos y cajas en los prestamos que se realizan entre ellos en el mercado interbancario.</w:t>
      </w:r>
    </w:p>
    <w:p w14:paraId="64DF73F2" w14:textId="023641D0" w:rsidR="0002696A" w:rsidRPr="00CF1B34" w:rsidRDefault="000269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Crisis financiera</w:t>
      </w:r>
    </w:p>
    <w:p w14:paraId="04ECC99B" w14:textId="77777777" w:rsidR="0002696A" w:rsidRPr="00CF1B34" w:rsidRDefault="0002696A"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000000"/>
          <w:sz w:val="22"/>
          <w:szCs w:val="22"/>
          <w:shd w:val="clear" w:color="auto" w:fill="FFFFFF"/>
          <w:lang w:val="es-ES_tradnl"/>
        </w:rPr>
        <w:t>Situación caracterizada por inestabilidad en el mercado monetario y crediticio, acompañada por quiebra de bancos y pérdida de confianza del público en las instituciones financieras.</w:t>
      </w:r>
    </w:p>
    <w:p w14:paraId="3673623F" w14:textId="74A44BDF"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Criterios ASG</w:t>
      </w:r>
    </w:p>
    <w:p w14:paraId="038CCB54"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A (Ambientales): Son criterios que o bien consideran actividades que contribuyen de forma positiva al medio ambiente - por ejemplo, tecnologías de depuración de aguas o energías renovables - o bien recogen prácticas de gestión medioambiental que reducen o mitigan las externalidades negativas en el medio ambiente de una entidad - por ejemplo, sistema de control interno de uso energético o reducción de emisiones de carbono -.</w:t>
      </w:r>
    </w:p>
    <w:p w14:paraId="4B611115"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 S (Sociales): Son criterios que analizan las prácticas empresariales referentes a aquellos aspectos de la gestión empresarial que impactan en los trabajadores y en otras partes interesadas (stakeholders), incluidos los consumidores y las comunidades en las que opera o están afectadas por sus operaciones. Los criterios sociales abarcan desde los derechos laborales y humanos en la gestión, tanto de sus propios recursos humanos como en su cadena de aprovisionamiento, hasta la responsabilidad de las empresas en la calidad y la publicidad de sus productos y servicios. Los criterios sociales buscan entre otros objetivos, reducir la discriminación y la desigualdad a través de buenas prácticas empresariales y la inclusión de los colectivos más desfavorecidos en su toma de decisiones y sus deberes de diligencia debida. </w:t>
      </w:r>
    </w:p>
    <w:p w14:paraId="65D93BFA"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G (Buen Gobierno): Se refieren a cuestiones de gobierno corporativo de la empresa y a su cultura corporativa; ejemplos de factores o elementos de buen gobierno son la rendición de cuentas, la independencia y composición de los órganos de gobierno, la remuneración de sus directivos, la brecha salarial entre hombres y mujeres, las prácticas de lobbying, la lucha contra la corrupción o la transparencia y responsabilidad fiscal. </w:t>
      </w:r>
    </w:p>
    <w:p w14:paraId="47614FBB" w14:textId="0E13BBE5" w:rsidR="00E16491" w:rsidRPr="00CF1B34" w:rsidRDefault="001F5E1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Cruce</w:t>
      </w:r>
    </w:p>
    <w:p w14:paraId="5A221EFF" w14:textId="77777777" w:rsidR="00243E7E" w:rsidRPr="00CF1B34" w:rsidRDefault="00243E7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Normalmente todas las divisas se cotizan con relación al dólar USA. Se denomina cruce al cambio cruzado con otra moneda que no sea dólar USA.</w:t>
      </w:r>
    </w:p>
    <w:p w14:paraId="63AD6BC2" w14:textId="39A249FE" w:rsidR="00D80839" w:rsidRPr="00CF1B34" w:rsidRDefault="00D80839"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Cuádruple hora bruja</w:t>
      </w:r>
    </w:p>
    <w:p w14:paraId="2A3735BD" w14:textId="72D3A50D" w:rsidR="00A433A4" w:rsidRPr="00CF1B34" w:rsidRDefault="00A433A4"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Los</w:t>
      </w:r>
      <w:r w:rsidRPr="00CF1B34">
        <w:rPr>
          <w:rStyle w:val="Textoennegrita"/>
          <w:rFonts w:ascii="Arial" w:hAnsi="Arial" w:cs="Arial"/>
          <w:color w:val="333333"/>
          <w:sz w:val="22"/>
          <w:szCs w:val="22"/>
          <w:shd w:val="clear" w:color="auto" w:fill="FFFFFF"/>
          <w:lang w:val="es-ES_tradnl"/>
        </w:rPr>
        <w:t xml:space="preserve"> terceros viernes de marzo, junio, septiembre y diciembre</w:t>
      </w:r>
      <w:r w:rsidRPr="00CF1B34">
        <w:rPr>
          <w:rStyle w:val="nfasis"/>
          <w:rFonts w:ascii="Arial" w:hAnsi="Arial" w:cs="Arial"/>
          <w:color w:val="333333"/>
          <w:sz w:val="22"/>
          <w:szCs w:val="22"/>
          <w:shd w:val="clear" w:color="auto" w:fill="FFFFFF"/>
          <w:lang w:val="es-ES_tradnl"/>
        </w:rPr>
        <w:t xml:space="preserve"> -los meses en los que termina un trimestre-</w:t>
      </w:r>
      <w:r w:rsidR="00ED28F2"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son días especiales para la bolsa. Estas sesiones son muy importantes, ya que esos días operan los vencimientos</w:t>
      </w:r>
      <w:r w:rsidRPr="00CF1B34">
        <w:rPr>
          <w:rStyle w:val="nfasis"/>
          <w:rFonts w:ascii="Arial" w:hAnsi="Arial" w:cs="Arial"/>
          <w:b/>
          <w:bCs/>
          <w:color w:val="333333"/>
          <w:sz w:val="22"/>
          <w:szCs w:val="22"/>
          <w:shd w:val="clear" w:color="auto" w:fill="FFFFFF"/>
          <w:lang w:val="es-ES_tradnl"/>
        </w:rPr>
        <w:t xml:space="preserve"> -al mismo tiempo-</w:t>
      </w:r>
      <w:r w:rsidR="00ED28F2"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en los mercados de derivados los futuros y opciones sobre los índices bursátiles y las acciones.</w:t>
      </w:r>
    </w:p>
    <w:p w14:paraId="53F62383" w14:textId="3EA7778E" w:rsidR="00A433A4" w:rsidRPr="00CF1B34" w:rsidRDefault="00A433A4" w:rsidP="0005621A">
      <w:pPr>
        <w:shd w:val="clear" w:color="auto" w:fill="FFFFFF"/>
        <w:spacing w:after="165"/>
        <w:ind w:left="360"/>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Esta coincidencia es conocida en el mundo financiero como </w:t>
      </w:r>
      <w:r w:rsidRPr="00CF1B34">
        <w:rPr>
          <w:rFonts w:ascii="Arial" w:hAnsi="Arial" w:cs="Arial"/>
          <w:b/>
          <w:bCs/>
          <w:color w:val="333333"/>
          <w:sz w:val="22"/>
          <w:szCs w:val="22"/>
          <w:lang w:val="es-ES_tradnl"/>
        </w:rPr>
        <w:t>cuádruple hora bruja</w:t>
      </w:r>
      <w:r w:rsidRPr="00CF1B34">
        <w:rPr>
          <w:rFonts w:ascii="Arial" w:hAnsi="Arial" w:cs="Arial"/>
          <w:color w:val="333333"/>
          <w:sz w:val="22"/>
          <w:szCs w:val="22"/>
          <w:lang w:val="es-ES_tradnl"/>
        </w:rPr>
        <w:t>:</w:t>
      </w:r>
    </w:p>
    <w:p w14:paraId="24BD3F65" w14:textId="50815AD4" w:rsidR="00A433A4" w:rsidRPr="00CF1B34" w:rsidRDefault="00A433A4" w:rsidP="004F7A62">
      <w:pPr>
        <w:numPr>
          <w:ilvl w:val="0"/>
          <w:numId w:val="15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 xml:space="preserve">Cuadruple </w:t>
      </w:r>
      <w:r w:rsidRPr="00CF1B34">
        <w:rPr>
          <w:rFonts w:ascii="Arial" w:hAnsi="Arial" w:cs="Arial"/>
          <w:color w:val="333333"/>
          <w:sz w:val="22"/>
          <w:szCs w:val="22"/>
          <w:lang w:val="es-ES_tradnl"/>
        </w:rPr>
        <w:t>porque son cuatro los tipos de contratos que expiran: las opciones y los futuros sobre índices y las opciones y los futuros sobre acciones.</w:t>
      </w:r>
    </w:p>
    <w:p w14:paraId="0B35C143" w14:textId="1EA2A9EA" w:rsidR="00A433A4" w:rsidRPr="00CF1B34" w:rsidRDefault="00A433A4" w:rsidP="004F7A62">
      <w:pPr>
        <w:numPr>
          <w:ilvl w:val="0"/>
          <w:numId w:val="152"/>
        </w:numPr>
        <w:shd w:val="clear" w:color="auto" w:fill="FFFFFF"/>
        <w:spacing w:before="100" w:beforeAutospacing="1" w:after="100" w:afterAutospacing="1"/>
        <w:jc w:val="both"/>
        <w:rPr>
          <w:rFonts w:ascii="Arial" w:hAnsi="Arial" w:cs="Arial"/>
          <w:color w:val="333333"/>
          <w:lang w:val="es-ES_tradnl"/>
        </w:rPr>
      </w:pPr>
      <w:r w:rsidRPr="00CF1B34">
        <w:rPr>
          <w:rFonts w:ascii="Arial" w:hAnsi="Arial" w:cs="Arial"/>
          <w:b/>
          <w:bCs/>
          <w:color w:val="333333"/>
          <w:sz w:val="22"/>
          <w:szCs w:val="22"/>
          <w:lang w:val="es-ES_tradnl"/>
        </w:rPr>
        <w:t xml:space="preserve">Bruja </w:t>
      </w:r>
      <w:r w:rsidRPr="00CF1B34">
        <w:rPr>
          <w:rFonts w:ascii="Arial" w:hAnsi="Arial" w:cs="Arial"/>
          <w:color w:val="333333"/>
          <w:sz w:val="22"/>
          <w:szCs w:val="22"/>
          <w:lang w:val="es-ES_tradnl"/>
        </w:rPr>
        <w:t xml:space="preserve">porque en esas sesiones </w:t>
      </w:r>
      <w:r w:rsidRPr="00CF1B34">
        <w:rPr>
          <w:rFonts w:ascii="Arial" w:hAnsi="Arial" w:cs="Arial"/>
          <w:i/>
          <w:iCs/>
          <w:color w:val="333333"/>
          <w:sz w:val="22"/>
          <w:szCs w:val="22"/>
          <w:lang w:val="es-ES_tradnl"/>
        </w:rPr>
        <w:t>-y en las que la preceden-</w:t>
      </w:r>
      <w:r w:rsidRPr="00CF1B34">
        <w:rPr>
          <w:rFonts w:ascii="Arial" w:hAnsi="Arial" w:cs="Arial"/>
          <w:color w:val="333333"/>
          <w:sz w:val="22"/>
          <w:szCs w:val="22"/>
          <w:lang w:val="es-ES_tradnl"/>
        </w:rPr>
        <w:t xml:space="preserve"> ocurren extraños movimientos que registran los mercados y las cotizaci</w:t>
      </w:r>
      <w:r w:rsidRPr="00CF1B34">
        <w:rPr>
          <w:rFonts w:ascii="Arial" w:hAnsi="Arial" w:cs="Arial"/>
          <w:color w:val="333333"/>
          <w:lang w:val="es-ES_tradnl"/>
        </w:rPr>
        <w:t>ones.</w:t>
      </w:r>
    </w:p>
    <w:p w14:paraId="5279D8C3" w14:textId="77777777" w:rsidR="00A433A4" w:rsidRPr="00CF1B34" w:rsidRDefault="00A433A4" w:rsidP="004F7A62">
      <w:pPr>
        <w:pStyle w:val="Prrafodelista"/>
        <w:numPr>
          <w:ilvl w:val="0"/>
          <w:numId w:val="152"/>
        </w:numPr>
        <w:pBdr>
          <w:bottom w:val="dotted" w:sz="12" w:space="12" w:color="666666"/>
        </w:pBdr>
        <w:spacing w:after="240"/>
        <w:jc w:val="both"/>
        <w:rPr>
          <w:rFonts w:ascii="Arial" w:hAnsi="Arial" w:cs="Arial"/>
          <w:color w:val="212529"/>
          <w:sz w:val="22"/>
          <w:szCs w:val="22"/>
          <w:lang w:val="es-ES_tradnl"/>
        </w:rPr>
      </w:pPr>
    </w:p>
    <w:p w14:paraId="6F8D4F20" w14:textId="44B3D41B" w:rsidR="007F7CCF" w:rsidRPr="00CF1B34" w:rsidRDefault="007F7CCF"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Cuartil</w:t>
      </w:r>
    </w:p>
    <w:p w14:paraId="1B216A00" w14:textId="77777777" w:rsidR="007F7CCF" w:rsidRPr="00CF1B34" w:rsidRDefault="007F7CC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Se utiliza para ver cuál es la posición de los fondos en términos de rentabilidad obtenida en comparación con otros fondos comparables.</w:t>
      </w:r>
    </w:p>
    <w:p w14:paraId="6BEC40B6" w14:textId="77777777" w:rsidR="007F7CCF" w:rsidRPr="00CF1B34" w:rsidRDefault="007F7CC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Sobre el 100% de fondos que constituyen la lista total de fondos de una categoría, los cuartiles representan porciones de un 25% de esa categoría y que agrupa a los fondos según un criterio descendente de rentabilidad. Esto quiere decir que en el primer cuartil estarían el 25% de los mejores fondos con mayor rentabilidad ordenados de mayor a menor, y así el segundo, tercer y cuarto cuartil. En ocasiones se hacen particiones mayores, como son los deciles (10%) o centiles (100%).</w:t>
      </w:r>
    </w:p>
    <w:p w14:paraId="35D69566" w14:textId="77777777" w:rsidR="007F7CCF" w:rsidRPr="00CF1B34" w:rsidRDefault="007F7CC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Este criterio nos permite comparar por un lado el tiempo de permanencia del fondo en cada cuartil y también la regularidad en el ranking.</w:t>
      </w:r>
    </w:p>
    <w:p w14:paraId="042E3EA7" w14:textId="77777777" w:rsidR="007F7CCF" w:rsidRPr="00CF1B34" w:rsidRDefault="007F7CC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Los fondos que se han mantenido en el primer cuartil, es decir entre las primeras posiciones de su grupo demuestran que su comportamiento es significativamente mejor que la media.</w:t>
      </w:r>
    </w:p>
    <w:p w14:paraId="7D2642EA" w14:textId="77777777" w:rsidR="007F7CCF" w:rsidRPr="00CF1B34" w:rsidRDefault="007F7CC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En el lado opuesto, aquellos fondos que se hayan mantenido regularmente en el tercer o cuarto cuartil serán aquellos cuyo comportamiento esté siendo de inferior a la media.</w:t>
      </w:r>
    </w:p>
    <w:p w14:paraId="3FE1F854" w14:textId="77777777" w:rsidR="007F7CCF" w:rsidRPr="00CF1B34" w:rsidRDefault="007F7CC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Los expertos observan cuanto tiempo permanecen los fondos en cada uno de los cuartiles para comprobar si su comportamiento es óptimo.</w:t>
      </w:r>
    </w:p>
    <w:p w14:paraId="445D8680" w14:textId="77777777" w:rsidR="007F7CCF" w:rsidRPr="00CF1B34" w:rsidRDefault="007F7CC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 importante tener en cuenta que a la hora de analizar el tiempo dentro de uno u otro cuartil y para que esta información pueda servirnos de referencia fiable, los periodos analizados deberán ser superiores a un año.</w:t>
      </w:r>
    </w:p>
    <w:p w14:paraId="3073992A" w14:textId="2F70BC47" w:rsidR="007F7CCF" w:rsidRPr="00CF1B34" w:rsidRDefault="007F7CCF"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Cuenta ahorro</w:t>
      </w:r>
    </w:p>
    <w:p w14:paraId="5DC7B394" w14:textId="097249F3" w:rsidR="007F7CCF" w:rsidRPr="00CF1B34" w:rsidRDefault="007F7CCF"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w:t>
      </w:r>
      <w:r w:rsidR="00927814" w:rsidRPr="00CF1B34">
        <w:rPr>
          <w:rFonts w:ascii="Arial" w:hAnsi="Arial" w:cs="Arial"/>
          <w:sz w:val="22"/>
          <w:szCs w:val="22"/>
          <w:lang w:val="es-ES_tradnl"/>
        </w:rPr>
        <w:t xml:space="preserve"> </w:t>
      </w:r>
      <w:r w:rsidRPr="00CF1B34">
        <w:rPr>
          <w:rFonts w:ascii="Arial" w:hAnsi="Arial" w:cs="Arial"/>
          <w:b/>
          <w:bCs/>
          <w:sz w:val="22"/>
          <w:szCs w:val="22"/>
          <w:lang w:val="es-ES_tradnl"/>
        </w:rPr>
        <w:t>cuenta ahorro</w:t>
      </w:r>
      <w:r w:rsidR="00927814" w:rsidRPr="00CF1B34">
        <w:rPr>
          <w:rFonts w:ascii="Arial" w:hAnsi="Arial" w:cs="Arial"/>
          <w:sz w:val="22"/>
          <w:szCs w:val="22"/>
          <w:lang w:val="es-ES_tradnl"/>
        </w:rPr>
        <w:t xml:space="preserve"> </w:t>
      </w:r>
      <w:r w:rsidRPr="00CF1B34">
        <w:rPr>
          <w:rFonts w:ascii="Arial" w:hAnsi="Arial" w:cs="Arial"/>
          <w:sz w:val="22"/>
          <w:szCs w:val="22"/>
          <w:lang w:val="es-ES_tradnl"/>
        </w:rPr>
        <w:t>es una modalidad de depósito bancario a la vista que permite rentabilizar los ahorros ya que el cliente deposita una cantidad de dinero en la entidad bancaria y esta a cambio, le paga en función de los intereses generados. La rentabilidad obtenida vendrá determinada por el periodo de tiempo que el dinero se mantenga depositado en la entidad bancaria.</w:t>
      </w:r>
    </w:p>
    <w:p w14:paraId="24232473" w14:textId="75404219" w:rsidR="007F7CCF" w:rsidRPr="00CF1B34" w:rsidRDefault="007F7CCF"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cuentas de ahorro permiten compatibilizar la</w:t>
      </w:r>
      <w:r w:rsidR="00927814" w:rsidRPr="00CF1B34">
        <w:rPr>
          <w:rFonts w:ascii="Arial" w:hAnsi="Arial" w:cs="Arial"/>
          <w:sz w:val="22"/>
          <w:szCs w:val="22"/>
          <w:lang w:val="es-ES_tradnl"/>
        </w:rPr>
        <w:t xml:space="preserve"> </w:t>
      </w:r>
      <w:r w:rsidRPr="00CF1B34">
        <w:rPr>
          <w:rFonts w:ascii="Arial" w:hAnsi="Arial" w:cs="Arial"/>
          <w:b/>
          <w:bCs/>
          <w:sz w:val="22"/>
          <w:szCs w:val="22"/>
          <w:lang w:val="es-ES_tradnl"/>
        </w:rPr>
        <w:t>rentabilidad</w:t>
      </w:r>
      <w:r w:rsidR="00927814" w:rsidRPr="00CF1B34">
        <w:rPr>
          <w:rFonts w:ascii="Arial" w:hAnsi="Arial" w:cs="Arial"/>
          <w:sz w:val="22"/>
          <w:szCs w:val="22"/>
          <w:lang w:val="es-ES_tradnl"/>
        </w:rPr>
        <w:t xml:space="preserve"> </w:t>
      </w:r>
      <w:r w:rsidRPr="00CF1B34">
        <w:rPr>
          <w:rFonts w:ascii="Arial" w:hAnsi="Arial" w:cs="Arial"/>
          <w:sz w:val="22"/>
          <w:szCs w:val="22"/>
          <w:lang w:val="es-ES_tradnl"/>
        </w:rPr>
        <w:t>con la posibilidad de</w:t>
      </w:r>
      <w:r w:rsidR="00927814" w:rsidRPr="00CF1B34">
        <w:rPr>
          <w:rFonts w:ascii="Arial" w:hAnsi="Arial" w:cs="Arial"/>
          <w:sz w:val="22"/>
          <w:szCs w:val="22"/>
          <w:lang w:val="es-ES_tradnl"/>
        </w:rPr>
        <w:t xml:space="preserve"> </w:t>
      </w:r>
      <w:r w:rsidRPr="00CF1B34">
        <w:rPr>
          <w:rFonts w:ascii="Arial" w:hAnsi="Arial" w:cs="Arial"/>
          <w:b/>
          <w:bCs/>
          <w:sz w:val="22"/>
          <w:szCs w:val="22"/>
          <w:lang w:val="es-ES_tradnl"/>
        </w:rPr>
        <w:t>retirar el dinero</w:t>
      </w:r>
      <w:r w:rsidR="00927814" w:rsidRPr="00CF1B34">
        <w:rPr>
          <w:rFonts w:ascii="Arial" w:hAnsi="Arial" w:cs="Arial"/>
          <w:sz w:val="22"/>
          <w:szCs w:val="22"/>
          <w:lang w:val="es-ES_tradnl"/>
        </w:rPr>
        <w:t xml:space="preserve"> </w:t>
      </w:r>
      <w:r w:rsidRPr="00CF1B34">
        <w:rPr>
          <w:rFonts w:ascii="Arial" w:hAnsi="Arial" w:cs="Arial"/>
          <w:sz w:val="22"/>
          <w:szCs w:val="22"/>
          <w:lang w:val="es-ES_tradnl"/>
        </w:rPr>
        <w:t>en cualquier momento sin que suponga una penalización.</w:t>
      </w:r>
    </w:p>
    <w:p w14:paraId="733A1B01" w14:textId="0C592541" w:rsidR="007F7CCF" w:rsidRPr="00CF1B34" w:rsidRDefault="007F7CCF"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condiciones de</w:t>
      </w:r>
      <w:r w:rsidR="00927814" w:rsidRPr="00CF1B34">
        <w:rPr>
          <w:rFonts w:ascii="Arial" w:hAnsi="Arial" w:cs="Arial"/>
          <w:sz w:val="22"/>
          <w:szCs w:val="22"/>
          <w:lang w:val="es-ES_tradnl"/>
        </w:rPr>
        <w:t xml:space="preserve"> </w:t>
      </w:r>
      <w:r w:rsidRPr="00CF1B34">
        <w:rPr>
          <w:rFonts w:ascii="Arial" w:hAnsi="Arial" w:cs="Arial"/>
          <w:b/>
          <w:bCs/>
          <w:sz w:val="22"/>
          <w:szCs w:val="22"/>
          <w:lang w:val="es-ES_tradnl"/>
        </w:rPr>
        <w:t>remuneración</w:t>
      </w:r>
      <w:r w:rsidR="00927814" w:rsidRPr="00CF1B34">
        <w:rPr>
          <w:rFonts w:ascii="Arial" w:hAnsi="Arial" w:cs="Arial"/>
          <w:sz w:val="22"/>
          <w:szCs w:val="22"/>
          <w:lang w:val="es-ES_tradnl"/>
        </w:rPr>
        <w:t xml:space="preserve"> </w:t>
      </w:r>
      <w:r w:rsidRPr="00CF1B34">
        <w:rPr>
          <w:rFonts w:ascii="Arial" w:hAnsi="Arial" w:cs="Arial"/>
          <w:sz w:val="22"/>
          <w:szCs w:val="22"/>
          <w:lang w:val="es-ES_tradnl"/>
        </w:rPr>
        <w:t>son diferentes en función de cada producto y entidad. La remuneración puede ser lineal, por tramos de saldo o en algunas ocasiones, incluso en especie. El abono de estos intereses puede tener carácter mensual, trimestral o incluso anual.</w:t>
      </w:r>
    </w:p>
    <w:p w14:paraId="172ADD4B" w14:textId="66B0A27B" w:rsidR="007F7CCF" w:rsidRPr="00CF1B34" w:rsidRDefault="007F7CCF"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w:t>
      </w:r>
      <w:hyperlink r:id="rId192" w:history="1">
        <w:r w:rsidR="00927814" w:rsidRPr="00CF1B34">
          <w:rPr>
            <w:rFonts w:ascii="Arial" w:hAnsi="Arial" w:cs="Arial"/>
            <w:color w:val="2F5496" w:themeColor="accent1" w:themeShade="BF"/>
            <w:sz w:val="22"/>
            <w:szCs w:val="22"/>
            <w:u w:val="single"/>
            <w:lang w:val="es-ES_tradnl"/>
          </w:rPr>
          <w:t xml:space="preserve"> </w:t>
        </w:r>
        <w:r w:rsidRPr="00CF1B34">
          <w:rPr>
            <w:rFonts w:ascii="Arial" w:hAnsi="Arial" w:cs="Arial"/>
            <w:color w:val="2F5496" w:themeColor="accent1" w:themeShade="BF"/>
            <w:sz w:val="22"/>
            <w:szCs w:val="22"/>
            <w:u w:val="single"/>
            <w:lang w:val="es-ES_tradnl"/>
          </w:rPr>
          <w:t>tipo de interés</w:t>
        </w:r>
      </w:hyperlink>
      <w:r w:rsidR="00243E7E" w:rsidRPr="00CF1B34">
        <w:rPr>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 xml:space="preserve">que ofrecen las cuentas de ahorro está establecido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por tanto, al contrario de lo que ocurre con otros productos de inversión, sabemos cuanto cobraremos. En caso de que se produzca algún cambio en este punto, la entidad deberá avisarnos con antelación para decidir si queremos o no, conservar el producto.</w:t>
      </w:r>
    </w:p>
    <w:p w14:paraId="058FDDBB" w14:textId="77777777" w:rsidR="007F7CCF" w:rsidRPr="00CF1B34" w:rsidRDefault="007F7CC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Las cuentas de ahorro tienen la protección del Fondo de Garantía de Depósitos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en caso de quiebra de la entidad, garantiza hasta 100.000 por entidad y titular.</w:t>
      </w:r>
    </w:p>
    <w:p w14:paraId="0725655A" w14:textId="5C925DFB" w:rsidR="00D80839" w:rsidRPr="00CF1B34" w:rsidRDefault="00D80839"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Cuenta ahorro empresa</w:t>
      </w:r>
    </w:p>
    <w:p w14:paraId="65CA0385" w14:textId="2AE3F44B" w:rsidR="00CD0C14" w:rsidRPr="00CF1B34" w:rsidRDefault="00CD0C1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000000" w:themeColor="text1"/>
          <w:sz w:val="22"/>
          <w:szCs w:val="22"/>
          <w:lang w:val="es-ES_tradnl"/>
        </w:rPr>
        <w:t xml:space="preserve">Cuenta creada para emprender una nueva empresa lo que conlleva una serie de beneficios fiscales tales como un 15% de deducción sobre la cantidad que se destine a la creación de una sociedad en el </w:t>
      </w:r>
      <w:r w:rsidRPr="00CF1B34">
        <w:rPr>
          <w:rFonts w:ascii="Arial" w:hAnsi="Arial" w:cs="Arial"/>
          <w:b/>
          <w:bCs/>
          <w:color w:val="000000" w:themeColor="text1"/>
          <w:sz w:val="22"/>
          <w:szCs w:val="22"/>
          <w:lang w:val="es-ES_tradnl"/>
        </w:rPr>
        <w:t>IRPF</w:t>
      </w:r>
      <w:r w:rsidRPr="00CF1B34">
        <w:rPr>
          <w:rFonts w:ascii="Arial" w:hAnsi="Arial" w:cs="Arial"/>
          <w:color w:val="000000" w:themeColor="text1"/>
          <w:sz w:val="22"/>
          <w:szCs w:val="22"/>
          <w:lang w:val="es-ES_tradnl"/>
        </w:rPr>
        <w:t xml:space="preserve">. La cantidad deberá dedicarse en su totalidad a la constitución de la nueva compañía </w:t>
      </w:r>
      <w:r w:rsidRPr="00CF1B34">
        <w:rPr>
          <w:rFonts w:ascii="Arial" w:hAnsi="Arial" w:cs="Arial"/>
          <w:b/>
          <w:bCs/>
          <w:color w:val="000000" w:themeColor="text1"/>
          <w:sz w:val="22"/>
          <w:szCs w:val="22"/>
          <w:lang w:val="es-ES_tradnl"/>
        </w:rPr>
        <w:t>SNE</w:t>
      </w:r>
      <w:r w:rsidRPr="00CF1B34">
        <w:rPr>
          <w:rFonts w:ascii="Arial" w:hAnsi="Arial" w:cs="Arial"/>
          <w:color w:val="000000" w:themeColor="text1"/>
          <w:sz w:val="22"/>
          <w:szCs w:val="22"/>
          <w:lang w:val="es-ES_tradnl"/>
        </w:rPr>
        <w:t xml:space="preserve">. </w:t>
      </w:r>
      <w:r w:rsidRPr="00CF1B34">
        <w:rPr>
          <w:rFonts w:ascii="Arial" w:hAnsi="Arial" w:cs="Arial"/>
          <w:color w:val="333333"/>
          <w:sz w:val="22"/>
          <w:szCs w:val="22"/>
          <w:lang w:val="es-ES_tradnl"/>
        </w:rPr>
        <w:t>Se acepta que parte de los importes se pueda destinar a la inversión que se haga en concepto de inmovilizado o a los gastos de personal de la empresa.</w:t>
      </w:r>
      <w:r w:rsidR="007D7AB9" w:rsidRPr="00CF1B34">
        <w:rPr>
          <w:rFonts w:ascii="Arial" w:hAnsi="Arial" w:cs="Arial"/>
          <w:color w:val="333333"/>
          <w:sz w:val="22"/>
          <w:szCs w:val="22"/>
          <w:lang w:val="es-ES_tradnl"/>
        </w:rPr>
        <w:t xml:space="preserve"> Si destinara el importe a otros fines y diferentes a los pretendidos, el contribuyente perderá el derecho a la deducción sobre estos.</w:t>
      </w:r>
    </w:p>
    <w:p w14:paraId="7042E4B6" w14:textId="0E186511" w:rsidR="007D7AB9" w:rsidRPr="00CF1B34" w:rsidRDefault="007D7AB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El mecanismo es parecido a la </w:t>
      </w:r>
      <w:hyperlink r:id="rId193" w:history="1">
        <w:r w:rsidRPr="00CF1B34">
          <w:rPr>
            <w:rStyle w:val="Textoennegrita"/>
            <w:rFonts w:ascii="Arial" w:hAnsi="Arial" w:cs="Arial"/>
            <w:color w:val="DC143C"/>
            <w:sz w:val="22"/>
            <w:szCs w:val="22"/>
            <w:shd w:val="clear" w:color="auto" w:fill="FFFFFF"/>
            <w:lang w:val="es-ES_tradnl"/>
          </w:rPr>
          <w:t>cuenta vivienda</w:t>
        </w:r>
      </w:hyperlink>
      <w:r w:rsidRPr="00CF1B34">
        <w:rPr>
          <w:rFonts w:ascii="Arial" w:hAnsi="Arial" w:cs="Arial"/>
          <w:color w:val="333333"/>
          <w:sz w:val="22"/>
          <w:szCs w:val="22"/>
          <w:shd w:val="clear" w:color="auto" w:fill="FFFFFF"/>
          <w:lang w:val="es-ES_tradnl"/>
        </w:rPr>
        <w:t xml:space="preserve">, donde se debe identificar la cuenta y no se podrán tocar los fondos de la misma hasta que se constituya la empresa. Mientras que el plazo para la constitución de la </w:t>
      </w:r>
      <w:r w:rsidRPr="00CF1B34">
        <w:rPr>
          <w:rStyle w:val="Textoennegrita"/>
          <w:rFonts w:ascii="Arial" w:hAnsi="Arial" w:cs="Arial"/>
          <w:color w:val="333333"/>
          <w:sz w:val="22"/>
          <w:szCs w:val="22"/>
          <w:shd w:val="clear" w:color="auto" w:fill="FFFFFF"/>
          <w:lang w:val="es-ES_tradnl"/>
        </w:rPr>
        <w:t>SNE</w:t>
      </w:r>
      <w:r w:rsidRPr="00CF1B34">
        <w:rPr>
          <w:rFonts w:ascii="Arial" w:hAnsi="Arial" w:cs="Arial"/>
          <w:color w:val="333333"/>
          <w:sz w:val="22"/>
          <w:szCs w:val="22"/>
          <w:shd w:val="clear" w:color="auto" w:fill="FFFFFF"/>
          <w:lang w:val="es-ES_tradnl"/>
        </w:rPr>
        <w:t xml:space="preserve">, deberá ser de 4 años, esta empresa deberá contar con un local para la actividad de la misma y al menos una persona bajo contrato y a jornada completa en el plazo máximo de un año desde la constitución y con la forma jurídica de sociedad limitada nueva empresa, así como mantener el mismo </w:t>
      </w:r>
      <w:r w:rsidRPr="00CF1B34">
        <w:rPr>
          <w:rStyle w:val="Textoennegrita"/>
          <w:rFonts w:ascii="Arial" w:hAnsi="Arial" w:cs="Arial"/>
          <w:color w:val="333333"/>
          <w:sz w:val="22"/>
          <w:szCs w:val="22"/>
          <w:shd w:val="clear" w:color="auto" w:fill="FFFFFF"/>
          <w:lang w:val="es-ES_tradnl"/>
        </w:rPr>
        <w:t>objeto social</w:t>
      </w:r>
      <w:r w:rsidRPr="00CF1B34">
        <w:rPr>
          <w:rFonts w:ascii="Arial" w:hAnsi="Arial" w:cs="Arial"/>
          <w:color w:val="333333"/>
          <w:sz w:val="22"/>
          <w:szCs w:val="22"/>
          <w:shd w:val="clear" w:color="auto" w:fill="FFFFFF"/>
          <w:lang w:val="es-ES_tradnl"/>
        </w:rPr>
        <w:t xml:space="preserve"> no pudiendo ser este la gestión de un patrimonio inmobiliario o mobiliario.</w:t>
      </w:r>
    </w:p>
    <w:p w14:paraId="6D9FCDAE" w14:textId="477D555F" w:rsidR="00D80839" w:rsidRPr="00CF1B34" w:rsidRDefault="00D80839"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Cuenta ahorro vivienda</w:t>
      </w:r>
    </w:p>
    <w:p w14:paraId="47B9F589" w14:textId="7EAE9740" w:rsidR="007D7AB9" w:rsidRPr="00CF1B34" w:rsidRDefault="007D7AB9"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La adquisición de un</w:t>
      </w:r>
      <w:r w:rsidRPr="00CF1B34">
        <w:rPr>
          <w:rFonts w:ascii="Arial" w:hAnsi="Arial" w:cs="Arial"/>
          <w:color w:val="000000" w:themeColor="text1"/>
          <w:sz w:val="22"/>
          <w:szCs w:val="22"/>
          <w:lang w:val="es-ES_tradnl"/>
        </w:rPr>
        <w:t>a</w:t>
      </w:r>
      <w:r w:rsidR="00604261" w:rsidRPr="00CF1B34">
        <w:rPr>
          <w:rFonts w:ascii="Arial" w:hAnsi="Arial" w:cs="Arial"/>
          <w:color w:val="000000" w:themeColor="text1"/>
          <w:sz w:val="22"/>
          <w:szCs w:val="22"/>
          <w:lang w:val="es-ES_tradnl"/>
        </w:rPr>
        <w:t xml:space="preserve"> </w:t>
      </w:r>
      <w:hyperlink r:id="rId194" w:history="1">
        <w:r w:rsidRPr="00CF1B34">
          <w:rPr>
            <w:rFonts w:ascii="Arial" w:hAnsi="Arial" w:cs="Arial"/>
            <w:color w:val="000000" w:themeColor="text1"/>
            <w:sz w:val="22"/>
            <w:szCs w:val="22"/>
            <w:u w:val="single"/>
            <w:lang w:val="es-ES_tradnl"/>
          </w:rPr>
          <w:t>vivienda </w:t>
        </w:r>
      </w:hyperlink>
      <w:r w:rsidRPr="00CF1B34">
        <w:rPr>
          <w:rFonts w:ascii="Arial" w:hAnsi="Arial" w:cs="Arial"/>
          <w:color w:val="333333"/>
          <w:sz w:val="22"/>
          <w:szCs w:val="22"/>
          <w:lang w:val="es-ES_tradnl"/>
        </w:rPr>
        <w:t>es un acontecimiento importante y que requiere contar con ciertos</w:t>
      </w:r>
      <w:r w:rsidR="00604261" w:rsidRPr="00CF1B34">
        <w:rPr>
          <w:rFonts w:ascii="Arial" w:hAnsi="Arial" w:cs="Arial"/>
          <w:color w:val="333333"/>
          <w:sz w:val="22"/>
          <w:szCs w:val="22"/>
          <w:lang w:val="es-ES_tradnl"/>
        </w:rPr>
        <w:t xml:space="preserve"> </w:t>
      </w:r>
      <w:hyperlink r:id="rId195" w:history="1">
        <w:r w:rsidRPr="00CF1B34">
          <w:rPr>
            <w:rFonts w:ascii="Arial" w:hAnsi="Arial" w:cs="Arial"/>
            <w:color w:val="DC143C"/>
            <w:sz w:val="22"/>
            <w:szCs w:val="22"/>
            <w:u w:val="single"/>
            <w:lang w:val="es-ES_tradnl"/>
          </w:rPr>
          <w:t>ahorros</w:t>
        </w:r>
      </w:hyperlink>
      <w:r w:rsidRPr="00CF1B34">
        <w:rPr>
          <w:rFonts w:ascii="Arial" w:hAnsi="Arial" w:cs="Arial"/>
          <w:color w:val="333333"/>
          <w:sz w:val="22"/>
          <w:szCs w:val="22"/>
          <w:lang w:val="es-ES_tradnl"/>
        </w:rPr>
        <w:t>, ya que, en la mayoría de los casos,</w:t>
      </w:r>
      <w:r w:rsidR="00604261" w:rsidRPr="00CF1B34">
        <w:rPr>
          <w:rFonts w:ascii="Arial" w:hAnsi="Arial" w:cs="Arial"/>
          <w:b/>
          <w:bCs/>
          <w:color w:val="333333"/>
          <w:sz w:val="22"/>
          <w:szCs w:val="22"/>
          <w:lang w:val="es-ES_tradnl"/>
        </w:rPr>
        <w:t xml:space="preserve"> </w:t>
      </w:r>
      <w:r w:rsidRPr="00CF1B34">
        <w:rPr>
          <w:rFonts w:ascii="Arial" w:hAnsi="Arial" w:cs="Arial"/>
          <w:b/>
          <w:bCs/>
          <w:color w:val="333333"/>
          <w:sz w:val="22"/>
          <w:szCs w:val="22"/>
          <w:lang w:val="es-ES_tradnl"/>
        </w:rPr>
        <w:t>cuesta conseguir una</w:t>
      </w:r>
      <w:r w:rsidR="00604261" w:rsidRPr="00CF1B34">
        <w:rPr>
          <w:rFonts w:ascii="Arial" w:hAnsi="Arial" w:cs="Arial"/>
          <w:b/>
          <w:bCs/>
          <w:color w:val="333333"/>
          <w:sz w:val="22"/>
          <w:szCs w:val="22"/>
          <w:lang w:val="es-ES_tradnl"/>
        </w:rPr>
        <w:t xml:space="preserve"> </w:t>
      </w:r>
      <w:r w:rsidR="00ED28F2" w:rsidRPr="00CF1B34">
        <w:rPr>
          <w:rFonts w:ascii="Arial" w:hAnsi="Arial" w:cs="Arial"/>
          <w:sz w:val="22"/>
          <w:szCs w:val="22"/>
          <w:lang w:val="es-ES_tradnl"/>
        </w:rPr>
        <w:t>Hipoteca</w:t>
      </w:r>
      <w:r w:rsidR="00ED28F2" w:rsidRPr="00CF1B34">
        <w:rPr>
          <w:rFonts w:ascii="Arial" w:hAnsi="Arial" w:cs="Arial"/>
          <w:lang w:val="es-ES_tradnl"/>
        </w:rPr>
        <w:t xml:space="preserve"> </w:t>
      </w:r>
      <w:r w:rsidRPr="00CF1B34">
        <w:rPr>
          <w:rFonts w:ascii="Arial" w:hAnsi="Arial" w:cs="Arial"/>
          <w:b/>
          <w:bCs/>
          <w:color w:val="333333"/>
          <w:sz w:val="22"/>
          <w:szCs w:val="22"/>
          <w:lang w:val="es-ES_tradnl"/>
        </w:rPr>
        <w:t>que financie el 100% del valor de adquisición</w:t>
      </w:r>
      <w:r w:rsidRPr="00CF1B34">
        <w:rPr>
          <w:rFonts w:ascii="Arial" w:hAnsi="Arial" w:cs="Arial"/>
          <w:color w:val="333333"/>
          <w:sz w:val="22"/>
          <w:szCs w:val="22"/>
          <w:lang w:val="es-ES_tradnl"/>
        </w:rPr>
        <w:t>.</w:t>
      </w:r>
    </w:p>
    <w:p w14:paraId="440D624F" w14:textId="77777777" w:rsidR="007D7AB9" w:rsidRPr="00CF1B34" w:rsidRDefault="007D7AB9"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Para facilitar esta tarea de ahorro, existe un producto específico, la</w:t>
      </w:r>
      <w:r w:rsidRPr="00CF1B34">
        <w:rPr>
          <w:rFonts w:ascii="Arial" w:hAnsi="Arial" w:cs="Arial"/>
          <w:b/>
          <w:bCs/>
          <w:color w:val="333333"/>
          <w:sz w:val="22"/>
          <w:szCs w:val="22"/>
          <w:lang w:val="es-ES_tradnl"/>
        </w:rPr>
        <w:t> cuenta ahorro vivienda</w:t>
      </w:r>
      <w:r w:rsidRPr="00CF1B34">
        <w:rPr>
          <w:rFonts w:ascii="Arial" w:hAnsi="Arial" w:cs="Arial"/>
          <w:color w:val="333333"/>
          <w:sz w:val="22"/>
          <w:szCs w:val="22"/>
          <w:lang w:val="es-ES_tradnl"/>
        </w:rPr>
        <w:t>.</w:t>
      </w:r>
    </w:p>
    <w:p w14:paraId="50814CDC" w14:textId="61C87565" w:rsidR="007D7AB9" w:rsidRPr="00CF1B34" w:rsidRDefault="007D7AB9"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Se trata de un producto de ahorro que</w:t>
      </w:r>
      <w:r w:rsidR="00604261" w:rsidRPr="00CF1B34">
        <w:rPr>
          <w:rFonts w:ascii="Arial" w:hAnsi="Arial" w:cs="Arial"/>
          <w:b/>
          <w:bCs/>
          <w:color w:val="333333"/>
          <w:sz w:val="22"/>
          <w:szCs w:val="22"/>
          <w:lang w:val="es-ES_tradnl"/>
        </w:rPr>
        <w:t xml:space="preserve"> </w:t>
      </w:r>
      <w:r w:rsidRPr="00CF1B34">
        <w:rPr>
          <w:rFonts w:ascii="Arial" w:hAnsi="Arial" w:cs="Arial"/>
          <w:b/>
          <w:bCs/>
          <w:color w:val="333333"/>
          <w:sz w:val="22"/>
          <w:szCs w:val="22"/>
          <w:lang w:val="es-ES_tradnl"/>
        </w:rPr>
        <w:t>funciona como una</w:t>
      </w:r>
      <w:r w:rsidR="00604261" w:rsidRPr="00CF1B34">
        <w:rPr>
          <w:rFonts w:ascii="Arial" w:hAnsi="Arial" w:cs="Arial"/>
          <w:b/>
          <w:bCs/>
          <w:color w:val="333333"/>
          <w:sz w:val="22"/>
          <w:szCs w:val="22"/>
          <w:lang w:val="es-ES_tradnl"/>
        </w:rPr>
        <w:t xml:space="preserve"> </w:t>
      </w:r>
      <w:hyperlink r:id="rId196" w:history="1">
        <w:r w:rsidRPr="00CF1B34">
          <w:rPr>
            <w:rFonts w:ascii="Arial" w:hAnsi="Arial" w:cs="Arial"/>
            <w:b/>
            <w:bCs/>
            <w:color w:val="DC143C"/>
            <w:sz w:val="22"/>
            <w:szCs w:val="22"/>
            <w:u w:val="single"/>
            <w:lang w:val="es-ES_tradnl"/>
          </w:rPr>
          <w:t>cuenta o libreta a la vista,</w:t>
        </w:r>
      </w:hyperlink>
      <w:r w:rsidR="00604261"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pero todo lo que se ahorre será destinado a la </w:t>
      </w:r>
      <w:r w:rsidRPr="00CF1B34">
        <w:rPr>
          <w:rFonts w:ascii="Arial" w:hAnsi="Arial" w:cs="Arial"/>
          <w:b/>
          <w:bCs/>
          <w:color w:val="333333"/>
          <w:sz w:val="22"/>
          <w:szCs w:val="22"/>
          <w:lang w:val="es-ES_tradnl"/>
        </w:rPr>
        <w:t>compra o rehabilitación de una vivienda</w:t>
      </w:r>
      <w:r w:rsidR="00604261"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en forma exclusiva.</w:t>
      </w:r>
    </w:p>
    <w:p w14:paraId="0B6E7DCD" w14:textId="77777777" w:rsidR="007D7AB9" w:rsidRPr="00CF1B34" w:rsidRDefault="007D7AB9"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 ahorro en estas cuentas suele efectuarse mediante </w:t>
      </w:r>
      <w:r w:rsidRPr="00CF1B34">
        <w:rPr>
          <w:rFonts w:ascii="Arial" w:hAnsi="Arial" w:cs="Arial"/>
          <w:b/>
          <w:bCs/>
          <w:color w:val="333333"/>
          <w:sz w:val="22"/>
          <w:szCs w:val="22"/>
          <w:lang w:val="es-ES_tradnl"/>
        </w:rPr>
        <w:t>aportaciones periódicas</w:t>
      </w:r>
      <w:r w:rsidRPr="00CF1B34">
        <w:rPr>
          <w:rFonts w:ascii="Arial" w:hAnsi="Arial" w:cs="Arial"/>
          <w:color w:val="333333"/>
          <w:sz w:val="22"/>
          <w:szCs w:val="22"/>
          <w:lang w:val="es-ES_tradnl"/>
        </w:rPr>
        <w:t>, hasta reunir lo suficiente para pagar el anticipo o la entrada de una casa.</w:t>
      </w:r>
    </w:p>
    <w:p w14:paraId="28DCC7D6" w14:textId="77777777" w:rsidR="007D7AB9" w:rsidRPr="00CF1B34" w:rsidRDefault="007D7AB9"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En general estas cuentas funcionan igual que una libreta de ahorro, pero tienen una serie de particularidades, que vamos a desarrollar a continuación.</w:t>
      </w:r>
    </w:p>
    <w:p w14:paraId="38EB3695" w14:textId="7F11975B" w:rsidR="007D7AB9" w:rsidRPr="00CF1B34" w:rsidRDefault="007D7AB9"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En primer lugar,</w:t>
      </w:r>
      <w:r w:rsidR="00604261" w:rsidRPr="00CF1B34">
        <w:rPr>
          <w:rFonts w:ascii="Arial" w:hAnsi="Arial" w:cs="Arial"/>
          <w:b/>
          <w:bCs/>
          <w:color w:val="333333"/>
          <w:sz w:val="22"/>
          <w:szCs w:val="22"/>
          <w:lang w:val="es-ES_tradnl"/>
        </w:rPr>
        <w:t xml:space="preserve"> </w:t>
      </w:r>
      <w:r w:rsidRPr="00CF1B34">
        <w:rPr>
          <w:rFonts w:ascii="Arial" w:hAnsi="Arial" w:cs="Arial"/>
          <w:b/>
          <w:bCs/>
          <w:color w:val="333333"/>
          <w:sz w:val="22"/>
          <w:szCs w:val="22"/>
          <w:lang w:val="es-ES_tradnl"/>
        </w:rPr>
        <w:t>sólo se puede abrir una cuenta vivienda por persona</w:t>
      </w:r>
      <w:r w:rsidRPr="00CF1B34">
        <w:rPr>
          <w:rFonts w:ascii="Arial" w:hAnsi="Arial" w:cs="Arial"/>
          <w:color w:val="333333"/>
          <w:sz w:val="22"/>
          <w:szCs w:val="22"/>
          <w:lang w:val="es-ES_tradnl"/>
        </w:rPr>
        <w:t>. La ley sólo admite las</w:t>
      </w:r>
      <w:r w:rsidR="00604261" w:rsidRPr="00CF1B34">
        <w:rPr>
          <w:rFonts w:ascii="Arial" w:hAnsi="Arial" w:cs="Arial"/>
          <w:color w:val="333333"/>
          <w:sz w:val="22"/>
          <w:szCs w:val="22"/>
          <w:lang w:val="es-ES_tradnl"/>
        </w:rPr>
        <w:t xml:space="preserve"> </w:t>
      </w:r>
      <w:r w:rsidR="00ED28F2" w:rsidRPr="00CF1B34">
        <w:rPr>
          <w:rFonts w:ascii="Arial" w:hAnsi="Arial" w:cs="Arial"/>
          <w:sz w:val="22"/>
          <w:szCs w:val="22"/>
          <w:lang w:val="es-ES_tradnl"/>
        </w:rPr>
        <w:t>cuenta vivienda</w:t>
      </w:r>
      <w:r w:rsidR="00ED28F2" w:rsidRPr="00CF1B34">
        <w:rPr>
          <w:rFonts w:ascii="Arial" w:hAnsi="Arial" w:cs="Arial"/>
          <w:lang w:val="es-ES_tradnl"/>
        </w:rPr>
        <w:t xml:space="preserve"> </w:t>
      </w:r>
      <w:r w:rsidRPr="00CF1B34">
        <w:rPr>
          <w:rFonts w:ascii="Arial" w:hAnsi="Arial" w:cs="Arial"/>
          <w:color w:val="333333"/>
          <w:sz w:val="22"/>
          <w:szCs w:val="22"/>
          <w:lang w:val="es-ES_tradnl"/>
        </w:rPr>
        <w:t>para la adquisición de la primera vivienda, desapareciendo por tanto esta posibilidad para las personas que ya dispongan de</w:t>
      </w:r>
      <w:r w:rsidR="00604261" w:rsidRPr="00CF1B34">
        <w:rPr>
          <w:rFonts w:ascii="Arial" w:hAnsi="Arial" w:cs="Arial"/>
          <w:color w:val="333333"/>
          <w:sz w:val="22"/>
          <w:szCs w:val="22"/>
          <w:lang w:val="es-ES_tradnl"/>
        </w:rPr>
        <w:t xml:space="preserve"> </w:t>
      </w:r>
      <w:hyperlink r:id="rId197" w:history="1">
        <w:r w:rsidRPr="00CF1B34">
          <w:rPr>
            <w:rFonts w:ascii="Arial" w:hAnsi="Arial" w:cs="Arial"/>
            <w:color w:val="DC143C"/>
            <w:sz w:val="22"/>
            <w:szCs w:val="22"/>
            <w:u w:val="single"/>
            <w:lang w:val="es-ES_tradnl"/>
          </w:rPr>
          <w:t>vivienda habitual.</w:t>
        </w:r>
      </w:hyperlink>
    </w:p>
    <w:p w14:paraId="3299C3CD" w14:textId="65A626FC" w:rsidR="007D7AB9" w:rsidRPr="00CF1B34" w:rsidRDefault="007D7AB9"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Si uno considera la oferta de la mayoría de las entidades, podemos observar que los rendimientos ofrecidos para este tipo de producto son muy bajos, en comparación con los promocionados para</w:t>
      </w:r>
      <w:r w:rsidR="00604261" w:rsidRPr="00CF1B34">
        <w:rPr>
          <w:rFonts w:ascii="Arial" w:hAnsi="Arial" w:cs="Arial"/>
          <w:color w:val="333333"/>
          <w:sz w:val="22"/>
          <w:szCs w:val="22"/>
          <w:lang w:val="es-ES_tradnl"/>
        </w:rPr>
        <w:t xml:space="preserve"> </w:t>
      </w:r>
      <w:r w:rsidR="00ED28F2" w:rsidRPr="00CF1B34">
        <w:rPr>
          <w:rFonts w:ascii="Arial" w:hAnsi="Arial" w:cs="Arial"/>
          <w:sz w:val="22"/>
          <w:szCs w:val="22"/>
          <w:lang w:val="es-ES_tradnl"/>
        </w:rPr>
        <w:t>cuentas nómina</w:t>
      </w:r>
      <w:r w:rsidR="00ED28F2" w:rsidRPr="00CF1B34">
        <w:rPr>
          <w:rFonts w:ascii="Arial" w:hAnsi="Arial" w:cs="Arial"/>
          <w:lang w:val="es-ES_tradnl"/>
        </w:rPr>
        <w:t xml:space="preserve"> </w:t>
      </w:r>
      <w:r w:rsidRPr="00CF1B34">
        <w:rPr>
          <w:rFonts w:ascii="Arial" w:hAnsi="Arial" w:cs="Arial"/>
          <w:color w:val="333333"/>
          <w:sz w:val="22"/>
          <w:szCs w:val="22"/>
          <w:lang w:val="es-ES_tradnl"/>
        </w:rPr>
        <w:t>o bien para</w:t>
      </w:r>
      <w:r w:rsidR="00604261" w:rsidRPr="00CF1B34">
        <w:rPr>
          <w:rFonts w:ascii="Arial" w:hAnsi="Arial" w:cs="Arial"/>
          <w:color w:val="333333"/>
          <w:sz w:val="22"/>
          <w:szCs w:val="22"/>
          <w:lang w:val="es-ES_tradnl"/>
        </w:rPr>
        <w:t xml:space="preserve"> </w:t>
      </w:r>
      <w:r w:rsidR="00ED28F2" w:rsidRPr="00CF1B34">
        <w:rPr>
          <w:rFonts w:ascii="Arial" w:hAnsi="Arial" w:cs="Arial"/>
          <w:sz w:val="22"/>
          <w:szCs w:val="22"/>
          <w:lang w:val="es-ES_tradnl"/>
        </w:rPr>
        <w:t>deposito</w:t>
      </w:r>
      <w:r w:rsidR="00ED28F2" w:rsidRPr="00CF1B34">
        <w:rPr>
          <w:rFonts w:ascii="Arial" w:hAnsi="Arial" w:cs="Arial"/>
          <w:lang w:val="es-ES_tradnl"/>
        </w:rPr>
        <w:t xml:space="preserve"> </w:t>
      </w:r>
      <w:r w:rsidRPr="00CF1B34">
        <w:rPr>
          <w:rFonts w:ascii="Arial" w:hAnsi="Arial" w:cs="Arial"/>
          <w:color w:val="333333"/>
          <w:sz w:val="22"/>
          <w:szCs w:val="22"/>
          <w:lang w:val="es-ES_tradnl"/>
        </w:rPr>
        <w:t>a plazo fijo.</w:t>
      </w:r>
    </w:p>
    <w:p w14:paraId="4FF968DD" w14:textId="1E987D1E" w:rsidR="007D7AB9" w:rsidRPr="00CF1B34" w:rsidRDefault="007D7AB9"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Sin embargo, el atractivo de una cuenta vivienda se centra en la posibilidad de</w:t>
      </w:r>
      <w:r w:rsidR="00604261"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aprovechar las ventajas fiscales de la compra</w:t>
      </w:r>
      <w:r w:rsidRPr="00CF1B34">
        <w:rPr>
          <w:rFonts w:ascii="Arial" w:hAnsi="Arial" w:cs="Arial"/>
          <w:color w:val="333333"/>
          <w:sz w:val="22"/>
          <w:szCs w:val="22"/>
          <w:lang w:val="es-ES_tradnl"/>
        </w:rPr>
        <w:t>, más que los tipos de interés que en definitiva ofrecen.</w:t>
      </w:r>
    </w:p>
    <w:p w14:paraId="2E38B483" w14:textId="170E5C4B" w:rsidR="007D7AB9" w:rsidRPr="00CF1B34" w:rsidRDefault="007D7AB9"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De acuerdo a lo dispuesto legalmente, usted</w:t>
      </w:r>
      <w:r w:rsidR="00604261"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podrá deducir el 15% de las cantidades aportadas</w:t>
      </w:r>
      <w:r w:rsidR="00604261"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anualmente a su cuenta vivienda y que estén depositadas en la misma al 31 de diciembre de cada año.</w:t>
      </w:r>
    </w:p>
    <w:p w14:paraId="6EB2D75F" w14:textId="3602AA72" w:rsidR="002E5C34" w:rsidRPr="00CF1B34" w:rsidRDefault="002E5C34"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Para que pueda acceder a estas ventajas fiscales, la compra, construcción o rehabilitación de la primera vivienda habitual deberá completarse</w:t>
      </w:r>
      <w:r w:rsidRPr="00CF1B34">
        <w:rPr>
          <w:rStyle w:val="Textoennegrita"/>
          <w:rFonts w:ascii="Arial" w:hAnsi="Arial" w:cs="Arial"/>
          <w:color w:val="333333"/>
          <w:sz w:val="22"/>
          <w:szCs w:val="22"/>
          <w:lang w:val="es-ES_tradnl"/>
        </w:rPr>
        <w:t xml:space="preserve"> dentro de un plazo de cuatro años,</w:t>
      </w:r>
      <w:r w:rsidR="00604261" w:rsidRPr="00CF1B34">
        <w:rPr>
          <w:rStyle w:val="Textoennegrita"/>
          <w:rFonts w:ascii="Arial" w:hAnsi="Arial" w:cs="Arial"/>
          <w:color w:val="333333"/>
          <w:sz w:val="22"/>
          <w:szCs w:val="22"/>
          <w:lang w:val="es-ES_tradnl"/>
        </w:rPr>
        <w:t xml:space="preserve"> </w:t>
      </w:r>
      <w:r w:rsidRPr="00CF1B34">
        <w:rPr>
          <w:rFonts w:ascii="Arial" w:hAnsi="Arial" w:cs="Arial"/>
          <w:color w:val="333333"/>
          <w:sz w:val="22"/>
          <w:szCs w:val="22"/>
          <w:lang w:val="es-ES_tradnl"/>
        </w:rPr>
        <w:t>que empiezan a contar desde su apertura.</w:t>
      </w:r>
    </w:p>
    <w:p w14:paraId="0CE6034D" w14:textId="1A0E1DD5" w:rsidR="002E5C34" w:rsidRPr="00CF1B34" w:rsidRDefault="002E5C3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Dado que se trata de un producto destinado al ahorro en forma exclusiva, en una cuenta vivienda</w:t>
      </w:r>
      <w:r w:rsidRPr="00CF1B34">
        <w:rPr>
          <w:rStyle w:val="Textoennegrita"/>
          <w:rFonts w:ascii="Arial" w:hAnsi="Arial" w:cs="Arial"/>
          <w:color w:val="333333"/>
          <w:sz w:val="22"/>
          <w:szCs w:val="22"/>
          <w:lang w:val="es-ES_tradnl"/>
        </w:rPr>
        <w:t xml:space="preserve"> no se podrán domiciliar pagos.</w:t>
      </w:r>
    </w:p>
    <w:p w14:paraId="48406F77" w14:textId="4E5FCBF2" w:rsidR="007F7CCF" w:rsidRPr="00CF1B34" w:rsidRDefault="007F7CCF"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Cuenta bancaria</w:t>
      </w:r>
    </w:p>
    <w:p w14:paraId="621A3270" w14:textId="460F108F" w:rsidR="007F7CCF" w:rsidRPr="00CF1B34" w:rsidRDefault="007F7CCF"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w:t>
      </w:r>
      <w:r w:rsidRPr="00CF1B34">
        <w:rPr>
          <w:rFonts w:ascii="Arial" w:hAnsi="Arial" w:cs="Arial"/>
          <w:b/>
          <w:bCs/>
          <w:sz w:val="22"/>
          <w:szCs w:val="22"/>
          <w:lang w:val="es-ES_tradnl"/>
        </w:rPr>
        <w:t>cuenta bancaria</w:t>
      </w:r>
      <w:r w:rsidRPr="00CF1B34">
        <w:rPr>
          <w:rFonts w:ascii="Arial" w:hAnsi="Arial" w:cs="Arial"/>
          <w:sz w:val="22"/>
          <w:szCs w:val="22"/>
          <w:lang w:val="es-ES_tradnl"/>
        </w:rPr>
        <w:t> es un producto bancario a través del cual el titular o los titulares de la cuenta firman un contrato con una entidad financiera que a cambio les permite administrar su dinero empleando las diferentes herramientas que ponga a su disposición la entidad financiera sin necesidad de tenerlo en efectivo.</w:t>
      </w:r>
    </w:p>
    <w:p w14:paraId="220DDBE4" w14:textId="77777777" w:rsidR="007F7CCF" w:rsidRPr="00CF1B34" w:rsidRDefault="007F7CCF"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Una cuenta bancaria es en definitiva un depósito de dinero que nos permite realizar todas las operaciones bancarias más habituales: traspasos, transferencias, pagos, ingresos, domiciliaciones, retirada de efectivo en cajeros automáticos, etc).</w:t>
      </w:r>
    </w:p>
    <w:p w14:paraId="598FDAD6" w14:textId="77777777" w:rsidR="007F7CCF" w:rsidRPr="00CF1B34" w:rsidRDefault="007F7CCF" w:rsidP="0005621A">
      <w:pPr>
        <w:pStyle w:val="Ttulo2"/>
        <w:shd w:val="clear" w:color="auto" w:fill="FFFFFF"/>
        <w:ind w:left="708"/>
        <w:jc w:val="both"/>
        <w:rPr>
          <w:rStyle w:val="Textoennegrita"/>
          <w:rFonts w:ascii="Arial" w:hAnsi="Arial" w:cs="Arial"/>
          <w:b/>
          <w:bCs/>
          <w:color w:val="191B1C"/>
          <w:sz w:val="22"/>
          <w:szCs w:val="22"/>
          <w:lang w:val="es-ES_tradnl"/>
        </w:rPr>
      </w:pPr>
      <w:r w:rsidRPr="00CF1B34">
        <w:rPr>
          <w:rFonts w:ascii="Arial" w:hAnsi="Arial" w:cs="Arial"/>
          <w:b w:val="0"/>
          <w:bCs w:val="0"/>
          <w:color w:val="191B1C"/>
          <w:sz w:val="22"/>
          <w:szCs w:val="22"/>
          <w:lang w:val="es-ES_tradnl"/>
        </w:rPr>
        <w:t>Las cuentas nos permiten también acceder a una serie de productos que están vinculados a ellas como pueden ser los depósitos, las tarjetas de crédito, las tarjetas de débito, los seguros, los planes de pensiones o las hipotecas.</w:t>
      </w:r>
      <w:r w:rsidRPr="00CF1B34">
        <w:rPr>
          <w:rStyle w:val="Textoennegrita"/>
          <w:rFonts w:ascii="Arial" w:hAnsi="Arial" w:cs="Arial"/>
          <w:b/>
          <w:bCs/>
          <w:color w:val="191B1C"/>
          <w:sz w:val="22"/>
          <w:szCs w:val="22"/>
          <w:lang w:val="es-ES_tradnl"/>
        </w:rPr>
        <w:t xml:space="preserve"> </w:t>
      </w:r>
    </w:p>
    <w:p w14:paraId="37504B23" w14:textId="389F7D1F" w:rsidR="007F7CCF" w:rsidRPr="00CF1B34" w:rsidRDefault="007F7CCF" w:rsidP="0005621A">
      <w:pPr>
        <w:pStyle w:val="Ttulo2"/>
        <w:shd w:val="clear" w:color="auto" w:fill="FFFFFF"/>
        <w:ind w:firstLine="360"/>
        <w:jc w:val="both"/>
        <w:rPr>
          <w:rFonts w:ascii="Arial" w:hAnsi="Arial" w:cs="Arial"/>
          <w:b w:val="0"/>
          <w:bCs w:val="0"/>
          <w:color w:val="191B1C"/>
          <w:sz w:val="22"/>
          <w:szCs w:val="22"/>
          <w:lang w:val="es-ES_tradnl"/>
        </w:rPr>
      </w:pPr>
      <w:r w:rsidRPr="00CF1B34">
        <w:rPr>
          <w:rFonts w:ascii="Arial" w:hAnsi="Arial" w:cs="Arial"/>
          <w:color w:val="191B1C"/>
          <w:sz w:val="22"/>
          <w:szCs w:val="22"/>
          <w:lang w:val="es-ES_tradnl"/>
        </w:rPr>
        <w:t>Las principales características de las cuentas bancarias son:</w:t>
      </w:r>
    </w:p>
    <w:p w14:paraId="1E5F3C5B" w14:textId="77777777" w:rsidR="007F7CCF" w:rsidRPr="00CF1B34" w:rsidRDefault="007F7CCF" w:rsidP="0005621A">
      <w:pPr>
        <w:numPr>
          <w:ilvl w:val="0"/>
          <w:numId w:val="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Cuentan con </w:t>
      </w:r>
      <w:r w:rsidRPr="00CF1B34">
        <w:rPr>
          <w:rFonts w:ascii="Arial" w:hAnsi="Arial" w:cs="Arial"/>
          <w:b/>
          <w:bCs/>
          <w:color w:val="191B1C"/>
          <w:sz w:val="22"/>
          <w:szCs w:val="22"/>
          <w:lang w:val="es-ES_tradnl"/>
        </w:rPr>
        <w:t>liquidez inmediata</w:t>
      </w:r>
      <w:r w:rsidRPr="00CF1B34">
        <w:rPr>
          <w:rFonts w:ascii="Arial" w:hAnsi="Arial" w:cs="Arial"/>
          <w:color w:val="191B1C"/>
          <w:sz w:val="22"/>
          <w:szCs w:val="22"/>
          <w:lang w:val="es-ES_tradnl"/>
        </w:rPr>
        <w:t>, lo que permite disponer de nuestros fondos en el momento y lugar que nosotros decidamos.</w:t>
      </w:r>
    </w:p>
    <w:p w14:paraId="469B4334" w14:textId="77777777" w:rsidR="007F7CCF" w:rsidRPr="00CF1B34" w:rsidRDefault="007F7CCF" w:rsidP="0005621A">
      <w:pPr>
        <w:numPr>
          <w:ilvl w:val="0"/>
          <w:numId w:val="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t>Habitualmente las cuentas tienen </w:t>
      </w:r>
      <w:r w:rsidRPr="00CF1B34">
        <w:rPr>
          <w:rFonts w:ascii="Arial" w:hAnsi="Arial" w:cs="Arial"/>
          <w:b/>
          <w:bCs/>
          <w:color w:val="191B1C"/>
          <w:sz w:val="22"/>
          <w:szCs w:val="22"/>
          <w:lang w:val="es-ES_tradnl"/>
        </w:rPr>
        <w:t>comisiones</w:t>
      </w:r>
      <w:r w:rsidRPr="00CF1B34">
        <w:rPr>
          <w:rFonts w:ascii="Arial" w:hAnsi="Arial" w:cs="Arial"/>
          <w:color w:val="191B1C"/>
          <w:sz w:val="22"/>
          <w:szCs w:val="22"/>
          <w:lang w:val="es-ES_tradnl"/>
        </w:rPr>
        <w:t> y varían en función del tipo de cuenta, los productos asociados y la entidad bancaria. Es habitual que exista una comisión por el mantenimiento de la cuenta.</w:t>
      </w:r>
    </w:p>
    <w:p w14:paraId="4D6DFB0E" w14:textId="77777777" w:rsidR="007F7CCF" w:rsidRPr="00CF1B34" w:rsidRDefault="007F7CCF" w:rsidP="0005621A">
      <w:pPr>
        <w:numPr>
          <w:ilvl w:val="0"/>
          <w:numId w:val="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t>Llevan asociado diferentes métodos de pago como las</w:t>
      </w:r>
      <w:r w:rsidRPr="00CF1B34">
        <w:rPr>
          <w:rFonts w:ascii="Arial" w:hAnsi="Arial" w:cs="Arial"/>
          <w:b/>
          <w:bCs/>
          <w:color w:val="191B1C"/>
          <w:sz w:val="22"/>
          <w:szCs w:val="22"/>
          <w:lang w:val="es-ES_tradnl"/>
        </w:rPr>
        <w:t> tarjetas de crédito</w:t>
      </w:r>
      <w:r w:rsidRPr="00CF1B34">
        <w:rPr>
          <w:rFonts w:ascii="Arial" w:hAnsi="Arial" w:cs="Arial"/>
          <w:color w:val="191B1C"/>
          <w:sz w:val="22"/>
          <w:szCs w:val="22"/>
          <w:lang w:val="es-ES_tradnl"/>
        </w:rPr>
        <w:t> o </w:t>
      </w:r>
      <w:r w:rsidRPr="00CF1B34">
        <w:rPr>
          <w:rFonts w:ascii="Arial" w:hAnsi="Arial" w:cs="Arial"/>
          <w:b/>
          <w:bCs/>
          <w:color w:val="191B1C"/>
          <w:sz w:val="22"/>
          <w:szCs w:val="22"/>
          <w:lang w:val="es-ES_tradnl"/>
        </w:rPr>
        <w:t>tarjetas de débito</w:t>
      </w:r>
      <w:r w:rsidRPr="00CF1B34">
        <w:rPr>
          <w:rFonts w:ascii="Arial" w:hAnsi="Arial" w:cs="Arial"/>
          <w:color w:val="191B1C"/>
          <w:sz w:val="22"/>
          <w:szCs w:val="22"/>
          <w:lang w:val="es-ES_tradnl"/>
        </w:rPr>
        <w:t>.</w:t>
      </w:r>
    </w:p>
    <w:p w14:paraId="0F4527C6" w14:textId="67160773" w:rsidR="007F7CCF" w:rsidRPr="00CF1B34" w:rsidRDefault="007F7CCF" w:rsidP="0005621A">
      <w:pPr>
        <w:numPr>
          <w:ilvl w:val="0"/>
          <w:numId w:val="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t>Cuentan con un código de identificación único </w:t>
      </w:r>
      <w:r w:rsidRPr="00CF1B34">
        <w:rPr>
          <w:rFonts w:ascii="Arial" w:hAnsi="Arial" w:cs="Arial"/>
          <w:b/>
          <w:bCs/>
          <w:color w:val="191B1C"/>
          <w:sz w:val="22"/>
          <w:szCs w:val="22"/>
          <w:lang w:val="es-ES_tradnl"/>
        </w:rPr>
        <w:t>IBAN</w:t>
      </w:r>
      <w:r w:rsidR="00000B9E" w:rsidRPr="00CF1B34">
        <w:rPr>
          <w:rFonts w:ascii="Arial" w:hAnsi="Arial" w:cs="Arial"/>
          <w:b/>
          <w:bCs/>
          <w:color w:val="191B1C"/>
          <w:sz w:val="22"/>
          <w:szCs w:val="22"/>
          <w:lang w:val="es-ES_tradnl"/>
        </w:rPr>
        <w:t xml:space="preserve">. </w:t>
      </w:r>
    </w:p>
    <w:p w14:paraId="63B24603" w14:textId="07E86325" w:rsidR="00000B9E" w:rsidRPr="00CF1B34" w:rsidRDefault="00000B9E" w:rsidP="0005621A">
      <w:pPr>
        <w:pStyle w:val="Ttulo2"/>
        <w:shd w:val="clear" w:color="auto" w:fill="FFFFFF"/>
        <w:jc w:val="both"/>
        <w:rPr>
          <w:rFonts w:ascii="Arial" w:hAnsi="Arial" w:cs="Arial"/>
          <w:b w:val="0"/>
          <w:bCs w:val="0"/>
          <w:color w:val="191B1C"/>
          <w:sz w:val="24"/>
          <w:szCs w:val="24"/>
          <w:lang w:val="es-ES_tradnl"/>
        </w:rPr>
      </w:pPr>
      <w:r w:rsidRPr="00CF1B34">
        <w:rPr>
          <w:rStyle w:val="Textoennegrita"/>
          <w:rFonts w:ascii="Arial" w:hAnsi="Arial" w:cs="Arial"/>
          <w:b/>
          <w:bCs/>
          <w:color w:val="191B1C"/>
          <w:sz w:val="24"/>
          <w:szCs w:val="24"/>
          <w:lang w:val="es-ES_tradnl"/>
        </w:rPr>
        <w:t>Tipos de cuentas bancarias</w:t>
      </w:r>
    </w:p>
    <w:p w14:paraId="7B55F769" w14:textId="30C44871" w:rsidR="00000B9E" w:rsidRPr="00CF1B34" w:rsidRDefault="00000B9E" w:rsidP="0005621A">
      <w:pPr>
        <w:pStyle w:val="listitem"/>
        <w:numPr>
          <w:ilvl w:val="0"/>
          <w:numId w:val="2"/>
        </w:numPr>
        <w:shd w:val="clear" w:color="auto" w:fill="FFFFFF"/>
        <w:spacing w:after="240" w:afterAutospacing="0"/>
        <w:jc w:val="both"/>
        <w:rPr>
          <w:rFonts w:ascii="Arial" w:hAnsi="Arial" w:cs="Arial"/>
          <w:color w:val="191B1C"/>
          <w:lang w:val="es-ES_tradnl"/>
        </w:rPr>
      </w:pPr>
      <w:r w:rsidRPr="00CF1B34">
        <w:rPr>
          <w:rStyle w:val="Textoennegrita"/>
          <w:rFonts w:ascii="Arial" w:hAnsi="Arial" w:cs="Arial"/>
          <w:color w:val="191B1C"/>
          <w:lang w:val="es-ES_tradnl"/>
        </w:rPr>
        <w:t>Cuenta corriente:</w:t>
      </w:r>
      <w:r w:rsidRPr="00CF1B34">
        <w:rPr>
          <w:rFonts w:ascii="Arial" w:hAnsi="Arial" w:cs="Arial"/>
          <w:color w:val="191B1C"/>
          <w:lang w:val="es-ES_tradnl"/>
        </w:rPr>
        <w:t> se trata de un depósito a la vista que permite disponer del dinero en cualquier momento. La </w:t>
      </w:r>
      <w:hyperlink r:id="rId198" w:history="1">
        <w:r w:rsidRPr="00CF1B34">
          <w:rPr>
            <w:rStyle w:val="Hipervnculo"/>
            <w:rFonts w:ascii="Arial" w:hAnsi="Arial" w:cs="Arial"/>
            <w:color w:val="2F5496" w:themeColor="accent1" w:themeShade="BF"/>
            <w:lang w:val="es-ES_tradnl"/>
          </w:rPr>
          <w:t>cuenta corriente</w:t>
        </w:r>
      </w:hyperlink>
      <w:r w:rsidR="002B32D6" w:rsidRPr="00CF1B34">
        <w:rPr>
          <w:rFonts w:ascii="Arial" w:hAnsi="Arial" w:cs="Arial"/>
          <w:color w:val="2F5496" w:themeColor="accent1" w:themeShade="BF"/>
          <w:lang w:val="es-ES_tradnl"/>
        </w:rPr>
        <w:t xml:space="preserve"> </w:t>
      </w:r>
      <w:r w:rsidRPr="00CF1B34">
        <w:rPr>
          <w:rFonts w:ascii="Arial" w:hAnsi="Arial" w:cs="Arial"/>
          <w:color w:val="191B1C"/>
          <w:lang w:val="es-ES_tradnl"/>
        </w:rPr>
        <w:t>es sin duda uno de los productos más populares en las entidades bancarias.</w:t>
      </w:r>
    </w:p>
    <w:p w14:paraId="2C0174E0" w14:textId="77777777" w:rsidR="00000B9E" w:rsidRPr="00CF1B34" w:rsidRDefault="00000B9E" w:rsidP="0005621A">
      <w:pPr>
        <w:pStyle w:val="listitem"/>
        <w:numPr>
          <w:ilvl w:val="0"/>
          <w:numId w:val="2"/>
        </w:numPr>
        <w:shd w:val="clear" w:color="auto" w:fill="FFFFFF"/>
        <w:spacing w:after="240" w:afterAutospacing="0"/>
        <w:jc w:val="both"/>
        <w:rPr>
          <w:rFonts w:ascii="Arial" w:hAnsi="Arial" w:cs="Arial"/>
          <w:color w:val="191B1C"/>
          <w:lang w:val="es-ES_tradnl"/>
        </w:rPr>
      </w:pPr>
      <w:r w:rsidRPr="00CF1B34">
        <w:rPr>
          <w:rStyle w:val="Textoennegrita"/>
          <w:rFonts w:ascii="Arial" w:hAnsi="Arial" w:cs="Arial"/>
          <w:color w:val="191B1C"/>
          <w:lang w:val="es-ES_tradnl"/>
        </w:rPr>
        <w:t>Cuenta nómina</w:t>
      </w:r>
      <w:r w:rsidRPr="00CF1B34">
        <w:rPr>
          <w:rFonts w:ascii="Arial" w:hAnsi="Arial" w:cs="Arial"/>
          <w:color w:val="191B1C"/>
          <w:lang w:val="es-ES_tradnl"/>
        </w:rPr>
        <w:t>: se dirige a aquellas personas que domicilien la nómina en la entidad bancaria.</w:t>
      </w:r>
    </w:p>
    <w:p w14:paraId="4EED876C" w14:textId="48EA2F8C" w:rsidR="00000B9E" w:rsidRPr="00CF1B34" w:rsidRDefault="00000B9E" w:rsidP="0005621A">
      <w:pPr>
        <w:pStyle w:val="listitem"/>
        <w:numPr>
          <w:ilvl w:val="0"/>
          <w:numId w:val="2"/>
        </w:numPr>
        <w:shd w:val="clear" w:color="auto" w:fill="FFFFFF"/>
        <w:spacing w:after="240" w:afterAutospacing="0"/>
        <w:jc w:val="both"/>
        <w:rPr>
          <w:rFonts w:ascii="Arial" w:hAnsi="Arial" w:cs="Arial"/>
          <w:color w:val="191B1C"/>
          <w:lang w:val="es-ES_tradnl"/>
        </w:rPr>
      </w:pPr>
      <w:r w:rsidRPr="00CF1B34">
        <w:rPr>
          <w:rStyle w:val="Textoennegrita"/>
          <w:rFonts w:ascii="Arial" w:hAnsi="Arial" w:cs="Arial"/>
          <w:color w:val="191B1C"/>
          <w:lang w:val="es-ES_tradnl"/>
        </w:rPr>
        <w:t>Cuenta de ahorros</w:t>
      </w:r>
      <w:r w:rsidRPr="00CF1B34">
        <w:rPr>
          <w:rFonts w:ascii="Arial" w:hAnsi="Arial" w:cs="Arial"/>
          <w:color w:val="191B1C"/>
          <w:lang w:val="es-ES_tradnl"/>
        </w:rPr>
        <w:t>: las </w:t>
      </w:r>
      <w:hyperlink r:id="rId199" w:history="1">
        <w:r w:rsidRPr="00CF1B34">
          <w:rPr>
            <w:rStyle w:val="Hipervnculo"/>
            <w:rFonts w:ascii="Arial" w:hAnsi="Arial" w:cs="Arial"/>
            <w:color w:val="2F5496" w:themeColor="accent1" w:themeShade="BF"/>
            <w:lang w:val="es-ES_tradnl"/>
          </w:rPr>
          <w:t>cuentas de ahorros</w:t>
        </w:r>
      </w:hyperlink>
      <w:r w:rsidR="002B32D6" w:rsidRPr="00CF1B34">
        <w:rPr>
          <w:rFonts w:ascii="Arial" w:hAnsi="Arial" w:cs="Arial"/>
          <w:color w:val="2F5496" w:themeColor="accent1" w:themeShade="BF"/>
          <w:lang w:val="es-ES_tradnl"/>
        </w:rPr>
        <w:t xml:space="preserve"> </w:t>
      </w:r>
      <w:r w:rsidRPr="00CF1B34">
        <w:rPr>
          <w:rFonts w:ascii="Arial" w:hAnsi="Arial" w:cs="Arial"/>
          <w:color w:val="191B1C"/>
          <w:lang w:val="es-ES_tradnl"/>
        </w:rPr>
        <w:t>se diferencian del resto en que generan intereses.</w:t>
      </w:r>
    </w:p>
    <w:p w14:paraId="1E5F6F26" w14:textId="77777777" w:rsidR="002B32D6" w:rsidRPr="00CF1B34" w:rsidRDefault="00000B9E"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191B1C"/>
          <w:lang w:val="es-ES_tradnl"/>
        </w:rPr>
        <w:t>Cuenta remunerada</w:t>
      </w:r>
      <w:r w:rsidRPr="00CF1B34">
        <w:rPr>
          <w:rFonts w:ascii="Arial" w:hAnsi="Arial" w:cs="Arial"/>
          <w:color w:val="191B1C"/>
          <w:lang w:val="es-ES_tradnl"/>
        </w:rPr>
        <w:t>: es una modalidad de cuenta de ahorro que permite disponer de los fondos sin que exista penalización.</w:t>
      </w:r>
    </w:p>
    <w:p w14:paraId="4D6DC71B" w14:textId="77777777" w:rsidR="00245E1E" w:rsidRPr="00CF1B34" w:rsidRDefault="00245E1E" w:rsidP="0005621A">
      <w:pPr>
        <w:pStyle w:val="listitem"/>
        <w:shd w:val="clear" w:color="auto" w:fill="FFFFFF"/>
        <w:spacing w:after="240" w:afterAutospacing="0"/>
        <w:jc w:val="both"/>
        <w:rPr>
          <w:rFonts w:ascii="Arial" w:hAnsi="Arial" w:cs="Arial"/>
          <w:b/>
          <w:bCs/>
          <w:color w:val="191B1C"/>
          <w:lang w:val="es-ES_tradnl"/>
        </w:rPr>
      </w:pPr>
      <w:r w:rsidRPr="00CF1B34">
        <w:rPr>
          <w:rFonts w:ascii="Arial" w:hAnsi="Arial" w:cs="Arial"/>
          <w:b/>
          <w:bCs/>
          <w:color w:val="2F5496" w:themeColor="accent1" w:themeShade="BF"/>
          <w:lang w:val="es-ES_tradnl"/>
        </w:rPr>
        <w:t>Cuenta corriente</w:t>
      </w:r>
    </w:p>
    <w:p w14:paraId="217A476A" w14:textId="5AA34194" w:rsidR="00245E1E" w:rsidRPr="00CF1B34" w:rsidRDefault="00245E1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Una</w:t>
      </w:r>
      <w:r w:rsidR="00604261"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cuenta corriente</w:t>
      </w:r>
      <w:r w:rsidR="00604261" w:rsidRPr="00CF1B34">
        <w:rPr>
          <w:rFonts w:ascii="Arial" w:hAnsi="Arial" w:cs="Arial"/>
          <w:sz w:val="22"/>
          <w:szCs w:val="22"/>
          <w:lang w:val="es-ES_tradnl"/>
        </w:rPr>
        <w:t xml:space="preserve"> </w:t>
      </w:r>
      <w:r w:rsidRPr="00CF1B34">
        <w:rPr>
          <w:rFonts w:ascii="Arial" w:hAnsi="Arial" w:cs="Arial"/>
          <w:sz w:val="22"/>
          <w:szCs w:val="22"/>
          <w:lang w:val="es-ES_tradnl"/>
        </w:rPr>
        <w:t>es un tipo de depósito a la vista que permite al cliente depositar una cantidad de dinero en la entidad bancaria y disponer de este dinero cuando quiera a través de retirada en efectivo en la oficina del banco o los cajeros automáticos o a través del pago con tarjeta.</w:t>
      </w:r>
    </w:p>
    <w:p w14:paraId="6B125FA2" w14:textId="77777777" w:rsidR="00245E1E" w:rsidRPr="00CF1B34" w:rsidRDefault="00245E1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Este tipo de cuentas son las más habituales y ofrecen una amplia variedad de operativas entre las que se incluyen todas aquellas gestiones que habitualmente realizamos a través de una entidad bancaria: domiciliar pagos, ingresar o retirar dinero, domiciliar ingresos, asociar tarjetas de crédito y/o débito o contratar otros productos bancarios asociados a las cuentas corrientes.</w:t>
      </w:r>
    </w:p>
    <w:p w14:paraId="3AEBB78C" w14:textId="2C12B0F8" w:rsidR="00245E1E" w:rsidRPr="00CF1B34" w:rsidRDefault="00245E1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Las cuentas corrientes pueden tener</w:t>
      </w:r>
      <w:r w:rsidR="005E5178"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uno o varios titulares</w:t>
      </w:r>
      <w:r w:rsidRPr="00CF1B34">
        <w:rPr>
          <w:rFonts w:ascii="Arial" w:hAnsi="Arial" w:cs="Arial"/>
          <w:sz w:val="22"/>
          <w:szCs w:val="22"/>
          <w:lang w:val="es-ES_tradnl"/>
        </w:rPr>
        <w:t>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por tanto, ser usadas por más de una persona.</w:t>
      </w:r>
    </w:p>
    <w:p w14:paraId="03BA95EC" w14:textId="77777777" w:rsidR="00B8436E" w:rsidRPr="00CF1B34" w:rsidRDefault="00245E1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Es habitual que este tipo de cuentas tengan alguna comisión </w:t>
      </w:r>
      <w:proofErr w:type="gramStart"/>
      <w:r w:rsidRPr="00CF1B34">
        <w:rPr>
          <w:rFonts w:ascii="Arial" w:hAnsi="Arial" w:cs="Arial"/>
          <w:sz w:val="22"/>
          <w:szCs w:val="22"/>
          <w:lang w:val="es-ES_tradnl"/>
        </w:rPr>
        <w:t>asociada</w:t>
      </w:r>
      <w:proofErr w:type="gramEnd"/>
      <w:r w:rsidRPr="00CF1B34">
        <w:rPr>
          <w:rFonts w:ascii="Arial" w:hAnsi="Arial" w:cs="Arial"/>
          <w:sz w:val="22"/>
          <w:szCs w:val="22"/>
          <w:lang w:val="es-ES_tradnl"/>
        </w:rPr>
        <w:t xml:space="preserve"> aunque cada vez está más extendido el uso de su modalidad online. Las </w:t>
      </w:r>
      <w:r w:rsidRPr="00CF1B34">
        <w:rPr>
          <w:rStyle w:val="Textoennegrita"/>
          <w:rFonts w:ascii="Arial" w:hAnsi="Arial" w:cs="Arial"/>
          <w:sz w:val="22"/>
          <w:szCs w:val="22"/>
          <w:lang w:val="es-ES_tradnl"/>
        </w:rPr>
        <w:t>cuentas corrientes onlin</w:t>
      </w:r>
      <w:r w:rsidRPr="00CF1B34">
        <w:rPr>
          <w:rFonts w:ascii="Arial" w:hAnsi="Arial" w:cs="Arial"/>
          <w:sz w:val="22"/>
          <w:szCs w:val="22"/>
          <w:lang w:val="es-ES_tradnl"/>
        </w:rPr>
        <w:t>e son contratadas directamente por los clientes a través de internet y, en muchos casos, tienen comisiones muy reducidas e incluso inexistentes.</w:t>
      </w:r>
    </w:p>
    <w:p w14:paraId="0C726AFA" w14:textId="0925CE21" w:rsidR="00D80839" w:rsidRPr="00CF1B34" w:rsidRDefault="00D80839"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Cuenta empresa</w:t>
      </w:r>
    </w:p>
    <w:p w14:paraId="45A632C0"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Uno de los </w:t>
      </w:r>
      <w:hyperlink r:id="rId200" w:history="1">
        <w:r w:rsidRPr="00CF1B34">
          <w:rPr>
            <w:rFonts w:ascii="Arial" w:hAnsi="Arial" w:cs="Arial"/>
            <w:color w:val="DC143C"/>
            <w:sz w:val="22"/>
            <w:szCs w:val="22"/>
            <w:u w:val="single"/>
            <w:lang w:val="es-ES_tradnl"/>
          </w:rPr>
          <w:t>productos financieros</w:t>
        </w:r>
      </w:hyperlink>
      <w:r w:rsidRPr="00CF1B34">
        <w:rPr>
          <w:rFonts w:ascii="Arial" w:hAnsi="Arial" w:cs="Arial"/>
          <w:color w:val="333333"/>
          <w:sz w:val="22"/>
          <w:szCs w:val="22"/>
          <w:lang w:val="es-ES_tradnl"/>
        </w:rPr>
        <w:t> que tienen disponible la compañías en España es la </w:t>
      </w:r>
      <w:r w:rsidRPr="00CF1B34">
        <w:rPr>
          <w:rFonts w:ascii="Arial" w:hAnsi="Arial" w:cs="Arial"/>
          <w:b/>
          <w:bCs/>
          <w:color w:val="333333"/>
          <w:sz w:val="22"/>
          <w:szCs w:val="22"/>
          <w:lang w:val="es-ES_tradnl"/>
        </w:rPr>
        <w:t>Cuenta Empresa</w:t>
      </w:r>
      <w:r w:rsidRPr="00CF1B34">
        <w:rPr>
          <w:rFonts w:ascii="Arial" w:hAnsi="Arial" w:cs="Arial"/>
          <w:color w:val="333333"/>
          <w:sz w:val="22"/>
          <w:szCs w:val="22"/>
          <w:lang w:val="es-ES_tradnl"/>
        </w:rPr>
        <w:t>. Si bien existen varias modalidades, todas ellas les permiten hacer frente al día a día y también para incrementar su ahorro para invertirlo a futuro.</w:t>
      </w:r>
    </w:p>
    <w:p w14:paraId="13F5BCC8"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Uno de los sectores, que pueden a acceder a estas ofertas que tienen disponibles </w:t>
      </w:r>
      <w:hyperlink r:id="rId201" w:history="1">
        <w:r w:rsidRPr="00CF1B34">
          <w:rPr>
            <w:rFonts w:ascii="Arial" w:hAnsi="Arial" w:cs="Arial"/>
            <w:color w:val="DC143C"/>
            <w:sz w:val="22"/>
            <w:szCs w:val="22"/>
            <w:u w:val="single"/>
            <w:lang w:val="es-ES_tradnl"/>
          </w:rPr>
          <w:t>los bancos y las cajas de ahorro</w:t>
        </w:r>
      </w:hyperlink>
      <w:r w:rsidRPr="00CF1B34">
        <w:rPr>
          <w:rFonts w:ascii="Arial" w:hAnsi="Arial" w:cs="Arial"/>
          <w:color w:val="333333"/>
          <w:sz w:val="22"/>
          <w:szCs w:val="22"/>
          <w:lang w:val="es-ES_tradnl"/>
        </w:rPr>
        <w:t> son </w:t>
      </w:r>
      <w:hyperlink r:id="rId202" w:history="1">
        <w:r w:rsidRPr="00CF1B34">
          <w:rPr>
            <w:rFonts w:ascii="Arial" w:hAnsi="Arial" w:cs="Arial"/>
            <w:color w:val="DC143C"/>
            <w:sz w:val="22"/>
            <w:szCs w:val="22"/>
            <w:u w:val="single"/>
            <w:lang w:val="es-ES_tradnl"/>
          </w:rPr>
          <w:t>las pequeñas y medianas empresas</w:t>
        </w:r>
      </w:hyperlink>
      <w:r w:rsidRPr="00CF1B34">
        <w:rPr>
          <w:rFonts w:ascii="Arial" w:hAnsi="Arial" w:cs="Arial"/>
          <w:color w:val="333333"/>
          <w:sz w:val="22"/>
          <w:szCs w:val="22"/>
          <w:lang w:val="es-ES_tradnl"/>
        </w:rPr>
        <w:t> a través de las </w:t>
      </w:r>
      <w:r w:rsidRPr="00CF1B34">
        <w:rPr>
          <w:rFonts w:ascii="Arial" w:hAnsi="Arial" w:cs="Arial"/>
          <w:b/>
          <w:bCs/>
          <w:color w:val="333333"/>
          <w:sz w:val="22"/>
          <w:szCs w:val="22"/>
          <w:lang w:val="es-ES_tradnl"/>
        </w:rPr>
        <w:t>Cuentas Pymes</w:t>
      </w:r>
      <w:r w:rsidRPr="00CF1B34">
        <w:rPr>
          <w:rFonts w:ascii="Arial" w:hAnsi="Arial" w:cs="Arial"/>
          <w:color w:val="333333"/>
          <w:sz w:val="22"/>
          <w:szCs w:val="22"/>
          <w:lang w:val="es-ES_tradnl"/>
        </w:rPr>
        <w:t>.</w:t>
      </w:r>
    </w:p>
    <w:p w14:paraId="5557EDA4"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Generalmente las entidades cobran una suma fija al mes, por una serie de servicios financieros como </w:t>
      </w:r>
      <w:hyperlink r:id="rId203" w:history="1">
        <w:r w:rsidRPr="00CF1B34">
          <w:rPr>
            <w:rFonts w:ascii="Arial" w:hAnsi="Arial" w:cs="Arial"/>
            <w:color w:val="DC143C"/>
            <w:sz w:val="22"/>
            <w:szCs w:val="22"/>
            <w:u w:val="single"/>
            <w:lang w:val="es-ES_tradnl"/>
          </w:rPr>
          <w:t>tarjeta de crédito</w:t>
        </w:r>
      </w:hyperlink>
      <w:r w:rsidRPr="00CF1B34">
        <w:rPr>
          <w:rFonts w:ascii="Arial" w:hAnsi="Arial" w:cs="Arial"/>
          <w:color w:val="333333"/>
          <w:sz w:val="22"/>
          <w:szCs w:val="22"/>
          <w:lang w:val="es-ES_tradnl"/>
        </w:rPr>
        <w:t> para personas físicas, tarjeta de débito (hoy muchas de estas promociones bonifican las renovaciones).</w:t>
      </w:r>
    </w:p>
    <w:p w14:paraId="29449421"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proofErr w:type="gramStart"/>
      <w:r w:rsidRPr="00CF1B34">
        <w:rPr>
          <w:rFonts w:ascii="Arial" w:hAnsi="Arial" w:cs="Arial"/>
          <w:color w:val="333333"/>
          <w:sz w:val="22"/>
          <w:szCs w:val="22"/>
          <w:lang w:val="es-ES_tradnl"/>
        </w:rPr>
        <w:t>Además</w:t>
      </w:r>
      <w:proofErr w:type="gramEnd"/>
      <w:r w:rsidRPr="00CF1B34">
        <w:rPr>
          <w:rFonts w:ascii="Arial" w:hAnsi="Arial" w:cs="Arial"/>
          <w:color w:val="333333"/>
          <w:sz w:val="22"/>
          <w:szCs w:val="22"/>
          <w:lang w:val="es-ES_tradnl"/>
        </w:rPr>
        <w:t xml:space="preserve"> el costo mensual incluye administración y mantenimiento de la cuenta, la exención de comisiones de ingresos de cheques, transferencias (ambas operaciones suelen tener un límite mensual), talonario de cheques y talonario de pagarés.</w:t>
      </w:r>
    </w:p>
    <w:p w14:paraId="46F390E0"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Otro de los servicios que suelen incluir son los anticipos para pago de </w:t>
      </w:r>
      <w:hyperlink r:id="rId204" w:history="1">
        <w:r w:rsidRPr="00CF1B34">
          <w:rPr>
            <w:rFonts w:ascii="Arial" w:hAnsi="Arial" w:cs="Arial"/>
            <w:color w:val="DC143C"/>
            <w:sz w:val="22"/>
            <w:szCs w:val="22"/>
            <w:u w:val="single"/>
            <w:lang w:val="es-ES_tradnl"/>
          </w:rPr>
          <w:t>nóminas</w:t>
        </w:r>
      </w:hyperlink>
      <w:r w:rsidRPr="00CF1B34">
        <w:rPr>
          <w:rFonts w:ascii="Arial" w:hAnsi="Arial" w:cs="Arial"/>
          <w:color w:val="333333"/>
          <w:sz w:val="22"/>
          <w:szCs w:val="22"/>
          <w:lang w:val="es-ES_tradnl"/>
        </w:rPr>
        <w:t>, la posibilidad de operar a través de Internet y servicios de alertas por SMS.</w:t>
      </w:r>
    </w:p>
    <w:p w14:paraId="0909C7E1"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Este tipo de cuentas también tiene la finalidad de vincular a la empresa con la entidad financiera ya que puede acceder a descuentos en </w:t>
      </w:r>
      <w:hyperlink r:id="rId205" w:history="1">
        <w:r w:rsidRPr="00CF1B34">
          <w:rPr>
            <w:rFonts w:ascii="Arial" w:hAnsi="Arial" w:cs="Arial"/>
            <w:color w:val="DC143C"/>
            <w:sz w:val="22"/>
            <w:szCs w:val="22"/>
            <w:u w:val="single"/>
            <w:lang w:val="es-ES_tradnl"/>
          </w:rPr>
          <w:t>seguros</w:t>
        </w:r>
      </w:hyperlink>
      <w:r w:rsidRPr="00CF1B34">
        <w:rPr>
          <w:rFonts w:ascii="Arial" w:hAnsi="Arial" w:cs="Arial"/>
          <w:color w:val="333333"/>
          <w:sz w:val="22"/>
          <w:szCs w:val="22"/>
          <w:lang w:val="es-ES_tradnl"/>
        </w:rPr>
        <w:t>, renting y leasing.</w:t>
      </w:r>
    </w:p>
    <w:p w14:paraId="5745C8CC"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Otra de las ofertas son las </w:t>
      </w:r>
      <w:r w:rsidRPr="00CF1B34">
        <w:rPr>
          <w:rFonts w:ascii="Arial" w:hAnsi="Arial" w:cs="Arial"/>
          <w:b/>
          <w:bCs/>
          <w:color w:val="333333"/>
          <w:sz w:val="22"/>
          <w:szCs w:val="22"/>
          <w:lang w:val="es-ES_tradnl"/>
        </w:rPr>
        <w:t>Cuentas para Comercios</w:t>
      </w:r>
      <w:r w:rsidRPr="00CF1B34">
        <w:rPr>
          <w:rFonts w:ascii="Arial" w:hAnsi="Arial" w:cs="Arial"/>
          <w:color w:val="333333"/>
          <w:sz w:val="22"/>
          <w:szCs w:val="22"/>
          <w:lang w:val="es-ES_tradnl"/>
        </w:rPr>
        <w:t>. Aquí las ventajas se incluyen en un paquete integrado de productos y servicios a cambio de una cuota mensual.</w:t>
      </w:r>
    </w:p>
    <w:p w14:paraId="2B350D95"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Son cuentas corrientes sin comisiones de administración ni mantenimiento (gancho para atraer clientes) que incluyen tarjetas de débito, crédito e ingresos. También incluye transferencias (limitadas al mes) e ingresos de cheques. También suelen ofrecer la exención en comisiones de disposición de efectivo en cajeros.</w:t>
      </w:r>
    </w:p>
    <w:p w14:paraId="2D56CDF1"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Las Cuentas para Comercios están disponibles para su utilización a través de Internet con acceso a servicios de Alertas a móvil.</w:t>
      </w:r>
    </w:p>
    <w:p w14:paraId="762774F5"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Entre las ventajas, destcamos anticipo de pago de impuestos o nóminas, leasing y financiación en condiciones preferentes. Además, muchas entidades no cobran la instalación del servicio de TPV.</w:t>
      </w:r>
    </w:p>
    <w:p w14:paraId="62BED61C"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Sin embargo, uno de los productos más comunes son </w:t>
      </w:r>
      <w:r w:rsidRPr="00CF1B34">
        <w:rPr>
          <w:rFonts w:ascii="Arial" w:hAnsi="Arial" w:cs="Arial"/>
          <w:b/>
          <w:bCs/>
          <w:color w:val="333333"/>
          <w:sz w:val="22"/>
          <w:szCs w:val="22"/>
          <w:lang w:val="es-ES_tradnl"/>
        </w:rPr>
        <w:t>las</w:t>
      </w:r>
      <w:r w:rsidRPr="00CF1B34">
        <w:rPr>
          <w:rFonts w:ascii="Arial" w:hAnsi="Arial" w:cs="Arial"/>
          <w:color w:val="333333"/>
          <w:sz w:val="22"/>
          <w:szCs w:val="22"/>
          <w:lang w:val="es-ES_tradnl"/>
        </w:rPr>
        <w:t> </w:t>
      </w:r>
      <w:r w:rsidRPr="00CF1B34">
        <w:rPr>
          <w:rFonts w:ascii="Arial" w:hAnsi="Arial" w:cs="Arial"/>
          <w:b/>
          <w:bCs/>
          <w:color w:val="333333"/>
          <w:sz w:val="22"/>
          <w:szCs w:val="22"/>
          <w:lang w:val="es-ES_tradnl"/>
        </w:rPr>
        <w:t>Cuentas Corrientes</w:t>
      </w:r>
      <w:r w:rsidRPr="00CF1B34">
        <w:rPr>
          <w:rFonts w:ascii="Arial" w:hAnsi="Arial" w:cs="Arial"/>
          <w:color w:val="333333"/>
          <w:sz w:val="22"/>
          <w:szCs w:val="22"/>
          <w:lang w:val="es-ES_tradnl"/>
        </w:rPr>
        <w:t>. Muchas ofertas brindan un depósito a la vista con un tipo de interés para rentabilizar los saldos medios, aunque con disponibilidad inmediata del </w:t>
      </w:r>
      <w:hyperlink r:id="rId206" w:history="1">
        <w:r w:rsidRPr="00CF1B34">
          <w:rPr>
            <w:rFonts w:ascii="Arial" w:hAnsi="Arial" w:cs="Arial"/>
            <w:color w:val="DC143C"/>
            <w:sz w:val="22"/>
            <w:szCs w:val="22"/>
            <w:u w:val="single"/>
            <w:lang w:val="es-ES_tradnl"/>
          </w:rPr>
          <w:t>dinero</w:t>
        </w:r>
      </w:hyperlink>
      <w:r w:rsidRPr="00CF1B34">
        <w:rPr>
          <w:rFonts w:ascii="Arial" w:hAnsi="Arial" w:cs="Arial"/>
          <w:color w:val="333333"/>
          <w:sz w:val="22"/>
          <w:szCs w:val="22"/>
          <w:lang w:val="es-ES_tradnl"/>
        </w:rPr>
        <w:t>.</w:t>
      </w:r>
    </w:p>
    <w:p w14:paraId="4E28DACB"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Estas cuentas estipulan todo tipo de operatoria como ingresos, reintegros, transferencias, domiciliación de recibos sin coste y la posibilidad de asociar tarjetas financieras y talonario de cheques.</w:t>
      </w:r>
    </w:p>
    <w:p w14:paraId="105E89CC"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Muchas de las cuentas corrientes se pueden gestionar a través de Internet, donde se podrá consultar el saldo y los movimientos de esta y otras cuentas.</w:t>
      </w:r>
    </w:p>
    <w:p w14:paraId="15D907BE"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proofErr w:type="gramStart"/>
      <w:r w:rsidRPr="00CF1B34">
        <w:rPr>
          <w:rFonts w:ascii="Arial" w:hAnsi="Arial" w:cs="Arial"/>
          <w:color w:val="333333"/>
          <w:sz w:val="22"/>
          <w:szCs w:val="22"/>
          <w:lang w:val="es-ES_tradnl"/>
        </w:rPr>
        <w:t>Otra de los productos suelen</w:t>
      </w:r>
      <w:proofErr w:type="gramEnd"/>
      <w:r w:rsidRPr="00CF1B34">
        <w:rPr>
          <w:rFonts w:ascii="Arial" w:hAnsi="Arial" w:cs="Arial"/>
          <w:color w:val="333333"/>
          <w:sz w:val="22"/>
          <w:szCs w:val="22"/>
          <w:lang w:val="es-ES_tradnl"/>
        </w:rPr>
        <w:t xml:space="preserve"> ser las </w:t>
      </w:r>
      <w:r w:rsidRPr="00CF1B34">
        <w:rPr>
          <w:rFonts w:ascii="Arial" w:hAnsi="Arial" w:cs="Arial"/>
          <w:b/>
          <w:bCs/>
          <w:color w:val="333333"/>
          <w:sz w:val="22"/>
          <w:szCs w:val="22"/>
          <w:lang w:val="es-ES_tradnl"/>
        </w:rPr>
        <w:t>Cuentas Ahorro</w:t>
      </w:r>
      <w:r w:rsidRPr="00CF1B34">
        <w:rPr>
          <w:rFonts w:ascii="Arial" w:hAnsi="Arial" w:cs="Arial"/>
          <w:color w:val="333333"/>
          <w:sz w:val="22"/>
          <w:szCs w:val="22"/>
          <w:lang w:val="es-ES_tradnl"/>
        </w:rPr>
        <w:t> </w:t>
      </w:r>
      <w:r w:rsidRPr="00CF1B34">
        <w:rPr>
          <w:rFonts w:ascii="Arial" w:hAnsi="Arial" w:cs="Arial"/>
          <w:b/>
          <w:bCs/>
          <w:color w:val="333333"/>
          <w:sz w:val="22"/>
          <w:szCs w:val="22"/>
          <w:lang w:val="es-ES_tradnl"/>
        </w:rPr>
        <w:t>Empresa</w:t>
      </w:r>
      <w:r w:rsidRPr="00CF1B34">
        <w:rPr>
          <w:rFonts w:ascii="Arial" w:hAnsi="Arial" w:cs="Arial"/>
          <w:color w:val="333333"/>
          <w:sz w:val="22"/>
          <w:szCs w:val="22"/>
          <w:lang w:val="es-ES_tradnl"/>
        </w:rPr>
        <w:t> que se destinan a las personas que quieran ahorrar con el fin de constituir una Nueva Empresa a través de un depósito a la vista con una retribución (permitie aplicarse la deducción establecida dentro del </w:t>
      </w:r>
      <w:hyperlink r:id="rId207" w:history="1">
        <w:r w:rsidRPr="00CF1B34">
          <w:rPr>
            <w:rFonts w:ascii="Arial" w:hAnsi="Arial" w:cs="Arial"/>
            <w:color w:val="DC143C"/>
            <w:sz w:val="22"/>
            <w:szCs w:val="22"/>
            <w:u w:val="single"/>
            <w:lang w:val="es-ES_tradnl"/>
          </w:rPr>
          <w:t>IRPF</w:t>
        </w:r>
      </w:hyperlink>
      <w:r w:rsidRPr="00CF1B34">
        <w:rPr>
          <w:rFonts w:ascii="Arial" w:hAnsi="Arial" w:cs="Arial"/>
          <w:color w:val="333333"/>
          <w:sz w:val="22"/>
          <w:szCs w:val="22"/>
          <w:lang w:val="es-ES_tradnl"/>
        </w:rPr>
        <w:t>).</w:t>
      </w:r>
    </w:p>
    <w:p w14:paraId="420AB314"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Estas cuentas requieren que el saldo de la misma debe destinarse a la suscripción como socio fundador de participaciones de la sociedad Nueva Empresa y ésta en el plazo máximo de 1 año desde su constitución deberá destinar los fondos de la cuenta ahorro-empresa a:</w:t>
      </w:r>
    </w:p>
    <w:p w14:paraId="2F84E2CE" w14:textId="77777777" w:rsidR="00D11866" w:rsidRPr="00CF1B34" w:rsidRDefault="00D11866" w:rsidP="004F7A62">
      <w:pPr>
        <w:numPr>
          <w:ilvl w:val="0"/>
          <w:numId w:val="15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Adquisición de inmovilizado material e inmaterial afecto</w:t>
      </w:r>
    </w:p>
    <w:p w14:paraId="17FDB8D4" w14:textId="77777777" w:rsidR="00D11866" w:rsidRPr="00CF1B34" w:rsidRDefault="00D11866" w:rsidP="004F7A62">
      <w:pPr>
        <w:numPr>
          <w:ilvl w:val="0"/>
          <w:numId w:val="15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Gastos constitución y primer establecimiento</w:t>
      </w:r>
    </w:p>
    <w:p w14:paraId="7BA85522" w14:textId="77777777" w:rsidR="00D11866" w:rsidRPr="00CF1B34" w:rsidRDefault="00D11866" w:rsidP="004F7A62">
      <w:pPr>
        <w:numPr>
          <w:ilvl w:val="0"/>
          <w:numId w:val="15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Gastos de personal empleado con contrato laboral</w:t>
      </w:r>
    </w:p>
    <w:p w14:paraId="03D6FB6E"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000000"/>
          <w:sz w:val="22"/>
          <w:szCs w:val="22"/>
          <w:lang w:val="es-ES_tradnl"/>
        </w:rPr>
        <w:t>En ese plazo de un año la Nueva Empresa deberá contar con, al menos un local destinado a la actividad y una persona empleada a jornada completa. No se entenderá nueva empresa la que desarrolle actividades que se hubieran ejercido antes bajo otra titularidad.</w:t>
      </w:r>
    </w:p>
    <w:p w14:paraId="69786B06" w14:textId="77777777" w:rsidR="00D11866" w:rsidRPr="00CF1B34" w:rsidRDefault="00D11866"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000000"/>
          <w:sz w:val="22"/>
          <w:szCs w:val="22"/>
          <w:lang w:val="es-ES_tradnl"/>
        </w:rPr>
        <w:t>1. Base máxima deducción 9.000 euros anuales</w:t>
      </w:r>
      <w:r w:rsidRPr="00CF1B34">
        <w:rPr>
          <w:rFonts w:ascii="Arial" w:hAnsi="Arial" w:cs="Arial"/>
          <w:color w:val="000000"/>
          <w:sz w:val="22"/>
          <w:szCs w:val="22"/>
          <w:lang w:val="es-ES_tradnl"/>
        </w:rPr>
        <w:br/>
        <w:t>2. Porcentaje de deducción 15%</w:t>
      </w:r>
      <w:r w:rsidRPr="00CF1B34">
        <w:rPr>
          <w:rFonts w:ascii="Arial" w:hAnsi="Arial" w:cs="Arial"/>
          <w:color w:val="000000"/>
          <w:sz w:val="22"/>
          <w:szCs w:val="22"/>
          <w:lang w:val="es-ES_tradnl"/>
        </w:rPr>
        <w:br/>
        <w:t>3. La Nueva Empresa deberá mantener al menos en los dos años siguientes al inicio de la actividad:</w:t>
      </w:r>
    </w:p>
    <w:p w14:paraId="4BAEAAA2" w14:textId="77777777" w:rsidR="00D11866" w:rsidRPr="00CF1B34" w:rsidRDefault="00D11866" w:rsidP="004F7A62">
      <w:pPr>
        <w:numPr>
          <w:ilvl w:val="0"/>
          <w:numId w:val="15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000000"/>
          <w:sz w:val="22"/>
          <w:szCs w:val="22"/>
          <w:lang w:val="es-ES_tradnl"/>
        </w:rPr>
        <w:t>La actividad económica en que consista su objeto social</w:t>
      </w:r>
    </w:p>
    <w:p w14:paraId="06D4E072" w14:textId="77777777" w:rsidR="00D11866" w:rsidRPr="00CF1B34" w:rsidRDefault="00D11866" w:rsidP="004F7A62">
      <w:pPr>
        <w:numPr>
          <w:ilvl w:val="0"/>
          <w:numId w:val="15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000000"/>
          <w:sz w:val="22"/>
          <w:szCs w:val="22"/>
          <w:lang w:val="es-ES_tradnl"/>
        </w:rPr>
        <w:t>El local y una persona empleada a jornada completa</w:t>
      </w:r>
    </w:p>
    <w:p w14:paraId="2FB335DB" w14:textId="345376E6" w:rsidR="00D11866" w:rsidRPr="00CF1B34" w:rsidRDefault="00D11866" w:rsidP="004F7A62">
      <w:pPr>
        <w:numPr>
          <w:ilvl w:val="0"/>
          <w:numId w:val="15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000000"/>
          <w:sz w:val="22"/>
          <w:szCs w:val="22"/>
          <w:lang w:val="es-ES_tradnl"/>
        </w:rPr>
        <w:t>Los activos en los que se hubiera materializado el saldo de la Cuenta Ahorro-Empresa</w:t>
      </w:r>
    </w:p>
    <w:p w14:paraId="3CD8BFCE" w14:textId="77777777" w:rsidR="00D11866" w:rsidRPr="00CF1B34" w:rsidRDefault="00D11866" w:rsidP="0005621A">
      <w:pPr>
        <w:pStyle w:val="Prrafodelista"/>
        <w:pBdr>
          <w:bottom w:val="dotted" w:sz="12" w:space="12" w:color="666666"/>
        </w:pBdr>
        <w:spacing w:after="240"/>
        <w:jc w:val="both"/>
        <w:rPr>
          <w:rFonts w:ascii="Arial" w:hAnsi="Arial" w:cs="Arial"/>
          <w:color w:val="212529"/>
          <w:sz w:val="22"/>
          <w:szCs w:val="22"/>
          <w:lang w:val="es-ES_tradnl"/>
        </w:rPr>
      </w:pPr>
    </w:p>
    <w:p w14:paraId="4692BE35" w14:textId="18E2FFA6" w:rsidR="00245E1E" w:rsidRPr="00CF1B34" w:rsidRDefault="00245E1E"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Cuenta infantil</w:t>
      </w:r>
    </w:p>
    <w:p w14:paraId="17031CE9" w14:textId="688955A1" w:rsidR="00245E1E" w:rsidRPr="00CF1B34" w:rsidRDefault="00245E1E" w:rsidP="0005621A">
      <w:pPr>
        <w:ind w:left="708"/>
        <w:jc w:val="both"/>
        <w:rPr>
          <w:rFonts w:ascii="Arial" w:hAnsi="Arial" w:cs="Arial"/>
          <w:sz w:val="22"/>
          <w:szCs w:val="22"/>
          <w:lang w:val="es-ES_tradnl"/>
        </w:rPr>
      </w:pPr>
      <w:r w:rsidRPr="00CF1B34">
        <w:rPr>
          <w:rFonts w:ascii="Arial" w:hAnsi="Arial" w:cs="Arial"/>
          <w:sz w:val="22"/>
          <w:szCs w:val="22"/>
          <w:lang w:val="es-ES_tradnl"/>
        </w:rPr>
        <w:t>Una</w:t>
      </w:r>
      <w:r w:rsidR="00B8436E" w:rsidRPr="00CF1B34">
        <w:rPr>
          <w:rFonts w:ascii="Arial" w:hAnsi="Arial" w:cs="Arial"/>
          <w:color w:val="1F3864" w:themeColor="accent1" w:themeShade="80"/>
          <w:sz w:val="22"/>
          <w:szCs w:val="22"/>
          <w:lang w:val="es-ES_tradnl"/>
        </w:rPr>
        <w:t xml:space="preserve"> </w:t>
      </w:r>
      <w:hyperlink r:id="rId208" w:tooltip="cuenta infantil" w:history="1">
        <w:r w:rsidRPr="00CF1B34">
          <w:rPr>
            <w:rStyle w:val="Hipervnculo"/>
            <w:rFonts w:ascii="Arial" w:hAnsi="Arial" w:cs="Arial"/>
            <w:b/>
            <w:bCs/>
            <w:color w:val="1F3864" w:themeColor="accent1" w:themeShade="80"/>
            <w:sz w:val="22"/>
            <w:szCs w:val="22"/>
            <w:lang w:val="es-ES_tradnl"/>
          </w:rPr>
          <w:t>cuenta infantil</w:t>
        </w:r>
      </w:hyperlink>
      <w:r w:rsidR="00B8436E" w:rsidRPr="00CF1B34">
        <w:rPr>
          <w:rStyle w:val="Textoennegrita"/>
          <w:rFonts w:ascii="Arial" w:hAnsi="Arial" w:cs="Arial"/>
          <w:sz w:val="22"/>
          <w:szCs w:val="22"/>
          <w:lang w:val="es-ES_tradnl"/>
        </w:rPr>
        <w:t xml:space="preserve"> </w:t>
      </w:r>
      <w:r w:rsidRPr="00CF1B34">
        <w:rPr>
          <w:rFonts w:ascii="Arial" w:hAnsi="Arial" w:cs="Arial"/>
          <w:sz w:val="22"/>
          <w:szCs w:val="22"/>
          <w:lang w:val="es-ES_tradnl"/>
        </w:rPr>
        <w:t>es una </w:t>
      </w:r>
      <w:r w:rsidRPr="00CF1B34">
        <w:rPr>
          <w:rStyle w:val="Textoennegrita"/>
          <w:rFonts w:ascii="Arial" w:hAnsi="Arial" w:cs="Arial"/>
          <w:sz w:val="22"/>
          <w:szCs w:val="22"/>
          <w:lang w:val="es-ES_tradnl"/>
        </w:rPr>
        <w:t>cuenta bancaria para niños</w:t>
      </w:r>
      <w:r w:rsidRPr="00CF1B34">
        <w:rPr>
          <w:rFonts w:ascii="Arial" w:hAnsi="Arial" w:cs="Arial"/>
          <w:sz w:val="22"/>
          <w:szCs w:val="22"/>
          <w:lang w:val="es-ES_tradnl"/>
        </w:rPr>
        <w:t>. Se trata de un producto cada día más habitual y es una de las apuestas de las entidades bancarias, pues siempre es interesante educar a los clientes en el ahorro, y cuanto antes mejor: con una cuenta infantil los niños podrán iniciarse en la educación financiera, aprender a administrar su dinero y a ahorrar, y verlo como un recurso limitado que conviene distribuir bien.</w:t>
      </w:r>
    </w:p>
    <w:p w14:paraId="6D78E6F7" w14:textId="77777777" w:rsidR="00245E1E" w:rsidRPr="00CF1B34" w:rsidRDefault="00245E1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 normal abrir una cuenta a un niño con motivo de su nacimiento, bautizo, comunión y en general en cualquier otro hito en su vida; lo cierto es que cualquier momento es bueno: si lo hacemos desde su nacimiento estaremos contribuyendo a invertir en su futuro desde el primer momento, y a ir haciendo una hucha para que pueda disponer de ella el día de mañana. Y si la abrimos cuando sea algo mayor, podremos mostrarle la importancia del ahorro y fomentar ese hábito.</w:t>
      </w:r>
    </w:p>
    <w:p w14:paraId="52418724" w14:textId="77777777" w:rsidR="00245E1E" w:rsidRPr="00CF1B34" w:rsidRDefault="00245E1E"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Al ser un producto tan específico, tiene unas características específicas:</w:t>
      </w:r>
    </w:p>
    <w:p w14:paraId="36EA6232" w14:textId="77777777" w:rsidR="00245E1E" w:rsidRPr="00CF1B34" w:rsidRDefault="00245E1E" w:rsidP="0005621A">
      <w:pPr>
        <w:pStyle w:val="NormalWeb"/>
        <w:spacing w:before="0" w:beforeAutospacing="0"/>
        <w:ind w:firstLine="708"/>
        <w:jc w:val="both"/>
        <w:rPr>
          <w:rFonts w:ascii="Arial" w:hAnsi="Arial" w:cs="Arial"/>
          <w:sz w:val="22"/>
          <w:szCs w:val="22"/>
          <w:lang w:val="es-ES_tradnl"/>
        </w:rPr>
      </w:pPr>
      <w:r w:rsidRPr="00CF1B34">
        <w:rPr>
          <w:rStyle w:val="Textoennegrita"/>
          <w:rFonts w:ascii="Arial" w:hAnsi="Arial" w:cs="Arial"/>
          <w:sz w:val="22"/>
          <w:szCs w:val="22"/>
          <w:lang w:val="es-ES_tradnl"/>
        </w:rPr>
        <w:t>Cuentan con un límite de edad</w:t>
      </w:r>
      <w:r w:rsidRPr="00CF1B34">
        <w:rPr>
          <w:rFonts w:ascii="Arial" w:hAnsi="Arial" w:cs="Arial"/>
          <w:sz w:val="22"/>
          <w:szCs w:val="22"/>
          <w:lang w:val="es-ES_tradnl"/>
        </w:rPr>
        <w:t>; normalmente hasta los 17 años.</w:t>
      </w:r>
    </w:p>
    <w:p w14:paraId="58C5E424" w14:textId="77777777" w:rsidR="00245E1E" w:rsidRPr="00CF1B34" w:rsidRDefault="00245E1E"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Ofrecen una </w:t>
      </w:r>
      <w:r w:rsidRPr="00CF1B34">
        <w:rPr>
          <w:rStyle w:val="Textoennegrita"/>
          <w:rFonts w:ascii="Arial" w:hAnsi="Arial" w:cs="Arial"/>
          <w:sz w:val="22"/>
          <w:szCs w:val="22"/>
          <w:lang w:val="es-ES_tradnl"/>
        </w:rPr>
        <w:t>operativa limitada y siempre controlada por un adulto</w:t>
      </w:r>
      <w:r w:rsidRPr="00CF1B34">
        <w:rPr>
          <w:rFonts w:ascii="Arial" w:hAnsi="Arial" w:cs="Arial"/>
          <w:sz w:val="22"/>
          <w:szCs w:val="22"/>
          <w:lang w:val="es-ES_tradnl"/>
        </w:rPr>
        <w:t>.</w:t>
      </w:r>
    </w:p>
    <w:p w14:paraId="3ACE19F6" w14:textId="77777777" w:rsidR="00245E1E" w:rsidRPr="00CF1B34" w:rsidRDefault="00245E1E" w:rsidP="0005621A">
      <w:pPr>
        <w:pStyle w:val="NormalWeb"/>
        <w:spacing w:before="0" w:beforeAutospacing="0"/>
        <w:ind w:left="708"/>
        <w:jc w:val="both"/>
        <w:rPr>
          <w:rFonts w:ascii="Arial" w:hAnsi="Arial" w:cs="Arial"/>
          <w:sz w:val="22"/>
          <w:szCs w:val="22"/>
          <w:lang w:val="es-ES_tradnl"/>
        </w:rPr>
      </w:pPr>
      <w:r w:rsidRPr="00CF1B34">
        <w:rPr>
          <w:rStyle w:val="Textoennegrita"/>
          <w:rFonts w:ascii="Arial" w:hAnsi="Arial" w:cs="Arial"/>
          <w:sz w:val="22"/>
          <w:szCs w:val="22"/>
          <w:lang w:val="es-ES_tradnl"/>
        </w:rPr>
        <w:t>No tienen comisiones asociadas</w:t>
      </w:r>
      <w:r w:rsidRPr="00CF1B34">
        <w:rPr>
          <w:rFonts w:ascii="Arial" w:hAnsi="Arial" w:cs="Arial"/>
          <w:sz w:val="22"/>
          <w:szCs w:val="22"/>
          <w:lang w:val="es-ES_tradnl"/>
        </w:rPr>
        <w:t> (de administración, de mantenimiento, ni por realizar traspasos desde la cuenta de los responsables legales del menor).</w:t>
      </w:r>
    </w:p>
    <w:p w14:paraId="0FC6C6E4" w14:textId="4AA1EAEA" w:rsidR="00245E1E" w:rsidRPr="00CF1B34" w:rsidRDefault="00245E1E" w:rsidP="0005621A">
      <w:pPr>
        <w:pStyle w:val="NormalWeb"/>
        <w:spacing w:before="0" w:beforeAutospacing="0"/>
        <w:ind w:left="700"/>
        <w:jc w:val="both"/>
        <w:rPr>
          <w:rFonts w:ascii="Arial" w:hAnsi="Arial" w:cs="Arial"/>
          <w:sz w:val="22"/>
          <w:szCs w:val="22"/>
          <w:lang w:val="es-ES_tradnl"/>
        </w:rPr>
      </w:pPr>
      <w:r w:rsidRPr="00CF1B34">
        <w:rPr>
          <w:rFonts w:ascii="Arial" w:hAnsi="Arial" w:cs="Arial"/>
          <w:sz w:val="22"/>
          <w:szCs w:val="22"/>
          <w:lang w:val="es-ES_tradnl"/>
        </w:rPr>
        <w:t>Incluso las hay que o</w:t>
      </w:r>
      <w:r w:rsidRPr="00CF1B34">
        <w:rPr>
          <w:rStyle w:val="Textoennegrita"/>
          <w:rFonts w:ascii="Arial" w:hAnsi="Arial" w:cs="Arial"/>
          <w:sz w:val="22"/>
          <w:szCs w:val="22"/>
          <w:lang w:val="es-ES_tradnl"/>
        </w:rPr>
        <w:t>frecen cierta remuneración</w:t>
      </w:r>
      <w:r w:rsidRPr="00CF1B34">
        <w:rPr>
          <w:rFonts w:ascii="Arial" w:hAnsi="Arial" w:cs="Arial"/>
          <w:sz w:val="22"/>
          <w:szCs w:val="22"/>
          <w:lang w:val="es-ES_tradnl"/>
        </w:rPr>
        <w:t>, al generar un interés TIN por el hecho de tener un dinero depositado en la cuenta.</w:t>
      </w:r>
    </w:p>
    <w:p w14:paraId="1F6DCF30" w14:textId="77777777" w:rsidR="00B8436E" w:rsidRPr="00CF1B34" w:rsidRDefault="00245E1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Ofrecen regalos atractivos para los niños, que a su vez suponen un incentivo para el ahorro.</w:t>
      </w:r>
    </w:p>
    <w:p w14:paraId="27BFFC96" w14:textId="77777777" w:rsidR="00B8436E" w:rsidRPr="00CF1B34" w:rsidRDefault="00B8436E"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Cuenta joven</w:t>
      </w:r>
    </w:p>
    <w:p w14:paraId="6990D70B" w14:textId="62068856" w:rsidR="00B8436E" w:rsidRPr="00CF1B34" w:rsidRDefault="00B8436E" w:rsidP="0005621A">
      <w:pPr>
        <w:ind w:left="708"/>
        <w:jc w:val="both"/>
        <w:rPr>
          <w:rFonts w:ascii="Arial" w:hAnsi="Arial" w:cs="Arial"/>
          <w:sz w:val="22"/>
          <w:szCs w:val="22"/>
          <w:lang w:val="es-ES_tradnl"/>
        </w:rPr>
      </w:pPr>
      <w:r w:rsidRPr="00CF1B34">
        <w:rPr>
          <w:rFonts w:ascii="Arial" w:hAnsi="Arial" w:cs="Arial"/>
          <w:sz w:val="22"/>
          <w:szCs w:val="22"/>
          <w:lang w:val="es-ES_tradnl"/>
        </w:rPr>
        <w:t xml:space="preserve">Una </w:t>
      </w:r>
      <w:hyperlink r:id="rId209" w:tooltip="cuenta bancaria para jóvenes" w:history="1">
        <w:r w:rsidRPr="00CF1B34">
          <w:rPr>
            <w:rFonts w:ascii="Arial" w:hAnsi="Arial" w:cs="Arial"/>
            <w:color w:val="1F3864" w:themeColor="accent1" w:themeShade="80"/>
            <w:sz w:val="22"/>
            <w:szCs w:val="22"/>
            <w:u w:val="single"/>
            <w:lang w:val="es-ES_tradnl"/>
          </w:rPr>
          <w:t>cuenta bancaria para jóvenes</w:t>
        </w:r>
      </w:hyperlink>
      <w:r w:rsidRPr="00CF1B34">
        <w:rPr>
          <w:rFonts w:ascii="Arial" w:hAnsi="Arial" w:cs="Arial"/>
          <w:color w:val="1F3864" w:themeColor="accent1" w:themeShade="80"/>
          <w:sz w:val="22"/>
          <w:szCs w:val="22"/>
          <w:lang w:val="es-ES_tradnl"/>
        </w:rPr>
        <w:t xml:space="preserve"> </w:t>
      </w:r>
      <w:r w:rsidRPr="00CF1B34">
        <w:rPr>
          <w:rFonts w:ascii="Arial" w:hAnsi="Arial" w:cs="Arial"/>
          <w:sz w:val="22"/>
          <w:szCs w:val="22"/>
          <w:lang w:val="es-ES_tradnl"/>
        </w:rPr>
        <w:t xml:space="preserve">es una cuenta pensada para un público entre 14 y 31 años (para antes de esa edad existen las cuentas infantiles). Es un buen primer paso para introducirse en el mundo bancario y financiero. Aunque cada entidad suele ofrecer su propio producto (y de hecho el margen de edad no es el mismo para todos), normalmente estas cuentas comparten unas ventajas asociadas comunes, como la </w:t>
      </w:r>
      <w:r w:rsidRPr="00CF1B34">
        <w:rPr>
          <w:rFonts w:ascii="Arial" w:hAnsi="Arial" w:cs="Arial"/>
          <w:sz w:val="22"/>
          <w:szCs w:val="22"/>
          <w:lang w:val="es-ES_tradnl"/>
        </w:rPr>
        <w:lastRenderedPageBreak/>
        <w:t>exención de comisiones o vinculaciones, la no exigencia de un ingreso mínimo para su apertura, la tarjeta de débito gratuita, el carné joven asociado y múltiples promociones, descuentos y ventajas en partners de ocio, restauración, etc.</w:t>
      </w:r>
    </w:p>
    <w:p w14:paraId="7496AA7E" w14:textId="77777777" w:rsidR="00B8436E" w:rsidRPr="00CF1B34" w:rsidRDefault="00B8436E"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En función de la edad del titular, hay que tener en cuenta que este puede ser un menor. En ese caso, solo podrá acceder a la banca electrónica para realizar consultas, y será su representante legal o tutor quien pueda realizar la operativa que la cuenta permita: transferencias y traspasos, retirada de efectivo en cajeros, emisión de tarjetas, etc. En la mayoría de los casos, el menor no podrá disponer de una tarjeta de pago hasta los catorce años, e incluso hasta los dieciséis, en algunas entidades. Además, serán los representantes legales quienes tengan que abrir la cuenta, presentando su DNI o documento que los acredite como tales, así como el DNI del menor y el libro de familia.</w:t>
      </w:r>
    </w:p>
    <w:p w14:paraId="53179A62" w14:textId="77777777" w:rsidR="00B8436E" w:rsidRPr="00CF1B34" w:rsidRDefault="00B8436E"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En cambio, si el titular es mayor de edad será él quien pueda contratarla, bien en la sucursal o de forma online. En este caso, la </w:t>
      </w:r>
      <w:r w:rsidRPr="00CF1B34">
        <w:rPr>
          <w:rFonts w:ascii="Arial" w:hAnsi="Arial" w:cs="Arial"/>
          <w:b/>
          <w:bCs/>
          <w:color w:val="191B1C"/>
          <w:sz w:val="22"/>
          <w:szCs w:val="22"/>
          <w:lang w:val="es-ES_tradnl"/>
        </w:rPr>
        <w:t>cuenta joven</w:t>
      </w:r>
      <w:r w:rsidRPr="00CF1B34">
        <w:rPr>
          <w:rFonts w:ascii="Arial" w:hAnsi="Arial" w:cs="Arial"/>
          <w:color w:val="191B1C"/>
          <w:sz w:val="22"/>
          <w:szCs w:val="22"/>
          <w:lang w:val="es-ES_tradnl"/>
        </w:rPr>
        <w:t> actuará básicamente como una cuenta corriente para ingresar o sacar dinero, domiciliar la nómina o realizar transferencias y traspasos, pudiendo obtener incluso algo de rentabilidad. De todas formas, si esta cuenta tiene un perfil más parecido a las cuentas de ahorro, algunas de estas operativas quedarán limitadas, dado que el objetivo de estas es, básicamente, la previsión.</w:t>
      </w:r>
    </w:p>
    <w:p w14:paraId="6DEE072D" w14:textId="77777777" w:rsidR="00B8436E" w:rsidRPr="00CF1B34" w:rsidRDefault="00B8436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Al alcanzar el límite de edad, esta cuenta pasará a ser una cuenta corriente normal, o bien una cuenta nómina, si el titular ya dispone de ingresos periódicos y quiera domiciliarlos. De todas formas, será necesario que cuando se produzca este cambio el titular estudie bien las nuevas condiciones, y que incluso se plantee abrir una nueva cuenta con otros requisitos y ventajas, pues es fácil que algunas de ellas no se vayan a mantener.</w:t>
      </w:r>
    </w:p>
    <w:p w14:paraId="77C5F648" w14:textId="77777777" w:rsidR="00DE42D6" w:rsidRPr="00CF1B34" w:rsidRDefault="00DE42D6"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Cuenta mancomunada</w:t>
      </w:r>
    </w:p>
    <w:p w14:paraId="00861AE0" w14:textId="2BC2F925" w:rsidR="00DE42D6" w:rsidRPr="00CF1B34" w:rsidRDefault="00DE42D6" w:rsidP="0005621A">
      <w:pPr>
        <w:ind w:left="708"/>
        <w:jc w:val="both"/>
        <w:rPr>
          <w:rFonts w:ascii="Arial" w:hAnsi="Arial" w:cs="Arial"/>
          <w:sz w:val="22"/>
          <w:szCs w:val="22"/>
          <w:lang w:val="es-ES_tradnl"/>
        </w:rPr>
      </w:pPr>
      <w:r w:rsidRPr="00CF1B34">
        <w:rPr>
          <w:rFonts w:ascii="Arial" w:hAnsi="Arial" w:cs="Arial"/>
          <w:sz w:val="22"/>
          <w:szCs w:val="22"/>
          <w:lang w:val="es-ES_tradnl"/>
        </w:rPr>
        <w:t xml:space="preserve">Una </w:t>
      </w:r>
      <w:hyperlink r:id="rId210" w:tooltip="cuenta mancomunada o cuenta dos titulares" w:history="1">
        <w:r w:rsidRPr="00CF1B34">
          <w:rPr>
            <w:rFonts w:ascii="Arial" w:hAnsi="Arial" w:cs="Arial"/>
            <w:b/>
            <w:bCs/>
            <w:color w:val="1F3864" w:themeColor="accent1" w:themeShade="80"/>
            <w:sz w:val="22"/>
            <w:szCs w:val="22"/>
            <w:u w:val="single"/>
            <w:lang w:val="es-ES_tradnl"/>
          </w:rPr>
          <w:t>cuenta mancomunada</w:t>
        </w:r>
      </w:hyperlink>
      <w:r w:rsidRPr="00CF1B34">
        <w:rPr>
          <w:rFonts w:ascii="Arial" w:hAnsi="Arial" w:cs="Arial"/>
          <w:color w:val="1F3864" w:themeColor="accent1" w:themeShade="80"/>
          <w:sz w:val="22"/>
          <w:szCs w:val="22"/>
          <w:lang w:val="es-ES_tradnl"/>
        </w:rPr>
        <w:t xml:space="preserve">, </w:t>
      </w:r>
      <w:r w:rsidRPr="00CF1B34">
        <w:rPr>
          <w:rFonts w:ascii="Arial" w:hAnsi="Arial" w:cs="Arial"/>
          <w:sz w:val="22"/>
          <w:szCs w:val="22"/>
          <w:lang w:val="es-ES_tradnl"/>
        </w:rPr>
        <w:t>es una </w:t>
      </w:r>
      <w:r w:rsidRPr="00CF1B34">
        <w:rPr>
          <w:rFonts w:ascii="Arial" w:hAnsi="Arial" w:cs="Arial"/>
          <w:b/>
          <w:bCs/>
          <w:sz w:val="22"/>
          <w:szCs w:val="22"/>
          <w:lang w:val="es-ES_tradnl"/>
        </w:rPr>
        <w:t>cuenta corriente de titularidad compartida</w:t>
      </w:r>
      <w:r w:rsidRPr="00CF1B34">
        <w:rPr>
          <w:rFonts w:ascii="Arial" w:hAnsi="Arial" w:cs="Arial"/>
          <w:sz w:val="22"/>
          <w:szCs w:val="22"/>
          <w:lang w:val="es-ES_tradnl"/>
        </w:rPr>
        <w:t>, donde se necesita el permiso de todos los titulares para realizar cualquier operativa o disposición. No obstante, en este tipo de cuentas podrán definirse el tipo de operaciones y tope de cuantías que no requieran de la firma de todos, o bien establecer la proporcionalidad de firmas necesarias, en función del grado de importancia de las operativas.</w:t>
      </w:r>
    </w:p>
    <w:p w14:paraId="71DCD5C8" w14:textId="77777777" w:rsidR="00DE42D6" w:rsidRPr="00CF1B34" w:rsidRDefault="00DE42D6" w:rsidP="0005621A">
      <w:pPr>
        <w:jc w:val="both"/>
        <w:rPr>
          <w:rFonts w:ascii="Arial" w:hAnsi="Arial" w:cs="Arial"/>
          <w:sz w:val="22"/>
          <w:szCs w:val="22"/>
          <w:lang w:val="es-ES_tradnl"/>
        </w:rPr>
      </w:pPr>
    </w:p>
    <w:p w14:paraId="58C5F64A" w14:textId="77777777" w:rsidR="00DE42D6" w:rsidRPr="00CF1B34" w:rsidRDefault="00DE42D6"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Se llama </w:t>
      </w:r>
      <w:r w:rsidRPr="00CF1B34">
        <w:rPr>
          <w:rFonts w:ascii="Arial" w:hAnsi="Arial" w:cs="Arial"/>
          <w:b/>
          <w:bCs/>
          <w:sz w:val="22"/>
          <w:szCs w:val="22"/>
          <w:lang w:val="es-ES_tradnl"/>
        </w:rPr>
        <w:t>cuenta mancomunada</w:t>
      </w:r>
      <w:r w:rsidRPr="00CF1B34">
        <w:rPr>
          <w:rFonts w:ascii="Arial" w:hAnsi="Arial" w:cs="Arial"/>
          <w:sz w:val="22"/>
          <w:szCs w:val="22"/>
          <w:lang w:val="es-ES_tradnl"/>
        </w:rPr>
        <w:t> porque requiere el acuerdo de la totalidad de los titulares para operar, y se utiliza cuando coinciden sus intereses. Por ejemplo, en el. mundo empresarial, o en casos de herencias con varios herederos…, o en general en las circunstancias donde sea necesario el consenso de todos los implicados. Aunque abrir una cuenta de este tipo presupone la confianza de los titulares entre sí, en todo caso estos contarán con la seguridad de que, en caso de discrepancias, se podrá bloquear los movimientos, demorando el tiempo de las transacciones, hasta que la dificultad se solucione.</w:t>
      </w:r>
    </w:p>
    <w:p w14:paraId="1D80B296" w14:textId="77777777" w:rsidR="00DE42D6" w:rsidRPr="00CF1B34" w:rsidRDefault="00DE42D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Por lo demás y como decimos, una cuenta de este tipo funciona como una cuenta corriente: un producto para realizar ingresos y retiradas de efectivo, abonos, pago de cheques, transferencias, domiciliar recibos, etc.</w:t>
      </w:r>
    </w:p>
    <w:p w14:paraId="043F127D" w14:textId="77777777" w:rsidR="00DE7314" w:rsidRPr="00CF1B34" w:rsidRDefault="00DE7314" w:rsidP="0005621A">
      <w:pPr>
        <w:pStyle w:val="Ttulo2"/>
        <w:spacing w:before="0" w:beforeAutospacing="0" w:after="0" w:afterAutospacing="0"/>
        <w:jc w:val="both"/>
        <w:rPr>
          <w:rFonts w:ascii="Arial" w:hAnsi="Arial" w:cs="Arial"/>
          <w:color w:val="1F3864" w:themeColor="accent1" w:themeShade="80"/>
          <w:sz w:val="24"/>
          <w:szCs w:val="24"/>
          <w:lang w:val="es-ES_tradnl"/>
        </w:rPr>
      </w:pPr>
      <w:r w:rsidRPr="00CF1B34">
        <w:rPr>
          <w:rFonts w:ascii="Arial" w:hAnsi="Arial" w:cs="Arial"/>
          <w:color w:val="1F3864" w:themeColor="accent1" w:themeShade="80"/>
          <w:sz w:val="24"/>
          <w:szCs w:val="24"/>
          <w:lang w:val="es-ES_tradnl"/>
        </w:rPr>
        <w:t>Cuenta nómina</w:t>
      </w:r>
    </w:p>
    <w:p w14:paraId="02B4EBC7" w14:textId="5F2E5634" w:rsidR="00DE7314" w:rsidRPr="00CF1B34" w:rsidRDefault="00DE7314" w:rsidP="0005621A">
      <w:pPr>
        <w:ind w:left="708"/>
        <w:jc w:val="both"/>
        <w:rPr>
          <w:rFonts w:ascii="Arial" w:hAnsi="Arial" w:cs="Arial"/>
          <w:lang w:val="es-ES_tradnl"/>
        </w:rPr>
      </w:pPr>
      <w:r w:rsidRPr="00CF1B34">
        <w:rPr>
          <w:rFonts w:ascii="Arial" w:hAnsi="Arial" w:cs="Arial"/>
          <w:lang w:val="es-ES_tradnl"/>
        </w:rPr>
        <w:t xml:space="preserve">Una </w:t>
      </w:r>
      <w:hyperlink r:id="rId211" w:history="1">
        <w:r w:rsidRPr="00CF1B34">
          <w:rPr>
            <w:rStyle w:val="Hipervnculo"/>
            <w:rFonts w:ascii="Arial" w:hAnsi="Arial" w:cs="Arial"/>
            <w:b/>
            <w:bCs/>
            <w:color w:val="2F5496" w:themeColor="accent1" w:themeShade="BF"/>
            <w:lang w:val="es-ES_tradnl"/>
          </w:rPr>
          <w:t>cuenta nómina</w:t>
        </w:r>
      </w:hyperlink>
      <w:r w:rsidRPr="00CF1B34">
        <w:rPr>
          <w:rFonts w:ascii="Arial" w:hAnsi="Arial" w:cs="Arial"/>
          <w:lang w:val="es-ES_tradnl"/>
        </w:rPr>
        <w:t xml:space="preserve"> es aquella cuenta corriente que, a cambio de domiciliar una nómina o pensión, nos proporciona algunas ventajas adicionales. En principio, este tipo de cuenta permite domiciliar nuestra nómina o pensión, pero también </w:t>
      </w:r>
      <w:r w:rsidRPr="00CF1B34">
        <w:rPr>
          <w:rFonts w:ascii="Arial" w:hAnsi="Arial" w:cs="Arial"/>
          <w:lang w:val="es-ES_tradnl"/>
        </w:rPr>
        <w:lastRenderedPageBreak/>
        <w:t>nuestros recibos de agua, luz, internet, teléfono o gas. Y además nos da la opción de realizar transferencias y traspasos; asociar tarjetas de débito y crédito; de ingresar cheques; de disponer de efectivo de cajeros y oficinas; y de realizar operaciones y gestionarla online.</w:t>
      </w:r>
    </w:p>
    <w:p w14:paraId="4C15B3A1" w14:textId="77777777" w:rsidR="00DE7314" w:rsidRPr="00CF1B34" w:rsidRDefault="00DE7314" w:rsidP="0005621A">
      <w:pPr>
        <w:pStyle w:val="NormalWeb"/>
        <w:spacing w:before="0" w:beforeAutospacing="0"/>
        <w:ind w:left="708"/>
        <w:jc w:val="both"/>
        <w:rPr>
          <w:rFonts w:ascii="Arial" w:hAnsi="Arial" w:cs="Arial"/>
          <w:lang w:val="es-ES_tradnl"/>
        </w:rPr>
      </w:pPr>
      <w:r w:rsidRPr="00CF1B34">
        <w:rPr>
          <w:rFonts w:ascii="Arial" w:hAnsi="Arial" w:cs="Arial"/>
          <w:lang w:val="es-ES_tradnl"/>
        </w:rPr>
        <w:t>A día de hoy realizamos tantos procesos (transferencias, pagos, domiciliaciones y depósitos, entre otros), que se hace imprescindible una cuenta de este tipo, ya que nos permite realizar toda esta operativa de manera cómoda y sencilla. Además, las cuentas nómina han evolucionado mucho y han ampliado su oferta y variedad, dada la demanda del mercado y las preferencias variadas de los consumidores.</w:t>
      </w:r>
    </w:p>
    <w:p w14:paraId="7798F39D" w14:textId="77777777" w:rsidR="00DE7314" w:rsidRPr="00CF1B34" w:rsidRDefault="00DE7314" w:rsidP="0005621A">
      <w:pPr>
        <w:pStyle w:val="Ttulo2"/>
        <w:ind w:firstLine="360"/>
        <w:jc w:val="both"/>
        <w:rPr>
          <w:rFonts w:ascii="Arial" w:hAnsi="Arial" w:cs="Arial"/>
          <w:b w:val="0"/>
          <w:bCs w:val="0"/>
          <w:color w:val="1F3864" w:themeColor="accent1" w:themeShade="80"/>
          <w:sz w:val="22"/>
          <w:szCs w:val="22"/>
          <w:lang w:val="es-ES_tradnl"/>
        </w:rPr>
      </w:pPr>
      <w:r w:rsidRPr="00CF1B34">
        <w:rPr>
          <w:rStyle w:val="Textoennegrita"/>
          <w:rFonts w:ascii="Arial" w:hAnsi="Arial" w:cs="Arial"/>
          <w:b/>
          <w:bCs/>
          <w:color w:val="1F3864" w:themeColor="accent1" w:themeShade="80"/>
          <w:sz w:val="22"/>
          <w:szCs w:val="22"/>
          <w:lang w:val="es-ES_tradnl"/>
        </w:rPr>
        <w:t>Características comunes a las cuentas nómina</w:t>
      </w:r>
    </w:p>
    <w:p w14:paraId="41C6BCDB" w14:textId="77777777" w:rsidR="00DE7314" w:rsidRPr="00CF1B34" w:rsidRDefault="00DE7314" w:rsidP="0005621A">
      <w:pPr>
        <w:numPr>
          <w:ilvl w:val="0"/>
          <w:numId w:val="3"/>
        </w:numPr>
        <w:spacing w:before="100" w:beforeAutospacing="1" w:after="240"/>
        <w:ind w:right="450"/>
        <w:jc w:val="both"/>
        <w:rPr>
          <w:rFonts w:ascii="Arial" w:hAnsi="Arial" w:cs="Arial"/>
          <w:lang w:val="es-ES_tradnl"/>
        </w:rPr>
      </w:pPr>
      <w:r w:rsidRPr="00CF1B34">
        <w:rPr>
          <w:rFonts w:ascii="Arial" w:hAnsi="Arial" w:cs="Arial"/>
          <w:lang w:val="es-ES_tradnl"/>
        </w:rPr>
        <w:t>Una </w:t>
      </w:r>
      <w:r w:rsidRPr="00CF1B34">
        <w:rPr>
          <w:rStyle w:val="Textoennegrita"/>
          <w:rFonts w:ascii="Arial" w:hAnsi="Arial" w:cs="Arial"/>
          <w:lang w:val="es-ES_tradnl"/>
        </w:rPr>
        <w:t>cuenta nómina</w:t>
      </w:r>
      <w:r w:rsidRPr="00CF1B34">
        <w:rPr>
          <w:rFonts w:ascii="Arial" w:hAnsi="Arial" w:cs="Arial"/>
          <w:lang w:val="es-ES_tradnl"/>
        </w:rPr>
        <w:t> precisa de un ingreso mínimo inicial para comenzar a disfrutar de sus ventajas. Otras además establecen un saldo máximo remunerado.</w:t>
      </w:r>
    </w:p>
    <w:p w14:paraId="0047E9EA" w14:textId="77777777" w:rsidR="00DE7314" w:rsidRPr="00CF1B34" w:rsidRDefault="00DE7314" w:rsidP="0005621A">
      <w:pPr>
        <w:numPr>
          <w:ilvl w:val="0"/>
          <w:numId w:val="3"/>
        </w:numPr>
        <w:spacing w:before="100" w:beforeAutospacing="1" w:after="240"/>
        <w:ind w:right="450"/>
        <w:jc w:val="both"/>
        <w:rPr>
          <w:rFonts w:ascii="Arial" w:hAnsi="Arial" w:cs="Arial"/>
          <w:lang w:val="es-ES_tradnl"/>
        </w:rPr>
      </w:pPr>
      <w:r w:rsidRPr="00CF1B34">
        <w:rPr>
          <w:rFonts w:ascii="Arial" w:hAnsi="Arial" w:cs="Arial"/>
          <w:lang w:val="es-ES_tradnl"/>
        </w:rPr>
        <w:t>Llevan una tarjeta de crédito o débito asociada gratuita, y por lo general, con retirada de los cajeros sin costes.</w:t>
      </w:r>
    </w:p>
    <w:p w14:paraId="61E56D01" w14:textId="77777777" w:rsidR="00DE7314" w:rsidRPr="00CF1B34" w:rsidRDefault="00DE7314" w:rsidP="0005621A">
      <w:pPr>
        <w:numPr>
          <w:ilvl w:val="0"/>
          <w:numId w:val="3"/>
        </w:numPr>
        <w:spacing w:before="100" w:beforeAutospacing="1" w:after="240"/>
        <w:ind w:right="450"/>
        <w:jc w:val="both"/>
        <w:rPr>
          <w:rFonts w:ascii="Arial" w:hAnsi="Arial" w:cs="Arial"/>
          <w:lang w:val="es-ES_tradnl"/>
        </w:rPr>
      </w:pPr>
      <w:r w:rsidRPr="00CF1B34">
        <w:rPr>
          <w:rFonts w:ascii="Arial" w:hAnsi="Arial" w:cs="Arial"/>
          <w:lang w:val="es-ES_tradnl"/>
        </w:rPr>
        <w:t>Tienen un sistema de comisiones muy bajas, sobre todo de mantenimiento y de administración, pero también de transferencias, cuotas de emisión y renovación de tarjetas.</w:t>
      </w:r>
    </w:p>
    <w:p w14:paraId="3993A5A5" w14:textId="77777777" w:rsidR="00DE7314" w:rsidRPr="00CF1B34" w:rsidRDefault="00DE7314" w:rsidP="0005621A">
      <w:pPr>
        <w:numPr>
          <w:ilvl w:val="0"/>
          <w:numId w:val="3"/>
        </w:numPr>
        <w:spacing w:before="100" w:beforeAutospacing="1" w:after="240"/>
        <w:ind w:right="450"/>
        <w:jc w:val="both"/>
        <w:rPr>
          <w:rFonts w:ascii="Arial" w:hAnsi="Arial" w:cs="Arial"/>
          <w:lang w:val="es-ES_tradnl"/>
        </w:rPr>
      </w:pPr>
      <w:r w:rsidRPr="00CF1B34">
        <w:rPr>
          <w:rFonts w:ascii="Arial" w:hAnsi="Arial" w:cs="Arial"/>
          <w:lang w:val="es-ES_tradnl"/>
        </w:rPr>
        <w:t>Algunas ofrecen una rentabilidad por el dinero que tengamos en la cuenta.</w:t>
      </w:r>
    </w:p>
    <w:p w14:paraId="70466A7A" w14:textId="77777777" w:rsidR="00DE7314" w:rsidRPr="00CF1B34" w:rsidRDefault="00DE7314" w:rsidP="0005621A">
      <w:pPr>
        <w:numPr>
          <w:ilvl w:val="0"/>
          <w:numId w:val="3"/>
        </w:numPr>
        <w:spacing w:before="100" w:beforeAutospacing="1" w:after="240"/>
        <w:ind w:right="450"/>
        <w:jc w:val="both"/>
        <w:rPr>
          <w:rFonts w:ascii="Arial" w:hAnsi="Arial" w:cs="Arial"/>
          <w:lang w:val="es-ES_tradnl"/>
        </w:rPr>
      </w:pPr>
      <w:r w:rsidRPr="00CF1B34">
        <w:rPr>
          <w:rFonts w:ascii="Arial" w:hAnsi="Arial" w:cs="Arial"/>
          <w:lang w:val="es-ES_tradnl"/>
        </w:rPr>
        <w:t>Pueden incorporar otras ventajas asociadas: anticipos del importe de la nómina sin intereses; transferencias online sin intereses; seguros, hipotecas y préstamos personales con unas buenas condiciones; pequeños créditos al 0%, descuentos en diversos sectores…</w:t>
      </w:r>
    </w:p>
    <w:p w14:paraId="586FCBB8" w14:textId="32B96519" w:rsidR="00DE7314" w:rsidRPr="00CF1B34" w:rsidRDefault="00DE7314" w:rsidP="0005621A">
      <w:pPr>
        <w:numPr>
          <w:ilvl w:val="0"/>
          <w:numId w:val="3"/>
        </w:numPr>
        <w:spacing w:before="100" w:beforeAutospacing="1" w:after="240"/>
        <w:jc w:val="both"/>
        <w:rPr>
          <w:rFonts w:ascii="Arial" w:hAnsi="Arial" w:cs="Arial"/>
          <w:lang w:val="es-ES_tradnl"/>
        </w:rPr>
      </w:pPr>
      <w:r w:rsidRPr="00CF1B34">
        <w:rPr>
          <w:rFonts w:ascii="Arial" w:hAnsi="Arial" w:cs="Arial"/>
          <w:lang w:val="es-ES_tradnl"/>
        </w:rPr>
        <w:t>Las hay (pocas) que cuentan con permanencia.</w:t>
      </w:r>
    </w:p>
    <w:p w14:paraId="71006169" w14:textId="77777777" w:rsidR="00DE7314" w:rsidRPr="00CF1B34" w:rsidRDefault="00DE7314" w:rsidP="0005621A">
      <w:pPr>
        <w:pBdr>
          <w:bottom w:val="dotted" w:sz="12" w:space="12" w:color="666666"/>
        </w:pBdr>
        <w:spacing w:after="240"/>
        <w:ind w:left="360"/>
        <w:jc w:val="both"/>
        <w:rPr>
          <w:rFonts w:ascii="Arial" w:hAnsi="Arial" w:cs="Arial"/>
          <w:color w:val="212529"/>
          <w:sz w:val="22"/>
          <w:szCs w:val="22"/>
          <w:lang w:val="es-ES_tradnl"/>
        </w:rPr>
      </w:pPr>
    </w:p>
    <w:p w14:paraId="416381F2" w14:textId="77777777" w:rsidR="00DE7314" w:rsidRPr="00CF1B34" w:rsidRDefault="00DE7314"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Cuenta online</w:t>
      </w:r>
    </w:p>
    <w:p w14:paraId="217D034C" w14:textId="77777777" w:rsidR="00DE7314" w:rsidRPr="00CF1B34" w:rsidRDefault="00DE731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w:t>
      </w:r>
      <w:r w:rsidRPr="00CF1B34">
        <w:rPr>
          <w:rFonts w:ascii="Arial" w:hAnsi="Arial" w:cs="Arial"/>
          <w:b/>
          <w:bCs/>
          <w:sz w:val="22"/>
          <w:szCs w:val="22"/>
          <w:lang w:val="es-ES_tradnl"/>
        </w:rPr>
        <w:t>cuenta online</w:t>
      </w:r>
      <w:r w:rsidRPr="00CF1B34">
        <w:rPr>
          <w:rFonts w:ascii="Arial" w:hAnsi="Arial" w:cs="Arial"/>
          <w:sz w:val="22"/>
          <w:szCs w:val="22"/>
          <w:lang w:val="es-ES_tradnl"/>
        </w:rPr>
        <w:t> es un tipo de cuenta bancaria que el propio cliente se abre online utilizando la web o la app de la entidad bancaria. En este tipo de cuentas, el contrato entre el cliente y el banco se realiza a través de internet.</w:t>
      </w:r>
    </w:p>
    <w:p w14:paraId="5293A07C" w14:textId="77777777" w:rsidR="00DE7314" w:rsidRPr="00CF1B34" w:rsidRDefault="00DE731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Muchas entidades ofrecen las cuentas online con unas comisiones muy reducidas e incluso algunas de ellas, </w:t>
      </w:r>
      <w:hyperlink r:id="rId212" w:history="1">
        <w:r w:rsidRPr="00CF1B34">
          <w:rPr>
            <w:rFonts w:ascii="Arial" w:hAnsi="Arial" w:cs="Arial"/>
            <w:color w:val="BD4313"/>
            <w:sz w:val="22"/>
            <w:szCs w:val="22"/>
            <w:u w:val="single"/>
            <w:lang w:val="es-ES_tradnl"/>
          </w:rPr>
          <w:t>cuentas online sin comisiones</w:t>
        </w:r>
      </w:hyperlink>
      <w:r w:rsidRPr="00CF1B34">
        <w:rPr>
          <w:rFonts w:ascii="Arial" w:hAnsi="Arial" w:cs="Arial"/>
          <w:sz w:val="22"/>
          <w:szCs w:val="22"/>
          <w:lang w:val="es-ES_tradnl"/>
        </w:rPr>
        <w:t>.</w:t>
      </w:r>
    </w:p>
    <w:p w14:paraId="04809555" w14:textId="77777777" w:rsidR="00DE7314" w:rsidRPr="00CF1B34" w:rsidRDefault="00DE731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cuentas online ofrecen la misma operativa que el resto de cuentas: hacer ingresos, domiciliar una nómina, pagar recibos, retirar dinero en cajero o hacer transferencias.</w:t>
      </w:r>
    </w:p>
    <w:p w14:paraId="53EDA104" w14:textId="77777777" w:rsidR="00DE7314" w:rsidRPr="00CF1B34" w:rsidRDefault="00DE731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Existen multitud de modalidades de cuentas online y es un producto que va en aumento. Los tipos de cuentas online más comunes son cuentas de ahorro, cuentas corrientes y cuentas corrientes remuneradas.</w:t>
      </w:r>
    </w:p>
    <w:p w14:paraId="5E46E6B3" w14:textId="77777777" w:rsidR="00DE7314" w:rsidRPr="00CF1B34" w:rsidRDefault="00DE731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 xml:space="preserve">Los requisitos de las cuentas online pueden variar en función de la </w:t>
      </w:r>
      <w:proofErr w:type="gramStart"/>
      <w:r w:rsidRPr="00CF1B34">
        <w:rPr>
          <w:rFonts w:ascii="Arial" w:hAnsi="Arial" w:cs="Arial"/>
          <w:sz w:val="22"/>
          <w:szCs w:val="22"/>
          <w:lang w:val="es-ES_tradnl"/>
        </w:rPr>
        <w:t>entidad</w:t>
      </w:r>
      <w:proofErr w:type="gramEnd"/>
      <w:r w:rsidRPr="00CF1B34">
        <w:rPr>
          <w:rFonts w:ascii="Arial" w:hAnsi="Arial" w:cs="Arial"/>
          <w:sz w:val="22"/>
          <w:szCs w:val="22"/>
          <w:lang w:val="es-ES_tradnl"/>
        </w:rPr>
        <w:t xml:space="preserve"> pero los más comunes son que la entidad nos exija la domiciliación de algún recibo, en caso de que lleven una tarjeta asociada el banco puede exigirnos un uso mínimo de la misma o emplear solamente internet o el canal telefónico para realizar cualquier tipo de gestión.</w:t>
      </w:r>
    </w:p>
    <w:p w14:paraId="0960F9B3" w14:textId="77777777" w:rsidR="00DE7314" w:rsidRPr="00CF1B34" w:rsidRDefault="00DE731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Una de las principales ventajas de las cuentas online es que están disponibles las 24 horas del día durante los 365 días del año, nos permiten operar a cualquier hora y desde cualquier lugar.</w:t>
      </w:r>
    </w:p>
    <w:p w14:paraId="1A0D147E" w14:textId="77777777" w:rsidR="004968AA" w:rsidRPr="00CF1B34" w:rsidRDefault="004968AA"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Cuenta remunerada</w:t>
      </w:r>
    </w:p>
    <w:p w14:paraId="02D7F1FB" w14:textId="77777777" w:rsidR="004968AA" w:rsidRPr="00CF1B34" w:rsidRDefault="004968A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w:t>
      </w:r>
      <w:r w:rsidRPr="00CF1B34">
        <w:rPr>
          <w:rFonts w:ascii="Arial" w:hAnsi="Arial" w:cs="Arial"/>
          <w:b/>
          <w:bCs/>
          <w:sz w:val="22"/>
          <w:szCs w:val="22"/>
          <w:lang w:val="es-ES_tradnl"/>
        </w:rPr>
        <w:t>cuenta remunerada</w:t>
      </w:r>
      <w:r w:rsidRPr="00CF1B34">
        <w:rPr>
          <w:rFonts w:ascii="Arial" w:hAnsi="Arial" w:cs="Arial"/>
          <w:sz w:val="22"/>
          <w:szCs w:val="22"/>
          <w:lang w:val="es-ES_tradnl"/>
        </w:rPr>
        <w:t> es un tipo de cuenta bancaria que ofrece al cliente un tipo de interés a cambio de tener el dinero depositado en la entidad.</w:t>
      </w:r>
    </w:p>
    <w:p w14:paraId="316AD33F" w14:textId="77777777" w:rsidR="004968AA" w:rsidRPr="00CF1B34" w:rsidRDefault="004968A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remuneración y el tipo de interés ofrecido variará en función de la entidad, las condiciones de la cuenta y el momento. Este tipo de interés se aplica al saldo que exista en la cuenta durante un periodo de tiempo limitado. En general no existe una cantidad mínima de dinero para abrir una cuenta remunerada pero la rentabilidad será mayor cuanto mayor sea la cantidad depositada en la cuenta remunerada.</w:t>
      </w:r>
    </w:p>
    <w:p w14:paraId="21BD8404" w14:textId="07E09EFF" w:rsidR="004968AA" w:rsidRPr="00CF1B34" w:rsidRDefault="004968AA" w:rsidP="0005621A">
      <w:pPr>
        <w:spacing w:after="100" w:afterAutospacing="1"/>
        <w:ind w:firstLine="567"/>
        <w:jc w:val="both"/>
        <w:rPr>
          <w:rFonts w:ascii="Arial" w:hAnsi="Arial" w:cs="Arial"/>
          <w:sz w:val="22"/>
          <w:szCs w:val="22"/>
          <w:lang w:val="es-ES_tradnl"/>
        </w:rPr>
      </w:pPr>
      <w:r w:rsidRPr="00CF1B34">
        <w:rPr>
          <w:rFonts w:ascii="Arial" w:hAnsi="Arial" w:cs="Arial"/>
          <w:sz w:val="22"/>
          <w:szCs w:val="22"/>
          <w:lang w:val="es-ES_tradnl"/>
        </w:rPr>
        <w:t>La</w:t>
      </w:r>
      <w:r w:rsidR="00D11866" w:rsidRPr="00CF1B34">
        <w:rPr>
          <w:rFonts w:ascii="Arial" w:hAnsi="Arial" w:cs="Arial"/>
          <w:sz w:val="22"/>
          <w:szCs w:val="22"/>
          <w:lang w:val="es-ES_tradnl"/>
        </w:rPr>
        <w:t xml:space="preserve"> </w:t>
      </w:r>
      <w:r w:rsidRPr="00CF1B34">
        <w:rPr>
          <w:rFonts w:ascii="Arial" w:hAnsi="Arial" w:cs="Arial"/>
          <w:b/>
          <w:bCs/>
          <w:sz w:val="22"/>
          <w:szCs w:val="22"/>
          <w:lang w:val="es-ES_tradnl"/>
        </w:rPr>
        <w:t>remuneración</w:t>
      </w:r>
      <w:r w:rsidR="00D11866" w:rsidRPr="00CF1B34">
        <w:rPr>
          <w:rFonts w:ascii="Arial" w:hAnsi="Arial" w:cs="Arial"/>
          <w:sz w:val="22"/>
          <w:szCs w:val="22"/>
          <w:lang w:val="es-ES_tradnl"/>
        </w:rPr>
        <w:t xml:space="preserve"> </w:t>
      </w:r>
      <w:r w:rsidRPr="00CF1B34">
        <w:rPr>
          <w:rFonts w:ascii="Arial" w:hAnsi="Arial" w:cs="Arial"/>
          <w:sz w:val="22"/>
          <w:szCs w:val="22"/>
          <w:lang w:val="es-ES_tradnl"/>
        </w:rPr>
        <w:t>puede establecerse en función de diferentes criterios:</w:t>
      </w:r>
    </w:p>
    <w:p w14:paraId="7E7E50CF" w14:textId="77777777" w:rsidR="004968AA" w:rsidRPr="00CF1B34" w:rsidRDefault="004968AA" w:rsidP="0005621A">
      <w:pPr>
        <w:numPr>
          <w:ilvl w:val="0"/>
          <w:numId w:val="4"/>
        </w:numPr>
        <w:spacing w:before="100" w:beforeAutospacing="1" w:after="240"/>
        <w:ind w:left="495" w:firstLine="72"/>
        <w:jc w:val="both"/>
        <w:rPr>
          <w:rFonts w:ascii="Arial" w:hAnsi="Arial" w:cs="Arial"/>
          <w:sz w:val="22"/>
          <w:szCs w:val="22"/>
          <w:lang w:val="es-ES_tradnl"/>
        </w:rPr>
      </w:pPr>
      <w:r w:rsidRPr="00CF1B34">
        <w:rPr>
          <w:rFonts w:ascii="Arial" w:hAnsi="Arial" w:cs="Arial"/>
          <w:sz w:val="22"/>
          <w:szCs w:val="22"/>
          <w:lang w:val="es-ES_tradnl"/>
        </w:rPr>
        <w:t>La liquidación del tipo de interés puede establecerse en función de tramos de saldo, puede ser de tipo fijo o variable y depender de un índice, puede ser progresiva o también puede ser limitada en el tiempo.</w:t>
      </w:r>
    </w:p>
    <w:p w14:paraId="4EEF20B7" w14:textId="77777777" w:rsidR="004968AA" w:rsidRPr="00CF1B34" w:rsidRDefault="004968AA" w:rsidP="0005621A">
      <w:pPr>
        <w:numPr>
          <w:ilvl w:val="0"/>
          <w:numId w:val="4"/>
        </w:numPr>
        <w:spacing w:before="100" w:beforeAutospacing="1" w:after="240"/>
        <w:ind w:left="495" w:firstLine="72"/>
        <w:jc w:val="both"/>
        <w:rPr>
          <w:rFonts w:ascii="Arial" w:hAnsi="Arial" w:cs="Arial"/>
          <w:sz w:val="22"/>
          <w:szCs w:val="22"/>
          <w:lang w:val="es-ES_tradnl"/>
        </w:rPr>
      </w:pPr>
      <w:r w:rsidRPr="00CF1B34">
        <w:rPr>
          <w:rFonts w:ascii="Arial" w:hAnsi="Arial" w:cs="Arial"/>
          <w:sz w:val="22"/>
          <w:szCs w:val="22"/>
          <w:lang w:val="es-ES_tradnl"/>
        </w:rPr>
        <w:t>Es posible también que la entidad establezca un saldo mínimo que el cliente debe mantener en la cuenta para poder cobrar la remuneración.</w:t>
      </w:r>
    </w:p>
    <w:p w14:paraId="46C6EEB6" w14:textId="77777777" w:rsidR="004968AA" w:rsidRPr="00CF1B34" w:rsidRDefault="004968AA" w:rsidP="0005621A">
      <w:pPr>
        <w:numPr>
          <w:ilvl w:val="0"/>
          <w:numId w:val="4"/>
        </w:numPr>
        <w:spacing w:before="100" w:beforeAutospacing="1" w:after="240"/>
        <w:ind w:left="495" w:firstLine="72"/>
        <w:jc w:val="both"/>
        <w:rPr>
          <w:rFonts w:ascii="Arial" w:hAnsi="Arial" w:cs="Arial"/>
          <w:sz w:val="22"/>
          <w:szCs w:val="22"/>
          <w:lang w:val="es-ES_tradnl"/>
        </w:rPr>
      </w:pPr>
      <w:r w:rsidRPr="00CF1B34">
        <w:rPr>
          <w:rFonts w:ascii="Arial" w:hAnsi="Arial" w:cs="Arial"/>
          <w:sz w:val="22"/>
          <w:szCs w:val="22"/>
          <w:lang w:val="es-ES_tradnl"/>
        </w:rPr>
        <w:t>Existe la posibilidad de que se establezca una franquicia por la que parte del saldo o dinero depositado en la cuenta que no se remunere.</w:t>
      </w:r>
    </w:p>
    <w:p w14:paraId="0A1037B5" w14:textId="77777777" w:rsidR="004968AA" w:rsidRPr="00CF1B34" w:rsidRDefault="004968A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Las cuentas remuneradas ofrecen al cliente la libertad para disponer del dinero cuando lo desee sin que esto suponga ningún tipo de gasto ni penalización. Existe gran variedad de cuentas remuneradas y sus condiciones son diferentes en función de la entidad bancaria. En algunos casos esta tipología de cuentas, más pensadas para ser destinadas al ahorro, no permiten domiciliar recibos, solicitar préstamos o vincularse a una tarjeta.</w:t>
      </w:r>
    </w:p>
    <w:p w14:paraId="5B6829CF" w14:textId="43F3BDDD" w:rsidR="001F5E16" w:rsidRPr="00CF1B34" w:rsidRDefault="001F5E16" w:rsidP="0005621A">
      <w:pPr>
        <w:pStyle w:val="Ttulo2"/>
        <w:spacing w:before="0" w:beforeAutospacing="0" w:after="0" w:afterAutospacing="0"/>
        <w:jc w:val="both"/>
        <w:rPr>
          <w:rFonts w:ascii="Arial" w:hAnsi="Arial" w:cs="Arial"/>
          <w:color w:val="1F3864" w:themeColor="accent1" w:themeShade="80"/>
          <w:sz w:val="24"/>
          <w:szCs w:val="24"/>
          <w:lang w:val="es-ES_tradnl"/>
        </w:rPr>
      </w:pPr>
      <w:r w:rsidRPr="00CF1B34">
        <w:rPr>
          <w:rFonts w:ascii="Arial" w:hAnsi="Arial" w:cs="Arial"/>
          <w:color w:val="1F3864" w:themeColor="accent1" w:themeShade="80"/>
          <w:sz w:val="24"/>
          <w:szCs w:val="24"/>
          <w:lang w:val="es-ES_tradnl"/>
        </w:rPr>
        <w:t>Cuentas directas de deuda anotada</w:t>
      </w:r>
    </w:p>
    <w:p w14:paraId="2A2409D8" w14:textId="77777777" w:rsidR="007A480C" w:rsidRPr="00CF1B34" w:rsidRDefault="00640EF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lang w:val="es-ES_tradnl"/>
        </w:rPr>
        <w:t>Cuentas de valore que los particulares pueden abrir en el banco de España para mantener en ellas la deuda del Estado que hayan suscrito directamente, o queque traspasen desde una sociedad gestora. No pueden dar lugar a la apertura de cuentas de efectivo en el banco de España, y el titular debe de señalar siempre una cuenta de este carácter en</w:t>
      </w:r>
      <w:r w:rsidR="007A480C" w:rsidRPr="00CF1B34">
        <w:rPr>
          <w:rFonts w:ascii="Arial" w:hAnsi="Arial" w:cs="Arial"/>
          <w:color w:val="000000" w:themeColor="text1"/>
          <w:lang w:val="es-ES_tradnl"/>
        </w:rPr>
        <w:t xml:space="preserve"> una entidad de deposito, a la que transfieran los cupones devengados por la deuda o el importe de su reembolso. Para su negociación en el mercado secundario, los valores deben de ser traspasados previamente a una entidad gestora.</w:t>
      </w:r>
    </w:p>
    <w:p w14:paraId="30D471EE" w14:textId="2935A77B" w:rsidR="001F5E16" w:rsidRPr="00CF1B34" w:rsidRDefault="001F5E16" w:rsidP="0005621A">
      <w:pPr>
        <w:pStyle w:val="Ttulo2"/>
        <w:spacing w:before="0" w:beforeAutospacing="0" w:after="0" w:afterAutospacing="0"/>
        <w:jc w:val="both"/>
        <w:rPr>
          <w:rFonts w:ascii="Arial" w:hAnsi="Arial" w:cs="Arial"/>
          <w:color w:val="1F3864" w:themeColor="accent1" w:themeShade="80"/>
          <w:sz w:val="24"/>
          <w:szCs w:val="24"/>
          <w:lang w:val="es-ES_tradnl"/>
        </w:rPr>
      </w:pPr>
      <w:r w:rsidRPr="00CF1B34">
        <w:rPr>
          <w:rFonts w:ascii="Arial" w:hAnsi="Arial" w:cs="Arial"/>
          <w:color w:val="1F3864" w:themeColor="accent1" w:themeShade="80"/>
          <w:sz w:val="24"/>
          <w:szCs w:val="24"/>
          <w:lang w:val="es-ES_tradnl"/>
        </w:rPr>
        <w:t>Cuentas financieras</w:t>
      </w:r>
    </w:p>
    <w:p w14:paraId="567AB1B7" w14:textId="77777777" w:rsidR="000B4092" w:rsidRPr="00CF1B34" w:rsidRDefault="000B409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lang w:val="es-ES_tradnl"/>
        </w:rPr>
        <w:lastRenderedPageBreak/>
        <w:t>Depósitos normalmente a la vista, cuyos saldos se invierten en determinados instrumentos financieros, cuya evolución de tipos de interés determina la rentabilidad de la cuenta.</w:t>
      </w:r>
    </w:p>
    <w:p w14:paraId="086E44BF" w14:textId="6740BDF3" w:rsidR="004968AA" w:rsidRPr="00CF1B34" w:rsidRDefault="004968AA" w:rsidP="0005621A">
      <w:pPr>
        <w:pStyle w:val="Ttulo2"/>
        <w:spacing w:before="0" w:beforeAutospacing="0" w:after="0" w:afterAutospacing="0"/>
        <w:jc w:val="both"/>
        <w:rPr>
          <w:rFonts w:ascii="Arial" w:hAnsi="Arial" w:cs="Arial"/>
          <w:color w:val="1F3864" w:themeColor="accent1" w:themeShade="80"/>
          <w:sz w:val="24"/>
          <w:szCs w:val="24"/>
          <w:lang w:val="es-ES_tradnl"/>
        </w:rPr>
      </w:pPr>
      <w:r w:rsidRPr="00CF1B34">
        <w:rPr>
          <w:rFonts w:ascii="Arial" w:hAnsi="Arial" w:cs="Arial"/>
          <w:color w:val="1F3864" w:themeColor="accent1" w:themeShade="80"/>
          <w:sz w:val="24"/>
          <w:szCs w:val="24"/>
          <w:lang w:val="es-ES_tradnl"/>
        </w:rPr>
        <w:t>Cuenta sin nómina</w:t>
      </w:r>
    </w:p>
    <w:p w14:paraId="094FF868" w14:textId="77777777" w:rsidR="004968AA" w:rsidRPr="00CF1B34" w:rsidRDefault="004968AA" w:rsidP="0005621A">
      <w:pPr>
        <w:ind w:left="708"/>
        <w:jc w:val="both"/>
        <w:rPr>
          <w:rFonts w:ascii="Arial" w:hAnsi="Arial" w:cs="Arial"/>
          <w:sz w:val="22"/>
          <w:szCs w:val="22"/>
          <w:lang w:val="es-ES_tradnl"/>
        </w:rPr>
      </w:pPr>
      <w:r w:rsidRPr="00CF1B34">
        <w:rPr>
          <w:rFonts w:ascii="Arial" w:hAnsi="Arial" w:cs="Arial"/>
          <w:sz w:val="22"/>
          <w:szCs w:val="22"/>
          <w:lang w:val="es-ES_tradnl"/>
        </w:rPr>
        <w:t>Como su nombre indica, una </w:t>
      </w:r>
      <w:hyperlink r:id="rId213" w:tooltip="cuenta sin nómina" w:history="1">
        <w:r w:rsidRPr="00CF1B34">
          <w:rPr>
            <w:rStyle w:val="Hipervnculo"/>
            <w:rFonts w:ascii="Arial" w:hAnsi="Arial" w:cs="Arial"/>
            <w:color w:val="2F5496" w:themeColor="accent1" w:themeShade="BF"/>
            <w:sz w:val="22"/>
            <w:szCs w:val="22"/>
            <w:u w:val="none"/>
            <w:lang w:val="es-ES_tradnl"/>
          </w:rPr>
          <w:t>cuenta bancaria sin nómina</w:t>
        </w:r>
      </w:hyperlink>
      <w:r w:rsidRPr="00CF1B34">
        <w:rPr>
          <w:rFonts w:ascii="Arial" w:hAnsi="Arial" w:cs="Arial"/>
          <w:color w:val="2F5496" w:themeColor="accent1" w:themeShade="BF"/>
          <w:sz w:val="22"/>
          <w:szCs w:val="22"/>
          <w:lang w:val="es-ES_tradnl"/>
        </w:rPr>
        <w:t> </w:t>
      </w:r>
      <w:r w:rsidRPr="00CF1B34">
        <w:rPr>
          <w:rFonts w:ascii="Arial" w:hAnsi="Arial" w:cs="Arial"/>
          <w:sz w:val="22"/>
          <w:szCs w:val="22"/>
          <w:lang w:val="es-ES_tradnl"/>
        </w:rPr>
        <w:t>es aquella cuenta corriente que no nos pide domiciliar nuestra nómina, ni ningún otro tipo de ingreso periódico (la pensión, etc.). Este tipo de cuenta es útil cuando la fuente o la periodicidad de nuestros ingresos no sea regular.</w:t>
      </w:r>
    </w:p>
    <w:p w14:paraId="11B88EC9" w14:textId="77777777" w:rsidR="004968AA" w:rsidRPr="00CF1B34" w:rsidRDefault="004968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realidad, ofrece todas las ventajas y servicios de una cuenta nómina, pero sin exigirnos tanta vinculación al banco. De la misma manera, también funciona como una cuenta corriente que nos permite gestionar nuestro día a día financiero: asociación gratuita de tarjetas de débito o crédito; retirada de efectivo en cajeros; realización de transferencias y traspasos; ingreso de cheques; domiciliación de recibos y domiciliación de nómina…, aunque esta no sea un requisito obligatorio.</w:t>
      </w:r>
    </w:p>
    <w:p w14:paraId="704A75E8" w14:textId="77777777" w:rsidR="004968AA" w:rsidRPr="00CF1B34" w:rsidRDefault="004968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Este tipo de cuentas ofrece mucha variedad; así, las versiones para jóvenes, cuentas con o sin comisiones; cuentas que exijan otros condicionantes…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sobre todo, las cuentas online. Son muy demandadas por quienes quieren compartir gastos, gastar tranquilamente y no cumplir requisitos a cambio; aunque depende de las condiciones específicas que establezca cada entidad, en general no exigen mucha vinculación. También por quienes quieren una segunda cuenta de repuesto por si falla la principal; realizar compras online, o viajar más tranquilamente (retiradas de efectivo o cambios de divisa gratuitos). O entre quienes tienen la nómina domiciliada en otro banco, pero quieren una cuenta que les ofrezca cualquier producto financiero interesante sin necesidad de traspasar sus ingresos a otra cuenta (algunas requieren un ingreso elevado para ofrecer una rentabilidad más alta; otras no).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por último, también es para aquellos que tengan la nómina en otro banco, pero quieran acumular ahorros sin pagar comisiones.</w:t>
      </w:r>
    </w:p>
    <w:p w14:paraId="739A2AA8" w14:textId="77777777" w:rsidR="004968AA" w:rsidRPr="00CF1B34" w:rsidRDefault="004968AA" w:rsidP="0005621A">
      <w:pPr>
        <w:pStyle w:val="Ttulo2"/>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Características de una cuenta sin nómina:</w:t>
      </w:r>
    </w:p>
    <w:p w14:paraId="7C636617" w14:textId="77777777" w:rsidR="004968AA" w:rsidRPr="00CF1B34" w:rsidRDefault="004968AA" w:rsidP="0005621A">
      <w:pPr>
        <w:numPr>
          <w:ilvl w:val="0"/>
          <w:numId w:val="5"/>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En general son cuentas que no nos cobran comisiones de administración, o de mantenimiento, pudiendo permitir que ahorremos cerca de 250€/ anuales en concepto de estos gastos.</w:t>
      </w:r>
    </w:p>
    <w:p w14:paraId="0C507253" w14:textId="77777777" w:rsidR="004968AA" w:rsidRPr="00CF1B34" w:rsidRDefault="004968AA" w:rsidP="0005621A">
      <w:pPr>
        <w:numPr>
          <w:ilvl w:val="0"/>
          <w:numId w:val="5"/>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Contemplan la emisión de transferencias sin coste (siempre que sean inferiores a 50.000€ y se realicen dentro de la zona SEPA); también en el ingreso y emisión de cheques.</w:t>
      </w:r>
    </w:p>
    <w:p w14:paraId="053E9846" w14:textId="77777777" w:rsidR="004968AA" w:rsidRPr="00CF1B34" w:rsidRDefault="004968AA" w:rsidP="0005621A">
      <w:pPr>
        <w:numPr>
          <w:ilvl w:val="0"/>
          <w:numId w:val="5"/>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Nos ofrecen tarjetas de débito y crédito asociadas, incluso para los cotitulares en caso de haberlos, sin gastos de emisión, ni de mantenimiento.</w:t>
      </w:r>
    </w:p>
    <w:p w14:paraId="4D6458CC" w14:textId="77777777" w:rsidR="004968AA" w:rsidRPr="00CF1B34" w:rsidRDefault="004968AA" w:rsidP="0005621A">
      <w:pPr>
        <w:numPr>
          <w:ilvl w:val="0"/>
          <w:numId w:val="5"/>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Nos permiten retirar efectivo gratis en la red de cajeros automáticos del banco, e incluso de otros nacionales o internacionales.</w:t>
      </w:r>
    </w:p>
    <w:p w14:paraId="1DAF59C3" w14:textId="77777777" w:rsidR="004968AA" w:rsidRPr="00CF1B34" w:rsidRDefault="004968AA" w:rsidP="0005621A">
      <w:pPr>
        <w:numPr>
          <w:ilvl w:val="0"/>
          <w:numId w:val="5"/>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Facilitan la operativa diaria de forma online, aportando autonomía de gestión, rapidez y comodidad. Algunas además permiten domiciliar nuestros ingresos, aunque no tengamos ahí la nómina.</w:t>
      </w:r>
    </w:p>
    <w:p w14:paraId="6E71092D" w14:textId="77777777" w:rsidR="004968AA" w:rsidRPr="00CF1B34" w:rsidRDefault="004968A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Permiten cancelar la cuenta en cualquier momento de forma rápida y sencilla.</w:t>
      </w:r>
    </w:p>
    <w:p w14:paraId="0B00F81A" w14:textId="77777777" w:rsidR="00CC0443" w:rsidRPr="00CF1B34" w:rsidRDefault="00CC0443" w:rsidP="0005621A">
      <w:pPr>
        <w:shd w:val="clear" w:color="auto" w:fill="FFFFFF"/>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Cuentas sin comisiones</w:t>
      </w:r>
    </w:p>
    <w:p w14:paraId="3F3AC60D" w14:textId="06581CB9" w:rsidR="00CC0443" w:rsidRPr="00CF1B34" w:rsidRDefault="00CC0443" w:rsidP="0005621A">
      <w:pPr>
        <w:shd w:val="clear" w:color="auto" w:fill="FFFFFF"/>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Como su nombre indica, una</w:t>
      </w:r>
      <w:r w:rsidR="00D11866" w:rsidRPr="00CF1B34">
        <w:rPr>
          <w:rFonts w:ascii="Arial" w:hAnsi="Arial" w:cs="Arial"/>
          <w:color w:val="191B1C"/>
          <w:sz w:val="22"/>
          <w:szCs w:val="22"/>
          <w:lang w:val="es-ES_tradnl"/>
        </w:rPr>
        <w:t xml:space="preserve"> </w:t>
      </w:r>
      <w:hyperlink r:id="rId214" w:history="1">
        <w:r w:rsidRPr="00CF1B34">
          <w:rPr>
            <w:rFonts w:ascii="Arial" w:hAnsi="Arial" w:cs="Arial"/>
            <w:b/>
            <w:bCs/>
            <w:color w:val="2F5496" w:themeColor="accent1" w:themeShade="BF"/>
            <w:sz w:val="22"/>
            <w:szCs w:val="22"/>
            <w:u w:val="single"/>
            <w:lang w:val="es-ES_tradnl"/>
          </w:rPr>
          <w:t>cuenta sin comisiones</w:t>
        </w:r>
      </w:hyperlink>
      <w:r w:rsidR="00D11866" w:rsidRPr="00CF1B34">
        <w:rPr>
          <w:rFonts w:ascii="Arial" w:hAnsi="Arial" w:cs="Arial"/>
          <w:b/>
          <w:bCs/>
          <w:color w:val="2F5496" w:themeColor="accent1" w:themeShade="BF"/>
          <w:sz w:val="22"/>
          <w:szCs w:val="22"/>
          <w:lang w:val="es-ES_tradnl"/>
        </w:rPr>
        <w:t xml:space="preserve"> </w:t>
      </w:r>
      <w:r w:rsidRPr="00CF1B34">
        <w:rPr>
          <w:rFonts w:ascii="Arial" w:hAnsi="Arial" w:cs="Arial"/>
          <w:color w:val="191B1C"/>
          <w:sz w:val="22"/>
          <w:szCs w:val="22"/>
          <w:lang w:val="es-ES_tradnl"/>
        </w:rPr>
        <w:t>es aquella que no nos cobra ningún cargo en concepto de administración o mantenimiento de la cuenta. Además, tampoco suele llevar costes asociados a la operativa diaria, tales como transferencias y traspasos, mantenimiento de tarjetas, emisión de cheques, etc.</w:t>
      </w:r>
    </w:p>
    <w:p w14:paraId="05E46AFA" w14:textId="77777777" w:rsidR="00CC0443" w:rsidRPr="00CF1B34" w:rsidRDefault="00CC0443" w:rsidP="0005621A">
      <w:pPr>
        <w:pStyle w:val="Sinespaciado"/>
        <w:ind w:left="708"/>
        <w:jc w:val="both"/>
        <w:rPr>
          <w:rFonts w:ascii="Arial" w:hAnsi="Arial" w:cs="Arial"/>
          <w:lang w:val="es-ES_tradnl"/>
        </w:rPr>
      </w:pPr>
      <w:r w:rsidRPr="00CF1B34">
        <w:rPr>
          <w:rStyle w:val="Textoennegrita"/>
          <w:rFonts w:ascii="Arial" w:hAnsi="Arial" w:cs="Arial"/>
          <w:color w:val="1F3864" w:themeColor="accent1" w:themeShade="80"/>
          <w:sz w:val="22"/>
          <w:szCs w:val="22"/>
          <w:lang w:val="es-ES_tradnl"/>
        </w:rPr>
        <w:t>Son muchas las cuentas que no nos ofrecen comisiones; veámoslas atendiendo a tres criterios</w:t>
      </w:r>
      <w:r w:rsidRPr="00CF1B34">
        <w:rPr>
          <w:rStyle w:val="Textoennegrita"/>
          <w:rFonts w:ascii="Arial" w:hAnsi="Arial" w:cs="Arial"/>
          <w:b w:val="0"/>
          <w:bCs w:val="0"/>
          <w:color w:val="191B1C"/>
          <w:sz w:val="22"/>
          <w:szCs w:val="22"/>
          <w:lang w:val="es-ES_tradnl"/>
        </w:rPr>
        <w:t>:</w:t>
      </w:r>
    </w:p>
    <w:p w14:paraId="26E89C0A" w14:textId="77777777" w:rsidR="00CC0443" w:rsidRPr="00CF1B34" w:rsidRDefault="00CC0443" w:rsidP="0005621A">
      <w:pPr>
        <w:pStyle w:val="Sinespaciado"/>
        <w:ind w:firstLine="708"/>
        <w:jc w:val="both"/>
        <w:rPr>
          <w:rFonts w:ascii="Arial" w:hAnsi="Arial" w:cs="Arial"/>
          <w:b/>
          <w:bCs/>
          <w:i/>
          <w:iCs/>
          <w:lang w:val="es-ES_tradnl"/>
        </w:rPr>
      </w:pPr>
      <w:r w:rsidRPr="00CF1B34">
        <w:rPr>
          <w:rStyle w:val="Textoennegrita"/>
          <w:rFonts w:ascii="Arial" w:hAnsi="Arial" w:cs="Arial"/>
          <w:b w:val="0"/>
          <w:bCs w:val="0"/>
          <w:i/>
          <w:iCs/>
          <w:color w:val="191B1C"/>
          <w:sz w:val="22"/>
          <w:szCs w:val="22"/>
          <w:lang w:val="es-ES_tradnl"/>
        </w:rPr>
        <w:t>Atendiendo a la actividad del cliente</w:t>
      </w:r>
    </w:p>
    <w:p w14:paraId="436EBA26" w14:textId="77777777" w:rsidR="00CC0443" w:rsidRPr="00CF1B34" w:rsidRDefault="00CC0443" w:rsidP="0005621A">
      <w:pPr>
        <w:pStyle w:val="Sinespaciado"/>
        <w:ind w:firstLine="708"/>
        <w:jc w:val="both"/>
        <w:rPr>
          <w:rFonts w:ascii="Arial" w:hAnsi="Arial" w:cs="Arial"/>
          <w:b/>
          <w:bCs/>
          <w:i/>
          <w:iCs/>
          <w:lang w:val="es-ES_tradnl"/>
        </w:rPr>
      </w:pPr>
      <w:r w:rsidRPr="00CF1B34">
        <w:rPr>
          <w:rStyle w:val="Textoennegrita"/>
          <w:rFonts w:ascii="Arial" w:hAnsi="Arial" w:cs="Arial"/>
          <w:b w:val="0"/>
          <w:bCs w:val="0"/>
          <w:i/>
          <w:iCs/>
          <w:color w:val="191B1C"/>
          <w:shd w:val="clear" w:color="auto" w:fill="FFFFFF"/>
          <w:lang w:val="es-ES_tradnl"/>
        </w:rPr>
        <w:t>Atendiendo a la edad</w:t>
      </w:r>
    </w:p>
    <w:p w14:paraId="23864671" w14:textId="77777777" w:rsidR="00CC0443" w:rsidRPr="00CF1B34" w:rsidRDefault="00CC0443" w:rsidP="0005621A">
      <w:pPr>
        <w:pBdr>
          <w:bottom w:val="dotted" w:sz="12" w:space="12" w:color="666666"/>
        </w:pBdr>
        <w:spacing w:after="240"/>
        <w:ind w:left="720"/>
        <w:jc w:val="both"/>
        <w:rPr>
          <w:rFonts w:ascii="Arial" w:hAnsi="Arial" w:cs="Arial"/>
          <w:b/>
          <w:bCs/>
          <w:i/>
          <w:iCs/>
          <w:color w:val="212529"/>
          <w:sz w:val="22"/>
          <w:szCs w:val="22"/>
          <w:lang w:val="es-ES_tradnl"/>
        </w:rPr>
      </w:pPr>
      <w:r w:rsidRPr="00CF1B34">
        <w:rPr>
          <w:rStyle w:val="Textoennegrita"/>
          <w:rFonts w:ascii="Arial" w:hAnsi="Arial" w:cs="Arial"/>
          <w:b w:val="0"/>
          <w:bCs w:val="0"/>
          <w:i/>
          <w:iCs/>
          <w:color w:val="191B1C"/>
          <w:lang w:val="es-ES_tradnl"/>
        </w:rPr>
        <w:t>Atendiendo al canal de contratación</w:t>
      </w:r>
    </w:p>
    <w:p w14:paraId="59DECE7E" w14:textId="7773818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Cuenta de resultados / de pérdidas y ganancias</w:t>
      </w:r>
    </w:p>
    <w:p w14:paraId="53A4AE75"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Informe contable que refleja la evolución de la actividad de una empresa, indicando los ingresos registrados y los gastos en que se ha incurrido a lo largo de un periodo determinado. El saldo final resultante son los beneficios o pérdidas obtenidos por la empresa.</w:t>
      </w:r>
    </w:p>
    <w:p w14:paraId="6FC5B3EA"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Cuenta de valores</w:t>
      </w:r>
    </w:p>
    <w:p w14:paraId="0E940A0D"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anotaciones contables en las que el intermediario refleja todas las operaciones y saldos de la cartera de valores de un inversor (entradas y salidas de valores y efectivo, pago de comisiones y gastos, etc.). </w:t>
      </w:r>
    </w:p>
    <w:p w14:paraId="6DC86758" w14:textId="431E8AC9" w:rsidR="00CC0443" w:rsidRPr="00CF1B34" w:rsidRDefault="00DF6236" w:rsidP="0005621A">
      <w:pPr>
        <w:jc w:val="both"/>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C</w:t>
      </w:r>
      <w:r w:rsidR="008764D7" w:rsidRPr="00CF1B34">
        <w:rPr>
          <w:rFonts w:ascii="Arial" w:hAnsi="Arial" w:cs="Arial"/>
          <w:b/>
          <w:bCs/>
          <w:color w:val="1F3864" w:themeColor="accent1" w:themeShade="80"/>
          <w:sz w:val="22"/>
          <w:szCs w:val="22"/>
          <w:lang w:val="es-ES_tradnl"/>
        </w:rPr>
        <w:t>uota</w:t>
      </w:r>
      <w:r w:rsidRPr="00CF1B34">
        <w:rPr>
          <w:rFonts w:ascii="Arial" w:hAnsi="Arial" w:cs="Arial"/>
          <w:b/>
          <w:bCs/>
          <w:color w:val="1F3864" w:themeColor="accent1" w:themeShade="80"/>
          <w:sz w:val="22"/>
          <w:szCs w:val="22"/>
          <w:lang w:val="es-ES_tradnl"/>
        </w:rPr>
        <w:t xml:space="preserve"> </w:t>
      </w:r>
    </w:p>
    <w:p w14:paraId="6F0B9EBD" w14:textId="69F90EF1" w:rsidR="00DF6236" w:rsidRPr="00CF1B34" w:rsidRDefault="00DF623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Numero m</w:t>
      </w:r>
      <w:r w:rsidR="00D11866"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nimo de títulos por valor sobre el que deben tratar las negociaciones en algunos mercados, sobre todo el RM francés.</w:t>
      </w:r>
    </w:p>
    <w:p w14:paraId="2EF9116B" w14:textId="77777777" w:rsidR="008B1CEC" w:rsidRPr="00CF1B34" w:rsidRDefault="008B1CEC"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Cuota Constante</w:t>
      </w:r>
    </w:p>
    <w:p w14:paraId="241DF051" w14:textId="77777777" w:rsidR="008B1CEC" w:rsidRPr="00CF1B34" w:rsidRDefault="008B1CE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Se trata del sistema más utilizado para calcular préstamos o hipotecas. Tal y como su propio nombre indica, las </w:t>
      </w:r>
      <w:r w:rsidRPr="00CF1B34">
        <w:rPr>
          <w:rFonts w:ascii="Arial" w:hAnsi="Arial" w:cs="Arial"/>
          <w:b/>
          <w:bCs/>
          <w:sz w:val="22"/>
          <w:szCs w:val="22"/>
          <w:lang w:val="es-ES_tradnl"/>
        </w:rPr>
        <w:t>cuotas son constantes</w:t>
      </w:r>
      <w:r w:rsidRPr="00CF1B34">
        <w:rPr>
          <w:rFonts w:ascii="Arial" w:hAnsi="Arial" w:cs="Arial"/>
          <w:sz w:val="22"/>
          <w:szCs w:val="22"/>
          <w:lang w:val="es-ES_tradnl"/>
        </w:rPr>
        <w:t>, lo que significa que a lo largo de toda la vida del préstamo en todas las cuotas se paga lo mismo a no ser que varíe el tipo de interés. Este modelo de pago también es conocido como sistema francés.</w:t>
      </w:r>
    </w:p>
    <w:p w14:paraId="1C247533" w14:textId="77777777" w:rsidR="008B1CEC" w:rsidRPr="00CF1B34" w:rsidRDefault="008B1CE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este caso la </w:t>
      </w:r>
      <w:r w:rsidRPr="00CF1B34">
        <w:rPr>
          <w:rFonts w:ascii="Arial" w:hAnsi="Arial" w:cs="Arial"/>
          <w:b/>
          <w:bCs/>
          <w:sz w:val="22"/>
          <w:szCs w:val="22"/>
          <w:lang w:val="es-ES_tradnl"/>
        </w:rPr>
        <w:t>cuota se compone de dos partes:</w:t>
      </w:r>
      <w:r w:rsidRPr="00CF1B34">
        <w:rPr>
          <w:rFonts w:ascii="Arial" w:hAnsi="Arial" w:cs="Arial"/>
          <w:sz w:val="22"/>
          <w:szCs w:val="22"/>
          <w:lang w:val="es-ES_tradnl"/>
        </w:rPr>
        <w:t> los intereses correspondientes a cada periodo más una parte de amortización del préstamo a liquidar. De esta manera se consigue liquidar la deuda poco a poco sin necesidad de hacer previsiones a largo plazo.</w:t>
      </w:r>
    </w:p>
    <w:p w14:paraId="3DB0DCAD" w14:textId="14DE4664" w:rsidR="008B1CEC" w:rsidRPr="00CF1B34" w:rsidRDefault="008B1CE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mayor parte de</w:t>
      </w:r>
      <w:r w:rsidR="00D11866" w:rsidRPr="00CF1B34">
        <w:rPr>
          <w:rFonts w:ascii="Arial" w:hAnsi="Arial" w:cs="Arial"/>
          <w:sz w:val="22"/>
          <w:szCs w:val="22"/>
          <w:lang w:val="es-ES_tradnl"/>
        </w:rPr>
        <w:t xml:space="preserve"> </w:t>
      </w:r>
      <w:hyperlink r:id="rId215" w:history="1">
        <w:r w:rsidRPr="00CF1B34">
          <w:rPr>
            <w:rFonts w:ascii="Arial" w:hAnsi="Arial" w:cs="Arial"/>
            <w:b/>
            <w:bCs/>
            <w:color w:val="2F5496" w:themeColor="accent1" w:themeShade="BF"/>
            <w:sz w:val="22"/>
            <w:szCs w:val="22"/>
            <w:u w:val="single"/>
            <w:lang w:val="es-ES_tradnl"/>
          </w:rPr>
          <w:t>hipotecas fijas</w:t>
        </w:r>
      </w:hyperlink>
      <w:r w:rsidR="00D11866" w:rsidRPr="00CF1B34">
        <w:rPr>
          <w:rFonts w:ascii="Arial" w:hAnsi="Arial" w:cs="Arial"/>
          <w:b/>
          <w:bCs/>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 de</w:t>
      </w:r>
      <w:r w:rsidR="00D11866" w:rsidRPr="00CF1B34">
        <w:rPr>
          <w:rFonts w:ascii="Arial" w:hAnsi="Arial" w:cs="Arial"/>
          <w:color w:val="2F5496" w:themeColor="accent1" w:themeShade="BF"/>
          <w:sz w:val="22"/>
          <w:szCs w:val="22"/>
          <w:lang w:val="es-ES_tradnl"/>
        </w:rPr>
        <w:t xml:space="preserve"> </w:t>
      </w:r>
      <w:hyperlink r:id="rId216" w:history="1">
        <w:r w:rsidRPr="00CF1B34">
          <w:rPr>
            <w:rFonts w:ascii="Arial" w:hAnsi="Arial" w:cs="Arial"/>
            <w:b/>
            <w:bCs/>
            <w:color w:val="2F5496" w:themeColor="accent1" w:themeShade="BF"/>
            <w:sz w:val="22"/>
            <w:szCs w:val="22"/>
            <w:u w:val="single"/>
            <w:lang w:val="es-ES_tradnl"/>
          </w:rPr>
          <w:t>hipotecas variables</w:t>
        </w:r>
      </w:hyperlink>
      <w:r w:rsidR="00D11866" w:rsidRPr="00CF1B34">
        <w:rPr>
          <w:rFonts w:ascii="Arial" w:hAnsi="Arial" w:cs="Arial"/>
          <w:sz w:val="22"/>
          <w:szCs w:val="22"/>
          <w:lang w:val="es-ES_tradnl"/>
        </w:rPr>
        <w:t xml:space="preserve"> </w:t>
      </w:r>
      <w:r w:rsidRPr="00CF1B34">
        <w:rPr>
          <w:rFonts w:ascii="Arial" w:hAnsi="Arial" w:cs="Arial"/>
          <w:sz w:val="22"/>
          <w:szCs w:val="22"/>
          <w:lang w:val="es-ES_tradnl"/>
        </w:rPr>
        <w:t xml:space="preserve">son de cuota constante. La diferencia es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en las hipotecas fijas, la cuota constante es la misma a lo largo de toda la vida del préstamo y en las variables esa constancia va en función de la revisión del tipo de interés. Es por este sistema, por el que al principio de una hipoteca la mayor parte de la cuota corresponde a pagar intereses y muy poco capital y esta relación se va invirtiendo a medida que pasa el tiempo.</w:t>
      </w:r>
    </w:p>
    <w:p w14:paraId="0DFCD0F9" w14:textId="77777777" w:rsidR="008B1CEC" w:rsidRPr="00CF1B34" w:rsidRDefault="008B1CE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El motivo por el que las entidades financieras optan por este sistema es porque les permite hacer una previsión exacta de los ingresos mensuales con los que contarán por parte de los clientes que tengan hipotecas. Para el cliente también resulta beneficioso ya que tiene una cuota constante (o casi constante si se trata de una hipoteca a tipo variable). En caso de que suba o baje el tipo de interés, la cuota se recalcula y se modifica en base a este sistema.</w:t>
      </w:r>
    </w:p>
    <w:p w14:paraId="0A17C5EC" w14:textId="77777777" w:rsidR="008B1CEC" w:rsidRPr="00CF1B34" w:rsidRDefault="008B1CEC"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lastRenderedPageBreak/>
        <w:t>Cuotas crecientes</w:t>
      </w:r>
    </w:p>
    <w:p w14:paraId="4D109E3D" w14:textId="0D6A6D2E" w:rsidR="008B1CEC" w:rsidRPr="00CF1B34" w:rsidRDefault="008B1CE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w:t>
      </w:r>
      <w:r w:rsidR="00D11866" w:rsidRPr="00CF1B34">
        <w:rPr>
          <w:rFonts w:ascii="Arial" w:hAnsi="Arial" w:cs="Arial"/>
          <w:sz w:val="22"/>
          <w:szCs w:val="22"/>
          <w:lang w:val="es-ES_tradnl"/>
        </w:rPr>
        <w:t xml:space="preserve"> </w:t>
      </w:r>
      <w:r w:rsidRPr="00CF1B34">
        <w:rPr>
          <w:rFonts w:ascii="Arial" w:hAnsi="Arial" w:cs="Arial"/>
          <w:b/>
          <w:bCs/>
          <w:sz w:val="22"/>
          <w:szCs w:val="22"/>
          <w:lang w:val="es-ES_tradnl"/>
        </w:rPr>
        <w:t>hipoteca con cuotas crecientes</w:t>
      </w:r>
      <w:r w:rsidR="00D11866" w:rsidRPr="00CF1B34">
        <w:rPr>
          <w:rFonts w:ascii="Arial" w:hAnsi="Arial" w:cs="Arial"/>
          <w:sz w:val="22"/>
          <w:szCs w:val="22"/>
          <w:lang w:val="es-ES_tradnl"/>
        </w:rPr>
        <w:t xml:space="preserve"> </w:t>
      </w:r>
      <w:r w:rsidRPr="00CF1B34">
        <w:rPr>
          <w:rFonts w:ascii="Arial" w:hAnsi="Arial" w:cs="Arial"/>
          <w:sz w:val="22"/>
          <w:szCs w:val="22"/>
          <w:lang w:val="es-ES_tradnl"/>
        </w:rPr>
        <w:t>es aquella en la que la cuota va aumentando progresivamente en base a un porcentaje consensuado por el cliente y la entidad bancaria. Es importante tener en cuenta que, aunque al principio la amortización del préstamo es menor cada vez se va pagando más.</w:t>
      </w:r>
    </w:p>
    <w:p w14:paraId="61EFFBE8" w14:textId="77777777" w:rsidR="008B1CEC" w:rsidRPr="00CF1B34" w:rsidRDefault="008B1CE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Este sistema puede ser adecuado para aquellas personas que esperan que su capacidad adquisitiva aumente con el paso de los años, o quien espere hacer amortizaciones parciales en los primeros años. Si las cuotas crecientes son de </w:t>
      </w:r>
      <w:r w:rsidRPr="00CF1B34">
        <w:rPr>
          <w:rFonts w:ascii="Arial" w:hAnsi="Arial" w:cs="Arial"/>
          <w:b/>
          <w:bCs/>
          <w:sz w:val="22"/>
          <w:szCs w:val="22"/>
          <w:lang w:val="es-ES_tradnl"/>
        </w:rPr>
        <w:t>tipo fijo</w:t>
      </w:r>
      <w:r w:rsidRPr="00CF1B34">
        <w:rPr>
          <w:rFonts w:ascii="Arial" w:hAnsi="Arial" w:cs="Arial"/>
          <w:sz w:val="22"/>
          <w:szCs w:val="22"/>
          <w:lang w:val="es-ES_tradnl"/>
        </w:rPr>
        <w:t>, estas son conocidas desde el primer momento, por lo que el cliente sabe en cuanto se irá incrementando cada mensualidad.</w:t>
      </w:r>
    </w:p>
    <w:p w14:paraId="051D58EA" w14:textId="77777777" w:rsidR="008B1CEC" w:rsidRPr="00CF1B34" w:rsidRDefault="008B1CE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Si se trata de cuotas a</w:t>
      </w:r>
      <w:r w:rsidRPr="00CF1B34">
        <w:rPr>
          <w:rFonts w:ascii="Arial" w:hAnsi="Arial" w:cs="Arial"/>
          <w:b/>
          <w:bCs/>
          <w:sz w:val="22"/>
          <w:szCs w:val="22"/>
          <w:lang w:val="es-ES_tradnl"/>
        </w:rPr>
        <w:t> tipo variable</w:t>
      </w:r>
      <w:r w:rsidRPr="00CF1B34">
        <w:rPr>
          <w:rFonts w:ascii="Arial" w:hAnsi="Arial" w:cs="Arial"/>
          <w:sz w:val="22"/>
          <w:szCs w:val="22"/>
          <w:lang w:val="es-ES_tradnl"/>
        </w:rPr>
        <w:t> tener esta previsión se hace más complicado. En cualquier caso, comparando este sistema de cuotas crecientes con uno de cuotas constantes, en el primero los pagos siempre son superiores a los que se realizan con el sistema habitual francés.</w:t>
      </w:r>
    </w:p>
    <w:p w14:paraId="51E8C519" w14:textId="5EA5B772" w:rsidR="008B1CEC" w:rsidRPr="00CF1B34" w:rsidRDefault="008764D7" w:rsidP="0005621A">
      <w:pPr>
        <w:jc w:val="both"/>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Cuota de mercado</w:t>
      </w:r>
    </w:p>
    <w:p w14:paraId="6848B3FA" w14:textId="77777777" w:rsidR="00DF6236" w:rsidRPr="00CF1B34" w:rsidRDefault="00DF623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Porcentaje de los recursos de clientes de cada Entidad respecto del total.</w:t>
      </w:r>
    </w:p>
    <w:p w14:paraId="78AE1F21" w14:textId="77777777" w:rsidR="003F5238" w:rsidRPr="00CF1B34" w:rsidRDefault="003F5238" w:rsidP="0005621A">
      <w:pPr>
        <w:jc w:val="both"/>
        <w:outlineLvl w:val="1"/>
        <w:rPr>
          <w:rFonts w:ascii="Arial" w:hAnsi="Arial" w:cs="Arial"/>
          <w:b/>
          <w:bCs/>
          <w:color w:val="1F3864" w:themeColor="accent1" w:themeShade="80"/>
          <w:sz w:val="22"/>
          <w:szCs w:val="22"/>
          <w:lang w:val="es-ES_tradnl"/>
        </w:rPr>
      </w:pPr>
    </w:p>
    <w:p w14:paraId="0A27C084" w14:textId="29A34C2D" w:rsidR="008B1CEC" w:rsidRPr="00CF1B34" w:rsidRDefault="008B1CEC"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Cuotas decrecientes</w:t>
      </w:r>
    </w:p>
    <w:p w14:paraId="32115102" w14:textId="0845B59E" w:rsidR="008B1CEC" w:rsidRPr="00CF1B34" w:rsidRDefault="008B1CE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Mediante este sistema de</w:t>
      </w:r>
      <w:r w:rsidR="00D11866" w:rsidRPr="00CF1B34">
        <w:rPr>
          <w:rFonts w:ascii="Arial" w:hAnsi="Arial" w:cs="Arial"/>
          <w:sz w:val="22"/>
          <w:szCs w:val="22"/>
          <w:lang w:val="es-ES_tradnl"/>
        </w:rPr>
        <w:t xml:space="preserve"> </w:t>
      </w:r>
      <w:r w:rsidRPr="00CF1B34">
        <w:rPr>
          <w:rFonts w:ascii="Arial" w:hAnsi="Arial" w:cs="Arial"/>
          <w:b/>
          <w:bCs/>
          <w:sz w:val="22"/>
          <w:szCs w:val="22"/>
          <w:lang w:val="es-ES_tradnl"/>
        </w:rPr>
        <w:t>cuotas decrecientes</w:t>
      </w:r>
      <w:r w:rsidRPr="00CF1B34">
        <w:rPr>
          <w:rFonts w:ascii="Arial" w:hAnsi="Arial" w:cs="Arial"/>
          <w:sz w:val="22"/>
          <w:szCs w:val="22"/>
          <w:lang w:val="es-ES_tradnl"/>
        </w:rPr>
        <w:t>, el capital que se amortiza siempre es el mismo, de tal manera que los intereses a pagar se van reduciendo y, en consecuencia, también se reduce la cuota a pagar. Si al sistema de amortización constate se le conoce también como sistema francés, al de amortización decreciente también se le da el nombre de</w:t>
      </w:r>
      <w:r w:rsidR="00D11866" w:rsidRPr="00CF1B34">
        <w:rPr>
          <w:rFonts w:ascii="Arial" w:hAnsi="Arial" w:cs="Arial"/>
          <w:sz w:val="22"/>
          <w:szCs w:val="22"/>
          <w:lang w:val="es-ES_tradnl"/>
        </w:rPr>
        <w:t xml:space="preserve"> </w:t>
      </w:r>
      <w:r w:rsidRPr="00CF1B34">
        <w:rPr>
          <w:rFonts w:ascii="Arial" w:hAnsi="Arial" w:cs="Arial"/>
          <w:b/>
          <w:bCs/>
          <w:sz w:val="22"/>
          <w:szCs w:val="22"/>
          <w:lang w:val="es-ES_tradnl"/>
        </w:rPr>
        <w:t>sistema alemán</w:t>
      </w:r>
      <w:r w:rsidRPr="00CF1B34">
        <w:rPr>
          <w:rFonts w:ascii="Arial" w:hAnsi="Arial" w:cs="Arial"/>
          <w:sz w:val="22"/>
          <w:szCs w:val="22"/>
          <w:lang w:val="es-ES_tradnl"/>
        </w:rPr>
        <w:t>.</w:t>
      </w:r>
    </w:p>
    <w:p w14:paraId="529C59C7" w14:textId="77777777" w:rsidR="008B1CEC" w:rsidRPr="00CF1B34" w:rsidRDefault="008B1CE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Se trata de un modelo en el que la mayor parte de los intereses se pagan en los primeros años del préstamo y se calculan en función del capital que queda por amortizar. Por tanto, a menor capital, menor volumen de intereses. El principal inconveniente de este sistema es que al principio se paga más lo que hace que no se trate de un modelo de amortización apto para todos los bolsillos.</w:t>
      </w:r>
    </w:p>
    <w:p w14:paraId="6C8F6232" w14:textId="11F6E700" w:rsidR="00D80839" w:rsidRPr="00CF1B34" w:rsidRDefault="00D8083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Cuotas participativas</w:t>
      </w:r>
    </w:p>
    <w:p w14:paraId="60DA4012" w14:textId="565A74FD" w:rsidR="003F5238" w:rsidRPr="00CF1B34" w:rsidRDefault="003F5238"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El Banco de España define a las </w:t>
      </w:r>
      <w:r w:rsidRPr="00CF1B34">
        <w:rPr>
          <w:rStyle w:val="Textoennegrita"/>
          <w:rFonts w:ascii="Arial" w:hAnsi="Arial" w:cs="Arial"/>
          <w:color w:val="333333"/>
          <w:sz w:val="22"/>
          <w:szCs w:val="22"/>
          <w:shd w:val="clear" w:color="auto" w:fill="FFFFFF"/>
          <w:lang w:val="es-ES_tradnl"/>
        </w:rPr>
        <w:t>Cuotas Participativas</w:t>
      </w:r>
      <w:r w:rsidR="00523ED0"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como</w:t>
      </w:r>
      <w:r w:rsidR="00523ED0" w:rsidRPr="00CF1B34">
        <w:rPr>
          <w:rFonts w:ascii="Arial" w:hAnsi="Arial" w:cs="Arial"/>
          <w:color w:val="333333"/>
          <w:sz w:val="22"/>
          <w:szCs w:val="22"/>
          <w:shd w:val="clear" w:color="auto" w:fill="FFFFFF"/>
          <w:lang w:val="es-ES_tradnl"/>
        </w:rPr>
        <w:t xml:space="preserve"> </w:t>
      </w:r>
      <w:r w:rsidRPr="00CF1B34">
        <w:rPr>
          <w:rStyle w:val="nfasis"/>
          <w:rFonts w:ascii="Arial" w:hAnsi="Arial" w:cs="Arial"/>
          <w:color w:val="333333"/>
          <w:sz w:val="22"/>
          <w:szCs w:val="22"/>
          <w:shd w:val="clear" w:color="auto" w:fill="FFFFFF"/>
          <w:lang w:val="es-ES_tradnl"/>
        </w:rPr>
        <w:t>“activos financieros o valores negociables que pueden emitir las cajas de ahorros”</w:t>
      </w:r>
      <w:r w:rsidRPr="00CF1B34">
        <w:rPr>
          <w:rFonts w:ascii="Arial" w:hAnsi="Arial" w:cs="Arial"/>
          <w:color w:val="333333"/>
          <w:sz w:val="22"/>
          <w:szCs w:val="22"/>
          <w:shd w:val="clear" w:color="auto" w:fill="FFFFFF"/>
          <w:lang w:val="es-ES_tradnl"/>
        </w:rPr>
        <w:t>. Representan</w:t>
      </w:r>
      <w:r w:rsidR="00523ED0" w:rsidRPr="00CF1B34">
        <w:rPr>
          <w:rStyle w:val="Textoennegrita"/>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aportaciones dinerarias</w:t>
      </w:r>
      <w:r w:rsidR="00523ED0"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de</w:t>
      </w:r>
      <w:r w:rsidR="00523ED0"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duración indefinida</w:t>
      </w:r>
      <w:r w:rsidR="00523ED0"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que pueden ser aplicadas en igual proporción y a los mismos destinos que los fondos fundacionales y las reservas de la caja emisora</w:t>
      </w:r>
    </w:p>
    <w:p w14:paraId="6F28976E" w14:textId="1F0B4F5E" w:rsidR="003F5238" w:rsidRPr="00CF1B34" w:rsidRDefault="003F523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Las</w:t>
      </w:r>
      <w:r w:rsidR="00523ED0"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cuotas participativas</w:t>
      </w:r>
      <w:r w:rsidR="00523ED0"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no dejan de ser un instrumento de renta variable, que cotizan en un mercado secundario organizado, aunque la liquidez de las mismas sufre del mismo problema que las participaciones preferentes: es escasa y se negocian muy por debajo de su valor de compra.</w:t>
      </w:r>
    </w:p>
    <w:p w14:paraId="605259E1" w14:textId="42842B0A"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Cupón</w:t>
      </w:r>
    </w:p>
    <w:p w14:paraId="524EFFAD"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interés nominal que tienen derecho a percibir los titulares de un valor de renta fija; suele pagarse con carácter trimestral, semestral o, más frecuentemente, anual. Puede ser fijo (establecido para toda la vida de la emisión) o variable (ligado a la evolución de tipos de interés, índices bursátiles, etc).</w:t>
      </w:r>
    </w:p>
    <w:p w14:paraId="199C3AC9" w14:textId="095C8911" w:rsidR="008764D7" w:rsidRPr="00CF1B34" w:rsidRDefault="008764D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Cupón cero</w:t>
      </w:r>
    </w:p>
    <w:p w14:paraId="5CE5C43B" w14:textId="77777777" w:rsidR="00DF6236" w:rsidRPr="00CF1B34" w:rsidRDefault="00DF623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Activos financieros de renta fija donde el interés promedio se abona al vencimiento del activo. En estos casos es al final cuando se realiza la retención fiscal del 25%.</w:t>
      </w:r>
    </w:p>
    <w:p w14:paraId="3BB3821D" w14:textId="4C14D378"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Cupón corrido</w:t>
      </w:r>
    </w:p>
    <w:p w14:paraId="70936C72"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parte del cupón de una obligación o bono que se ha devengado desde la fecha en que se pagó el último cupón, o desde la fecha de emisión (si aún no se ha cobrado ninguno). En general, el cálculo se realiza multiplicando el tipo de interés nominal por el período de tiempo transcurrido desde que comenzó a devengarse.</w:t>
      </w:r>
    </w:p>
    <w:p w14:paraId="141894E1" w14:textId="1CCD39C1" w:rsidR="008764D7" w:rsidRPr="00CF1B34" w:rsidRDefault="008764D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Currency </w:t>
      </w:r>
      <w:r w:rsidR="003F5238" w:rsidRPr="00CF1B34">
        <w:rPr>
          <w:rFonts w:ascii="Arial" w:hAnsi="Arial" w:cs="Arial"/>
          <w:b/>
          <w:bCs/>
          <w:color w:val="004773"/>
          <w:sz w:val="22"/>
          <w:szCs w:val="22"/>
          <w:lang w:val="es-ES_tradnl"/>
        </w:rPr>
        <w:t>S</w:t>
      </w:r>
      <w:r w:rsidRPr="00CF1B34">
        <w:rPr>
          <w:rFonts w:ascii="Arial" w:hAnsi="Arial" w:cs="Arial"/>
          <w:b/>
          <w:bCs/>
          <w:color w:val="004773"/>
          <w:sz w:val="22"/>
          <w:szCs w:val="22"/>
          <w:lang w:val="es-ES_tradnl"/>
        </w:rPr>
        <w:t>wap</w:t>
      </w:r>
    </w:p>
    <w:p w14:paraId="70B39248" w14:textId="77777777" w:rsidR="008F0986" w:rsidRPr="00CF1B34" w:rsidRDefault="008F098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operación financiera en virtud de la cual dos partes acuerdan intercambiarse dos o mas divisas, a largo plazo, con intercambio del pago de intereses de las divisas respectivas y con un tipo de cambio prefijado al vencimiento.</w:t>
      </w:r>
    </w:p>
    <w:p w14:paraId="62B4506A" w14:textId="714FA25B"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Curva cupón cero</w:t>
      </w:r>
    </w:p>
    <w:p w14:paraId="3A7DEE37"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Curva que relaciona los tipos de interés de contado con sus plazos de vencimiento; indica la rentabilidad que el mercado estaría exigiendo en cada plazo, para un activo libre de riesgo. Se elabora a partir de instrumentos sin riesgo de crédito (deuda pública) emitidos al descuento o con cupón cero, de modo que la duración del agregado coincide con cada uno de los plazos (por tanto, no existe riesgo de precio ni de reinversión). Ver riesgo de inversión.</w:t>
      </w:r>
    </w:p>
    <w:p w14:paraId="0C28898D" w14:textId="77777777"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Curva de rendimientos</w:t>
      </w:r>
    </w:p>
    <w:p w14:paraId="0A31AA56"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Gráfico que muestra la Tasa Interna de Retorno (TIR) de bonos similares, para distintas fechas de vencimiento. Tiene el inconveniente de que no considera el riesgo de reinversión, y asume que todos los flujos de un bono se reinvertirían a la misma TIR. La pendiente suele ser positiva: lo normal es que las emisiones a corto plazo ofrezcan rendimientos inferiores a las de plazo superior, aunque no siempre es </w:t>
      </w:r>
      <w:r w:rsidRPr="00CF1B34">
        <w:rPr>
          <w:rFonts w:ascii="Arial" w:hAnsi="Arial" w:cs="Arial"/>
          <w:color w:val="2F5496" w:themeColor="accent1" w:themeShade="BF"/>
          <w:sz w:val="22"/>
          <w:szCs w:val="22"/>
          <w:lang w:val="es-ES_tradnl"/>
        </w:rPr>
        <w:t>así. </w:t>
      </w:r>
      <w:hyperlink r:id="rId217" w:tgtFrame="_self" w:history="1">
        <w:r w:rsidRPr="00CF1B34">
          <w:rPr>
            <w:rFonts w:ascii="Arial" w:hAnsi="Arial" w:cs="Arial"/>
            <w:b/>
            <w:bCs/>
            <w:color w:val="2F5496" w:themeColor="accent1" w:themeShade="BF"/>
            <w:sz w:val="22"/>
            <w:szCs w:val="22"/>
            <w:u w:val="single"/>
            <w:lang w:val="es-ES_tradnl"/>
          </w:rPr>
          <w:t>Ver riesgo de reinversión</w:t>
        </w:r>
      </w:hyperlink>
      <w:r w:rsidRPr="00CF1B34">
        <w:rPr>
          <w:rFonts w:ascii="Arial" w:hAnsi="Arial" w:cs="Arial"/>
          <w:color w:val="212529"/>
          <w:sz w:val="22"/>
          <w:szCs w:val="22"/>
          <w:lang w:val="es-ES_tradnl"/>
        </w:rPr>
        <w:t>.</w:t>
      </w:r>
    </w:p>
    <w:p w14:paraId="191F92FD" w14:textId="36E488D7" w:rsidR="008764D7" w:rsidRPr="00CF1B34" w:rsidRDefault="008764D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Curva de tipos de </w:t>
      </w:r>
      <w:r w:rsidR="00E75329" w:rsidRPr="00CF1B34">
        <w:rPr>
          <w:rFonts w:ascii="Arial" w:hAnsi="Arial" w:cs="Arial"/>
          <w:b/>
          <w:bCs/>
          <w:color w:val="004773"/>
          <w:sz w:val="22"/>
          <w:szCs w:val="22"/>
          <w:lang w:val="es-ES_tradnl"/>
        </w:rPr>
        <w:t xml:space="preserve">interés </w:t>
      </w:r>
    </w:p>
    <w:p w14:paraId="3D398B02" w14:textId="77777777" w:rsidR="005B242C" w:rsidRPr="00CF1B34" w:rsidRDefault="008F098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formada por los tipos de interés de los distintos activos financieros públicos ordenados de menor a mayor plazo de vencimiento</w:t>
      </w:r>
      <w:r w:rsidR="005B242C" w:rsidRPr="00CF1B34">
        <w:rPr>
          <w:rFonts w:ascii="Arial" w:hAnsi="Arial" w:cs="Arial"/>
          <w:color w:val="000000" w:themeColor="text1"/>
          <w:sz w:val="22"/>
          <w:szCs w:val="22"/>
          <w:lang w:val="es-ES_tradnl"/>
        </w:rPr>
        <w:t>. Cuando los tipos de los instrumentos a corto son mayores a los de largo, se habla de curva de tipos de interés con pendiente negativa, o de curva invertida.</w:t>
      </w:r>
    </w:p>
    <w:p w14:paraId="2E605CFE" w14:textId="63DDA02A" w:rsidR="00C7373E" w:rsidRPr="00CF1B34" w:rsidRDefault="00C7373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Custodia de valores</w:t>
      </w:r>
    </w:p>
    <w:p w14:paraId="41DC3525" w14:textId="77777777" w:rsidR="00C7373E" w:rsidRPr="00CF1B34" w:rsidRDefault="00C737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Servicio de inversión que consiste en el mantenimiento de una cuenta de valores. A cambio de una comisión, el intermediario que presta este servicio ha de tener al día las posiciones del cliente, facilitarle el ejercicio de los derechos derivados de la tenencia de la cartera, etc. Cada entidad calcula esta comisión sobre la base que elija: el nominal de los valores custodiados, el efectivo, o cobrando un mínimo por cada valor o mercado. </w:t>
      </w:r>
    </w:p>
    <w:p w14:paraId="31B875D2" w14:textId="0C8CC14C" w:rsidR="008764D7" w:rsidRPr="00CF1B34" w:rsidRDefault="008764D7" w:rsidP="0005621A">
      <w:pPr>
        <w:jc w:val="both"/>
        <w:rPr>
          <w:rFonts w:ascii="Arial" w:hAnsi="Arial" w:cs="Arial"/>
          <w:sz w:val="22"/>
          <w:szCs w:val="22"/>
          <w:lang w:val="es-ES_tradnl"/>
        </w:rPr>
      </w:pPr>
    </w:p>
    <w:p w14:paraId="0EE04971" w14:textId="77777777" w:rsidR="008764D7" w:rsidRPr="00CF1B34" w:rsidRDefault="008764D7" w:rsidP="0005621A">
      <w:pPr>
        <w:jc w:val="both"/>
        <w:rPr>
          <w:rFonts w:ascii="Arial" w:hAnsi="Arial" w:cs="Arial"/>
          <w:sz w:val="22"/>
          <w:szCs w:val="22"/>
          <w:lang w:val="es-ES_tradnl"/>
        </w:rPr>
      </w:pPr>
    </w:p>
    <w:p w14:paraId="38329A13" w14:textId="27594E37" w:rsidR="00B65466" w:rsidRPr="00CF1B34" w:rsidRDefault="00C7373E"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D</w:t>
      </w:r>
    </w:p>
    <w:p w14:paraId="281A4F67" w14:textId="167C5C87" w:rsidR="00B75E6A" w:rsidRPr="00CF1B34" w:rsidRDefault="00B75E6A" w:rsidP="0005621A">
      <w:pPr>
        <w:jc w:val="both"/>
        <w:rPr>
          <w:rFonts w:ascii="Arial" w:hAnsi="Arial" w:cs="Arial"/>
          <w:color w:val="1F3864" w:themeColor="accent1" w:themeShade="80"/>
          <w:sz w:val="22"/>
          <w:szCs w:val="22"/>
          <w:lang w:val="es-ES_tradnl"/>
        </w:rPr>
      </w:pPr>
    </w:p>
    <w:p w14:paraId="3BF65A98" w14:textId="74FE51DB" w:rsidR="00431A5D" w:rsidRPr="00CF1B34" w:rsidRDefault="00431A5D" w:rsidP="0005621A">
      <w:pPr>
        <w:jc w:val="both"/>
        <w:rPr>
          <w:rFonts w:ascii="Arial" w:hAnsi="Arial" w:cs="Arial"/>
          <w:color w:val="1F3864" w:themeColor="accent1" w:themeShade="80"/>
          <w:sz w:val="22"/>
          <w:szCs w:val="22"/>
          <w:lang w:val="es-ES_tradnl"/>
        </w:rPr>
      </w:pPr>
    </w:p>
    <w:p w14:paraId="52E73B8C" w14:textId="77777777" w:rsidR="00431A5D" w:rsidRPr="00CF1B34" w:rsidRDefault="00431A5D" w:rsidP="0005621A">
      <w:pPr>
        <w:pStyle w:val="Ttulo2"/>
        <w:shd w:val="clear" w:color="auto" w:fill="FFFFFF"/>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Dación en pago</w:t>
      </w:r>
    </w:p>
    <w:p w14:paraId="15438BBB" w14:textId="77777777" w:rsidR="00431A5D" w:rsidRPr="00CF1B34" w:rsidRDefault="00431A5D"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w:t>
      </w:r>
      <w:r w:rsidRPr="00CF1B34">
        <w:rPr>
          <w:rStyle w:val="Textoennegrita"/>
          <w:rFonts w:ascii="Arial" w:hAnsi="Arial" w:cs="Arial"/>
          <w:color w:val="191B1C"/>
          <w:sz w:val="22"/>
          <w:szCs w:val="22"/>
          <w:lang w:val="es-ES_tradnl"/>
        </w:rPr>
        <w:t>dación en pago</w:t>
      </w:r>
      <w:r w:rsidRPr="00CF1B34">
        <w:rPr>
          <w:rFonts w:ascii="Arial" w:hAnsi="Arial" w:cs="Arial"/>
          <w:color w:val="191B1C"/>
          <w:sz w:val="22"/>
          <w:szCs w:val="22"/>
          <w:lang w:val="es-ES_tradnl"/>
        </w:rPr>
        <w:t> consiste en entregar un bien para saldar una deuda. En el caos de las hipotecas, cuando una persona no puede hacer frente al pago de las cuotas, entrega la vivienda a cambio de cancelar el préstamo hipotecario. Es pagar la deuda con un bien en lugar de con dinero. Con este recurso, la entidad bancaria vende el inmueble al mejor postor en una subasta pública y de esta manera se cobra la deuda  La dación en pago apareció por primera vez en el RD 6/2012 donde se pueden consultar los requisitos que hay que cumplir para poder aplicar esta medida. Entre ellos, destaca la necesidad de que la situación económica del deudor sea muy precaria (lo que se denomina como umbral de exclusión). Además, debe cumplir con otros puntos: el deudor debe estar en situación de desempleo, no puede tener bienes para pagar la deuda y la cuota del préstamo hipotecario debe superar el 50% de los ingresos mensuales.</w:t>
      </w:r>
    </w:p>
    <w:p w14:paraId="5B543244" w14:textId="77777777" w:rsidR="00431A5D" w:rsidRPr="00CF1B34" w:rsidRDefault="00431A5D"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Unos años más tarde, con la llegada de la Ley 1/2013 se modificaron algunas de las condiciones. Esta ley se conoce por eso como la ley de la segunda oportunidad y permite solicitar permanecer en la vivienda en régimen de alquiler durante dos años siempre que se pague un 3% de la deuda como renta anual.</w:t>
      </w:r>
    </w:p>
    <w:p w14:paraId="4819306C" w14:textId="77777777" w:rsidR="00431A5D" w:rsidRPr="00CF1B34" w:rsidRDefault="00431A5D" w:rsidP="0005621A">
      <w:pPr>
        <w:pStyle w:val="Ttulo2"/>
        <w:shd w:val="clear" w:color="auto" w:fill="FFFFFF"/>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Ventajas de la dación en pago</w:t>
      </w:r>
    </w:p>
    <w:p w14:paraId="09637149" w14:textId="77777777" w:rsidR="00431A5D" w:rsidRPr="00CF1B34" w:rsidRDefault="00431A5D"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principal ventaja de la dación en pago es que se </w:t>
      </w:r>
      <w:r w:rsidRPr="00CF1B34">
        <w:rPr>
          <w:rStyle w:val="Textoennegrita"/>
          <w:rFonts w:ascii="Arial" w:hAnsi="Arial" w:cs="Arial"/>
          <w:color w:val="191B1C"/>
          <w:sz w:val="22"/>
          <w:szCs w:val="22"/>
          <w:lang w:val="es-ES_tradnl"/>
        </w:rPr>
        <w:t>evita la ejecución</w:t>
      </w:r>
      <w:r w:rsidRPr="00CF1B34">
        <w:rPr>
          <w:rFonts w:ascii="Arial" w:hAnsi="Arial" w:cs="Arial"/>
          <w:color w:val="191B1C"/>
          <w:sz w:val="22"/>
          <w:szCs w:val="22"/>
          <w:lang w:val="es-ES_tradnl"/>
        </w:rPr>
        <w:t xml:space="preserve"> cuando no se puede hacer frente al pago de la hipoteca. El deudor entrega la </w:t>
      </w:r>
      <w:proofErr w:type="gramStart"/>
      <w:r w:rsidRPr="00CF1B34">
        <w:rPr>
          <w:rFonts w:ascii="Arial" w:hAnsi="Arial" w:cs="Arial"/>
          <w:color w:val="191B1C"/>
          <w:sz w:val="22"/>
          <w:szCs w:val="22"/>
          <w:lang w:val="es-ES_tradnl"/>
        </w:rPr>
        <w:t>vivienda</w:t>
      </w:r>
      <w:proofErr w:type="gramEnd"/>
      <w:r w:rsidRPr="00CF1B34">
        <w:rPr>
          <w:rFonts w:ascii="Arial" w:hAnsi="Arial" w:cs="Arial"/>
          <w:color w:val="191B1C"/>
          <w:sz w:val="22"/>
          <w:szCs w:val="22"/>
          <w:lang w:val="es-ES_tradnl"/>
        </w:rPr>
        <w:t xml:space="preserve"> pero no tiene que abonar los intereses de demora ni someterse a un embargo. En el caso de la entidad, la ventaja reside en que se ahorra los costes derivados de la ejecución de embargo y consigue la vivienda en menos tiempo.</w:t>
      </w:r>
    </w:p>
    <w:p w14:paraId="4FBBD153" w14:textId="77777777" w:rsidR="00431A5D" w:rsidRPr="00CF1B34" w:rsidRDefault="00431A5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 xml:space="preserve">La dación en pago no se obligatoria según la ley </w:t>
      </w:r>
      <w:proofErr w:type="gramStart"/>
      <w:r w:rsidRPr="00CF1B34">
        <w:rPr>
          <w:rFonts w:ascii="Arial" w:hAnsi="Arial" w:cs="Arial"/>
          <w:color w:val="191B1C"/>
          <w:sz w:val="22"/>
          <w:szCs w:val="22"/>
          <w:lang w:val="es-ES_tradnl"/>
        </w:rPr>
        <w:t>hipotecaria</w:t>
      </w:r>
      <w:proofErr w:type="gramEnd"/>
      <w:r w:rsidRPr="00CF1B34">
        <w:rPr>
          <w:rFonts w:ascii="Arial" w:hAnsi="Arial" w:cs="Arial"/>
          <w:color w:val="191B1C"/>
          <w:sz w:val="22"/>
          <w:szCs w:val="22"/>
          <w:lang w:val="es-ES_tradnl"/>
        </w:rPr>
        <w:t xml:space="preserve"> sino que se trata de un acuerdo de la entidad bancaria y el cliente.</w:t>
      </w:r>
    </w:p>
    <w:p w14:paraId="11881732" w14:textId="77777777" w:rsidR="00431A5D" w:rsidRPr="00CF1B34" w:rsidRDefault="00431A5D"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DAX</w:t>
      </w:r>
    </w:p>
    <w:p w14:paraId="2CEE8B84" w14:textId="50185F3F" w:rsidR="00431A5D" w:rsidRPr="00CF1B34" w:rsidRDefault="00431A5D" w:rsidP="0005621A">
      <w:pPr>
        <w:ind w:left="708"/>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índice DAX</w:t>
      </w:r>
      <w:r w:rsidR="003F5238" w:rsidRPr="00CF1B34">
        <w:rPr>
          <w:rFonts w:ascii="Arial" w:hAnsi="Arial" w:cs="Arial"/>
          <w:sz w:val="22"/>
          <w:szCs w:val="22"/>
          <w:lang w:val="es-ES_tradnl"/>
        </w:rPr>
        <w:t xml:space="preserve"> </w:t>
      </w:r>
      <w:r w:rsidRPr="00CF1B34">
        <w:rPr>
          <w:rFonts w:ascii="Arial" w:hAnsi="Arial" w:cs="Arial"/>
          <w:sz w:val="22"/>
          <w:szCs w:val="22"/>
          <w:lang w:val="es-ES_tradnl"/>
        </w:rPr>
        <w:t xml:space="preserve">(Deutscher Aktienindex, o Xetra DAX) es el índice de referencia de la Bolsa de Frankfurt, mercado secundario en el que se negocian acciones y valores con derecho de suscripción o adquisición. Mide la evolución de las 40 empresas alemanas más importantes en cuanto a volumen de negociación y capitalización bursátil. Su cotización es una de las más seguidas a nivel europeo,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de hecho, probablemente sea el índice europeo con más éxito del mundo, junto con el EuroStoxx 50, siendo ambos la referencia en cuanto a salud y desempeño de la economía europea.</w:t>
      </w:r>
    </w:p>
    <w:p w14:paraId="7E6967C2" w14:textId="77777777" w:rsidR="00431A5D" w:rsidRPr="00CF1B34" w:rsidRDefault="00431A5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DAX se creó en 1988 con un valor de 1.163 puntos, y las empresas que lo componen representan alrededor del 80% de la capitalización bursátil agregada de todos los valores negociados en la Bolsa de Frankfurt, y en el podemos encontrar compañías como Adidas, Bayer, Porsche, Siemens o Volkswagen, entre otras.</w:t>
      </w:r>
    </w:p>
    <w:p w14:paraId="2CBE7E0E" w14:textId="77777777" w:rsidR="00431A5D" w:rsidRPr="00CF1B34" w:rsidRDefault="00431A5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El DAX es un índice que reinvierte los dividendos, y esto quiere decir que en su cálculo no se descuenta cuando una compañía abona un dividendo, sino que este se tiene en cuenta para el recálculo del índice,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por tanto, no refleja la caída que le correspondería por la bajada en la cotización de la compañía en cuestión.</w:t>
      </w:r>
    </w:p>
    <w:p w14:paraId="09DA39D1" w14:textId="77777777" w:rsidR="00431A5D" w:rsidRPr="00CF1B34" w:rsidRDefault="00431A5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La cotización se obtiene calculando la media aritmética ponderada de las capitalizaciones de sus acciones, y teniendo en cuenta solo el capital flotante y ninguno de sus 40 componentes puede pesar más del 10% en el total del índice. Además, como decíamos, </w:t>
      </w:r>
      <w:r w:rsidRPr="00CF1B34">
        <w:rPr>
          <w:rFonts w:ascii="Arial" w:hAnsi="Arial" w:cs="Arial"/>
          <w:sz w:val="22"/>
          <w:szCs w:val="22"/>
          <w:lang w:val="es-ES_tradnl"/>
        </w:rPr>
        <w:lastRenderedPageBreak/>
        <w:t>este índice refleja los dividendos de las empresas en su precio, lo que ayuda a ver el retorno real de este índice a largo plazo.</w:t>
      </w:r>
    </w:p>
    <w:p w14:paraId="5D681FBC"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Dealer</w:t>
      </w:r>
    </w:p>
    <w:p w14:paraId="7E964C94"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 intermediario que, además de comprar y vender por cuenta de sus clientes (como el broker), está autorizado a contratar operaciones por cuenta propia.</w:t>
      </w:r>
    </w:p>
    <w:p w14:paraId="403DA89F" w14:textId="3A72A394" w:rsidR="00493D99" w:rsidRPr="00CF1B34" w:rsidRDefault="00493D9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Debito </w:t>
      </w:r>
    </w:p>
    <w:p w14:paraId="078E618D" w14:textId="53FBBBAA" w:rsidR="00493D99" w:rsidRPr="00CF1B34" w:rsidRDefault="00493D99"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1F3864" w:themeColor="accent1" w:themeShade="80"/>
          <w:sz w:val="22"/>
          <w:szCs w:val="22"/>
          <w:lang w:val="es-ES_tradnl"/>
        </w:rPr>
        <w:t>Asiento contable que implica una disminución en las cuentas del activo o un incremento en las de pasivo.</w:t>
      </w:r>
    </w:p>
    <w:p w14:paraId="6704CF70" w14:textId="4F1C30F1"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Defensor del cliente</w:t>
      </w:r>
    </w:p>
    <w:p w14:paraId="3E96D753" w14:textId="75A2F405"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Figura nombrada por una o varias entidades agrupadas (entidades que prestan servicios de inversión), cuya función consiste en atender las quejas de los inversores, asesorarles sobre el alcance de sus derechos y promover el cumplimiento de la normativa y de las buenas prácticas financieras. No es obligatorio para las entidades disponer de esta figura (sí lo es el Servicio de Atención al Cliente), pero en caso de que se designe, sus resoluciones favorables a los inversores son vinculantes para la entidad reclamada. </w:t>
      </w:r>
      <w:hyperlink r:id="rId218" w:tgtFrame="_self" w:history="1">
        <w:r w:rsidRPr="00CF1B34">
          <w:rPr>
            <w:rFonts w:ascii="Arial" w:hAnsi="Arial" w:cs="Arial"/>
            <w:b/>
            <w:bCs/>
            <w:color w:val="2F5496" w:themeColor="accent1" w:themeShade="BF"/>
            <w:sz w:val="22"/>
            <w:szCs w:val="22"/>
            <w:u w:val="single"/>
            <w:lang w:val="es-ES_tradnl"/>
          </w:rPr>
          <w:t>Ver servicio de atención al cliente</w:t>
        </w:r>
      </w:hyperlink>
      <w:r w:rsidRPr="00CF1B34">
        <w:rPr>
          <w:rFonts w:ascii="Arial" w:hAnsi="Arial" w:cs="Arial"/>
          <w:color w:val="2F5496" w:themeColor="accent1" w:themeShade="BF"/>
          <w:sz w:val="22"/>
          <w:szCs w:val="22"/>
          <w:lang w:val="es-ES_tradnl"/>
        </w:rPr>
        <w:t>.</w:t>
      </w:r>
      <w:r w:rsidR="005B242C" w:rsidRPr="00CF1B34">
        <w:rPr>
          <w:rFonts w:ascii="Arial" w:hAnsi="Arial" w:cs="Arial"/>
          <w:color w:val="2F5496" w:themeColor="accent1" w:themeShade="BF"/>
          <w:sz w:val="22"/>
          <w:szCs w:val="22"/>
          <w:lang w:val="es-ES_tradnl"/>
        </w:rPr>
        <w:t xml:space="preserve"> </w:t>
      </w:r>
    </w:p>
    <w:p w14:paraId="3BCF6A9D"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Déficit público </w:t>
      </w:r>
    </w:p>
    <w:p w14:paraId="1F39CC40"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Magnitud que representa un saldo negativo entre los ingresos y los gastos que registra una administración pública a lo largo de un periodo de tiempo.</w:t>
      </w:r>
    </w:p>
    <w:p w14:paraId="075D641B"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Deflación</w:t>
      </w:r>
    </w:p>
    <w:p w14:paraId="036ED6CE" w14:textId="3F44FA02" w:rsidR="003F5238"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Proceso de disminución de precios en un país, que tiene carácter sostenido (se mantiene a lo largo de un periodo de tiempo) y generalizado (afecta a un número significativo de bienes y servicios). Es el fenómeno contrario a la inflación.</w:t>
      </w:r>
    </w:p>
    <w:p w14:paraId="46270CBD"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Delegación del voto </w:t>
      </w:r>
    </w:p>
    <w:p w14:paraId="63209622"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Procedimiento por el que un accionista que no pueda asistir personalmente a una Junta General de Accionistas o no posea el número mínimo de acciones requerido, designa a otros accionistas, terceras personas, consejeros o al Presidente del Consejo de Administración para que le represente y ejerza en su lugar el derecho al voto. La delegación se puede realizar por escrito o por medios telemáticos (si así lo prevén los estatutos de la sociedad). </w:t>
      </w:r>
    </w:p>
    <w:p w14:paraId="2DED24CF" w14:textId="49CADB52" w:rsidR="005B242C" w:rsidRPr="00CF1B34" w:rsidRDefault="005B24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Demanda</w:t>
      </w:r>
    </w:p>
    <w:p w14:paraId="140AFB8E" w14:textId="77777777" w:rsidR="003C2E8C" w:rsidRPr="00CF1B34" w:rsidRDefault="003C2E8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Asi se expresa la intención de compra de los inversores, cuando la demanda supera la oferta los precios suben.</w:t>
      </w:r>
    </w:p>
    <w:p w14:paraId="777F6A9C" w14:textId="3A87DB24" w:rsidR="005B242C" w:rsidRPr="00CF1B34" w:rsidRDefault="005B24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Demandado </w:t>
      </w:r>
    </w:p>
    <w:p w14:paraId="26A5230D" w14:textId="77777777" w:rsidR="003C2E8C" w:rsidRPr="00CF1B34" w:rsidRDefault="003C2E8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Calificación dada a un desequilibrio tal entre la oferta y la demanda que impide que el titulo pueda cotizarse.</w:t>
      </w:r>
    </w:p>
    <w:p w14:paraId="62AA1EDC" w14:textId="77777777" w:rsidR="00282FB0" w:rsidRPr="00CF1B34" w:rsidRDefault="00282FB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Depositario de IIC</w:t>
      </w:r>
    </w:p>
    <w:p w14:paraId="336EC4F3" w14:textId="77777777" w:rsidR="00282FB0" w:rsidRPr="00CF1B34" w:rsidRDefault="00282FB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Bancos, cajas de ahorros u otras entidades financieras que asumen la custodia de los valores, del efectivo y, en general, de los activos objeto de las inversiones de las instituciones de inversión colectiva. Entre otras funciones, les corresponde la vigilancia de la actuación de la sociedad gestora. Los depositarios deben estar autorizados por la CNMV e inscritos en el correspondiente registro público. </w:t>
      </w:r>
    </w:p>
    <w:p w14:paraId="2B2B3C9F" w14:textId="5B981A21" w:rsidR="005B242C" w:rsidRPr="00CF1B34" w:rsidRDefault="005B24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Deposito </w:t>
      </w:r>
    </w:p>
    <w:p w14:paraId="37FA7988" w14:textId="1EFF4CE5" w:rsidR="00EE03A5" w:rsidRPr="00CF1B34" w:rsidRDefault="003C2E8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Entrega de garantía sobre el MEFF. Equivale. A una parte del compromiso. En el mercado de opciones, toda operación de venta inicial implica un deposito </w:t>
      </w:r>
      <w:r w:rsidR="0099592A" w:rsidRPr="00CF1B34">
        <w:rPr>
          <w:rFonts w:ascii="Arial" w:hAnsi="Arial" w:cs="Arial"/>
          <w:color w:val="000000" w:themeColor="text1"/>
          <w:sz w:val="22"/>
          <w:szCs w:val="22"/>
          <w:lang w:val="es-ES_tradnl"/>
        </w:rPr>
        <w:t>correspondiente a la te</w:t>
      </w:r>
      <w:r w:rsidR="00DD4A41" w:rsidRPr="00CF1B34">
        <w:rPr>
          <w:rFonts w:ascii="Arial" w:hAnsi="Arial" w:cs="Arial"/>
          <w:color w:val="000000" w:themeColor="text1"/>
          <w:sz w:val="22"/>
          <w:szCs w:val="22"/>
          <w:lang w:val="es-ES_tradnl"/>
        </w:rPr>
        <w:t>ó</w:t>
      </w:r>
      <w:r w:rsidR="0099592A" w:rsidRPr="00CF1B34">
        <w:rPr>
          <w:rFonts w:ascii="Arial" w:hAnsi="Arial" w:cs="Arial"/>
          <w:color w:val="000000" w:themeColor="text1"/>
          <w:sz w:val="22"/>
          <w:szCs w:val="22"/>
          <w:lang w:val="es-ES_tradnl"/>
        </w:rPr>
        <w:t>rica perdida máxima producida por esta venta. Esta integrado por especies y por productos financieros.</w:t>
      </w:r>
    </w:p>
    <w:p w14:paraId="170DCD66" w14:textId="77777777" w:rsidR="00282FB0" w:rsidRPr="00CF1B34" w:rsidRDefault="00282FB0"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Depósito a la vista</w:t>
      </w:r>
    </w:p>
    <w:p w14:paraId="078D7AA1" w14:textId="77777777" w:rsidR="00282FB0" w:rsidRPr="00CF1B34" w:rsidRDefault="00282FB0" w:rsidP="0005621A">
      <w:pPr>
        <w:ind w:left="708"/>
        <w:jc w:val="both"/>
        <w:rPr>
          <w:rFonts w:ascii="Arial" w:hAnsi="Arial" w:cs="Arial"/>
          <w:sz w:val="22"/>
          <w:szCs w:val="22"/>
          <w:lang w:val="es-ES_tradnl"/>
        </w:rPr>
      </w:pPr>
      <w:r w:rsidRPr="00CF1B34">
        <w:rPr>
          <w:rFonts w:ascii="Arial" w:hAnsi="Arial" w:cs="Arial"/>
          <w:sz w:val="22"/>
          <w:szCs w:val="22"/>
          <w:lang w:val="es-ES_tradnl"/>
        </w:rPr>
        <w:t xml:space="preserve">Un </w:t>
      </w:r>
      <w:r w:rsidRPr="00CF1B34">
        <w:rPr>
          <w:rStyle w:val="Textoennegrita"/>
          <w:rFonts w:ascii="Arial" w:hAnsi="Arial" w:cs="Arial"/>
          <w:sz w:val="22"/>
          <w:szCs w:val="22"/>
          <w:lang w:val="es-ES_tradnl"/>
        </w:rPr>
        <w:t>depósito a la vista</w:t>
      </w:r>
      <w:r w:rsidRPr="00CF1B34">
        <w:rPr>
          <w:rFonts w:ascii="Arial" w:hAnsi="Arial" w:cs="Arial"/>
          <w:sz w:val="22"/>
          <w:szCs w:val="22"/>
          <w:lang w:val="es-ES_tradnl"/>
        </w:rPr>
        <w:t>, también conocido como </w:t>
      </w:r>
      <w:hyperlink r:id="rId219" w:tooltip="cuenta corriente o cuenta bancaria" w:history="1">
        <w:r w:rsidRPr="00CF1B34">
          <w:rPr>
            <w:rStyle w:val="Hipervnculo"/>
            <w:rFonts w:ascii="Arial" w:hAnsi="Arial" w:cs="Arial"/>
            <w:color w:val="2F5496" w:themeColor="accent1" w:themeShade="BF"/>
            <w:sz w:val="22"/>
            <w:szCs w:val="22"/>
            <w:lang w:val="es-ES_tradnl"/>
          </w:rPr>
          <w:t>cuenta corriente o cuenta bancaria</w:t>
        </w:r>
      </w:hyperlink>
      <w:r w:rsidRPr="00CF1B34">
        <w:rPr>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es un instrumento financiero que las entidades ofrecen a sus clientes, permitiéndoles ingresar sus depósitos, guardando y administrando así su dinero: operar, retirar, transferir parte de este en cualquier momento sin tener que avisar al banco, etc.</w:t>
      </w:r>
    </w:p>
    <w:p w14:paraId="59A62B48" w14:textId="77777777" w:rsidR="00282FB0" w:rsidRPr="00CF1B34" w:rsidRDefault="00282FB0"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Las </w:t>
      </w:r>
      <w:r w:rsidRPr="00CF1B34">
        <w:rPr>
          <w:rStyle w:val="Textoennegrita"/>
          <w:rFonts w:ascii="Arial" w:hAnsi="Arial" w:cs="Arial"/>
          <w:sz w:val="22"/>
          <w:szCs w:val="22"/>
          <w:lang w:val="es-ES_tradnl"/>
        </w:rPr>
        <w:t>cuentas bancarias</w:t>
      </w:r>
      <w:r w:rsidRPr="00CF1B34">
        <w:rPr>
          <w:rFonts w:ascii="Arial" w:hAnsi="Arial" w:cs="Arial"/>
          <w:sz w:val="22"/>
          <w:szCs w:val="22"/>
          <w:lang w:val="es-ES_tradnl"/>
        </w:rPr>
        <w:t> son depósitos de dinero que son utilizados como recurso operativo para poder llevar a cabo varios tipos de operaciones bancarias, como son el </w:t>
      </w:r>
      <w:r w:rsidRPr="00CF1B34">
        <w:rPr>
          <w:rStyle w:val="Textoennegrita"/>
          <w:rFonts w:ascii="Arial" w:hAnsi="Arial" w:cs="Arial"/>
          <w:sz w:val="22"/>
          <w:szCs w:val="22"/>
          <w:lang w:val="es-ES_tradnl"/>
        </w:rPr>
        <w:t>ingreso de la nómina</w:t>
      </w:r>
      <w:r w:rsidRPr="00CF1B34">
        <w:rPr>
          <w:rFonts w:ascii="Arial" w:hAnsi="Arial" w:cs="Arial"/>
          <w:sz w:val="22"/>
          <w:szCs w:val="22"/>
          <w:lang w:val="es-ES_tradnl"/>
        </w:rPr>
        <w:t>, el abono de recibos, la realización de domiciliaciones de otras entidades, el pago de préstamos, o la asociación de hipotecas, créditos, planes de pensiones y contratos…, entre otra serie de </w:t>
      </w:r>
      <w:r w:rsidRPr="00CF1B34">
        <w:rPr>
          <w:rStyle w:val="Textoennegrita"/>
          <w:rFonts w:ascii="Arial" w:hAnsi="Arial" w:cs="Arial"/>
          <w:sz w:val="22"/>
          <w:szCs w:val="22"/>
          <w:lang w:val="es-ES_tradnl"/>
        </w:rPr>
        <w:t>servicios financieros</w:t>
      </w:r>
      <w:r w:rsidRPr="00CF1B34">
        <w:rPr>
          <w:rFonts w:ascii="Arial" w:hAnsi="Arial" w:cs="Arial"/>
          <w:sz w:val="22"/>
          <w:szCs w:val="22"/>
          <w:lang w:val="es-ES_tradnl"/>
        </w:rPr>
        <w:t>. </w:t>
      </w:r>
    </w:p>
    <w:p w14:paraId="56D75D38" w14:textId="77777777" w:rsidR="00282FB0" w:rsidRPr="00CF1B34" w:rsidRDefault="00282FB0"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Por eso resultan una manera muy cómoda de afrontar los gastos del día a día, ya que el cliente puede retirar su dinero en cualquier momento. Además, las nuevas tecnologías han dado paso a la operativa online, que permite gestionar los depósitos desde el teléfono o el ordenador, en cualquier lugar y en todo momento.</w:t>
      </w:r>
    </w:p>
    <w:p w14:paraId="1F20150C" w14:textId="77777777" w:rsidR="00282FB0" w:rsidRPr="00CF1B34" w:rsidRDefault="00282FB0"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Los depósitos a la vista son una de las</w:t>
      </w:r>
      <w:r w:rsidRPr="00CF1B34">
        <w:rPr>
          <w:rStyle w:val="Textoennegrita"/>
          <w:rFonts w:ascii="Arial" w:hAnsi="Arial" w:cs="Arial"/>
          <w:sz w:val="22"/>
          <w:szCs w:val="22"/>
          <w:lang w:val="es-ES_tradnl"/>
        </w:rPr>
        <w:t> principales fuentes de financiación para las entidades financieras</w:t>
      </w:r>
      <w:r w:rsidRPr="00CF1B34">
        <w:rPr>
          <w:rFonts w:ascii="Arial" w:hAnsi="Arial" w:cs="Arial"/>
          <w:sz w:val="22"/>
          <w:szCs w:val="22"/>
          <w:lang w:val="es-ES_tradnl"/>
        </w:rPr>
        <w:t>, sobre todo si se trata de cuentas corrientes. El motivo es que son cuentas transaccionales (a diferencia de las cuentas de ahorro) cuyos movimientos se producen dentro y fuera de la entidad, de forma que las salidas de dinero que realiza un cliente se compensan con las entradas que realice otro, según van llegando a la entidad las transacciones de terceros bancos y clientes.</w:t>
      </w:r>
    </w:p>
    <w:p w14:paraId="2CD42FD3" w14:textId="77777777" w:rsidR="00282FB0" w:rsidRPr="00CF1B34" w:rsidRDefault="00282FB0" w:rsidP="0005621A">
      <w:pPr>
        <w:pStyle w:val="Ttulo2"/>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Características generales de las cuentas bancarias o depósitos</w:t>
      </w:r>
    </w:p>
    <w:p w14:paraId="633B698C" w14:textId="77777777" w:rsidR="00282FB0" w:rsidRPr="00CF1B34" w:rsidRDefault="00282FB0" w:rsidP="0005621A">
      <w:pPr>
        <w:pStyle w:val="NormalWeb"/>
        <w:spacing w:before="0" w:beforeAutospacing="0"/>
        <w:ind w:left="708" w:firstLine="12"/>
        <w:jc w:val="both"/>
        <w:rPr>
          <w:rFonts w:ascii="Arial" w:hAnsi="Arial" w:cs="Arial"/>
          <w:sz w:val="22"/>
          <w:szCs w:val="22"/>
          <w:lang w:val="es-ES_tradnl"/>
        </w:rPr>
      </w:pPr>
      <w:r w:rsidRPr="00CF1B34">
        <w:rPr>
          <w:rFonts w:ascii="Arial" w:hAnsi="Arial" w:cs="Arial"/>
          <w:sz w:val="22"/>
          <w:szCs w:val="22"/>
          <w:lang w:val="es-ES_tradnl"/>
        </w:rPr>
        <w:t>Estos productos se caracterizan por:</w:t>
      </w:r>
    </w:p>
    <w:p w14:paraId="794D0D07" w14:textId="77777777" w:rsidR="00282FB0" w:rsidRPr="00CF1B34" w:rsidRDefault="00282FB0" w:rsidP="0005621A">
      <w:pPr>
        <w:numPr>
          <w:ilvl w:val="0"/>
          <w:numId w:val="6"/>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Poder contratarse de forma fácil y segura. </w:t>
      </w:r>
    </w:p>
    <w:p w14:paraId="1BF9B856" w14:textId="77777777" w:rsidR="00282FB0" w:rsidRPr="00CF1B34" w:rsidRDefault="00282FB0" w:rsidP="0005621A">
      <w:pPr>
        <w:numPr>
          <w:ilvl w:val="0"/>
          <w:numId w:val="6"/>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Ser un importante recurso de ahorro a corto o largo plazo.</w:t>
      </w:r>
    </w:p>
    <w:p w14:paraId="56217935" w14:textId="77777777" w:rsidR="00282FB0" w:rsidRPr="00CF1B34" w:rsidRDefault="00282FB0" w:rsidP="0005621A">
      <w:pPr>
        <w:numPr>
          <w:ilvl w:val="0"/>
          <w:numId w:val="6"/>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Permitir centralizar el pago de obligaciones financieras desde un solo lugar.</w:t>
      </w:r>
    </w:p>
    <w:p w14:paraId="5D33C869" w14:textId="77777777" w:rsidR="00282FB0" w:rsidRPr="00CF1B34" w:rsidRDefault="00282FB0" w:rsidP="0005621A">
      <w:pPr>
        <w:numPr>
          <w:ilvl w:val="0"/>
          <w:numId w:val="6"/>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Disfrutar de beneficios extra o de liquidez, aunque siempre será en función de la entidad bancaria donde se tenga asociada dicha cuenta, así como de las características concretas del depósito.</w:t>
      </w:r>
    </w:p>
    <w:p w14:paraId="269C3C0A" w14:textId="77777777" w:rsidR="00282FB0" w:rsidRPr="00CF1B34" w:rsidRDefault="00282FB0" w:rsidP="0005621A">
      <w:pPr>
        <w:numPr>
          <w:ilvl w:val="0"/>
          <w:numId w:val="6"/>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t>Llevar asociadas tarjetas de crédito, de débito gratis o comisiones exclusivas y otros beneficios adicionales para el cliente.</w:t>
      </w:r>
    </w:p>
    <w:p w14:paraId="52B80195" w14:textId="77777777" w:rsidR="00282FB0" w:rsidRPr="00CF1B34" w:rsidRDefault="00282FB0" w:rsidP="0005621A">
      <w:pPr>
        <w:numPr>
          <w:ilvl w:val="0"/>
          <w:numId w:val="6"/>
        </w:numPr>
        <w:spacing w:before="100" w:beforeAutospacing="1" w:after="240"/>
        <w:ind w:right="450"/>
        <w:jc w:val="both"/>
        <w:rPr>
          <w:rFonts w:ascii="Arial" w:hAnsi="Arial" w:cs="Arial"/>
          <w:sz w:val="22"/>
          <w:szCs w:val="22"/>
          <w:lang w:val="es-ES_tradnl"/>
        </w:rPr>
      </w:pPr>
      <w:r w:rsidRPr="00CF1B34">
        <w:rPr>
          <w:rFonts w:ascii="Arial" w:hAnsi="Arial" w:cs="Arial"/>
          <w:sz w:val="22"/>
          <w:szCs w:val="22"/>
          <w:lang w:val="es-ES_tradnl"/>
        </w:rPr>
        <w:lastRenderedPageBreak/>
        <w:t xml:space="preserve">Disfrutar de ventajas muy competitivas por el hecho de </w:t>
      </w:r>
      <w:hyperlink r:id="rId220" w:history="1">
        <w:r w:rsidRPr="00CF1B34">
          <w:rPr>
            <w:rStyle w:val="Hipervnculo"/>
            <w:rFonts w:ascii="Arial" w:hAnsi="Arial" w:cs="Arial"/>
            <w:color w:val="2F5496" w:themeColor="accent1" w:themeShade="BF"/>
            <w:sz w:val="22"/>
            <w:szCs w:val="22"/>
            <w:lang w:val="es-ES_tradnl"/>
          </w:rPr>
          <w:t>domiciliar la nómina</w:t>
        </w:r>
      </w:hyperlink>
      <w:r w:rsidRPr="00CF1B34">
        <w:rPr>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 xml:space="preserve">En este caso, el producto recibe el nombre de </w:t>
      </w:r>
      <w:r w:rsidRPr="00CF1B34">
        <w:rPr>
          <w:rStyle w:val="Textoennegrita"/>
          <w:rFonts w:ascii="Arial" w:hAnsi="Arial" w:cs="Arial"/>
          <w:sz w:val="22"/>
          <w:szCs w:val="22"/>
          <w:lang w:val="es-ES_tradnl"/>
        </w:rPr>
        <w:t>cuenta nómina</w:t>
      </w:r>
      <w:r w:rsidRPr="00CF1B34">
        <w:rPr>
          <w:rFonts w:ascii="Arial" w:hAnsi="Arial" w:cs="Arial"/>
          <w:sz w:val="22"/>
          <w:szCs w:val="22"/>
          <w:lang w:val="es-ES_tradnl"/>
        </w:rPr>
        <w:t>. Es una opción muy cómoda en la que nuestro salario va directo a este depósito, y domiciliando todos nuestros gastos periódicos de forma automática (la luz, el agua, el teléfono), no tendremos la necesidad de acordarnos cada mes.</w:t>
      </w:r>
    </w:p>
    <w:p w14:paraId="7C83FA3F" w14:textId="77777777" w:rsidR="00282FB0" w:rsidRPr="00CF1B34" w:rsidRDefault="00282FB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Poder tener uno o varios titulares, por lo que se convierte en una opción perfecta si se vive en pareja o si se comparte piso, ya que permite unificar en una misma cuenta los gastos comunes asociados al pago de la hipoteca y al día a día: los recibos de la luz, el agua, el gas, la comunidad, etc.</w:t>
      </w:r>
    </w:p>
    <w:p w14:paraId="02A626C5" w14:textId="79A74810" w:rsidR="00EE03A5" w:rsidRPr="00CF1B34" w:rsidRDefault="00EE03A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Deposito a plazo </w:t>
      </w:r>
    </w:p>
    <w:p w14:paraId="3E194E00" w14:textId="1AF84C71" w:rsidR="00EE03A5" w:rsidRPr="00CF1B34" w:rsidRDefault="00EE03A5"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No solo </w:t>
      </w:r>
      <w:hyperlink r:id="rId221" w:history="1"/>
      <w:r w:rsidRPr="00CF1B34">
        <w:rPr>
          <w:rFonts w:ascii="Arial" w:hAnsi="Arial" w:cs="Arial"/>
          <w:color w:val="333333"/>
          <w:sz w:val="22"/>
          <w:szCs w:val="22"/>
          <w:lang w:val="es-ES_tradnl"/>
        </w:rPr>
        <w:t xml:space="preserve"> las cuentas remuneradas son una buena opción para conseguir algunos euros sin correr riesgos, los depósitos a plazo son los productos más tradicionales del mercado que permiten rentabilizar nuestro </w:t>
      </w:r>
      <w:r w:rsidRPr="00CF1B34">
        <w:rPr>
          <w:rFonts w:ascii="Arial" w:hAnsi="Arial" w:cs="Arial"/>
          <w:color w:val="000000" w:themeColor="text1"/>
          <w:sz w:val="22"/>
          <w:szCs w:val="22"/>
          <w:lang w:val="es-ES_tradnl"/>
        </w:rPr>
        <w:t>dinero.</w:t>
      </w:r>
    </w:p>
    <w:p w14:paraId="7D2C3BE3" w14:textId="77777777" w:rsidR="00EE03A5" w:rsidRPr="00CF1B34" w:rsidRDefault="00EE03A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A la hora de contratar un </w:t>
      </w:r>
      <w:r w:rsidRPr="00CF1B34">
        <w:rPr>
          <w:rStyle w:val="Textoennegrita"/>
          <w:rFonts w:ascii="Arial" w:hAnsi="Arial" w:cs="Arial"/>
          <w:color w:val="333333"/>
          <w:sz w:val="22"/>
          <w:szCs w:val="22"/>
          <w:shd w:val="clear" w:color="auto" w:fill="FFFFFF"/>
          <w:lang w:val="es-ES_tradnl"/>
        </w:rPr>
        <w:t>depósito a plazo</w:t>
      </w:r>
      <w:r w:rsidRPr="00CF1B34">
        <w:rPr>
          <w:rFonts w:ascii="Arial" w:hAnsi="Arial" w:cs="Arial"/>
          <w:color w:val="333333"/>
          <w:sz w:val="22"/>
          <w:szCs w:val="22"/>
          <w:shd w:val="clear" w:color="auto" w:fill="FFFFFF"/>
          <w:lang w:val="es-ES_tradnl"/>
        </w:rPr>
        <w:t xml:space="preserve">, debemos tener en cuenta </w:t>
      </w:r>
      <w:proofErr w:type="gramStart"/>
      <w:r w:rsidRPr="00CF1B34">
        <w:rPr>
          <w:rFonts w:ascii="Arial" w:hAnsi="Arial" w:cs="Arial"/>
          <w:color w:val="333333"/>
          <w:sz w:val="22"/>
          <w:szCs w:val="22"/>
          <w:shd w:val="clear" w:color="auto" w:fill="FFFFFF"/>
          <w:lang w:val="es-ES_tradnl"/>
        </w:rPr>
        <w:t>que</w:t>
      </w:r>
      <w:proofErr w:type="gramEnd"/>
      <w:r w:rsidRPr="00CF1B34">
        <w:rPr>
          <w:rFonts w:ascii="Arial" w:hAnsi="Arial" w:cs="Arial"/>
          <w:color w:val="333333"/>
          <w:sz w:val="22"/>
          <w:szCs w:val="22"/>
          <w:shd w:val="clear" w:color="auto" w:fill="FFFFFF"/>
          <w:lang w:val="es-ES_tradnl"/>
        </w:rPr>
        <w:t xml:space="preserve"> a diferencia de las cuentas remuneradas, </w:t>
      </w:r>
      <w:r w:rsidRPr="00CF1B34">
        <w:rPr>
          <w:rStyle w:val="Textoennegrita"/>
          <w:rFonts w:ascii="Arial" w:hAnsi="Arial" w:cs="Arial"/>
          <w:b w:val="0"/>
          <w:bCs w:val="0"/>
          <w:color w:val="333333"/>
          <w:sz w:val="22"/>
          <w:szCs w:val="22"/>
          <w:shd w:val="clear" w:color="auto" w:fill="FFFFFF"/>
          <w:lang w:val="es-ES_tradnl"/>
        </w:rPr>
        <w:t>suelen penalizar la cancelación anticipada</w:t>
      </w:r>
      <w:r w:rsidRPr="00CF1B34">
        <w:rPr>
          <w:rFonts w:ascii="Arial" w:hAnsi="Arial" w:cs="Arial"/>
          <w:color w:val="333333"/>
          <w:sz w:val="22"/>
          <w:szCs w:val="22"/>
          <w:shd w:val="clear" w:color="auto" w:fill="FFFFFF"/>
          <w:lang w:val="es-ES_tradnl"/>
        </w:rPr>
        <w:t>, y tienen un</w:t>
      </w:r>
      <w:r w:rsidRPr="00CF1B34">
        <w:rPr>
          <w:rStyle w:val="Textoennegrita"/>
          <w:rFonts w:ascii="Arial" w:hAnsi="Arial" w:cs="Arial"/>
          <w:color w:val="333333"/>
          <w:sz w:val="22"/>
          <w:szCs w:val="22"/>
          <w:shd w:val="clear" w:color="auto" w:fill="FFFFFF"/>
          <w:lang w:val="es-ES_tradnl"/>
        </w:rPr>
        <w:t xml:space="preserve"> </w:t>
      </w:r>
      <w:r w:rsidRPr="00CF1B34">
        <w:rPr>
          <w:rStyle w:val="Textoennegrita"/>
          <w:rFonts w:ascii="Arial" w:hAnsi="Arial" w:cs="Arial"/>
          <w:b w:val="0"/>
          <w:bCs w:val="0"/>
          <w:color w:val="333333"/>
          <w:sz w:val="22"/>
          <w:szCs w:val="22"/>
          <w:shd w:val="clear" w:color="auto" w:fill="FFFFFF"/>
          <w:lang w:val="es-ES_tradnl"/>
        </w:rPr>
        <w:t>fecha de vencimiento</w:t>
      </w:r>
      <w:r w:rsidRPr="00CF1B34">
        <w:rPr>
          <w:rFonts w:ascii="Arial" w:hAnsi="Arial" w:cs="Arial"/>
          <w:color w:val="333333"/>
          <w:sz w:val="22"/>
          <w:szCs w:val="22"/>
          <w:shd w:val="clear" w:color="auto" w:fill="FFFFFF"/>
          <w:lang w:val="es-ES_tradnl"/>
        </w:rPr>
        <w:t>, con la posibilidad o no de renovación</w:t>
      </w:r>
      <w:r w:rsidRPr="00CF1B34">
        <w:rPr>
          <w:rFonts w:ascii="Arial" w:hAnsi="Arial" w:cs="Arial"/>
          <w:color w:val="333333"/>
          <w:shd w:val="clear" w:color="auto" w:fill="FFFFFF"/>
          <w:lang w:val="es-ES_tradnl"/>
        </w:rPr>
        <w:t>.</w:t>
      </w:r>
    </w:p>
    <w:p w14:paraId="643C393E" w14:textId="6ABE31A7" w:rsidR="00282FB0" w:rsidRPr="00CF1B34" w:rsidRDefault="00282FB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Depósitos con tipo de </w:t>
      </w:r>
      <w:r w:rsidR="001F7E3B" w:rsidRPr="00CF1B34">
        <w:rPr>
          <w:rFonts w:ascii="Arial" w:hAnsi="Arial" w:cs="Arial"/>
          <w:b/>
          <w:bCs/>
          <w:color w:val="004773"/>
          <w:sz w:val="22"/>
          <w:szCs w:val="22"/>
          <w:lang w:val="es-ES_tradnl"/>
        </w:rPr>
        <w:t>interés</w:t>
      </w:r>
      <w:r w:rsidRPr="00CF1B34">
        <w:rPr>
          <w:rFonts w:ascii="Arial" w:hAnsi="Arial" w:cs="Arial"/>
          <w:b/>
          <w:bCs/>
          <w:color w:val="004773"/>
          <w:sz w:val="22"/>
          <w:szCs w:val="22"/>
          <w:lang w:val="es-ES_tradnl"/>
        </w:rPr>
        <w:t xml:space="preserve"> creciente</w:t>
      </w:r>
    </w:p>
    <w:p w14:paraId="4DCFA2AF" w14:textId="47177A5E" w:rsidR="001F7E3B" w:rsidRPr="00CF1B34" w:rsidRDefault="001F7E3B"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Los</w:t>
      </w:r>
      <w:r w:rsidR="00F50E35"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depósitos crecientes</w:t>
      </w:r>
      <w:r w:rsidR="00F50E35"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son otra de las opciones que ofrecen las entidades financieras en sus productos de ahorro. Esta modalidad, suele comercializarse a partir de un</w:t>
      </w:r>
      <w:r w:rsidR="00F50E35" w:rsidRPr="00CF1B34">
        <w:rPr>
          <w:rFonts w:ascii="Arial" w:hAnsi="Arial" w:cs="Arial"/>
          <w:color w:val="333333"/>
          <w:sz w:val="22"/>
          <w:szCs w:val="22"/>
          <w:lang w:val="es-ES_tradnl"/>
        </w:rPr>
        <w:t xml:space="preserve"> plazo de 12 meses</w:t>
      </w:r>
      <w:r w:rsidRPr="00CF1B34">
        <w:rPr>
          <w:rFonts w:ascii="Arial" w:hAnsi="Arial" w:cs="Arial"/>
          <w:color w:val="333333"/>
          <w:sz w:val="22"/>
          <w:szCs w:val="22"/>
          <w:lang w:val="es-ES_tradnl"/>
        </w:rPr>
        <w:t>, aunque la mayoría de las ofertas son a largo plazo, hasta unos 3 años.</w:t>
      </w:r>
    </w:p>
    <w:p w14:paraId="65EBDC9F" w14:textId="6F855CD0" w:rsidR="001F7E3B" w:rsidRPr="00CF1B34" w:rsidRDefault="001F7E3B" w:rsidP="0005621A">
      <w:pPr>
        <w:ind w:left="708"/>
        <w:jc w:val="both"/>
        <w:rPr>
          <w:rFonts w:ascii="Arial" w:hAnsi="Arial" w:cs="Arial"/>
          <w:sz w:val="22"/>
          <w:szCs w:val="22"/>
          <w:lang w:val="es-ES_tradnl"/>
        </w:rPr>
      </w:pPr>
      <w:r w:rsidRPr="00CF1B34">
        <w:rPr>
          <w:rFonts w:ascii="Arial" w:hAnsi="Arial" w:cs="Arial"/>
          <w:color w:val="333333"/>
          <w:sz w:val="22"/>
          <w:szCs w:val="22"/>
          <w:lang w:val="es-ES_tradnl"/>
        </w:rPr>
        <w:t xml:space="preserve">Estas imposiciones «pagan» un tipo de interés fijo, ya establecido a la hora de su contratación y garantizan la recuperación del 100% del capital invertido, aunque la liquidación de los intereses, suele variar según la entidad y el plazo de la imposición, </w:t>
      </w:r>
      <w:r w:rsidR="00F50E35" w:rsidRPr="00CF1B34">
        <w:rPr>
          <w:rFonts w:ascii="Arial" w:hAnsi="Arial" w:cs="Arial"/>
          <w:color w:val="333333"/>
          <w:sz w:val="22"/>
          <w:szCs w:val="22"/>
          <w:lang w:val="es-ES_tradnl"/>
        </w:rPr>
        <w:t xml:space="preserve">pudiendo </w:t>
      </w:r>
      <w:r w:rsidRPr="00CF1B34">
        <w:rPr>
          <w:rFonts w:ascii="Arial" w:hAnsi="Arial" w:cs="Arial"/>
          <w:color w:val="333333"/>
          <w:sz w:val="22"/>
          <w:szCs w:val="22"/>
          <w:lang w:val="es-ES_tradnl"/>
        </w:rPr>
        <w:t xml:space="preserve"> ser trimestral, semestral o a vencimiento. </w:t>
      </w:r>
      <w:r w:rsidRPr="00CF1B34">
        <w:rPr>
          <w:rFonts w:ascii="Arial" w:hAnsi="Arial" w:cs="Arial"/>
          <w:color w:val="333333"/>
          <w:sz w:val="22"/>
          <w:szCs w:val="22"/>
          <w:shd w:val="clear" w:color="auto" w:fill="FFFFFF"/>
          <w:lang w:val="es-ES_tradnl"/>
        </w:rPr>
        <w:t xml:space="preserve">Es importante que el cliente sepa que estos depósitos están diseñados para los usuarios que no deberán rescatar el </w:t>
      </w:r>
      <w:r w:rsidR="00F50E35" w:rsidRPr="00CF1B34">
        <w:rPr>
          <w:rFonts w:ascii="Arial" w:hAnsi="Arial" w:cs="Arial"/>
          <w:sz w:val="22"/>
          <w:szCs w:val="22"/>
          <w:lang w:val="es-ES_tradnl"/>
        </w:rPr>
        <w:t xml:space="preserve">dinero </w:t>
      </w:r>
      <w:r w:rsidRPr="00CF1B34">
        <w:rPr>
          <w:rFonts w:ascii="Arial" w:hAnsi="Arial" w:cs="Arial"/>
          <w:color w:val="333333"/>
          <w:sz w:val="22"/>
          <w:szCs w:val="22"/>
          <w:shd w:val="clear" w:color="auto" w:fill="FFFFFF"/>
          <w:lang w:val="es-ES_tradnl"/>
        </w:rPr>
        <w:t>antes de vencimiento ya que los mejores tipos aparecen al final de la vida del producto.</w:t>
      </w:r>
    </w:p>
    <w:p w14:paraId="57D5DEB2" w14:textId="77777777" w:rsidR="00F50E35" w:rsidRPr="00CF1B34" w:rsidRDefault="001F7E3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Otro de los puntos interesantes es el tema </w:t>
      </w:r>
      <w:r w:rsidRPr="00CF1B34">
        <w:rPr>
          <w:rFonts w:ascii="Arial" w:hAnsi="Arial" w:cs="Arial"/>
          <w:color w:val="000000" w:themeColor="text1"/>
          <w:sz w:val="22"/>
          <w:szCs w:val="22"/>
          <w:shd w:val="clear" w:color="auto" w:fill="FFFFFF"/>
          <w:lang w:val="es-ES_tradnl"/>
        </w:rPr>
        <w:t>de</w:t>
      </w:r>
      <w:r w:rsidR="00F50E35" w:rsidRPr="00CF1B34">
        <w:rPr>
          <w:rFonts w:ascii="Arial" w:hAnsi="Arial" w:cs="Arial"/>
          <w:color w:val="000000" w:themeColor="text1"/>
          <w:sz w:val="22"/>
          <w:szCs w:val="22"/>
          <w:shd w:val="clear" w:color="auto" w:fill="FFFFFF"/>
          <w:lang w:val="es-ES_tradnl"/>
        </w:rPr>
        <w:t xml:space="preserve"> </w:t>
      </w:r>
      <w:hyperlink r:id="rId222" w:history="1">
        <w:r w:rsidRPr="00CF1B34">
          <w:rPr>
            <w:rStyle w:val="Textoennegrita"/>
            <w:rFonts w:ascii="Arial" w:hAnsi="Arial" w:cs="Arial"/>
            <w:color w:val="000000" w:themeColor="text1"/>
            <w:sz w:val="22"/>
            <w:szCs w:val="22"/>
            <w:u w:val="single"/>
            <w:shd w:val="clear" w:color="auto" w:fill="FFFFFF"/>
            <w:lang w:val="es-ES_tradnl"/>
          </w:rPr>
          <w:t>las comisiones o penalizaciones por cancelación anticipada</w:t>
        </w:r>
      </w:hyperlink>
      <w:r w:rsidRPr="00CF1B34">
        <w:rPr>
          <w:rFonts w:ascii="Arial" w:hAnsi="Arial" w:cs="Arial"/>
          <w:color w:val="333333"/>
          <w:sz w:val="22"/>
          <w:szCs w:val="22"/>
          <w:shd w:val="clear" w:color="auto" w:fill="FFFFFF"/>
          <w:lang w:val="es-ES_tradnl"/>
        </w:rPr>
        <w:t>. Generalmente</w:t>
      </w:r>
      <w:r w:rsidR="00F50E35"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estos depósitos no suelen castigar la recuperación de los fondos antes de vencimiento</w:t>
      </w:r>
      <w:r w:rsidRPr="00CF1B34">
        <w:rPr>
          <w:rFonts w:ascii="Arial" w:hAnsi="Arial" w:cs="Arial"/>
          <w:color w:val="333333"/>
          <w:sz w:val="22"/>
          <w:szCs w:val="22"/>
          <w:shd w:val="clear" w:color="auto" w:fill="FFFFFF"/>
          <w:lang w:val="es-ES_tradnl"/>
        </w:rPr>
        <w:t xml:space="preserve">. Forman parte de la estrategia publicitaria de las entidades que intentan vendernos estos tipos de interés seductores de los períodos finales, </w:t>
      </w:r>
      <w:proofErr w:type="gramStart"/>
      <w:r w:rsidRPr="00CF1B34">
        <w:rPr>
          <w:rFonts w:ascii="Arial" w:hAnsi="Arial" w:cs="Arial"/>
          <w:color w:val="333333"/>
          <w:sz w:val="22"/>
          <w:szCs w:val="22"/>
          <w:shd w:val="clear" w:color="auto" w:fill="FFFFFF"/>
          <w:lang w:val="es-ES_tradnl"/>
        </w:rPr>
        <w:t>y</w:t>
      </w:r>
      <w:proofErr w:type="gramEnd"/>
      <w:r w:rsidRPr="00CF1B34">
        <w:rPr>
          <w:rFonts w:ascii="Arial" w:hAnsi="Arial" w:cs="Arial"/>
          <w:color w:val="333333"/>
          <w:sz w:val="22"/>
          <w:szCs w:val="22"/>
          <w:shd w:val="clear" w:color="auto" w:fill="FFFFFF"/>
          <w:lang w:val="es-ES_tradnl"/>
        </w:rPr>
        <w:t xml:space="preserve"> además, son un gancho para mantener cautivos a los clientes hasta el vencimiento del depósito</w:t>
      </w:r>
      <w:r w:rsidR="00F50E35" w:rsidRPr="00CF1B34">
        <w:rPr>
          <w:rFonts w:ascii="Arial" w:hAnsi="Arial" w:cs="Arial"/>
          <w:color w:val="333333"/>
          <w:sz w:val="22"/>
          <w:szCs w:val="22"/>
          <w:shd w:val="clear" w:color="auto" w:fill="FFFFFF"/>
          <w:lang w:val="es-ES_tradnl"/>
        </w:rPr>
        <w:t>.</w:t>
      </w:r>
    </w:p>
    <w:p w14:paraId="545E0711" w14:textId="5DBE141E" w:rsidR="005B242C" w:rsidRPr="00CF1B34" w:rsidRDefault="005B242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Deposito de garant</w:t>
      </w:r>
      <w:r w:rsidR="00DD4A41" w:rsidRPr="00CF1B34">
        <w:rPr>
          <w:rFonts w:ascii="Arial" w:hAnsi="Arial" w:cs="Arial"/>
          <w:b/>
          <w:bCs/>
          <w:color w:val="004773"/>
          <w:sz w:val="22"/>
          <w:szCs w:val="22"/>
          <w:lang w:val="es-ES_tradnl"/>
        </w:rPr>
        <w:t>í</w:t>
      </w:r>
      <w:r w:rsidRPr="00CF1B34">
        <w:rPr>
          <w:rFonts w:ascii="Arial" w:hAnsi="Arial" w:cs="Arial"/>
          <w:b/>
          <w:bCs/>
          <w:color w:val="004773"/>
          <w:sz w:val="22"/>
          <w:szCs w:val="22"/>
          <w:lang w:val="es-ES_tradnl"/>
        </w:rPr>
        <w:t>a</w:t>
      </w:r>
    </w:p>
    <w:p w14:paraId="79472289" w14:textId="5A29A0F6" w:rsidR="004A61DB" w:rsidRPr="00CF1B34" w:rsidRDefault="0099592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Cantidad de dinero que debe ser depositada por</w:t>
      </w:r>
      <w:r w:rsidR="004A61DB" w:rsidRPr="00CF1B34">
        <w:rPr>
          <w:rFonts w:ascii="Arial" w:hAnsi="Arial" w:cs="Arial"/>
          <w:color w:val="000000" w:themeColor="text1"/>
          <w:sz w:val="22"/>
          <w:szCs w:val="22"/>
          <w:lang w:val="es-ES_tradnl"/>
        </w:rPr>
        <w:t xml:space="preserve"> l</w:t>
      </w:r>
      <w:r w:rsidRPr="00CF1B34">
        <w:rPr>
          <w:rFonts w:ascii="Arial" w:hAnsi="Arial" w:cs="Arial"/>
          <w:color w:val="000000" w:themeColor="text1"/>
          <w:sz w:val="22"/>
          <w:szCs w:val="22"/>
          <w:lang w:val="es-ES_tradnl"/>
        </w:rPr>
        <w:t>os compradores</w:t>
      </w:r>
      <w:r w:rsidR="004A61DB" w:rsidRPr="00CF1B34">
        <w:rPr>
          <w:rFonts w:ascii="Arial" w:hAnsi="Arial" w:cs="Arial"/>
          <w:color w:val="000000" w:themeColor="text1"/>
          <w:sz w:val="22"/>
          <w:szCs w:val="22"/>
          <w:lang w:val="es-ES_tradnl"/>
        </w:rPr>
        <w:t xml:space="preserve"> y por los vendedores de contratos de futuros, y por los vendedores de opciones, como garantía del cumplimiento de sus respectivos compromisos. Estos depósitos esta remunerados a tipos de interés de mercado y se pueden realizar en met</w:t>
      </w:r>
      <w:r w:rsidR="00DD4A41" w:rsidRPr="00CF1B34">
        <w:rPr>
          <w:rFonts w:ascii="Arial" w:hAnsi="Arial" w:cs="Arial"/>
          <w:color w:val="000000" w:themeColor="text1"/>
          <w:sz w:val="22"/>
          <w:szCs w:val="22"/>
          <w:lang w:val="es-ES_tradnl"/>
        </w:rPr>
        <w:t>á</w:t>
      </w:r>
      <w:r w:rsidR="004A61DB" w:rsidRPr="00CF1B34">
        <w:rPr>
          <w:rFonts w:ascii="Arial" w:hAnsi="Arial" w:cs="Arial"/>
          <w:color w:val="000000" w:themeColor="text1"/>
          <w:sz w:val="22"/>
          <w:szCs w:val="22"/>
          <w:lang w:val="es-ES_tradnl"/>
        </w:rPr>
        <w:t>lico o, en alguna s bolsas de opciones, consignando títulos de Deuda Publica.</w:t>
      </w:r>
    </w:p>
    <w:p w14:paraId="548425CB" w14:textId="77777777" w:rsidR="00282FB0" w:rsidRPr="00CF1B34" w:rsidRDefault="00282FB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Depósito de valores</w:t>
      </w:r>
    </w:p>
    <w:p w14:paraId="6CAABD07" w14:textId="77777777" w:rsidR="00282FB0" w:rsidRPr="00CF1B34" w:rsidRDefault="00282FB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Entrega de títulos a una entidad financiera, para su administración y custodia. La entidad depositaria se encarga, por tanto, del ejercicio de los derechos económicos inherentes a los títulos: cobro de intereses o dividendos, ampliaciones de capital, venta de derechos, etc. También emite certificados de propiedad para el ejercicio de los derechos políticos. </w:t>
      </w:r>
    </w:p>
    <w:p w14:paraId="715AD29A" w14:textId="1BCA37E4" w:rsidR="00E44704" w:rsidRPr="00CF1B34" w:rsidRDefault="00E4470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Depósitos interbancarios transferibles</w:t>
      </w:r>
    </w:p>
    <w:p w14:paraId="47B7C0CB" w14:textId="77777777" w:rsidR="001138CD" w:rsidRPr="00CF1B34" w:rsidRDefault="0090288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Proyecto de transformación de los depósitos interbancarios en instrumentos negociables con características de emisión a la par por una entidad concreta, con un tipo de interés explicito y prefijado</w:t>
      </w:r>
      <w:r w:rsidR="001138CD" w:rsidRPr="00CF1B34">
        <w:rPr>
          <w:rFonts w:ascii="Arial" w:hAnsi="Arial" w:cs="Arial"/>
          <w:color w:val="000000" w:themeColor="text1"/>
          <w:sz w:val="22"/>
          <w:szCs w:val="22"/>
          <w:lang w:val="es-ES_tradnl"/>
        </w:rPr>
        <w:t>, a plazo de entre uno y doce meses, y materializados en anotaciones en cuentas registradas en el Servicio Telefónico de Mercado del Dinero.</w:t>
      </w:r>
    </w:p>
    <w:p w14:paraId="090C5CC5" w14:textId="08A7F950" w:rsidR="00E44704" w:rsidRPr="00CF1B34" w:rsidRDefault="00E4470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Depósitos por empleado</w:t>
      </w:r>
    </w:p>
    <w:p w14:paraId="41ED6C7F" w14:textId="77777777" w:rsidR="001138CD" w:rsidRPr="00CF1B34" w:rsidRDefault="001138C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Recursos de clientes respecto al numero de empleados.</w:t>
      </w:r>
    </w:p>
    <w:p w14:paraId="1ACF1BF1" w14:textId="414C114E" w:rsidR="00E44704" w:rsidRPr="00CF1B34" w:rsidRDefault="00E4470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Depósitos por oficina</w:t>
      </w:r>
    </w:p>
    <w:p w14:paraId="2690A05E" w14:textId="77777777" w:rsidR="001138CD" w:rsidRPr="00CF1B34" w:rsidRDefault="001138C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Recursos de clientes respecto al numero de oficinas.</w:t>
      </w:r>
    </w:p>
    <w:p w14:paraId="34B52E3D" w14:textId="59E30953"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Depreciación</w:t>
      </w:r>
    </w:p>
    <w:p w14:paraId="25BBB2F4" w14:textId="7CE02BE5"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Reducción del valor de un bien. En el caso de elementos físicos, suele deberse al paso del tiempo o a los efectos del uso (por ejemplo, la maquinaria de una fábrica).</w:t>
      </w:r>
      <w:r w:rsidR="00493D99" w:rsidRPr="00CF1B34">
        <w:rPr>
          <w:rFonts w:ascii="Arial" w:hAnsi="Arial" w:cs="Arial"/>
          <w:color w:val="212529"/>
          <w:sz w:val="22"/>
          <w:szCs w:val="22"/>
          <w:lang w:val="es-ES_tradnl"/>
        </w:rPr>
        <w:t xml:space="preserve"> La devaluación y la depreciación tienen el mismo significado </w:t>
      </w:r>
      <w:r w:rsidR="00D642E4" w:rsidRPr="00CF1B34">
        <w:rPr>
          <w:rFonts w:ascii="Arial" w:hAnsi="Arial" w:cs="Arial"/>
          <w:color w:val="212529"/>
          <w:sz w:val="22"/>
          <w:szCs w:val="22"/>
          <w:lang w:val="es-ES_tradnl"/>
        </w:rPr>
        <w:t>económico (debilitamiento de la moneda)</w:t>
      </w:r>
    </w:p>
    <w:p w14:paraId="21ABA919" w14:textId="1796B2BE" w:rsidR="00D642E4" w:rsidRPr="00CF1B34" w:rsidRDefault="00D642E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Depresión económica</w:t>
      </w:r>
    </w:p>
    <w:p w14:paraId="16B946C3" w14:textId="77777777" w:rsidR="00D642E4" w:rsidRPr="00CF1B34" w:rsidRDefault="00D642E4"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1F3864" w:themeColor="accent1" w:themeShade="80"/>
          <w:sz w:val="22"/>
          <w:szCs w:val="22"/>
          <w:lang w:val="es-ES_tradnl"/>
        </w:rPr>
        <w:t>Etapa del ciclo económico que se caracteriza por una contratación prolongada y fuerte de la demanda agregada, subutilización de la capacidad instalada y desempleo muy elevado.</w:t>
      </w:r>
    </w:p>
    <w:p w14:paraId="2CCCF77C" w14:textId="3C9F3B13"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Derecho de asignación gratuita </w:t>
      </w:r>
    </w:p>
    <w:p w14:paraId="4E3F1667"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que disfrutan los accionistas de una sociedad en las ampliaciones de capital liberadas. Las acciones provenientes de estas ampliaciones se asignan al accionista sin otro desembolso que las comisiones que pueda cargar el intermediario. </w:t>
      </w:r>
      <w:hyperlink r:id="rId223" w:tgtFrame="_self" w:history="1">
        <w:r w:rsidRPr="00CF1B34">
          <w:rPr>
            <w:rFonts w:ascii="Arial" w:hAnsi="Arial" w:cs="Arial"/>
            <w:b/>
            <w:bCs/>
            <w:color w:val="2F5496" w:themeColor="accent1" w:themeShade="BF"/>
            <w:sz w:val="22"/>
            <w:szCs w:val="22"/>
            <w:u w:val="single"/>
            <w:lang w:val="es-ES_tradnl"/>
          </w:rPr>
          <w:t>Ver ampliación liberada</w:t>
        </w:r>
      </w:hyperlink>
      <w:r w:rsidRPr="00CF1B34">
        <w:rPr>
          <w:rFonts w:ascii="Arial" w:hAnsi="Arial" w:cs="Arial"/>
          <w:color w:val="2F5496" w:themeColor="accent1" w:themeShade="BF"/>
          <w:sz w:val="22"/>
          <w:szCs w:val="22"/>
          <w:lang w:val="es-ES_tradnl"/>
        </w:rPr>
        <w:t>. </w:t>
      </w:r>
    </w:p>
    <w:p w14:paraId="654B5CC2"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Derecho de asistencia y voto en las Juntas Generales de accionistas</w:t>
      </w:r>
    </w:p>
    <w:p w14:paraId="17327B89"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derecho político básico del accionista; sin embargo, para poder ejercitarlo es necesario poseer el número mínimo de acciones que establezcan los estatutos, o agruparse con otros accionistas para alcanzar este número. </w:t>
      </w:r>
    </w:p>
    <w:p w14:paraId="06182113" w14:textId="1800A783" w:rsidR="00E44704" w:rsidRPr="00CF1B34" w:rsidRDefault="00E4470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Derecho de atribuci</w:t>
      </w:r>
      <w:r w:rsidR="00D642E4"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n</w:t>
      </w:r>
    </w:p>
    <w:p w14:paraId="7A287681" w14:textId="77777777" w:rsidR="00433535" w:rsidRPr="00CF1B34" w:rsidRDefault="0043353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Derecho negociable referido a cada acción cuando tiene lugar una distribución gratuita de títulos. Independizado, se cotiza por separado en el mercado al contado.</w:t>
      </w:r>
    </w:p>
    <w:p w14:paraId="2CFCFBBC" w14:textId="46071B88" w:rsidR="00E44704" w:rsidRPr="00CF1B34" w:rsidRDefault="00E4470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Derecho de custodia</w:t>
      </w:r>
    </w:p>
    <w:p w14:paraId="791E3C5C" w14:textId="77777777" w:rsidR="00433535" w:rsidRPr="00CF1B34" w:rsidRDefault="0043353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Remuneración percibida por el intermediario financiero que guarda valores móviles  por cuenta de un agente económico.</w:t>
      </w:r>
    </w:p>
    <w:p w14:paraId="06B9F051" w14:textId="40DA6D8F"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Derecho de separación del accionista</w:t>
      </w:r>
    </w:p>
    <w:p w14:paraId="26451A16"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Posibilidad de recuperar el importe de sus acciones en determinadas situaciones excepcionales: sustitución del objeto social (no mera modificación), cambio de domicilio al extranjero, o transformación de la sociedad anónima en colectiva o comanditaria. </w:t>
      </w:r>
    </w:p>
    <w:p w14:paraId="44067C7C"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Derecho de separación del partícipe</w:t>
      </w:r>
    </w:p>
    <w:p w14:paraId="47E26741"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Posibilidad que tienen los partícipes de un fondo de inversión de reembolsar sus participaciones sin abonar comisión de reembolso, durante un plazo determinado. La gestora ha de comunicar a los partícipes el otorgamiento de este derecho cuando se produzcan determinadas modificaciones sustanciales en las características del fondo o en los derechos del inversor (cambios en la política de inversión, elevación de comisiones, etc.).</w:t>
      </w:r>
    </w:p>
    <w:p w14:paraId="53A00A05" w14:textId="7EFA39B8"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Derecho de suscripción </w:t>
      </w:r>
      <w:r w:rsidR="00E44704" w:rsidRPr="00CF1B34">
        <w:rPr>
          <w:rFonts w:ascii="Arial" w:hAnsi="Arial" w:cs="Arial"/>
          <w:b/>
          <w:bCs/>
          <w:color w:val="004773"/>
          <w:sz w:val="22"/>
          <w:szCs w:val="22"/>
          <w:lang w:val="es-ES_tradnl"/>
        </w:rPr>
        <w:t>(</w:t>
      </w:r>
      <w:r w:rsidRPr="00CF1B34">
        <w:rPr>
          <w:rFonts w:ascii="Arial" w:hAnsi="Arial" w:cs="Arial"/>
          <w:b/>
          <w:bCs/>
          <w:color w:val="004773"/>
          <w:sz w:val="22"/>
          <w:szCs w:val="22"/>
          <w:lang w:val="es-ES_tradnl"/>
        </w:rPr>
        <w:t>preferente</w:t>
      </w:r>
      <w:r w:rsidR="00E44704" w:rsidRPr="00CF1B34">
        <w:rPr>
          <w:rFonts w:ascii="Arial" w:hAnsi="Arial" w:cs="Arial"/>
          <w:b/>
          <w:bCs/>
          <w:color w:val="004773"/>
          <w:sz w:val="22"/>
          <w:szCs w:val="22"/>
          <w:lang w:val="es-ES_tradnl"/>
        </w:rPr>
        <w:t>)</w:t>
      </w:r>
    </w:p>
    <w:p w14:paraId="3DAD40C0" w14:textId="53C6A541"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las ampliaciones de capital, o en la emisión de obligaciones convertibles, los accionistas suelen tener el derecho preferente de suscribir nuevos títulos, en una proporción tal que les permita mantener su porcentaje anterior de participación en el capital social. De esta forma se evita la dilución de sus derechos económicos y políticos, que se produciría como consecuencia del incremento en el número de acciones.</w:t>
      </w:r>
    </w:p>
    <w:p w14:paraId="75CD7339" w14:textId="0A4C413B" w:rsidR="00E44704" w:rsidRPr="00CF1B34" w:rsidRDefault="00E4470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Derecho</w:t>
      </w:r>
      <w:r w:rsidR="00193737" w:rsidRPr="00CF1B34">
        <w:rPr>
          <w:rFonts w:ascii="Arial" w:hAnsi="Arial" w:cs="Arial"/>
          <w:b/>
          <w:bCs/>
          <w:color w:val="004773"/>
          <w:sz w:val="22"/>
          <w:szCs w:val="22"/>
          <w:lang w:val="es-ES_tradnl"/>
        </w:rPr>
        <w:t>s</w:t>
      </w:r>
      <w:r w:rsidRPr="00CF1B34">
        <w:rPr>
          <w:rFonts w:ascii="Arial" w:hAnsi="Arial" w:cs="Arial"/>
          <w:b/>
          <w:bCs/>
          <w:color w:val="004773"/>
          <w:sz w:val="22"/>
          <w:szCs w:val="22"/>
          <w:lang w:val="es-ES_tradnl"/>
        </w:rPr>
        <w:t xml:space="preserve"> de entrad</w:t>
      </w:r>
      <w:r w:rsidR="00193737" w:rsidRPr="00CF1B34">
        <w:rPr>
          <w:rFonts w:ascii="Arial" w:hAnsi="Arial" w:cs="Arial"/>
          <w:b/>
          <w:bCs/>
          <w:color w:val="004773"/>
          <w:sz w:val="22"/>
          <w:szCs w:val="22"/>
          <w:lang w:val="es-ES_tradnl"/>
        </w:rPr>
        <w:t>a y salida</w:t>
      </w:r>
    </w:p>
    <w:p w14:paraId="72497CD4" w14:textId="77777777" w:rsidR="00FF2E8B" w:rsidRPr="00CF1B34" w:rsidRDefault="00FF2E8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Gastos generados en las acciones de compra y de venta por los gestores de SICAV y FCP.</w:t>
      </w:r>
    </w:p>
    <w:p w14:paraId="1032B902" w14:textId="560FC11D" w:rsidR="00D642E4" w:rsidRPr="00CF1B34" w:rsidRDefault="00D642E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Derechos </w:t>
      </w:r>
      <w:r w:rsidR="00F50E35" w:rsidRPr="00CF1B34">
        <w:rPr>
          <w:rFonts w:ascii="Arial" w:hAnsi="Arial" w:cs="Arial"/>
          <w:b/>
          <w:bCs/>
          <w:color w:val="004773"/>
          <w:sz w:val="22"/>
          <w:szCs w:val="22"/>
          <w:lang w:val="es-ES_tradnl"/>
        </w:rPr>
        <w:t>E</w:t>
      </w:r>
      <w:r w:rsidRPr="00CF1B34">
        <w:rPr>
          <w:rFonts w:ascii="Arial" w:hAnsi="Arial" w:cs="Arial"/>
          <w:b/>
          <w:bCs/>
          <w:color w:val="004773"/>
          <w:sz w:val="22"/>
          <w:szCs w:val="22"/>
          <w:lang w:val="es-ES_tradnl"/>
        </w:rPr>
        <w:t>speciales de Giro</w:t>
      </w:r>
      <w:r w:rsidR="00F50E35" w:rsidRPr="00CF1B34">
        <w:rPr>
          <w:rFonts w:ascii="Arial" w:hAnsi="Arial" w:cs="Arial"/>
          <w:b/>
          <w:bCs/>
          <w:color w:val="004773"/>
          <w:sz w:val="22"/>
          <w:szCs w:val="22"/>
          <w:lang w:val="es-ES_tradnl"/>
        </w:rPr>
        <w:t xml:space="preserve"> (DEG</w:t>
      </w:r>
      <w:r w:rsidR="00FA3BDF" w:rsidRPr="00CF1B34">
        <w:rPr>
          <w:rFonts w:ascii="Arial" w:hAnsi="Arial" w:cs="Arial"/>
          <w:b/>
          <w:bCs/>
          <w:color w:val="004773"/>
          <w:sz w:val="22"/>
          <w:szCs w:val="22"/>
          <w:lang w:val="es-ES_tradnl"/>
        </w:rPr>
        <w:t xml:space="preserve">) </w:t>
      </w:r>
    </w:p>
    <w:p w14:paraId="18A1EBF9" w14:textId="77777777" w:rsidR="00FA3BDF" w:rsidRPr="00CF1B34" w:rsidRDefault="00D642E4" w:rsidP="0005621A">
      <w:pPr>
        <w:pBdr>
          <w:bottom w:val="dotted" w:sz="12" w:space="12" w:color="666666"/>
        </w:pBdr>
        <w:spacing w:after="240"/>
        <w:ind w:left="720"/>
        <w:jc w:val="both"/>
        <w:rPr>
          <w:rFonts w:ascii="Arial" w:hAnsi="Arial" w:cs="Arial"/>
          <w:color w:val="000000"/>
          <w:sz w:val="22"/>
          <w:szCs w:val="22"/>
          <w:shd w:val="clear" w:color="auto" w:fill="FFFFFF"/>
          <w:lang w:val="es-ES_tradnl"/>
        </w:rPr>
      </w:pPr>
      <w:r w:rsidRPr="00CF1B34">
        <w:rPr>
          <w:rFonts w:ascii="Arial" w:hAnsi="Arial" w:cs="Arial"/>
          <w:color w:val="000000"/>
          <w:sz w:val="22"/>
          <w:szCs w:val="22"/>
          <w:shd w:val="clear" w:color="auto" w:fill="FFFFFF"/>
          <w:lang w:val="es-ES_tradnl"/>
        </w:rPr>
        <w:t>Moneda supra-nacional creada por el Fondo Monetario Internacional que sirve como un activo internacional para todos los países miembros. Los DEG se asignan a cada país miembro en función de su cuota de participación en el organismo, y sirven de base para obtener préstamos dirigidos a cubrir déficit temporales de la balanza de pagos.</w:t>
      </w:r>
    </w:p>
    <w:p w14:paraId="32E3AD8E" w14:textId="405BF18F" w:rsidR="00FA3BDF" w:rsidRPr="00CF1B34" w:rsidRDefault="00FA3BDF" w:rsidP="0005621A">
      <w:pPr>
        <w:pBdr>
          <w:bottom w:val="dotted" w:sz="12" w:space="12" w:color="666666"/>
        </w:pBdr>
        <w:spacing w:after="240"/>
        <w:ind w:left="720"/>
        <w:jc w:val="both"/>
        <w:rPr>
          <w:rFonts w:ascii="Arial" w:hAnsi="Arial" w:cs="Arial"/>
          <w:color w:val="000000"/>
          <w:sz w:val="22"/>
          <w:szCs w:val="22"/>
          <w:shd w:val="clear" w:color="auto" w:fill="FFFFFF"/>
          <w:lang w:val="es-ES_tradnl"/>
        </w:rPr>
      </w:pPr>
      <w:r w:rsidRPr="00CF1B34">
        <w:rPr>
          <w:rFonts w:ascii="Arial" w:hAnsi="Arial" w:cs="Arial"/>
          <w:color w:val="333333"/>
          <w:sz w:val="22"/>
          <w:szCs w:val="22"/>
          <w:shd w:val="clear" w:color="auto" w:fill="FFFFFF"/>
          <w:lang w:val="es-ES_tradnl"/>
        </w:rPr>
        <w:t xml:space="preserve">Su valor está basado en una </w:t>
      </w:r>
      <w:r w:rsidRPr="00CF1B34">
        <w:rPr>
          <w:rStyle w:val="Textoennegrita"/>
          <w:rFonts w:ascii="Arial" w:hAnsi="Arial" w:cs="Arial"/>
          <w:color w:val="333333"/>
          <w:sz w:val="22"/>
          <w:szCs w:val="22"/>
          <w:shd w:val="clear" w:color="auto" w:fill="FFFFFF"/>
          <w:lang w:val="es-ES_tradnl"/>
        </w:rPr>
        <w:t>cesta de monedas fundamentales del mundo,</w:t>
      </w:r>
      <w:r w:rsidRPr="00CF1B34">
        <w:rPr>
          <w:rFonts w:ascii="Arial" w:hAnsi="Arial" w:cs="Arial"/>
          <w:color w:val="333333"/>
          <w:sz w:val="22"/>
          <w:szCs w:val="22"/>
          <w:shd w:val="clear" w:color="auto" w:fill="FFFFFF"/>
          <w:lang w:val="es-ES_tradnl"/>
        </w:rPr>
        <w:t xml:space="preserve"> cuya composición se revisa </w:t>
      </w:r>
      <w:r w:rsidRPr="00CF1B34">
        <w:rPr>
          <w:rStyle w:val="Textoennegrita"/>
          <w:rFonts w:ascii="Arial" w:hAnsi="Arial" w:cs="Arial"/>
          <w:color w:val="333333"/>
          <w:sz w:val="22"/>
          <w:szCs w:val="22"/>
          <w:shd w:val="clear" w:color="auto" w:fill="FFFFFF"/>
          <w:lang w:val="es-ES_tradnl"/>
        </w:rPr>
        <w:t>cada cinco años</w:t>
      </w:r>
      <w:r w:rsidRPr="00CF1B34">
        <w:rPr>
          <w:rFonts w:ascii="Arial" w:hAnsi="Arial" w:cs="Arial"/>
          <w:color w:val="333333"/>
          <w:sz w:val="22"/>
          <w:szCs w:val="22"/>
          <w:shd w:val="clear" w:color="auto" w:fill="FFFFFF"/>
          <w:lang w:val="es-ES_tradnl"/>
        </w:rPr>
        <w:t>, a fin de velar por que refleje la importancia relativa de cada moneda en los sistemas comerciales y financieros mundiale</w:t>
      </w:r>
      <w:r w:rsidRPr="00CF1B34">
        <w:rPr>
          <w:rFonts w:ascii="Arial" w:hAnsi="Arial" w:cs="Arial"/>
          <w:color w:val="333333"/>
          <w:shd w:val="clear" w:color="auto" w:fill="FFFFFF"/>
          <w:lang w:val="es-ES_tradnl"/>
        </w:rPr>
        <w:t>s.</w:t>
      </w:r>
    </w:p>
    <w:p w14:paraId="1AC12B55" w14:textId="0F176963" w:rsidR="00E44704" w:rsidRPr="00CF1B34" w:rsidRDefault="0019373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Derechos pol</w:t>
      </w:r>
      <w:r w:rsidR="00D642E4" w:rsidRPr="00CF1B34">
        <w:rPr>
          <w:rFonts w:ascii="Arial" w:hAnsi="Arial" w:cs="Arial"/>
          <w:b/>
          <w:bCs/>
          <w:color w:val="004773"/>
          <w:sz w:val="22"/>
          <w:szCs w:val="22"/>
          <w:lang w:val="es-ES_tradnl"/>
        </w:rPr>
        <w:t>ít</w:t>
      </w:r>
      <w:r w:rsidRPr="00CF1B34">
        <w:rPr>
          <w:rFonts w:ascii="Arial" w:hAnsi="Arial" w:cs="Arial"/>
          <w:b/>
          <w:bCs/>
          <w:color w:val="004773"/>
          <w:sz w:val="22"/>
          <w:szCs w:val="22"/>
          <w:lang w:val="es-ES_tradnl"/>
        </w:rPr>
        <w:t>icos</w:t>
      </w:r>
    </w:p>
    <w:p w14:paraId="74FCD003" w14:textId="77777777" w:rsidR="00FF2E8B" w:rsidRPr="00CF1B34" w:rsidRDefault="00FF2E8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aquellos derechos que tiene el accionista para aprobar o desaprobar las actuaciones de los gestores de la sociedad de la que posee acciones. Estos derechos se suelen ejercitar en la junta general de accionistas. Las acciones sin voto renuncian a los derechos politicos a favor de un mayor dividendo.</w:t>
      </w:r>
    </w:p>
    <w:p w14:paraId="3A99E4E9" w14:textId="10EF3E35"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Derivados</w:t>
      </w:r>
      <w:r w:rsidR="00FA3BDF" w:rsidRPr="00CF1B34">
        <w:rPr>
          <w:rFonts w:ascii="Arial" w:hAnsi="Arial" w:cs="Arial"/>
          <w:b/>
          <w:bCs/>
          <w:color w:val="004773"/>
          <w:sz w:val="22"/>
          <w:szCs w:val="22"/>
          <w:lang w:val="es-ES_tradnl"/>
        </w:rPr>
        <w:t xml:space="preserve"> (financieros)</w:t>
      </w:r>
    </w:p>
    <w:p w14:paraId="0AB0853A" w14:textId="77777777" w:rsidR="00FA3BDF" w:rsidRPr="00CF1B34" w:rsidRDefault="00E5781D"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191B1C"/>
          <w:sz w:val="22"/>
          <w:szCs w:val="22"/>
          <w:shd w:val="clear" w:color="auto" w:fill="FFFFFF"/>
          <w:lang w:val="es-ES_tradnl"/>
        </w:rPr>
        <w:t>Los</w:t>
      </w:r>
      <w:r w:rsidR="00FA3BDF" w:rsidRPr="00CF1B34">
        <w:rPr>
          <w:rFonts w:ascii="Arial" w:hAnsi="Arial" w:cs="Arial"/>
          <w:color w:val="191B1C"/>
          <w:sz w:val="22"/>
          <w:szCs w:val="22"/>
          <w:shd w:val="clear" w:color="auto" w:fill="FFFFFF"/>
          <w:lang w:val="es-ES_tradnl"/>
        </w:rPr>
        <w:t xml:space="preserve"> </w:t>
      </w:r>
      <w:r w:rsidRPr="00CF1B34">
        <w:rPr>
          <w:rStyle w:val="Textoennegrita"/>
          <w:rFonts w:ascii="Arial" w:hAnsi="Arial" w:cs="Arial"/>
          <w:color w:val="191B1C"/>
          <w:sz w:val="22"/>
          <w:szCs w:val="22"/>
          <w:shd w:val="clear" w:color="auto" w:fill="FFFFFF"/>
          <w:lang w:val="es-ES_tradnl"/>
        </w:rPr>
        <w:t>derivados financieros o futuros</w:t>
      </w:r>
      <w:r w:rsidRPr="00CF1B34">
        <w:rPr>
          <w:rFonts w:ascii="Arial" w:hAnsi="Arial" w:cs="Arial"/>
          <w:color w:val="212529"/>
          <w:sz w:val="22"/>
          <w:szCs w:val="22"/>
          <w:lang w:val="es-ES_tradnl"/>
        </w:rPr>
        <w:t xml:space="preserve"> s</w:t>
      </w:r>
      <w:r w:rsidR="00B75E6A" w:rsidRPr="00CF1B34">
        <w:rPr>
          <w:rFonts w:ascii="Arial" w:hAnsi="Arial" w:cs="Arial"/>
          <w:color w:val="212529"/>
          <w:sz w:val="22"/>
          <w:szCs w:val="22"/>
          <w:lang w:val="es-ES_tradnl"/>
        </w:rPr>
        <w:t>on aquellos instrumentos financieros cuyo precio no sólo varía en función de parámetros como riesgo, plazo, etc, sino que también depende de la cotización que alcance en el mercado otro activo, al que se denomina subyacente. El inversor apuesta por una determinada evolución de dicho subyacente (al alza o a la baja) en los mercados de valores. Puede consultar sobre el apartado de</w:t>
      </w:r>
      <w:r w:rsidR="00E44704" w:rsidRPr="00CF1B34">
        <w:rPr>
          <w:rFonts w:ascii="Arial" w:hAnsi="Arial" w:cs="Arial"/>
          <w:color w:val="212529"/>
          <w:sz w:val="22"/>
          <w:szCs w:val="22"/>
          <w:lang w:val="es-ES_tradnl"/>
        </w:rPr>
        <w:t xml:space="preserve"> </w:t>
      </w:r>
      <w:r w:rsidR="00FA3BDF" w:rsidRPr="00CF1B34">
        <w:rPr>
          <w:rFonts w:ascii="Arial" w:hAnsi="Arial" w:cs="Arial"/>
          <w:sz w:val="22"/>
          <w:szCs w:val="22"/>
          <w:lang w:val="es-ES_tradnl"/>
        </w:rPr>
        <w:t xml:space="preserve">productos derivados </w:t>
      </w:r>
      <w:r w:rsidR="00B75E6A" w:rsidRPr="00CF1B34">
        <w:rPr>
          <w:rFonts w:ascii="Arial" w:hAnsi="Arial" w:cs="Arial"/>
          <w:color w:val="212529"/>
          <w:sz w:val="22"/>
          <w:szCs w:val="22"/>
          <w:lang w:val="es-ES_tradnl"/>
        </w:rPr>
        <w:t>la Sección del Inversor.</w:t>
      </w:r>
      <w:r w:rsidR="00FA3BDF" w:rsidRPr="00CF1B34">
        <w:rPr>
          <w:rFonts w:ascii="Arial" w:hAnsi="Arial" w:cs="Arial"/>
          <w:color w:val="333333"/>
          <w:sz w:val="22"/>
          <w:szCs w:val="22"/>
          <w:lang w:val="es-ES_tradnl"/>
        </w:rPr>
        <w:t xml:space="preserve"> </w:t>
      </w:r>
    </w:p>
    <w:p w14:paraId="1BA5AA56" w14:textId="226F3892" w:rsidR="00FA3BDF" w:rsidRPr="00CF1B34" w:rsidRDefault="00FA3BDF"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Las principales </w:t>
      </w:r>
      <w:r w:rsidRPr="00CF1B34">
        <w:rPr>
          <w:rFonts w:ascii="Arial" w:hAnsi="Arial" w:cs="Arial"/>
          <w:b/>
          <w:bCs/>
          <w:color w:val="333333"/>
          <w:sz w:val="22"/>
          <w:szCs w:val="22"/>
          <w:lang w:val="es-ES_tradnl"/>
        </w:rPr>
        <w:t xml:space="preserve">características </w:t>
      </w:r>
      <w:r w:rsidRPr="00CF1B34">
        <w:rPr>
          <w:rFonts w:ascii="Arial" w:hAnsi="Arial" w:cs="Arial"/>
          <w:color w:val="333333"/>
          <w:sz w:val="22"/>
          <w:szCs w:val="22"/>
          <w:lang w:val="es-ES_tradnl"/>
        </w:rPr>
        <w:t>de los derivados financieros son:</w:t>
      </w:r>
    </w:p>
    <w:p w14:paraId="3D84549A" w14:textId="77777777" w:rsidR="00FA3BDF" w:rsidRPr="00CF1B34" w:rsidRDefault="00FA3BDF" w:rsidP="004F7A62">
      <w:pPr>
        <w:numPr>
          <w:ilvl w:val="0"/>
          <w:numId w:val="15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Su valor cambia en referencia a los cambios de precio del activo subyacente.</w:t>
      </w:r>
    </w:p>
    <w:p w14:paraId="18AE5AA2" w14:textId="77777777" w:rsidR="00FA3BDF" w:rsidRPr="00CF1B34" w:rsidRDefault="00FA3BDF" w:rsidP="004F7A62">
      <w:pPr>
        <w:numPr>
          <w:ilvl w:val="0"/>
          <w:numId w:val="15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Requiere una inversión inicial neta muy pequeña o nula, respecto a otro tipo de contratos que tienen una respuesta similar ante cambios en las condiciones del mercado.</w:t>
      </w:r>
    </w:p>
    <w:p w14:paraId="73D7C5A6" w14:textId="5988FE11" w:rsidR="00FA3BDF" w:rsidRPr="00CF1B34" w:rsidRDefault="00FA3BDF" w:rsidP="004F7A62">
      <w:pPr>
        <w:numPr>
          <w:ilvl w:val="0"/>
          <w:numId w:val="15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Se liquidará en una fecha futura</w:t>
      </w:r>
      <w:r w:rsidR="00A06043" w:rsidRPr="00CF1B34">
        <w:rPr>
          <w:rFonts w:ascii="Arial" w:hAnsi="Arial" w:cs="Arial"/>
          <w:color w:val="333333"/>
          <w:sz w:val="22"/>
          <w:szCs w:val="22"/>
          <w:lang w:val="es-ES_tradnl"/>
        </w:rPr>
        <w:t>.</w:t>
      </w:r>
    </w:p>
    <w:p w14:paraId="7787B800" w14:textId="7A9081C2" w:rsidR="00A06043" w:rsidRPr="00CF1B34" w:rsidRDefault="00A06043" w:rsidP="004F7A62">
      <w:pPr>
        <w:pStyle w:val="NormalWeb"/>
        <w:numPr>
          <w:ilvl w:val="0"/>
          <w:numId w:val="155"/>
        </w:numPr>
        <w:shd w:val="clear" w:color="auto" w:fill="FFFFFF"/>
        <w:spacing w:before="0" w:beforeAutospacing="0" w:after="165" w:afterAutospacing="0"/>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Pueden cotizarse en mercados organizados (como las bolsas) o no organizados. </w:t>
      </w:r>
    </w:p>
    <w:p w14:paraId="7276FC42" w14:textId="596C68A8" w:rsidR="00A06043" w:rsidRPr="00CF1B34" w:rsidRDefault="00A06043"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Los contratos de instrumentos financieros derivados más utilizados son:</w:t>
      </w:r>
    </w:p>
    <w:p w14:paraId="59B85581" w14:textId="77777777" w:rsidR="00A06043" w:rsidRPr="00CF1B34" w:rsidRDefault="00A06043" w:rsidP="004F7A62">
      <w:pPr>
        <w:numPr>
          <w:ilvl w:val="0"/>
          <w:numId w:val="15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i/>
          <w:iCs/>
          <w:color w:val="333333"/>
          <w:sz w:val="22"/>
          <w:szCs w:val="22"/>
          <w:lang w:val="es-ES_tradnl"/>
        </w:rPr>
        <w:t>swap: </w:t>
      </w:r>
      <w:r w:rsidRPr="00CF1B34">
        <w:rPr>
          <w:rFonts w:ascii="Arial" w:hAnsi="Arial" w:cs="Arial"/>
          <w:color w:val="333333"/>
          <w:sz w:val="22"/>
          <w:szCs w:val="22"/>
          <w:lang w:val="es-ES_tradnl"/>
        </w:rPr>
        <w:t>contrato de permuta o intercambio</w:t>
      </w:r>
    </w:p>
    <w:p w14:paraId="0FB51480" w14:textId="58FC0DFB" w:rsidR="00A06043" w:rsidRPr="00CF1B34" w:rsidRDefault="00A06043" w:rsidP="004F7A62">
      <w:pPr>
        <w:numPr>
          <w:ilvl w:val="0"/>
          <w:numId w:val="15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i/>
          <w:iCs/>
          <w:color w:val="333333"/>
          <w:sz w:val="22"/>
          <w:szCs w:val="22"/>
          <w:lang w:val="es-ES_tradnl"/>
        </w:rPr>
        <w:t>forwards: </w:t>
      </w:r>
      <w:r w:rsidRPr="00CF1B34">
        <w:rPr>
          <w:rFonts w:ascii="Arial" w:hAnsi="Arial" w:cs="Arial"/>
          <w:color w:val="333333"/>
          <w:sz w:val="22"/>
          <w:szCs w:val="22"/>
          <w:lang w:val="es-ES_tradnl"/>
        </w:rPr>
        <w:t>contratos a futuro</w:t>
      </w:r>
    </w:p>
    <w:p w14:paraId="58B12934" w14:textId="02F99177" w:rsidR="00236FEC" w:rsidRPr="00CF1B34" w:rsidRDefault="00236FEC" w:rsidP="004F7A62">
      <w:pPr>
        <w:pStyle w:val="Sinespaciado"/>
        <w:numPr>
          <w:ilvl w:val="0"/>
          <w:numId w:val="156"/>
        </w:numPr>
        <w:jc w:val="both"/>
        <w:rPr>
          <w:rFonts w:ascii="Arial" w:hAnsi="Arial" w:cs="Arial"/>
          <w:sz w:val="22"/>
          <w:szCs w:val="22"/>
          <w:lang w:val="es-ES_tradnl"/>
        </w:rPr>
      </w:pPr>
      <w:proofErr w:type="gramStart"/>
      <w:r w:rsidRPr="00CF1B34">
        <w:rPr>
          <w:rFonts w:ascii="Arial" w:hAnsi="Arial" w:cs="Arial"/>
          <w:b/>
          <w:bCs/>
          <w:i/>
          <w:iCs/>
          <w:sz w:val="22"/>
          <w:szCs w:val="22"/>
          <w:lang w:val="es-ES_tradnl"/>
        </w:rPr>
        <w:t>opciones </w:t>
      </w:r>
      <w:r w:rsidRPr="00CF1B34">
        <w:rPr>
          <w:rFonts w:ascii="Arial" w:hAnsi="Arial" w:cs="Arial"/>
          <w:sz w:val="22"/>
          <w:szCs w:val="22"/>
          <w:lang w:val="es-ES_tradnl"/>
        </w:rPr>
        <w:t>:</w:t>
      </w:r>
      <w:proofErr w:type="gramEnd"/>
      <w:r w:rsidRPr="00CF1B34">
        <w:rPr>
          <w:rFonts w:ascii="Arial" w:hAnsi="Arial" w:cs="Arial"/>
          <w:sz w:val="22"/>
          <w:szCs w:val="22"/>
          <w:lang w:val="es-ES_tradnl"/>
        </w:rPr>
        <w:t xml:space="preserve"> pueden ser de tipo americana (ejecutables durante la vida del contrato) o de tipo europea (ejecutables al finalizar el contrato)</w:t>
      </w:r>
    </w:p>
    <w:p w14:paraId="55BA7DC5" w14:textId="77777777" w:rsidR="00A06043" w:rsidRPr="00CF1B34" w:rsidRDefault="00A0604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Es importante leer el folleto legal explicativo de los productos de inversión que quiera contratar para determinar de que manera serán utilizados los instrumentos derivados de la cartera.</w:t>
      </w:r>
    </w:p>
    <w:p w14:paraId="279BC427" w14:textId="77777777" w:rsidR="005C7AAD" w:rsidRPr="00CF1B34" w:rsidRDefault="005C7AA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Desahucio </w:t>
      </w:r>
    </w:p>
    <w:p w14:paraId="125CB29B" w14:textId="5B938ABD" w:rsidR="00D071FB" w:rsidRPr="00CF1B34" w:rsidRDefault="005C7AA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333333"/>
          <w:sz w:val="22"/>
          <w:szCs w:val="22"/>
          <w:lang w:val="es-ES_tradnl"/>
        </w:rPr>
        <w:t>Desahucio</w:t>
      </w:r>
      <w:r w:rsidRPr="00CF1B34">
        <w:rPr>
          <w:rFonts w:ascii="Arial" w:hAnsi="Arial" w:cs="Arial"/>
          <w:color w:val="333333"/>
          <w:sz w:val="22"/>
          <w:szCs w:val="22"/>
          <w:lang w:val="es-ES_tradnl"/>
        </w:rPr>
        <w:t>, en España se utiliza esta terminología para hacer referencia</w:t>
      </w:r>
      <w:r w:rsidR="00D071FB"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al desalojo de los</w:t>
      </w:r>
      <w:r w:rsidR="00D071FB" w:rsidRPr="00CF1B34">
        <w:rPr>
          <w:rFonts w:ascii="Arial" w:hAnsi="Arial" w:cs="Arial"/>
          <w:color w:val="333333"/>
          <w:sz w:val="22"/>
          <w:szCs w:val="22"/>
          <w:lang w:val="es-ES_tradnl"/>
        </w:rPr>
        <w:t xml:space="preserve"> inquilinos de</w:t>
      </w:r>
      <w:r w:rsidRPr="00CF1B34">
        <w:rPr>
          <w:rFonts w:ascii="Arial" w:hAnsi="Arial" w:cs="Arial"/>
          <w:color w:val="333333"/>
          <w:sz w:val="22"/>
          <w:szCs w:val="22"/>
          <w:lang w:val="es-ES_tradnl"/>
        </w:rPr>
        <w:t xml:space="preserve"> una vivienda por orden judicial. Hasta aquí estamos todos de acuerdo meramente en la definición y no tanto en la práctica y sus consecuencias. Con la crisis actual los casos de desahucio han crecido exponencialmente y los dramáticos casos de</w:t>
      </w:r>
      <w:r w:rsidR="00D071FB"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desalojo de la vivienda</w:t>
      </w:r>
      <w:r w:rsidR="00D071FB"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de muchas</w:t>
      </w:r>
      <w:r w:rsidR="00D071FB" w:rsidRPr="00CF1B34">
        <w:rPr>
          <w:rFonts w:ascii="Arial" w:hAnsi="Arial" w:cs="Arial"/>
          <w:b/>
          <w:bCs/>
          <w:color w:val="333333"/>
          <w:sz w:val="22"/>
          <w:szCs w:val="22"/>
          <w:lang w:val="es-ES_tradnl"/>
        </w:rPr>
        <w:t xml:space="preserve"> </w:t>
      </w:r>
      <w:r w:rsidRPr="00CF1B34">
        <w:rPr>
          <w:rFonts w:ascii="Arial" w:hAnsi="Arial" w:cs="Arial"/>
          <w:b/>
          <w:bCs/>
          <w:color w:val="333333"/>
          <w:sz w:val="22"/>
          <w:szCs w:val="22"/>
          <w:lang w:val="es-ES_tradnl"/>
        </w:rPr>
        <w:t>familias</w:t>
      </w:r>
      <w:r w:rsidR="00D071FB"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que por ser</w:t>
      </w:r>
      <w:r w:rsidR="00D071FB" w:rsidRPr="00CF1B34">
        <w:rPr>
          <w:rFonts w:ascii="Arial" w:hAnsi="Arial" w:cs="Arial"/>
          <w:b/>
          <w:bCs/>
          <w:color w:val="333333"/>
          <w:sz w:val="22"/>
          <w:szCs w:val="22"/>
          <w:lang w:val="es-ES_tradnl"/>
        </w:rPr>
        <w:t xml:space="preserve"> </w:t>
      </w:r>
      <w:r w:rsidRPr="00CF1B34">
        <w:rPr>
          <w:rFonts w:ascii="Arial" w:hAnsi="Arial" w:cs="Arial"/>
          <w:b/>
          <w:bCs/>
          <w:color w:val="333333"/>
          <w:sz w:val="22"/>
          <w:szCs w:val="22"/>
          <w:lang w:val="es-ES_tradnl"/>
        </w:rPr>
        <w:t>hipotecados</w:t>
      </w:r>
      <w:r w:rsidR="00D071FB"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y no poder afrontar los pagos de las cuotas se ven en esta situación.</w:t>
      </w:r>
      <w:r w:rsidR="00D071FB" w:rsidRPr="00CF1B34">
        <w:rPr>
          <w:rFonts w:ascii="Arial" w:hAnsi="Arial" w:cs="Arial"/>
          <w:color w:val="333333"/>
          <w:sz w:val="22"/>
          <w:szCs w:val="22"/>
          <w:lang w:val="es-ES_tradnl"/>
        </w:rPr>
        <w:t xml:space="preserve"> </w:t>
      </w:r>
      <w:r w:rsidR="00D071FB" w:rsidRPr="00CF1B34">
        <w:rPr>
          <w:rFonts w:ascii="Arial" w:hAnsi="Arial" w:cs="Arial"/>
          <w:color w:val="333333"/>
          <w:sz w:val="22"/>
          <w:szCs w:val="22"/>
          <w:shd w:val="clear" w:color="auto" w:fill="FFFFFF"/>
          <w:lang w:val="es-ES_tradnl"/>
        </w:rPr>
        <w:t xml:space="preserve">También se ven sin poder pagar los </w:t>
      </w:r>
      <w:r w:rsidR="00D071FB" w:rsidRPr="00CF1B34">
        <w:rPr>
          <w:rFonts w:ascii="Arial" w:hAnsi="Arial" w:cs="Arial"/>
          <w:sz w:val="22"/>
          <w:szCs w:val="22"/>
          <w:lang w:val="es-ES_tradnl"/>
        </w:rPr>
        <w:t>alquileres lo</w:t>
      </w:r>
      <w:r w:rsidR="00D071FB" w:rsidRPr="00CF1B34">
        <w:rPr>
          <w:rFonts w:ascii="Arial" w:hAnsi="Arial" w:cs="Arial"/>
          <w:color w:val="333333"/>
          <w:sz w:val="22"/>
          <w:szCs w:val="22"/>
          <w:shd w:val="clear" w:color="auto" w:fill="FFFFFF"/>
          <w:lang w:val="es-ES_tradnl"/>
        </w:rPr>
        <w:t xml:space="preserve"> que hace que los bancos y propietarios deban actuar de manera mas seguida y decidida.</w:t>
      </w:r>
    </w:p>
    <w:p w14:paraId="4CE7F3AB" w14:textId="0A834D75"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Descontar una noticia</w:t>
      </w:r>
    </w:p>
    <w:p w14:paraId="797BCFF1"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efecto que se produce en los mercados cuando los inversores compran o venden un activo (haciendo que su precio suba o baje), debido a las expectativas conocidas en relación con algún acontecimiento o noticia que aún no ha sucedido. Si al final ese hecho ocurre efectivamente, en teoría no debería tener efecto en los precios porque los mercados ya lo han ´descontado´.</w:t>
      </w:r>
    </w:p>
    <w:p w14:paraId="4729C48D" w14:textId="73C144D7" w:rsidR="00A06043" w:rsidRPr="00CF1B34" w:rsidRDefault="00A0604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Descubiertos bancarios</w:t>
      </w:r>
    </w:p>
    <w:p w14:paraId="5FC4808B" w14:textId="07BF2887" w:rsidR="00A06043" w:rsidRPr="00CF1B34" w:rsidRDefault="00A06043" w:rsidP="0005621A">
      <w:pPr>
        <w:ind w:left="708"/>
        <w:jc w:val="both"/>
        <w:rPr>
          <w:rFonts w:ascii="Arial" w:hAnsi="Arial" w:cs="Arial"/>
          <w:sz w:val="22"/>
          <w:szCs w:val="22"/>
          <w:lang w:val="es-ES_tradnl"/>
        </w:rPr>
      </w:pPr>
      <w:r w:rsidRPr="00CF1B34">
        <w:rPr>
          <w:rFonts w:ascii="Arial" w:hAnsi="Arial" w:cs="Arial"/>
          <w:color w:val="4A4A4A"/>
          <w:sz w:val="22"/>
          <w:szCs w:val="22"/>
          <w:shd w:val="clear" w:color="auto" w:fill="FFFFFF"/>
          <w:lang w:val="es-ES_tradnl"/>
        </w:rPr>
        <w:t>Según el Banco de España (BdE) un</w:t>
      </w:r>
      <w:r w:rsidR="00236FEC" w:rsidRPr="00CF1B34">
        <w:rPr>
          <w:rFonts w:ascii="Arial" w:hAnsi="Arial" w:cs="Arial"/>
          <w:color w:val="4A4A4A"/>
          <w:sz w:val="22"/>
          <w:szCs w:val="22"/>
          <w:shd w:val="clear" w:color="auto" w:fill="FFFFFF"/>
          <w:lang w:val="es-ES_tradnl"/>
        </w:rPr>
        <w:t xml:space="preserve"> </w:t>
      </w:r>
      <w:r w:rsidRPr="00CF1B34">
        <w:rPr>
          <w:rStyle w:val="Textoennegrita"/>
          <w:rFonts w:ascii="Arial" w:hAnsi="Arial" w:cs="Arial"/>
          <w:color w:val="4A4A4A"/>
          <w:sz w:val="22"/>
          <w:szCs w:val="22"/>
          <w:shd w:val="clear" w:color="auto" w:fill="FFFFFF"/>
          <w:lang w:val="es-ES_tradnl"/>
        </w:rPr>
        <w:t>decubierto en cuenta corriente</w:t>
      </w:r>
      <w:r w:rsidR="00236FEC" w:rsidRPr="00CF1B34">
        <w:rPr>
          <w:rFonts w:ascii="Arial" w:hAnsi="Arial" w:cs="Arial"/>
          <w:color w:val="4A4A4A"/>
          <w:sz w:val="22"/>
          <w:szCs w:val="22"/>
          <w:shd w:val="clear" w:color="auto" w:fill="FFFFFF"/>
          <w:lang w:val="es-ES_tradnl"/>
        </w:rPr>
        <w:t xml:space="preserve"> </w:t>
      </w:r>
      <w:r w:rsidRPr="00CF1B34">
        <w:rPr>
          <w:rFonts w:ascii="Arial" w:hAnsi="Arial" w:cs="Arial"/>
          <w:color w:val="4A4A4A"/>
          <w:sz w:val="22"/>
          <w:szCs w:val="22"/>
          <w:shd w:val="clear" w:color="auto" w:fill="FFFFFF"/>
          <w:lang w:val="es-ES_tradnl"/>
        </w:rPr>
        <w:t>se produce cuando se realiza una retirada de dinero sin que haya saldo suficiente y la entidad adelanta los fondos.</w:t>
      </w:r>
    </w:p>
    <w:p w14:paraId="190E2FDB" w14:textId="70578E68" w:rsidR="00A06043" w:rsidRPr="00CF1B34" w:rsidRDefault="00A06043" w:rsidP="0005621A">
      <w:pPr>
        <w:ind w:left="708"/>
        <w:jc w:val="both"/>
        <w:rPr>
          <w:rFonts w:ascii="Arial" w:hAnsi="Arial" w:cs="Arial"/>
          <w:sz w:val="22"/>
          <w:szCs w:val="22"/>
          <w:lang w:val="es-ES_tradnl"/>
        </w:rPr>
      </w:pPr>
      <w:r w:rsidRPr="00CF1B34">
        <w:rPr>
          <w:rFonts w:ascii="Arial" w:hAnsi="Arial" w:cs="Arial"/>
          <w:color w:val="4A4A4A"/>
          <w:sz w:val="22"/>
          <w:szCs w:val="22"/>
          <w:shd w:val="clear" w:color="auto" w:fill="FFFFFF"/>
          <w:lang w:val="es-ES_tradnl"/>
        </w:rPr>
        <w:t>En la mayoría de los casos los</w:t>
      </w:r>
      <w:r w:rsidR="00236FEC" w:rsidRPr="00CF1B34">
        <w:rPr>
          <w:rFonts w:ascii="Arial" w:hAnsi="Arial" w:cs="Arial"/>
          <w:color w:val="4A4A4A"/>
          <w:sz w:val="22"/>
          <w:szCs w:val="22"/>
          <w:shd w:val="clear" w:color="auto" w:fill="FFFFFF"/>
          <w:lang w:val="es-ES_tradnl"/>
        </w:rPr>
        <w:t xml:space="preserve"> </w:t>
      </w:r>
      <w:r w:rsidRPr="00CF1B34">
        <w:rPr>
          <w:rStyle w:val="Textoennegrita"/>
          <w:rFonts w:ascii="Arial" w:hAnsi="Arial" w:cs="Arial"/>
          <w:color w:val="4A4A4A"/>
          <w:sz w:val="22"/>
          <w:szCs w:val="22"/>
          <w:shd w:val="clear" w:color="auto" w:fill="FFFFFF"/>
          <w:lang w:val="es-ES_tradnl"/>
        </w:rPr>
        <w:t>descubiertos bancarios</w:t>
      </w:r>
      <w:r w:rsidR="00236FEC" w:rsidRPr="00CF1B34">
        <w:rPr>
          <w:rFonts w:ascii="Arial" w:hAnsi="Arial" w:cs="Arial"/>
          <w:color w:val="4A4A4A"/>
          <w:sz w:val="22"/>
          <w:szCs w:val="22"/>
          <w:shd w:val="clear" w:color="auto" w:fill="FFFFFF"/>
          <w:lang w:val="es-ES_tradnl"/>
        </w:rPr>
        <w:t xml:space="preserve"> </w:t>
      </w:r>
      <w:r w:rsidRPr="00CF1B34">
        <w:rPr>
          <w:rFonts w:ascii="Arial" w:hAnsi="Arial" w:cs="Arial"/>
          <w:color w:val="4A4A4A"/>
          <w:sz w:val="22"/>
          <w:szCs w:val="22"/>
          <w:shd w:val="clear" w:color="auto" w:fill="FFFFFF"/>
          <w:lang w:val="es-ES_tradnl"/>
        </w:rPr>
        <w:t>suelen ser consecuencia de una mala planificación financiera. Es decir, se piensa que la cuenta corriente dispone de más capital del que en realidad hay y se gasta como si este efectivamente existiese cuando no es así. De esta forma,</w:t>
      </w:r>
      <w:r w:rsidR="00236FEC" w:rsidRPr="00CF1B34">
        <w:rPr>
          <w:rFonts w:ascii="Arial" w:hAnsi="Arial" w:cs="Arial"/>
          <w:color w:val="4A4A4A"/>
          <w:sz w:val="22"/>
          <w:szCs w:val="22"/>
          <w:shd w:val="clear" w:color="auto" w:fill="FFFFFF"/>
          <w:lang w:val="es-ES_tradnl"/>
        </w:rPr>
        <w:t xml:space="preserve"> </w:t>
      </w:r>
      <w:r w:rsidRPr="00CF1B34">
        <w:rPr>
          <w:rStyle w:val="Textoennegrita"/>
          <w:rFonts w:ascii="Arial" w:hAnsi="Arial" w:cs="Arial"/>
          <w:color w:val="4A4A4A"/>
          <w:sz w:val="22"/>
          <w:szCs w:val="22"/>
          <w:shd w:val="clear" w:color="auto" w:fill="FFFFFF"/>
          <w:lang w:val="es-ES_tradnl"/>
        </w:rPr>
        <w:t>se pasa a deber dinero al banco</w:t>
      </w:r>
      <w:r w:rsidRPr="00CF1B34">
        <w:rPr>
          <w:rFonts w:ascii="Arial" w:hAnsi="Arial" w:cs="Arial"/>
          <w:color w:val="4A4A4A"/>
          <w:sz w:val="22"/>
          <w:szCs w:val="22"/>
          <w:shd w:val="clear" w:color="auto" w:fill="FFFFFF"/>
          <w:lang w:val="es-ES_tradnl"/>
        </w:rPr>
        <w:t>, que automáticamente activa una serie de mecanismos que señalan al cliente como</w:t>
      </w:r>
      <w:r w:rsidR="00236FEC" w:rsidRPr="00CF1B34">
        <w:rPr>
          <w:rFonts w:ascii="Arial" w:hAnsi="Arial" w:cs="Arial"/>
          <w:color w:val="4A4A4A"/>
          <w:sz w:val="22"/>
          <w:szCs w:val="22"/>
          <w:shd w:val="clear" w:color="auto" w:fill="FFFFFF"/>
          <w:lang w:val="es-ES_tradnl"/>
        </w:rPr>
        <w:t xml:space="preserve"> </w:t>
      </w:r>
      <w:r w:rsidRPr="00CF1B34">
        <w:rPr>
          <w:rStyle w:val="Textoennegrita"/>
          <w:rFonts w:ascii="Arial" w:hAnsi="Arial" w:cs="Arial"/>
          <w:color w:val="4A4A4A"/>
          <w:sz w:val="22"/>
          <w:szCs w:val="22"/>
          <w:shd w:val="clear" w:color="auto" w:fill="FFFFFF"/>
          <w:lang w:val="es-ES_tradnl"/>
        </w:rPr>
        <w:t>moroso</w:t>
      </w:r>
      <w:r w:rsidRPr="00CF1B34">
        <w:rPr>
          <w:rFonts w:ascii="Arial" w:hAnsi="Arial" w:cs="Arial"/>
          <w:color w:val="4A4A4A"/>
          <w:sz w:val="22"/>
          <w:szCs w:val="22"/>
          <w:shd w:val="clear" w:color="auto" w:fill="FFFFFF"/>
          <w:lang w:val="es-ES_tradnl"/>
        </w:rPr>
        <w:t>.</w:t>
      </w:r>
    </w:p>
    <w:p w14:paraId="68B258DB" w14:textId="77777777" w:rsidR="00236FEC" w:rsidRPr="00CF1B34" w:rsidRDefault="00236FE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4A4A4A"/>
          <w:sz w:val="22"/>
          <w:szCs w:val="22"/>
          <w:lang w:val="es-ES_tradnl"/>
        </w:rPr>
        <w:t xml:space="preserve">El </w:t>
      </w:r>
      <w:r w:rsidRPr="00CF1B34">
        <w:rPr>
          <w:rStyle w:val="Textoennegrita"/>
          <w:rFonts w:ascii="Arial" w:hAnsi="Arial" w:cs="Arial"/>
          <w:color w:val="4A4A4A"/>
          <w:sz w:val="22"/>
          <w:szCs w:val="22"/>
          <w:lang w:val="es-ES_tradnl"/>
        </w:rPr>
        <w:t>anticipo que hace el banco se considera un préstamo</w:t>
      </w:r>
      <w:r w:rsidRPr="00CF1B34">
        <w:rPr>
          <w:rFonts w:ascii="Arial" w:hAnsi="Arial" w:cs="Arial"/>
          <w:color w:val="4A4A4A"/>
          <w:sz w:val="22"/>
          <w:szCs w:val="22"/>
          <w:lang w:val="es-ES_tradnl"/>
        </w:rPr>
        <w:t xml:space="preserve"> a efectos legales y como tal el usuario tiene la obligación de devolverlo, </w:t>
      </w:r>
      <w:r w:rsidRPr="00CF1B34">
        <w:rPr>
          <w:rStyle w:val="Textoennegrita"/>
          <w:rFonts w:ascii="Arial" w:hAnsi="Arial" w:cs="Arial"/>
          <w:color w:val="4A4A4A"/>
          <w:sz w:val="22"/>
          <w:szCs w:val="22"/>
          <w:lang w:val="es-ES_tradnl"/>
        </w:rPr>
        <w:t>pagar los intereses del descubierto</w:t>
      </w:r>
      <w:r w:rsidRPr="00CF1B34">
        <w:rPr>
          <w:rFonts w:ascii="Arial" w:hAnsi="Arial" w:cs="Arial"/>
          <w:color w:val="4A4A4A"/>
          <w:sz w:val="22"/>
          <w:szCs w:val="22"/>
          <w:lang w:val="es-ES_tradnl"/>
        </w:rPr>
        <w:t xml:space="preserve"> y </w:t>
      </w:r>
      <w:r w:rsidRPr="00CF1B34">
        <w:rPr>
          <w:rStyle w:val="Textoennegrita"/>
          <w:rFonts w:ascii="Arial" w:hAnsi="Arial" w:cs="Arial"/>
          <w:color w:val="4A4A4A"/>
          <w:sz w:val="22"/>
          <w:szCs w:val="22"/>
          <w:lang w:val="es-ES_tradnl"/>
        </w:rPr>
        <w:t>las comisiones bancarias</w:t>
      </w:r>
      <w:r w:rsidRPr="00CF1B34">
        <w:rPr>
          <w:rFonts w:ascii="Arial" w:hAnsi="Arial" w:cs="Arial"/>
          <w:color w:val="4A4A4A"/>
          <w:sz w:val="22"/>
          <w:szCs w:val="22"/>
          <w:lang w:val="es-ES_tradnl"/>
        </w:rPr>
        <w:t xml:space="preserve"> que se hayan generado. Y aquí es donde radican la mayoría de quejas y problemas por intereses y comisiones que la mayoría de usuarios consideran abusivos y que en cierta medida lo son, si bien </w:t>
      </w:r>
      <w:r w:rsidRPr="00CF1B34">
        <w:rPr>
          <w:rStyle w:val="Textoennegrita"/>
          <w:rFonts w:ascii="Arial" w:hAnsi="Arial" w:cs="Arial"/>
          <w:color w:val="4A4A4A"/>
          <w:sz w:val="22"/>
          <w:szCs w:val="22"/>
          <w:lang w:val="es-ES_tradnl"/>
        </w:rPr>
        <w:t>están legalmente limitados</w:t>
      </w:r>
      <w:r w:rsidRPr="00CF1B34">
        <w:rPr>
          <w:rFonts w:ascii="Arial" w:hAnsi="Arial" w:cs="Arial"/>
          <w:color w:val="4A4A4A"/>
          <w:sz w:val="22"/>
          <w:szCs w:val="22"/>
          <w:lang w:val="es-ES_tradnl"/>
        </w:rPr>
        <w:t xml:space="preserve"> para el caso de consumidores.</w:t>
      </w:r>
    </w:p>
    <w:p w14:paraId="7E46C077" w14:textId="6914345D" w:rsidR="00D8525C" w:rsidRPr="00CF1B34" w:rsidRDefault="00D8525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Descuento de flujos de fondos o descuento de Cash Flows.</w:t>
      </w:r>
    </w:p>
    <w:p w14:paraId="6A7019FC" w14:textId="77777777" w:rsidR="00814B72" w:rsidRPr="00CF1B34" w:rsidRDefault="00814B7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Método para tratar de determinar el valor de una empresa a través de la estimación de flujos de dinero (cash flows) que generara en l futuro, para luego descontarlos a una tasa de descuento apropiada según el riesgo de dichos flujos. Esta metodología tradicionalmente utilizada en Estados Unidos es la mas utilizada en la actualidad.</w:t>
      </w:r>
    </w:p>
    <w:p w14:paraId="3C1F0F97" w14:textId="06419E44" w:rsidR="00D8525C" w:rsidRPr="00CF1B34" w:rsidRDefault="00D8525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Descuento obligatorio</w:t>
      </w:r>
    </w:p>
    <w:p w14:paraId="636E6D53" w14:textId="77777777" w:rsidR="007F7AD7" w:rsidRPr="00CF1B34" w:rsidRDefault="007F7AD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Régimen fiscal por el que pueden optar los poseedores de obligaciones. Les permite librarse del impuesto sobre la ganancia, en lo que concierne a ganancias derivadas de sus obligaciones.</w:t>
      </w:r>
    </w:p>
    <w:p w14:paraId="1DE5552D" w14:textId="69707193"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Desdoblamiento</w:t>
      </w:r>
      <w:r w:rsidR="00D8525C" w:rsidRPr="00CF1B34">
        <w:rPr>
          <w:rFonts w:ascii="Arial" w:hAnsi="Arial" w:cs="Arial"/>
          <w:b/>
          <w:bCs/>
          <w:color w:val="004773"/>
          <w:sz w:val="22"/>
          <w:szCs w:val="22"/>
          <w:lang w:val="es-ES_tradnl"/>
        </w:rPr>
        <w:t xml:space="preserve"> de las acciones</w:t>
      </w:r>
    </w:p>
    <w:p w14:paraId="0201664F" w14:textId="77777777" w:rsidR="00B75E6A" w:rsidRPr="00CF1B34" w:rsidRDefault="00D83530"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hyperlink r:id="rId224" w:tgtFrame="_self" w:history="1">
        <w:r w:rsidR="00B75E6A" w:rsidRPr="00CF1B34">
          <w:rPr>
            <w:rFonts w:ascii="Arial" w:hAnsi="Arial" w:cs="Arial"/>
            <w:b/>
            <w:bCs/>
            <w:color w:val="2F5496" w:themeColor="accent1" w:themeShade="BF"/>
            <w:sz w:val="22"/>
            <w:szCs w:val="22"/>
            <w:u w:val="single"/>
            <w:lang w:val="es-ES_tradnl"/>
          </w:rPr>
          <w:t>Ver Split</w:t>
        </w:r>
      </w:hyperlink>
      <w:r w:rsidR="00B75E6A" w:rsidRPr="00CF1B34">
        <w:rPr>
          <w:rFonts w:ascii="Arial" w:hAnsi="Arial" w:cs="Arial"/>
          <w:color w:val="2F5496" w:themeColor="accent1" w:themeShade="BF"/>
          <w:sz w:val="22"/>
          <w:szCs w:val="22"/>
          <w:lang w:val="es-ES_tradnl"/>
        </w:rPr>
        <w:t>.</w:t>
      </w:r>
    </w:p>
    <w:p w14:paraId="3CE2BB50" w14:textId="77777777" w:rsidR="005C7AAD" w:rsidRPr="00CF1B34" w:rsidRDefault="005C7AA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Deseconomía de Escala</w:t>
      </w:r>
    </w:p>
    <w:p w14:paraId="4443426E" w14:textId="77777777" w:rsidR="005C7AAD" w:rsidRPr="00CF1B34" w:rsidRDefault="005C7AAD"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Style w:val="Textoennegrita"/>
          <w:rFonts w:ascii="Arial" w:hAnsi="Arial" w:cs="Arial"/>
          <w:b w:val="0"/>
          <w:bCs w:val="0"/>
          <w:color w:val="333333"/>
          <w:sz w:val="22"/>
          <w:szCs w:val="22"/>
          <w:lang w:val="es-ES_tradnl"/>
        </w:rPr>
        <w:t>Se denomina deseconomía de escala al efecto que se produce en los costos de una producción determinada. Dichos efectos generan cada vez mayores costos para la empresa por cada unidad de producto que se fabrique. De esta manera queremos decir que, ocurre lo contrario a las economías de escala, donde cada vez que incrementamos el número de unidades producidas, el costo unitario se reduce. En concreto y técnicamente, una deseconomia de Escala se produce cuando un incremento porcentual de la producción es menor que el incremento porcentual de los insumos.</w:t>
      </w:r>
    </w:p>
    <w:p w14:paraId="07CA2711" w14:textId="001ADD70" w:rsidR="00DC68B5" w:rsidRPr="00CF1B34" w:rsidRDefault="00DC68B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Desempleo</w:t>
      </w:r>
    </w:p>
    <w:p w14:paraId="40A5CFBD" w14:textId="77777777" w:rsidR="00DC68B5" w:rsidRPr="00CF1B34" w:rsidRDefault="00DC68B5"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000000"/>
          <w:sz w:val="22"/>
          <w:szCs w:val="22"/>
          <w:shd w:val="clear" w:color="auto" w:fill="FFFFFF"/>
          <w:lang w:val="es-ES_tradnl"/>
        </w:rPr>
        <w:t>Sinónimo de desocupación, es la situación en la cual no se encuentra ocupada en la producción de bienes y servicios parte de la fuerza laboral que, deseando trabajar, no consigue fuente de empleo.</w:t>
      </w:r>
    </w:p>
    <w:p w14:paraId="0AC19745" w14:textId="7DE49CEE" w:rsidR="00E5781D" w:rsidRPr="00CF1B34" w:rsidRDefault="00D8525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Desgravación </w:t>
      </w:r>
    </w:p>
    <w:p w14:paraId="63E12560" w14:textId="77777777" w:rsidR="007F7AD7" w:rsidRPr="00CF1B34" w:rsidRDefault="007F7AD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disminución de la base imponible de un tributo. Con la desgravación el Gobierno favorece por la via fiscal unas inversiones sobre otras.</w:t>
      </w:r>
    </w:p>
    <w:p w14:paraId="5510EC95" w14:textId="35539ACF" w:rsidR="00DC68B5" w:rsidRPr="00CF1B34" w:rsidRDefault="00DC68B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Desintermediación Financiera</w:t>
      </w:r>
    </w:p>
    <w:p w14:paraId="5B6779E7" w14:textId="77777777" w:rsidR="00DC68B5" w:rsidRPr="00CF1B34" w:rsidRDefault="00DC68B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Situación caracterizada por una menor participación de las instituciones financieras en el proceso de intermediación del ahorro y el crédito. Se produce desintermediación financiera cuando los bancos captan ahorro del público y no prestan en la misma proporción o invierten en bonos y títulos públicos.</w:t>
      </w:r>
    </w:p>
    <w:p w14:paraId="7767916E" w14:textId="012AB6C8" w:rsidR="00D8525C" w:rsidRPr="00CF1B34" w:rsidRDefault="00D8525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Desmaterialización </w:t>
      </w:r>
    </w:p>
    <w:p w14:paraId="4DF01D73" w14:textId="77777777" w:rsidR="00C5237C" w:rsidRPr="00CF1B34" w:rsidRDefault="00C5237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Supresión del soporte papel de los valores móviles.</w:t>
      </w:r>
    </w:p>
    <w:p w14:paraId="1C000436" w14:textId="23EDC445" w:rsidR="00C4214B" w:rsidRPr="00CF1B34" w:rsidRDefault="00C4214B" w:rsidP="0005621A">
      <w:pPr>
        <w:jc w:val="both"/>
        <w:rPr>
          <w:rFonts w:ascii="Arial" w:hAnsi="Arial" w:cs="Arial"/>
          <w:b/>
          <w:bCs/>
          <w:color w:val="004773"/>
          <w:sz w:val="22"/>
          <w:szCs w:val="22"/>
          <w:lang w:val="es-ES_tradnl"/>
        </w:rPr>
      </w:pPr>
      <w:proofErr w:type="gramStart"/>
      <w:r w:rsidRPr="00CF1B34">
        <w:rPr>
          <w:rFonts w:ascii="Arial" w:hAnsi="Arial" w:cs="Arial"/>
          <w:b/>
          <w:bCs/>
          <w:color w:val="004773"/>
          <w:sz w:val="22"/>
          <w:szCs w:val="22"/>
          <w:lang w:val="es-ES_tradnl"/>
        </w:rPr>
        <w:t>Despido  (</w:t>
      </w:r>
      <w:proofErr w:type="gramEnd"/>
      <w:r w:rsidRPr="00CF1B34">
        <w:rPr>
          <w:rFonts w:ascii="Arial" w:hAnsi="Arial" w:cs="Arial"/>
          <w:b/>
          <w:bCs/>
          <w:color w:val="004773"/>
          <w:sz w:val="22"/>
          <w:szCs w:val="22"/>
          <w:lang w:val="es-ES_tradnl"/>
        </w:rPr>
        <w:t>en España)</w:t>
      </w:r>
    </w:p>
    <w:p w14:paraId="7FDE492A" w14:textId="47DCE2F6" w:rsidR="00C4214B" w:rsidRPr="00CF1B34" w:rsidRDefault="00C4214B" w:rsidP="0005621A">
      <w:pPr>
        <w:ind w:left="708"/>
        <w:jc w:val="both"/>
        <w:rPr>
          <w:rFonts w:ascii="Arial" w:hAnsi="Arial" w:cs="Arial"/>
          <w:sz w:val="22"/>
          <w:szCs w:val="22"/>
          <w:lang w:val="es-ES_tradnl"/>
        </w:rPr>
      </w:pPr>
      <w:r w:rsidRPr="00CF1B34">
        <w:rPr>
          <w:rFonts w:ascii="Arial" w:hAnsi="Arial" w:cs="Arial"/>
          <w:sz w:val="22"/>
          <w:szCs w:val="22"/>
          <w:shd w:val="clear" w:color="auto" w:fill="FFFFFF"/>
          <w:lang w:val="es-ES_tradnl"/>
        </w:rPr>
        <w:t>En España encontramos </w:t>
      </w:r>
      <w:r w:rsidRPr="00CF1B34">
        <w:rPr>
          <w:rStyle w:val="Textoennegrita"/>
          <w:rFonts w:ascii="Arial" w:hAnsi="Arial" w:cs="Arial"/>
          <w:sz w:val="22"/>
          <w:szCs w:val="22"/>
          <w:shd w:val="clear" w:color="auto" w:fill="FFFFFF"/>
          <w:lang w:val="es-ES_tradnl"/>
        </w:rPr>
        <w:t>3 tipos de despidos: despido objetivo, despido colectivo y despido disciplinario</w:t>
      </w:r>
    </w:p>
    <w:p w14:paraId="72BC8DE2" w14:textId="77777777" w:rsidR="00D039E1" w:rsidRPr="00CF1B34" w:rsidRDefault="00D039E1" w:rsidP="0005621A">
      <w:pPr>
        <w:pStyle w:val="Ttulo3"/>
        <w:shd w:val="clear" w:color="auto" w:fill="FFFFFF"/>
        <w:ind w:firstLine="708"/>
        <w:jc w:val="both"/>
        <w:rPr>
          <w:rFonts w:ascii="Arial" w:hAnsi="Arial" w:cs="Arial"/>
          <w:color w:val="FF0066"/>
          <w:sz w:val="22"/>
          <w:szCs w:val="22"/>
          <w:lang w:val="es-ES_tradnl"/>
        </w:rPr>
      </w:pPr>
      <w:r w:rsidRPr="00CF1B34">
        <w:rPr>
          <w:rFonts w:ascii="Arial" w:hAnsi="Arial" w:cs="Arial"/>
          <w:color w:val="FF0066"/>
          <w:sz w:val="22"/>
          <w:szCs w:val="22"/>
          <w:lang w:val="es-ES_tradnl"/>
        </w:rPr>
        <w:lastRenderedPageBreak/>
        <w:t>Despido objetivo</w:t>
      </w:r>
    </w:p>
    <w:p w14:paraId="469BFE6D" w14:textId="77777777" w:rsidR="00D039E1" w:rsidRPr="00CF1B34" w:rsidRDefault="00D039E1" w:rsidP="0005621A">
      <w:pPr>
        <w:pStyle w:val="NormalWeb"/>
        <w:shd w:val="clear" w:color="auto" w:fill="FFFFFF"/>
        <w:ind w:left="708"/>
        <w:jc w:val="both"/>
        <w:rPr>
          <w:rFonts w:ascii="Arial" w:hAnsi="Arial" w:cs="Arial"/>
          <w:sz w:val="22"/>
          <w:szCs w:val="22"/>
          <w:lang w:val="es-ES_tradnl"/>
        </w:rPr>
      </w:pPr>
      <w:r w:rsidRPr="00CF1B34">
        <w:rPr>
          <w:rFonts w:ascii="Arial" w:hAnsi="Arial" w:cs="Arial"/>
          <w:sz w:val="22"/>
          <w:szCs w:val="22"/>
          <w:lang w:val="es-ES_tradnl"/>
        </w:rPr>
        <w:t>El primero de los tipos de despido en España es el despido objetivo. De acuerdo a su nombre, este se da por </w:t>
      </w:r>
      <w:r w:rsidRPr="00CF1B34">
        <w:rPr>
          <w:rStyle w:val="Textoennegrita"/>
          <w:rFonts w:ascii="Arial" w:hAnsi="Arial" w:cs="Arial"/>
          <w:sz w:val="22"/>
          <w:szCs w:val="22"/>
          <w:lang w:val="es-ES_tradnl"/>
        </w:rPr>
        <w:t>causas objetivas</w:t>
      </w:r>
      <w:r w:rsidRPr="00CF1B34">
        <w:rPr>
          <w:rFonts w:ascii="Arial" w:hAnsi="Arial" w:cs="Arial"/>
          <w:sz w:val="22"/>
          <w:szCs w:val="22"/>
          <w:lang w:val="es-ES_tradnl"/>
        </w:rPr>
        <w:t>, las cuales quedan divididas de la siguiente forma:</w:t>
      </w:r>
    </w:p>
    <w:p w14:paraId="697C8804" w14:textId="77777777" w:rsidR="00D039E1" w:rsidRPr="00CF1B34" w:rsidRDefault="00D039E1" w:rsidP="004F7A62">
      <w:pPr>
        <w:numPr>
          <w:ilvl w:val="0"/>
          <w:numId w:val="174"/>
        </w:numPr>
        <w:shd w:val="clear" w:color="auto" w:fill="FFFFFF"/>
        <w:spacing w:before="100" w:beforeAutospacing="1" w:after="240"/>
        <w:jc w:val="both"/>
        <w:rPr>
          <w:rFonts w:ascii="Arial" w:hAnsi="Arial" w:cs="Arial"/>
          <w:color w:val="212529"/>
          <w:sz w:val="22"/>
          <w:szCs w:val="22"/>
          <w:lang w:val="es-ES_tradnl"/>
        </w:rPr>
      </w:pPr>
      <w:r w:rsidRPr="00CF1B34">
        <w:rPr>
          <w:rStyle w:val="Textoennegrita"/>
          <w:rFonts w:ascii="Arial" w:hAnsi="Arial" w:cs="Arial"/>
          <w:color w:val="212529"/>
          <w:sz w:val="22"/>
          <w:szCs w:val="22"/>
          <w:lang w:val="es-ES_tradnl"/>
        </w:rPr>
        <w:t>Causas técnicas:</w:t>
      </w:r>
      <w:r w:rsidRPr="00CF1B34">
        <w:rPr>
          <w:rFonts w:ascii="Arial" w:hAnsi="Arial" w:cs="Arial"/>
          <w:color w:val="212529"/>
          <w:sz w:val="22"/>
          <w:szCs w:val="22"/>
          <w:lang w:val="es-ES_tradnl"/>
        </w:rPr>
        <w:t> Esta razón se da cuando la empresa implementa nuevas máquinas o instrumentos, que los trabajadores no pueden manipular. Antes de proceder al despido, la empresa deberá ofrecer la opción de una formación de capacitación a los trabajadores para el uso de esta nueva tecnología, siempre que sea posible.</w:t>
      </w:r>
    </w:p>
    <w:p w14:paraId="697AFB49" w14:textId="77777777" w:rsidR="00D039E1" w:rsidRPr="00CF1B34" w:rsidRDefault="00D039E1" w:rsidP="004F7A62">
      <w:pPr>
        <w:numPr>
          <w:ilvl w:val="0"/>
          <w:numId w:val="174"/>
        </w:numPr>
        <w:shd w:val="clear" w:color="auto" w:fill="FFFFFF"/>
        <w:spacing w:before="100" w:beforeAutospacing="1" w:after="240"/>
        <w:jc w:val="both"/>
        <w:rPr>
          <w:rFonts w:ascii="Arial" w:hAnsi="Arial" w:cs="Arial"/>
          <w:color w:val="212529"/>
          <w:sz w:val="22"/>
          <w:szCs w:val="22"/>
          <w:lang w:val="es-ES_tradnl"/>
        </w:rPr>
      </w:pPr>
      <w:r w:rsidRPr="00CF1B34">
        <w:rPr>
          <w:rStyle w:val="Textoennegrita"/>
          <w:rFonts w:ascii="Arial" w:hAnsi="Arial" w:cs="Arial"/>
          <w:color w:val="212529"/>
          <w:sz w:val="22"/>
          <w:szCs w:val="22"/>
          <w:lang w:val="es-ES_tradnl"/>
        </w:rPr>
        <w:t>Causas económicas:</w:t>
      </w:r>
      <w:r w:rsidRPr="00CF1B34">
        <w:rPr>
          <w:rFonts w:ascii="Arial" w:hAnsi="Arial" w:cs="Arial"/>
          <w:color w:val="212529"/>
          <w:sz w:val="22"/>
          <w:szCs w:val="22"/>
          <w:lang w:val="es-ES_tradnl"/>
        </w:rPr>
        <w:t> La organización fundamenta el despido en la imposibilidad financiera de hacer frente al sueldo del trabajador, debido a un menor número de ingresos, por ejemplo.</w:t>
      </w:r>
    </w:p>
    <w:p w14:paraId="2E0706B2" w14:textId="77777777" w:rsidR="00D039E1" w:rsidRPr="00CF1B34" w:rsidRDefault="00D039E1" w:rsidP="004F7A62">
      <w:pPr>
        <w:numPr>
          <w:ilvl w:val="0"/>
          <w:numId w:val="174"/>
        </w:numPr>
        <w:shd w:val="clear" w:color="auto" w:fill="FFFFFF"/>
        <w:spacing w:before="100" w:beforeAutospacing="1" w:after="240"/>
        <w:jc w:val="both"/>
        <w:rPr>
          <w:rFonts w:ascii="Arial" w:hAnsi="Arial" w:cs="Arial"/>
          <w:color w:val="212529"/>
          <w:sz w:val="22"/>
          <w:szCs w:val="22"/>
          <w:lang w:val="es-ES_tradnl"/>
        </w:rPr>
      </w:pPr>
      <w:r w:rsidRPr="00CF1B34">
        <w:rPr>
          <w:rStyle w:val="Textoennegrita"/>
          <w:rFonts w:ascii="Arial" w:hAnsi="Arial" w:cs="Arial"/>
          <w:color w:val="212529"/>
          <w:sz w:val="22"/>
          <w:szCs w:val="22"/>
          <w:lang w:val="es-ES_tradnl"/>
        </w:rPr>
        <w:t>Causas productivas:</w:t>
      </w:r>
      <w:r w:rsidRPr="00CF1B34">
        <w:rPr>
          <w:rFonts w:ascii="Arial" w:hAnsi="Arial" w:cs="Arial"/>
          <w:color w:val="212529"/>
          <w:sz w:val="22"/>
          <w:szCs w:val="22"/>
          <w:lang w:val="es-ES_tradnl"/>
        </w:rPr>
        <w:t> Este despido se produce por cambios en la demanda de un producto o servicio.</w:t>
      </w:r>
    </w:p>
    <w:p w14:paraId="5E98B912" w14:textId="77777777" w:rsidR="00D039E1" w:rsidRPr="00CF1B34" w:rsidRDefault="00D039E1" w:rsidP="004F7A62">
      <w:pPr>
        <w:numPr>
          <w:ilvl w:val="0"/>
          <w:numId w:val="174"/>
        </w:numPr>
        <w:shd w:val="clear" w:color="auto" w:fill="FFFFFF"/>
        <w:spacing w:before="100" w:beforeAutospacing="1" w:after="240"/>
        <w:jc w:val="both"/>
        <w:rPr>
          <w:rFonts w:ascii="Arial" w:hAnsi="Arial" w:cs="Arial"/>
          <w:color w:val="212529"/>
          <w:sz w:val="22"/>
          <w:szCs w:val="22"/>
          <w:lang w:val="es-ES_tradnl"/>
        </w:rPr>
      </w:pPr>
      <w:r w:rsidRPr="00CF1B34">
        <w:rPr>
          <w:rStyle w:val="Textoennegrita"/>
          <w:rFonts w:ascii="Arial" w:hAnsi="Arial" w:cs="Arial"/>
          <w:color w:val="212529"/>
          <w:sz w:val="22"/>
          <w:szCs w:val="22"/>
          <w:lang w:val="es-ES_tradnl"/>
        </w:rPr>
        <w:t>Causas organizativas:</w:t>
      </w:r>
      <w:r w:rsidRPr="00CF1B34">
        <w:rPr>
          <w:rFonts w:ascii="Arial" w:hAnsi="Arial" w:cs="Arial"/>
          <w:color w:val="212529"/>
          <w:sz w:val="22"/>
          <w:szCs w:val="22"/>
          <w:lang w:val="es-ES_tradnl"/>
        </w:rPr>
        <w:t> Consiste en cambios en las metodologías de trabajo a las que el trabajador o trabajadora no puede hacer frente.</w:t>
      </w:r>
    </w:p>
    <w:p w14:paraId="2400E2A6" w14:textId="558BF2C8" w:rsidR="00D039E1" w:rsidRPr="00CF1B34" w:rsidRDefault="00D039E1" w:rsidP="0005621A">
      <w:pPr>
        <w:pStyle w:val="NormalWeb"/>
        <w:shd w:val="clear" w:color="auto" w:fill="FFFFFF"/>
        <w:ind w:left="708"/>
        <w:jc w:val="both"/>
        <w:rPr>
          <w:rFonts w:ascii="Arial" w:hAnsi="Arial" w:cs="Arial"/>
          <w:sz w:val="22"/>
          <w:szCs w:val="22"/>
          <w:lang w:val="es-ES_tradnl"/>
        </w:rPr>
      </w:pPr>
      <w:r w:rsidRPr="00CF1B34">
        <w:rPr>
          <w:rFonts w:ascii="Arial" w:hAnsi="Arial" w:cs="Arial"/>
          <w:sz w:val="22"/>
          <w:szCs w:val="22"/>
          <w:lang w:val="es-ES_tradnl"/>
        </w:rPr>
        <w:t>Así, la empresa debe realizar </w:t>
      </w:r>
      <w:r w:rsidRPr="00CF1B34">
        <w:rPr>
          <w:rStyle w:val="Textoennegrita"/>
          <w:rFonts w:ascii="Arial" w:hAnsi="Arial" w:cs="Arial"/>
          <w:sz w:val="22"/>
          <w:szCs w:val="22"/>
          <w:lang w:val="es-ES_tradnl"/>
        </w:rPr>
        <w:t>un preaviso de despido de, mínimo15 días naturales</w:t>
      </w:r>
      <w:r w:rsidRPr="00CF1B34">
        <w:rPr>
          <w:rFonts w:ascii="Arial" w:hAnsi="Arial" w:cs="Arial"/>
          <w:sz w:val="22"/>
          <w:szCs w:val="22"/>
          <w:lang w:val="es-ES_tradnl"/>
        </w:rPr>
        <w:t xml:space="preserve"> desde que se comunica al trabajador, que se da por finalizada la relación laboral. Asimismo, la organización deberá indemnizar al empleado.</w:t>
      </w:r>
    </w:p>
    <w:p w14:paraId="29180FDB" w14:textId="77777777" w:rsidR="00D039E1" w:rsidRPr="00CF1B34" w:rsidRDefault="00D039E1" w:rsidP="0005621A">
      <w:pPr>
        <w:pStyle w:val="Ttulo3"/>
        <w:shd w:val="clear" w:color="auto" w:fill="FFFFFF"/>
        <w:ind w:firstLine="708"/>
        <w:jc w:val="both"/>
        <w:rPr>
          <w:rFonts w:ascii="Arial" w:hAnsi="Arial" w:cs="Arial"/>
          <w:color w:val="FF0066"/>
          <w:sz w:val="22"/>
          <w:szCs w:val="22"/>
          <w:lang w:val="es-ES_tradnl"/>
        </w:rPr>
      </w:pPr>
      <w:r w:rsidRPr="00CF1B34">
        <w:rPr>
          <w:rFonts w:ascii="Arial" w:hAnsi="Arial" w:cs="Arial"/>
          <w:color w:val="FF0066"/>
          <w:sz w:val="22"/>
          <w:szCs w:val="22"/>
          <w:lang w:val="es-ES_tradnl"/>
        </w:rPr>
        <w:t>Despido disciplinario</w:t>
      </w:r>
    </w:p>
    <w:p w14:paraId="1B24FACF" w14:textId="030326FD" w:rsidR="00D039E1" w:rsidRPr="00CF1B34" w:rsidRDefault="00D039E1" w:rsidP="0005621A">
      <w:pPr>
        <w:pStyle w:val="NormalWeb"/>
        <w:shd w:val="clear" w:color="auto" w:fill="FFFFFF"/>
        <w:ind w:left="708"/>
        <w:jc w:val="both"/>
        <w:rPr>
          <w:rFonts w:ascii="Arial" w:hAnsi="Arial" w:cs="Arial"/>
          <w:sz w:val="22"/>
          <w:szCs w:val="22"/>
          <w:lang w:val="es-ES_tradnl"/>
        </w:rPr>
      </w:pPr>
      <w:r w:rsidRPr="00CF1B34">
        <w:rPr>
          <w:rStyle w:val="Textoennegrita"/>
          <w:rFonts w:ascii="Arial" w:hAnsi="Arial" w:cs="Arial"/>
          <w:sz w:val="22"/>
          <w:szCs w:val="22"/>
          <w:lang w:val="es-ES_tradnl"/>
        </w:rPr>
        <w:t>El despido disciplinario se produce por “incumplimiento grave y culpable del trabajador”.</w:t>
      </w:r>
      <w:r w:rsidRPr="00CF1B34">
        <w:rPr>
          <w:rFonts w:ascii="Arial" w:hAnsi="Arial" w:cs="Arial"/>
          <w:sz w:val="22"/>
          <w:szCs w:val="22"/>
          <w:lang w:val="es-ES_tradnl"/>
        </w:rPr>
        <w:t xml:space="preserve"> Por consiguiente, en este caso, el empleado no va a tener derecho a una indemnización por despido. Además, se puede efectuar sin preaviso. Pero, </w:t>
      </w:r>
      <w:r w:rsidRPr="00CF1B34">
        <w:rPr>
          <w:rStyle w:val="Textoennegrita"/>
          <w:rFonts w:ascii="Arial" w:hAnsi="Arial" w:cs="Arial"/>
          <w:sz w:val="22"/>
          <w:szCs w:val="22"/>
          <w:lang w:val="es-ES_tradnl"/>
        </w:rPr>
        <w:t>¿qué entendemos como incumplimientos graves?</w:t>
      </w:r>
      <w:r w:rsidRPr="00CF1B34">
        <w:rPr>
          <w:rFonts w:ascii="Arial" w:hAnsi="Arial" w:cs="Arial"/>
          <w:sz w:val="22"/>
          <w:szCs w:val="22"/>
          <w:lang w:val="es-ES_tradnl"/>
        </w:rPr>
        <w:t> Estos son algunos ejemplos:</w:t>
      </w:r>
    </w:p>
    <w:p w14:paraId="74B69E27" w14:textId="77777777" w:rsidR="00D039E1" w:rsidRPr="00CF1B34" w:rsidRDefault="00D039E1" w:rsidP="004F7A62">
      <w:pPr>
        <w:numPr>
          <w:ilvl w:val="0"/>
          <w:numId w:val="175"/>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color w:val="212529"/>
          <w:sz w:val="22"/>
          <w:szCs w:val="22"/>
          <w:lang w:val="es-ES_tradnl"/>
        </w:rPr>
        <w:t>Acoso laboral por razones de sexo, raza, etnia, religión, discapacidad, convicciones, edad u orientación sexual.</w:t>
      </w:r>
    </w:p>
    <w:p w14:paraId="1CDE3EE6" w14:textId="77777777" w:rsidR="00D039E1" w:rsidRPr="00CF1B34" w:rsidRDefault="00D039E1" w:rsidP="004F7A62">
      <w:pPr>
        <w:numPr>
          <w:ilvl w:val="0"/>
          <w:numId w:val="175"/>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color w:val="212529"/>
          <w:sz w:val="22"/>
          <w:szCs w:val="22"/>
          <w:lang w:val="es-ES_tradnl"/>
        </w:rPr>
        <w:t>Ofensas verbales o físicas al empresario o a otros compañeros.</w:t>
      </w:r>
    </w:p>
    <w:p w14:paraId="151FB36E" w14:textId="77777777" w:rsidR="00D039E1" w:rsidRPr="00CF1B34" w:rsidRDefault="00D039E1" w:rsidP="004F7A62">
      <w:pPr>
        <w:numPr>
          <w:ilvl w:val="0"/>
          <w:numId w:val="175"/>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color w:val="212529"/>
          <w:sz w:val="22"/>
          <w:szCs w:val="22"/>
          <w:lang w:val="es-ES_tradnl"/>
        </w:rPr>
        <w:t>Hurtos de materiales, productos, herramientas…</w:t>
      </w:r>
    </w:p>
    <w:p w14:paraId="7C334D70" w14:textId="77777777" w:rsidR="00D039E1" w:rsidRPr="00CF1B34" w:rsidRDefault="00D039E1" w:rsidP="004F7A62">
      <w:pPr>
        <w:numPr>
          <w:ilvl w:val="0"/>
          <w:numId w:val="175"/>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color w:val="212529"/>
          <w:sz w:val="22"/>
          <w:szCs w:val="22"/>
          <w:lang w:val="es-ES_tradnl"/>
        </w:rPr>
        <w:t>Indisciplina o desobediencia.</w:t>
      </w:r>
    </w:p>
    <w:p w14:paraId="572EB0A8" w14:textId="77777777" w:rsidR="00D039E1" w:rsidRPr="00CF1B34" w:rsidRDefault="00D039E1" w:rsidP="004F7A62">
      <w:pPr>
        <w:numPr>
          <w:ilvl w:val="0"/>
          <w:numId w:val="175"/>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color w:val="212529"/>
          <w:sz w:val="22"/>
          <w:szCs w:val="22"/>
          <w:lang w:val="es-ES_tradnl"/>
        </w:rPr>
        <w:t>Absentismo laboral o faltas injustificadas y repetidas de asistencia o puntualidad.</w:t>
      </w:r>
    </w:p>
    <w:p w14:paraId="353BF752" w14:textId="77777777" w:rsidR="00D039E1" w:rsidRPr="00CF1B34" w:rsidRDefault="00D039E1" w:rsidP="0005621A">
      <w:pPr>
        <w:pStyle w:val="Ttulo3"/>
        <w:shd w:val="clear" w:color="auto" w:fill="FFFFFF"/>
        <w:ind w:firstLine="708"/>
        <w:jc w:val="both"/>
        <w:rPr>
          <w:rFonts w:ascii="Arial" w:hAnsi="Arial" w:cs="Arial"/>
          <w:color w:val="FF0066"/>
          <w:sz w:val="22"/>
          <w:szCs w:val="22"/>
          <w:lang w:val="es-ES_tradnl"/>
        </w:rPr>
      </w:pPr>
      <w:r w:rsidRPr="00CF1B34">
        <w:rPr>
          <w:rFonts w:ascii="Arial" w:hAnsi="Arial" w:cs="Arial"/>
          <w:color w:val="FF0066"/>
          <w:sz w:val="22"/>
          <w:szCs w:val="22"/>
          <w:lang w:val="es-ES_tradnl"/>
        </w:rPr>
        <w:t>Despido colectivo</w:t>
      </w:r>
    </w:p>
    <w:p w14:paraId="588BD9E8" w14:textId="09E64B8F" w:rsidR="00D039E1" w:rsidRPr="00CF1B34" w:rsidRDefault="00D039E1" w:rsidP="0005621A">
      <w:pPr>
        <w:pStyle w:val="NormalWeb"/>
        <w:shd w:val="clear" w:color="auto" w:fill="FFFFFF"/>
        <w:ind w:left="708"/>
        <w:jc w:val="both"/>
        <w:rPr>
          <w:rFonts w:ascii="Arial" w:hAnsi="Arial" w:cs="Arial"/>
          <w:sz w:val="22"/>
          <w:szCs w:val="22"/>
          <w:lang w:val="es-ES_tradnl"/>
        </w:rPr>
      </w:pPr>
      <w:r w:rsidRPr="00CF1B34">
        <w:rPr>
          <w:rFonts w:ascii="Arial" w:hAnsi="Arial" w:cs="Arial"/>
          <w:sz w:val="22"/>
          <w:szCs w:val="22"/>
          <w:lang w:val="es-ES_tradnl"/>
        </w:rPr>
        <w:t xml:space="preserve">Por su parte, otro de los tipos de despido más conocidos es el </w:t>
      </w:r>
      <w:r w:rsidRPr="00CF1B34">
        <w:rPr>
          <w:rStyle w:val="Textoennegrita"/>
          <w:rFonts w:ascii="Arial" w:hAnsi="Arial" w:cs="Arial"/>
          <w:sz w:val="22"/>
          <w:szCs w:val="22"/>
          <w:lang w:val="es-ES_tradnl"/>
        </w:rPr>
        <w:t>colectivo o Expediente de Regulación de Empleo de Extinción o ERE de extinción</w:t>
      </w:r>
      <w:r w:rsidRPr="00CF1B34">
        <w:rPr>
          <w:rFonts w:ascii="Arial" w:hAnsi="Arial" w:cs="Arial"/>
          <w:sz w:val="22"/>
          <w:szCs w:val="22"/>
          <w:lang w:val="es-ES_tradnl"/>
        </w:rPr>
        <w:t>, que no ERTE. Este tipo de despido se realiza en un período de 90 días a, como mínimo, 10 trabajadores en una empresa de menos de 100 empleados, el 10% de la plantilla de una organización entre 100-300 empleados o a 30 trabajadores en empresas con más de 300 trabajadores.</w:t>
      </w:r>
    </w:p>
    <w:p w14:paraId="08338050" w14:textId="1C161A4E" w:rsidR="00D039E1" w:rsidRPr="00CF1B34" w:rsidRDefault="00D039E1" w:rsidP="0005621A">
      <w:pPr>
        <w:pStyle w:val="NormalWeb"/>
        <w:shd w:val="clear" w:color="auto" w:fill="FFFFFF"/>
        <w:ind w:left="708"/>
        <w:jc w:val="both"/>
        <w:rPr>
          <w:rFonts w:ascii="Arial" w:hAnsi="Arial" w:cs="Arial"/>
          <w:sz w:val="22"/>
          <w:szCs w:val="22"/>
          <w:lang w:val="es-ES_tradnl"/>
        </w:rPr>
      </w:pPr>
      <w:r w:rsidRPr="00CF1B34">
        <w:rPr>
          <w:rStyle w:val="Textoennegrita"/>
          <w:rFonts w:ascii="Arial" w:hAnsi="Arial" w:cs="Arial"/>
          <w:sz w:val="22"/>
          <w:szCs w:val="22"/>
          <w:lang w:val="es-ES_tradnl"/>
        </w:rPr>
        <w:t>Causas económicas, técnicas, organizativas o de producción</w:t>
      </w:r>
      <w:r w:rsidRPr="00CF1B34">
        <w:rPr>
          <w:rFonts w:ascii="Arial" w:hAnsi="Arial" w:cs="Arial"/>
          <w:sz w:val="22"/>
          <w:szCs w:val="22"/>
          <w:lang w:val="es-ES_tradnl"/>
        </w:rPr>
        <w:t xml:space="preserve"> son las distintas razones que puede aportar la empresa para justificar este despido masivo. Cabe señalar que el despido colectivo queda regulado por el artículo 51 del Estatuto de los </w:t>
      </w:r>
      <w:r w:rsidRPr="00CF1B34">
        <w:rPr>
          <w:rFonts w:ascii="Arial" w:hAnsi="Arial" w:cs="Arial"/>
          <w:sz w:val="22"/>
          <w:szCs w:val="22"/>
          <w:lang w:val="es-ES_tradnl"/>
        </w:rPr>
        <w:lastRenderedPageBreak/>
        <w:t>Trabajadores, en el que se establece un comité representativo de los trabajadores, un período de consultas entre la empresa y los representantes legales de los empleados, comunicación de la empresa de la decisión final, etc.</w:t>
      </w:r>
    </w:p>
    <w:p w14:paraId="79C28425" w14:textId="228C0795" w:rsidR="00D039E1" w:rsidRPr="00CF1B34" w:rsidRDefault="00D039E1" w:rsidP="0005621A">
      <w:pPr>
        <w:shd w:val="clear" w:color="auto" w:fill="FFFFFF"/>
        <w:spacing w:before="100" w:beforeAutospacing="1"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Otro de los tipos de despido que se puede dar en España, es el llamado </w:t>
      </w:r>
      <w:r w:rsidRPr="00CF1B34">
        <w:rPr>
          <w:rFonts w:ascii="Arial" w:hAnsi="Arial" w:cs="Arial"/>
          <w:color w:val="FF0000"/>
          <w:sz w:val="22"/>
          <w:szCs w:val="22"/>
          <w:lang w:val="es-ES_tradnl"/>
        </w:rPr>
        <w:t>despido nulo.</w:t>
      </w:r>
      <w:r w:rsidRPr="00CF1B34">
        <w:rPr>
          <w:rFonts w:ascii="Arial" w:hAnsi="Arial" w:cs="Arial"/>
          <w:sz w:val="22"/>
          <w:szCs w:val="22"/>
          <w:lang w:val="es-ES_tradnl"/>
        </w:rPr>
        <w:t xml:space="preserve"> Como su propio nombre indica, </w:t>
      </w:r>
      <w:r w:rsidRPr="00CF1B34">
        <w:rPr>
          <w:rFonts w:ascii="Arial" w:hAnsi="Arial" w:cs="Arial"/>
          <w:b/>
          <w:bCs/>
          <w:sz w:val="22"/>
          <w:szCs w:val="22"/>
          <w:lang w:val="es-ES_tradnl"/>
        </w:rPr>
        <w:t>es el despido que al final no puede llevarse a cabo</w:t>
      </w:r>
      <w:r w:rsidRPr="00CF1B34">
        <w:rPr>
          <w:rFonts w:ascii="Arial" w:hAnsi="Arial" w:cs="Arial"/>
          <w:sz w:val="22"/>
          <w:szCs w:val="22"/>
          <w:lang w:val="es-ES_tradnl"/>
        </w:rPr>
        <w:t>, ya que se están vulnerando los derechos fundamentales del trabajador o trabajadora. De ahí que se considere que la empresa en cuestión esté discriminando a la persona despedida. Por consiguiente, este tipo de despido está prohibido ante la legislación española.</w:t>
      </w:r>
    </w:p>
    <w:p w14:paraId="365481D1" w14:textId="77777777" w:rsidR="00D039E1" w:rsidRPr="00CF1B34" w:rsidRDefault="00D039E1" w:rsidP="0005621A">
      <w:pPr>
        <w:shd w:val="clear" w:color="auto" w:fill="FFFFFF"/>
        <w:spacing w:before="100" w:beforeAutospacing="1" w:after="100" w:afterAutospacing="1"/>
        <w:ind w:left="708"/>
        <w:jc w:val="both"/>
        <w:rPr>
          <w:rFonts w:ascii="Arial" w:hAnsi="Arial" w:cs="Arial"/>
          <w:sz w:val="22"/>
          <w:szCs w:val="22"/>
          <w:lang w:val="es-ES_tradnl"/>
        </w:rPr>
      </w:pPr>
      <w:r w:rsidRPr="00CF1B34">
        <w:rPr>
          <w:rFonts w:ascii="Arial" w:hAnsi="Arial" w:cs="Arial"/>
          <w:i/>
          <w:iCs/>
          <w:sz w:val="22"/>
          <w:szCs w:val="22"/>
          <w:lang w:val="es-ES_tradnl"/>
        </w:rPr>
        <w:t>Así, si se despide a un trabajador o trabajadora que esté amparado por la ley, el juez podrá declarar la nulidad del despido.</w:t>
      </w:r>
    </w:p>
    <w:p w14:paraId="63050ADC" w14:textId="77777777" w:rsidR="00D039E1" w:rsidRPr="00CF1B34" w:rsidRDefault="00D039E1" w:rsidP="0005621A">
      <w:pPr>
        <w:shd w:val="clear" w:color="auto" w:fill="FFFFFF"/>
        <w:spacing w:before="100" w:beforeAutospacing="1"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ejemplo, </w:t>
      </w:r>
      <w:r w:rsidRPr="00CF1B34">
        <w:rPr>
          <w:rFonts w:ascii="Arial" w:hAnsi="Arial" w:cs="Arial"/>
          <w:b/>
          <w:bCs/>
          <w:sz w:val="22"/>
          <w:szCs w:val="22"/>
          <w:lang w:val="es-ES_tradnl"/>
        </w:rPr>
        <w:t>los despidos a mujeres embarazadas</w:t>
      </w:r>
      <w:r w:rsidRPr="00CF1B34">
        <w:rPr>
          <w:rFonts w:ascii="Arial" w:hAnsi="Arial" w:cs="Arial"/>
          <w:sz w:val="22"/>
          <w:szCs w:val="22"/>
          <w:lang w:val="es-ES_tradnl"/>
        </w:rPr>
        <w:t> son declarados nulos; puesto que la ley considera que la trabajadora se encuentra en una situación de discriminación.</w:t>
      </w:r>
    </w:p>
    <w:p w14:paraId="537E9541" w14:textId="77777777" w:rsidR="00D039E1" w:rsidRPr="00CF1B34" w:rsidRDefault="00D039E1" w:rsidP="0005621A">
      <w:pPr>
        <w:shd w:val="clear" w:color="auto" w:fill="FFFFFF"/>
        <w:spacing w:before="100" w:beforeAutospacing="1" w:after="100" w:afterAutospacing="1"/>
        <w:ind w:firstLine="708"/>
        <w:jc w:val="both"/>
        <w:rPr>
          <w:rFonts w:ascii="Arial" w:hAnsi="Arial" w:cs="Arial"/>
          <w:sz w:val="22"/>
          <w:szCs w:val="22"/>
          <w:lang w:val="es-ES_tradnl"/>
        </w:rPr>
      </w:pPr>
      <w:r w:rsidRPr="00CF1B34">
        <w:rPr>
          <w:rFonts w:ascii="Arial" w:hAnsi="Arial" w:cs="Arial"/>
          <w:sz w:val="22"/>
          <w:szCs w:val="22"/>
          <w:lang w:val="es-ES_tradnl"/>
        </w:rPr>
        <w:t>Así, el despido nulo tiene consecuencias:</w:t>
      </w:r>
    </w:p>
    <w:p w14:paraId="3A30B7B4" w14:textId="77777777" w:rsidR="00D039E1" w:rsidRPr="00CF1B34" w:rsidRDefault="00D039E1" w:rsidP="004F7A62">
      <w:pPr>
        <w:numPr>
          <w:ilvl w:val="0"/>
          <w:numId w:val="176"/>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color w:val="212529"/>
          <w:sz w:val="22"/>
          <w:szCs w:val="22"/>
          <w:lang w:val="es-ES_tradnl"/>
        </w:rPr>
        <w:t>Se debe reincorporar de inmediato al empleado.</w:t>
      </w:r>
    </w:p>
    <w:p w14:paraId="7A044D1A" w14:textId="77777777" w:rsidR="00D039E1" w:rsidRPr="00CF1B34" w:rsidRDefault="00D039E1" w:rsidP="004F7A62">
      <w:pPr>
        <w:numPr>
          <w:ilvl w:val="0"/>
          <w:numId w:val="176"/>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color w:val="212529"/>
          <w:sz w:val="22"/>
          <w:szCs w:val="22"/>
          <w:lang w:val="es-ES_tradnl"/>
        </w:rPr>
        <w:t>Se debe proceder al pago de los salarios de tramitación; es decir, todos los salarios correspondientes —que no ha percibido el empleado— entre el tiempo que se produjo el despido y la sentencia judicial.</w:t>
      </w:r>
    </w:p>
    <w:p w14:paraId="28E4BCA2" w14:textId="77777777" w:rsidR="00DD3181" w:rsidRPr="00CF1B34" w:rsidRDefault="00DD3181" w:rsidP="0005621A">
      <w:pPr>
        <w:pStyle w:val="Ttulo2"/>
        <w:shd w:val="clear" w:color="auto" w:fill="FFFFFF"/>
        <w:ind w:firstLine="708"/>
        <w:jc w:val="both"/>
        <w:rPr>
          <w:rFonts w:ascii="Arial" w:hAnsi="Arial" w:cs="Arial"/>
          <w:sz w:val="22"/>
          <w:szCs w:val="22"/>
          <w:lang w:val="es-ES_tradnl"/>
        </w:rPr>
      </w:pPr>
      <w:r w:rsidRPr="00CF1B34">
        <w:rPr>
          <w:rFonts w:ascii="Arial" w:hAnsi="Arial" w:cs="Arial"/>
          <w:sz w:val="22"/>
          <w:szCs w:val="22"/>
          <w:lang w:val="es-ES_tradnl"/>
        </w:rPr>
        <w:t>El despido procedente e improcedente</w:t>
      </w:r>
    </w:p>
    <w:p w14:paraId="6A254D5E" w14:textId="77777777" w:rsidR="00DD3181" w:rsidRPr="00CF1B34" w:rsidRDefault="00DD3181" w:rsidP="0005621A">
      <w:pPr>
        <w:pStyle w:val="NormalWeb"/>
        <w:shd w:val="clear" w:color="auto" w:fill="FFFFFF"/>
        <w:ind w:left="708"/>
        <w:jc w:val="both"/>
        <w:rPr>
          <w:rFonts w:ascii="Arial" w:hAnsi="Arial" w:cs="Arial"/>
          <w:sz w:val="22"/>
          <w:szCs w:val="22"/>
          <w:lang w:val="es-ES_tradnl"/>
        </w:rPr>
      </w:pPr>
      <w:r w:rsidRPr="00CF1B34">
        <w:rPr>
          <w:rFonts w:ascii="Arial" w:hAnsi="Arial" w:cs="Arial"/>
          <w:sz w:val="22"/>
          <w:szCs w:val="22"/>
          <w:lang w:val="es-ES_tradnl"/>
        </w:rPr>
        <w:t>Esta clasificación procede del </w:t>
      </w:r>
      <w:r w:rsidRPr="00CF1B34">
        <w:rPr>
          <w:rStyle w:val="Textoennegrita"/>
          <w:rFonts w:ascii="Arial" w:hAnsi="Arial" w:cs="Arial"/>
          <w:sz w:val="22"/>
          <w:szCs w:val="22"/>
          <w:lang w:val="es-ES_tradnl"/>
        </w:rPr>
        <w:t>resultado judicial</w:t>
      </w:r>
      <w:r w:rsidRPr="00CF1B34">
        <w:rPr>
          <w:rFonts w:ascii="Arial" w:hAnsi="Arial" w:cs="Arial"/>
          <w:sz w:val="22"/>
          <w:szCs w:val="22"/>
          <w:lang w:val="es-ES_tradnl"/>
        </w:rPr>
        <w:t>. Así, dependiendo de lo que valore el juez, vemos dos tipos de despido: despido procedente y despido improcedente.</w:t>
      </w:r>
    </w:p>
    <w:p w14:paraId="34160A08" w14:textId="77777777" w:rsidR="00DD3181" w:rsidRPr="00CF1B34" w:rsidRDefault="00DD3181" w:rsidP="0005621A">
      <w:pPr>
        <w:pStyle w:val="Ttulo3"/>
        <w:shd w:val="clear" w:color="auto" w:fill="FFFFFF"/>
        <w:ind w:firstLine="708"/>
        <w:jc w:val="both"/>
        <w:rPr>
          <w:rFonts w:ascii="Arial" w:hAnsi="Arial" w:cs="Arial"/>
          <w:color w:val="FF0066"/>
          <w:sz w:val="22"/>
          <w:szCs w:val="22"/>
          <w:lang w:val="es-ES_tradnl"/>
        </w:rPr>
      </w:pPr>
      <w:r w:rsidRPr="00CF1B34">
        <w:rPr>
          <w:rFonts w:ascii="Arial" w:hAnsi="Arial" w:cs="Arial"/>
          <w:color w:val="FF0066"/>
          <w:sz w:val="22"/>
          <w:szCs w:val="22"/>
          <w:lang w:val="es-ES_tradnl"/>
        </w:rPr>
        <w:t>Despido procedente</w:t>
      </w:r>
    </w:p>
    <w:p w14:paraId="4C8BAA8D" w14:textId="77777777" w:rsidR="00DD3181" w:rsidRPr="00CF1B34" w:rsidRDefault="00DD3181" w:rsidP="0005621A">
      <w:pPr>
        <w:pStyle w:val="NormalWeb"/>
        <w:shd w:val="clear" w:color="auto" w:fill="FFFFFF"/>
        <w:ind w:left="708"/>
        <w:jc w:val="both"/>
        <w:rPr>
          <w:rFonts w:ascii="Arial" w:hAnsi="Arial" w:cs="Arial"/>
          <w:sz w:val="22"/>
          <w:szCs w:val="22"/>
          <w:lang w:val="es-ES_tradnl"/>
        </w:rPr>
      </w:pPr>
      <w:r w:rsidRPr="00CF1B34">
        <w:rPr>
          <w:rFonts w:ascii="Arial" w:hAnsi="Arial" w:cs="Arial"/>
          <w:sz w:val="22"/>
          <w:szCs w:val="22"/>
          <w:lang w:val="es-ES_tradnl"/>
        </w:rPr>
        <w:t>Es el tipo de despido que </w:t>
      </w:r>
      <w:r w:rsidRPr="00CF1B34">
        <w:rPr>
          <w:rStyle w:val="Textoennegrita"/>
          <w:rFonts w:ascii="Arial" w:hAnsi="Arial" w:cs="Arial"/>
          <w:sz w:val="22"/>
          <w:szCs w:val="22"/>
          <w:lang w:val="es-ES_tradnl"/>
        </w:rPr>
        <w:t>está justificado</w:t>
      </w:r>
      <w:r w:rsidRPr="00CF1B34">
        <w:rPr>
          <w:rFonts w:ascii="Arial" w:hAnsi="Arial" w:cs="Arial"/>
          <w:sz w:val="22"/>
          <w:szCs w:val="22"/>
          <w:lang w:val="es-ES_tradnl"/>
        </w:rPr>
        <w:t> por el empresario y cuyo proceso ha sido el debido. Así, en un despido objetivo se cobrará la ya mencionada indemnización de 20 días por año y en un despido disciplinario no se tendrá derecho a dicho tipo de indemnización.</w:t>
      </w:r>
    </w:p>
    <w:p w14:paraId="251AAE4E" w14:textId="77777777" w:rsidR="00DD3181" w:rsidRPr="00CF1B34" w:rsidRDefault="00DD3181" w:rsidP="0005621A">
      <w:pPr>
        <w:pStyle w:val="Ttulo3"/>
        <w:shd w:val="clear" w:color="auto" w:fill="FFFFFF"/>
        <w:ind w:firstLine="708"/>
        <w:jc w:val="both"/>
        <w:rPr>
          <w:rFonts w:ascii="Arial" w:hAnsi="Arial" w:cs="Arial"/>
          <w:color w:val="FF0066"/>
          <w:sz w:val="22"/>
          <w:szCs w:val="22"/>
          <w:lang w:val="es-ES_tradnl"/>
        </w:rPr>
      </w:pPr>
      <w:r w:rsidRPr="00CF1B34">
        <w:rPr>
          <w:rFonts w:ascii="Arial" w:hAnsi="Arial" w:cs="Arial"/>
          <w:color w:val="FF0066"/>
          <w:sz w:val="22"/>
          <w:szCs w:val="22"/>
          <w:lang w:val="es-ES_tradnl"/>
        </w:rPr>
        <w:t>Despido improcedente</w:t>
      </w:r>
    </w:p>
    <w:p w14:paraId="0BAC712E" w14:textId="77777777" w:rsidR="00DD3181" w:rsidRPr="00CF1B34" w:rsidRDefault="00DD3181" w:rsidP="0005621A">
      <w:pPr>
        <w:pStyle w:val="NormalWeb"/>
        <w:shd w:val="clear" w:color="auto" w:fill="FFFFFF"/>
        <w:ind w:left="708"/>
        <w:jc w:val="both"/>
        <w:rPr>
          <w:rStyle w:val="Textoennegrita"/>
          <w:rFonts w:ascii="Arial" w:hAnsi="Arial" w:cs="Arial"/>
          <w:lang w:val="es-ES_tradnl"/>
        </w:rPr>
      </w:pPr>
      <w:r w:rsidRPr="00CF1B34">
        <w:rPr>
          <w:rFonts w:ascii="Arial" w:hAnsi="Arial" w:cs="Arial"/>
          <w:sz w:val="22"/>
          <w:szCs w:val="22"/>
          <w:lang w:val="es-ES_tradnl"/>
        </w:rPr>
        <w:t xml:space="preserve">En este caso, </w:t>
      </w:r>
      <w:r w:rsidRPr="00CF1B34">
        <w:rPr>
          <w:rStyle w:val="Textoennegrita"/>
          <w:rFonts w:ascii="Arial" w:hAnsi="Arial" w:cs="Arial"/>
          <w:sz w:val="22"/>
          <w:szCs w:val="22"/>
          <w:lang w:val="es-ES_tradnl"/>
        </w:rPr>
        <w:t xml:space="preserve">el empresario no ha sido capaz de demostrar </w:t>
      </w:r>
      <w:r w:rsidRPr="00CF1B34">
        <w:rPr>
          <w:rFonts w:ascii="Arial" w:hAnsi="Arial" w:cs="Arial"/>
          <w:sz w:val="22"/>
          <w:szCs w:val="22"/>
          <w:lang w:val="es-ES_tradnl"/>
        </w:rPr>
        <w:t>el incumplimiento de su contrato de trabajo por parte del trabajador o no se ha seguido los requisitos dictados por ley. De este modo, la organización se verá obligada a readmitir al trabajador a su puesto de trabajo. Tendrá que pagarle todos los salarios correspondientes desde la fecha del despido hasta su fecha de incorporación o indemnizar al trabajador con 33 días por año trabajado o con 45 días por año trabajado (los años cotizados antes del 11 de febrero de 2012 con el cambio de la Reforma Laboral).</w:t>
      </w:r>
      <w:r w:rsidRPr="00CF1B34">
        <w:rPr>
          <w:rStyle w:val="Textoennegrita"/>
          <w:rFonts w:ascii="Arial" w:hAnsi="Arial" w:cs="Arial"/>
          <w:lang w:val="es-ES_tradnl"/>
        </w:rPr>
        <w:t xml:space="preserve"> </w:t>
      </w:r>
    </w:p>
    <w:p w14:paraId="39DDD98D" w14:textId="2551548E" w:rsidR="00DD3181" w:rsidRPr="00CF1B34" w:rsidRDefault="00DD3181" w:rsidP="0005621A">
      <w:pPr>
        <w:pStyle w:val="NormalWeb"/>
        <w:shd w:val="clear" w:color="auto" w:fill="FFFFFF"/>
        <w:ind w:left="720"/>
        <w:jc w:val="both"/>
        <w:rPr>
          <w:rFonts w:ascii="Arial" w:hAnsi="Arial" w:cs="Arial"/>
          <w:sz w:val="22"/>
          <w:szCs w:val="22"/>
          <w:lang w:val="es-ES_tradnl"/>
        </w:rPr>
      </w:pPr>
      <w:r w:rsidRPr="00CF1B34">
        <w:rPr>
          <w:rFonts w:ascii="Arial" w:hAnsi="Arial" w:cs="Arial"/>
          <w:b/>
          <w:bCs/>
          <w:sz w:val="22"/>
          <w:szCs w:val="22"/>
          <w:lang w:val="es-ES_tradnl"/>
        </w:rPr>
        <w:t>El despido está basado en todo un procedimiento</w:t>
      </w:r>
      <w:r w:rsidRPr="00CF1B34">
        <w:rPr>
          <w:rFonts w:ascii="Arial" w:hAnsi="Arial" w:cs="Arial"/>
          <w:sz w:val="22"/>
          <w:szCs w:val="22"/>
          <w:lang w:val="es-ES_tradnl"/>
        </w:rPr>
        <w:t>. Son varias las fases que lo conforman:</w:t>
      </w:r>
    </w:p>
    <w:p w14:paraId="0EEFC9C5" w14:textId="0A0626C2" w:rsidR="00DD3181" w:rsidRPr="00CF1B34" w:rsidRDefault="00DD3181" w:rsidP="004F7A62">
      <w:pPr>
        <w:numPr>
          <w:ilvl w:val="0"/>
          <w:numId w:val="177"/>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b/>
          <w:bCs/>
          <w:color w:val="212529"/>
          <w:sz w:val="22"/>
          <w:szCs w:val="22"/>
          <w:lang w:val="es-ES_tradnl"/>
        </w:rPr>
        <w:t>Preaviso:</w:t>
      </w:r>
      <w:r w:rsidRPr="00CF1B34">
        <w:rPr>
          <w:rFonts w:ascii="Arial" w:hAnsi="Arial" w:cs="Arial"/>
          <w:color w:val="212529"/>
          <w:sz w:val="22"/>
          <w:szCs w:val="22"/>
          <w:lang w:val="es-ES_tradnl"/>
        </w:rPr>
        <w:t xml:space="preserve"> En caso de despido objetivo es de carácter obligatorio, 15 días de antelación —como mínimo— tendrá el empresario para notificar el despido.</w:t>
      </w:r>
    </w:p>
    <w:p w14:paraId="201C525A" w14:textId="6F9A8804" w:rsidR="00DD3181" w:rsidRPr="00CF1B34" w:rsidRDefault="00DD3181" w:rsidP="004F7A62">
      <w:pPr>
        <w:numPr>
          <w:ilvl w:val="0"/>
          <w:numId w:val="177"/>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b/>
          <w:bCs/>
          <w:color w:val="212529"/>
          <w:sz w:val="22"/>
          <w:szCs w:val="22"/>
          <w:lang w:val="es-ES_tradnl"/>
        </w:rPr>
        <w:lastRenderedPageBreak/>
        <w:t>Carta de despido:</w:t>
      </w:r>
      <w:r w:rsidRPr="00CF1B34">
        <w:rPr>
          <w:rFonts w:ascii="Arial" w:hAnsi="Arial" w:cs="Arial"/>
          <w:color w:val="212529"/>
          <w:sz w:val="22"/>
          <w:szCs w:val="22"/>
          <w:lang w:val="es-ES_tradnl"/>
        </w:rPr>
        <w:t xml:space="preserve"> Se trata del documento que la organización presenta por escrito y sirve para comunicar de forma oficial al trabajador su despido. En ella, se debe de dar una explicación clara sobre las causas del despido, así como la fecha del mismo. La carta del despido puede ser entregada en mano o enviada por correo, con acuse de recibo.</w:t>
      </w:r>
    </w:p>
    <w:p w14:paraId="798FFA9E" w14:textId="220AE178" w:rsidR="00DD3181" w:rsidRPr="00CF1B34" w:rsidRDefault="00DD3181" w:rsidP="004F7A62">
      <w:pPr>
        <w:numPr>
          <w:ilvl w:val="0"/>
          <w:numId w:val="177"/>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b/>
          <w:bCs/>
          <w:color w:val="212529"/>
          <w:sz w:val="22"/>
          <w:szCs w:val="22"/>
          <w:lang w:val="es-ES_tradnl"/>
        </w:rPr>
        <w:t>Finiquito:</w:t>
      </w:r>
      <w:r w:rsidRPr="00CF1B34">
        <w:rPr>
          <w:rFonts w:ascii="Arial" w:hAnsi="Arial" w:cs="Arial"/>
          <w:color w:val="212529"/>
          <w:sz w:val="22"/>
          <w:szCs w:val="22"/>
          <w:lang w:val="es-ES_tradnl"/>
        </w:rPr>
        <w:t xml:space="preserve"> Que no indemnización. Este pago corresponde a las vacaciones, los salarios y la parte proporcional de pagas extra.</w:t>
      </w:r>
    </w:p>
    <w:p w14:paraId="31FC6A10" w14:textId="3B7DACD2" w:rsidR="00F15B44" w:rsidRPr="00CF1B34" w:rsidRDefault="00DD3181" w:rsidP="004F7A62">
      <w:pPr>
        <w:numPr>
          <w:ilvl w:val="0"/>
          <w:numId w:val="177"/>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b/>
          <w:bCs/>
          <w:color w:val="212529"/>
          <w:sz w:val="22"/>
          <w:szCs w:val="22"/>
          <w:lang w:val="es-ES_tradnl"/>
        </w:rPr>
        <w:t>Indemnización por despido:</w:t>
      </w:r>
      <w:r w:rsidRPr="00CF1B34">
        <w:rPr>
          <w:rFonts w:ascii="Arial" w:hAnsi="Arial" w:cs="Arial"/>
          <w:color w:val="212529"/>
          <w:sz w:val="22"/>
          <w:szCs w:val="22"/>
          <w:lang w:val="es-ES_tradnl"/>
        </w:rPr>
        <w:t xml:space="preserve"> La cuantía que la empresa abona por el despido.</w:t>
      </w:r>
    </w:p>
    <w:p w14:paraId="089FD46A" w14:textId="77777777" w:rsidR="00F15B44" w:rsidRPr="00CF1B34" w:rsidRDefault="00F15B44" w:rsidP="0005621A">
      <w:pPr>
        <w:shd w:val="clear" w:color="auto" w:fill="FFFFFF"/>
        <w:spacing w:before="100" w:beforeAutospacing="1" w:after="100" w:afterAutospacing="1"/>
        <w:ind w:left="708"/>
        <w:jc w:val="both"/>
        <w:rPr>
          <w:rFonts w:ascii="Arial" w:hAnsi="Arial" w:cs="Arial"/>
          <w:sz w:val="22"/>
          <w:szCs w:val="22"/>
          <w:lang w:val="es-ES_tradnl"/>
        </w:rPr>
      </w:pPr>
      <w:r w:rsidRPr="00CF1B34">
        <w:rPr>
          <w:rFonts w:ascii="Arial" w:hAnsi="Arial" w:cs="Arial"/>
          <w:b/>
          <w:bCs/>
          <w:sz w:val="22"/>
          <w:szCs w:val="22"/>
          <w:lang w:val="es-ES_tradnl"/>
        </w:rPr>
        <w:t>¿Y si el trabajador no está conforme?</w:t>
      </w:r>
      <w:r w:rsidRPr="00CF1B34">
        <w:rPr>
          <w:rFonts w:ascii="Arial" w:hAnsi="Arial" w:cs="Arial"/>
          <w:sz w:val="22"/>
          <w:szCs w:val="22"/>
          <w:lang w:val="es-ES_tradnl"/>
        </w:rPr>
        <w:t> Este cuenta con un período de 20 días para impugnar judicialmente el despido, a partir de la fecha efectiva del despido, que vendrá marcada en la propia carta.</w:t>
      </w:r>
    </w:p>
    <w:p w14:paraId="76A4A9B7" w14:textId="77777777" w:rsidR="00F15B44" w:rsidRPr="00CF1B34" w:rsidRDefault="00F15B44" w:rsidP="0005621A">
      <w:pPr>
        <w:shd w:val="clear" w:color="auto" w:fill="FFFFFF"/>
        <w:spacing w:before="100" w:beforeAutospacing="1" w:after="100" w:afterAutospacing="1"/>
        <w:ind w:firstLine="708"/>
        <w:jc w:val="both"/>
        <w:rPr>
          <w:rFonts w:ascii="Arial" w:hAnsi="Arial" w:cs="Arial"/>
          <w:sz w:val="22"/>
          <w:szCs w:val="22"/>
          <w:lang w:val="es-ES_tradnl"/>
        </w:rPr>
      </w:pPr>
      <w:r w:rsidRPr="00CF1B34">
        <w:rPr>
          <w:rFonts w:ascii="Arial" w:hAnsi="Arial" w:cs="Arial"/>
          <w:sz w:val="22"/>
          <w:szCs w:val="22"/>
          <w:lang w:val="es-ES_tradnl"/>
        </w:rPr>
        <w:t>Así, dispone de 2 vías judiciales:</w:t>
      </w:r>
    </w:p>
    <w:p w14:paraId="260FCF10" w14:textId="77777777" w:rsidR="00F15B44" w:rsidRPr="00CF1B34" w:rsidRDefault="00F15B44" w:rsidP="004F7A62">
      <w:pPr>
        <w:numPr>
          <w:ilvl w:val="0"/>
          <w:numId w:val="177"/>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b/>
          <w:bCs/>
          <w:color w:val="212529"/>
          <w:sz w:val="22"/>
          <w:szCs w:val="22"/>
          <w:lang w:val="es-ES_tradnl"/>
        </w:rPr>
        <w:t>Conciliación:</w:t>
      </w:r>
      <w:r w:rsidRPr="00CF1B34">
        <w:rPr>
          <w:rFonts w:ascii="Arial" w:hAnsi="Arial" w:cs="Arial"/>
          <w:color w:val="212529"/>
          <w:sz w:val="22"/>
          <w:szCs w:val="22"/>
          <w:lang w:val="es-ES_tradnl"/>
        </w:rPr>
        <w:t> Se trata de la opción más extendida. Ambas partes llegan a un acuerdo previo, con el objeto de evitar la celebración del juicio.</w:t>
      </w:r>
    </w:p>
    <w:p w14:paraId="47875CC6" w14:textId="77777777" w:rsidR="00F15B44" w:rsidRPr="00CF1B34" w:rsidRDefault="00F15B44" w:rsidP="004F7A62">
      <w:pPr>
        <w:numPr>
          <w:ilvl w:val="0"/>
          <w:numId w:val="177"/>
        </w:num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b/>
          <w:bCs/>
          <w:color w:val="212529"/>
          <w:sz w:val="22"/>
          <w:szCs w:val="22"/>
          <w:lang w:val="es-ES_tradnl"/>
        </w:rPr>
        <w:t>Juicio:</w:t>
      </w:r>
      <w:r w:rsidRPr="00CF1B34">
        <w:rPr>
          <w:rFonts w:ascii="Arial" w:hAnsi="Arial" w:cs="Arial"/>
          <w:color w:val="212529"/>
          <w:sz w:val="22"/>
          <w:szCs w:val="22"/>
          <w:lang w:val="es-ES_tradnl"/>
        </w:rPr>
        <w:t> Si no se ha llegado a un acuerdo, se celebrará un juicio, donde el juez será el encargado de dictaminar sentencia. Durante el juicio sí que será necesario aportar todas las pruebas posibles.</w:t>
      </w:r>
    </w:p>
    <w:p w14:paraId="61ABE664" w14:textId="77777777" w:rsidR="00F15B44" w:rsidRPr="00CF1B34" w:rsidRDefault="00F15B44" w:rsidP="004F7A62">
      <w:pPr>
        <w:pStyle w:val="Prrafodelista"/>
        <w:numPr>
          <w:ilvl w:val="0"/>
          <w:numId w:val="177"/>
        </w:numPr>
        <w:pBdr>
          <w:bottom w:val="dotted" w:sz="12" w:space="12" w:color="666666"/>
        </w:pBdr>
        <w:spacing w:after="240"/>
        <w:jc w:val="both"/>
        <w:rPr>
          <w:rFonts w:ascii="Arial" w:hAnsi="Arial" w:cs="Arial"/>
          <w:color w:val="212529"/>
          <w:sz w:val="22"/>
          <w:szCs w:val="22"/>
          <w:lang w:val="es-ES_tradnl"/>
        </w:rPr>
      </w:pPr>
    </w:p>
    <w:p w14:paraId="6E0D32E9" w14:textId="492F2DCA" w:rsidR="00EE7F23" w:rsidRPr="00CF1B34" w:rsidRDefault="00EE7F23" w:rsidP="0005621A">
      <w:pPr>
        <w:shd w:val="clear" w:color="auto" w:fill="FFFFFF"/>
        <w:spacing w:before="100" w:beforeAutospacing="1" w:after="240"/>
        <w:jc w:val="both"/>
        <w:rPr>
          <w:rFonts w:ascii="Arial" w:hAnsi="Arial" w:cs="Arial"/>
          <w:color w:val="212529"/>
          <w:sz w:val="22"/>
          <w:szCs w:val="22"/>
          <w:lang w:val="es-ES_tradnl"/>
        </w:rPr>
      </w:pPr>
      <w:r w:rsidRPr="00CF1B34">
        <w:rPr>
          <w:rFonts w:ascii="Arial" w:hAnsi="Arial" w:cs="Arial"/>
          <w:b/>
          <w:bCs/>
          <w:color w:val="004773"/>
          <w:sz w:val="22"/>
          <w:szCs w:val="22"/>
          <w:lang w:val="es-ES_tradnl"/>
        </w:rPr>
        <w:t xml:space="preserve">Despido express </w:t>
      </w:r>
    </w:p>
    <w:p w14:paraId="08C6C86A" w14:textId="77777777" w:rsidR="00E569C0" w:rsidRPr="00CF1B34" w:rsidRDefault="00E569C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El conocido como </w:t>
      </w:r>
      <w:r w:rsidRPr="00CF1B34">
        <w:rPr>
          <w:rStyle w:val="Textoennegrita"/>
          <w:rFonts w:ascii="Arial" w:hAnsi="Arial" w:cs="Arial"/>
          <w:color w:val="333333"/>
          <w:sz w:val="22"/>
          <w:szCs w:val="22"/>
          <w:lang w:val="es-ES_tradnl"/>
        </w:rPr>
        <w:t xml:space="preserve">despido express, </w:t>
      </w:r>
      <w:r w:rsidRPr="00CF1B34">
        <w:rPr>
          <w:rStyle w:val="Textoennegrita"/>
          <w:rFonts w:ascii="Arial" w:hAnsi="Arial" w:cs="Arial"/>
          <w:b w:val="0"/>
          <w:bCs w:val="0"/>
          <w:color w:val="333333"/>
          <w:sz w:val="22"/>
          <w:szCs w:val="22"/>
          <w:lang w:val="es-ES_tradnl"/>
        </w:rPr>
        <w:t>es aquel que se lleva a cabo de manera improcedente, es decir, sin justificación o bien sin reconocer causa justa alguna a cambio de la correspondiente indemnización de 45 días por año trabajado.</w:t>
      </w:r>
    </w:p>
    <w:p w14:paraId="4A4ED905" w14:textId="222DA340" w:rsidR="00D8525C" w:rsidRPr="00CF1B34" w:rsidRDefault="00D8525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Deuda </w:t>
      </w:r>
    </w:p>
    <w:p w14:paraId="60C8152D" w14:textId="32327C65" w:rsidR="00C5237C" w:rsidRPr="00CF1B34" w:rsidRDefault="00C5237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la</w:t>
      </w:r>
      <w:r w:rsidR="00ED28F2" w:rsidRPr="00CF1B34">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 xml:space="preserve"> emisiones de renta fija que realiza el Estado o las Comunidades Aut</w:t>
      </w:r>
      <w:r w:rsidR="00236FEC" w:rsidRPr="00CF1B34">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nomas para financiarse.</w:t>
      </w:r>
    </w:p>
    <w:p w14:paraId="36617E96" w14:textId="77777777" w:rsidR="00B131A5" w:rsidRPr="00CF1B34" w:rsidRDefault="00540E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Deuda flotante</w:t>
      </w:r>
    </w:p>
    <w:p w14:paraId="3D829432" w14:textId="5A03A144" w:rsidR="00B131A5" w:rsidRPr="00CF1B34" w:rsidRDefault="00B131A5" w:rsidP="0005621A">
      <w:pPr>
        <w:ind w:left="708"/>
        <w:jc w:val="both"/>
        <w:rPr>
          <w:rFonts w:ascii="Arial" w:hAnsi="Arial" w:cs="Arial"/>
          <w:b/>
          <w:bCs/>
          <w:color w:val="004773"/>
          <w:sz w:val="22"/>
          <w:szCs w:val="22"/>
          <w:lang w:val="es-ES_tradnl"/>
        </w:rPr>
      </w:pPr>
      <w:r w:rsidRPr="00CF1B34">
        <w:rPr>
          <w:rFonts w:ascii="Arial" w:hAnsi="Arial" w:cs="Arial"/>
          <w:color w:val="333333"/>
          <w:sz w:val="22"/>
          <w:szCs w:val="22"/>
          <w:lang w:val="es-ES_tradnl"/>
        </w:rPr>
        <w:t xml:space="preserve">Una </w:t>
      </w:r>
      <w:r w:rsidRPr="00CF1B34">
        <w:rPr>
          <w:rFonts w:ascii="Arial" w:hAnsi="Arial" w:cs="Arial"/>
          <w:b/>
          <w:bCs/>
          <w:color w:val="333333"/>
          <w:sz w:val="22"/>
          <w:szCs w:val="22"/>
          <w:lang w:val="es-ES_tradnl"/>
        </w:rPr>
        <w:t>deuda es la obligación</w:t>
      </w:r>
      <w:r w:rsidRPr="00CF1B34">
        <w:rPr>
          <w:rFonts w:ascii="Arial" w:hAnsi="Arial" w:cs="Arial"/>
          <w:color w:val="333333"/>
          <w:sz w:val="22"/>
          <w:szCs w:val="22"/>
          <w:lang w:val="es-ES_tradnl"/>
        </w:rPr>
        <w:t xml:space="preserve"> que alguien tiene de pagar o reintegrar algo a otra persona. Comprendido este concepto, una deuda flotante se caracteriza por ser un tipo de obligación que aumenta o disminuye en base a un punto de referencia.</w:t>
      </w:r>
    </w:p>
    <w:p w14:paraId="08E5C3D1" w14:textId="34305AE0" w:rsidR="00B131A5" w:rsidRPr="00CF1B34" w:rsidRDefault="00B131A5" w:rsidP="0005621A">
      <w:pPr>
        <w:ind w:left="708"/>
        <w:jc w:val="both"/>
        <w:rPr>
          <w:rFonts w:ascii="Arial" w:hAnsi="Arial" w:cs="Arial"/>
          <w:lang w:val="es-ES_tradnl"/>
        </w:rPr>
      </w:pPr>
      <w:r w:rsidRPr="00CF1B34">
        <w:rPr>
          <w:rFonts w:ascii="Arial" w:hAnsi="Arial" w:cs="Arial"/>
          <w:color w:val="333333"/>
          <w:sz w:val="22"/>
          <w:szCs w:val="22"/>
          <w:shd w:val="clear" w:color="auto" w:fill="FFFFFF"/>
          <w:lang w:val="es-ES_tradnl"/>
        </w:rPr>
        <w:t xml:space="preserve">Las </w:t>
      </w:r>
      <w:r w:rsidRPr="00CF1B34">
        <w:rPr>
          <w:rStyle w:val="Textoennegrita"/>
          <w:rFonts w:ascii="Arial" w:hAnsi="Arial" w:cs="Arial"/>
          <w:color w:val="333333"/>
          <w:sz w:val="22"/>
          <w:szCs w:val="22"/>
          <w:shd w:val="clear" w:color="auto" w:fill="FFFFFF"/>
          <w:lang w:val="es-ES_tradnl"/>
        </w:rPr>
        <w:t>deudas flotantes</w:t>
      </w:r>
      <w:r w:rsidRPr="00CF1B34">
        <w:rPr>
          <w:rFonts w:ascii="Arial" w:hAnsi="Arial" w:cs="Arial"/>
          <w:color w:val="333333"/>
          <w:sz w:val="22"/>
          <w:szCs w:val="22"/>
          <w:shd w:val="clear" w:color="auto" w:fill="FFFFFF"/>
          <w:lang w:val="es-ES_tradnl"/>
        </w:rPr>
        <w:t xml:space="preserve"> tendrán una tasa de interés que se ajustará a través del tiempo. No obstante, generalmente tienen un tope y un suelo en cuanto a las variaciones ajustables según los movimientos de los tipos de referencia</w:t>
      </w:r>
    </w:p>
    <w:p w14:paraId="41B68827" w14:textId="55DB0947" w:rsidR="00D8525C" w:rsidRPr="00CF1B34" w:rsidRDefault="00B131A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De manera que, la deuda flotante en</w:t>
      </w:r>
      <w:r w:rsidRPr="00CF1B34">
        <w:rPr>
          <w:rStyle w:val="Textoennegrita"/>
          <w:rFonts w:ascii="Arial" w:hAnsi="Arial" w:cs="Arial"/>
          <w:color w:val="333333"/>
          <w:sz w:val="22"/>
          <w:szCs w:val="22"/>
          <w:shd w:val="clear" w:color="auto" w:fill="FFFFFF"/>
          <w:lang w:val="es-ES_tradnl"/>
        </w:rPr>
        <w:t xml:space="preserve"> </w:t>
      </w:r>
      <w:r w:rsidRPr="00CF1B34">
        <w:rPr>
          <w:rStyle w:val="Textoennegrita"/>
          <w:rFonts w:ascii="Arial" w:hAnsi="Arial" w:cs="Arial"/>
          <w:b w:val="0"/>
          <w:bCs w:val="0"/>
          <w:color w:val="333333"/>
          <w:sz w:val="22"/>
          <w:szCs w:val="22"/>
          <w:shd w:val="clear" w:color="auto" w:fill="FFFFFF"/>
          <w:lang w:val="es-ES_tradnl"/>
        </w:rPr>
        <w:t>términos macroeconómicos</w:t>
      </w:r>
      <w:r w:rsidRPr="00CF1B34">
        <w:rPr>
          <w:rFonts w:ascii="Arial" w:hAnsi="Arial" w:cs="Arial"/>
          <w:color w:val="333333"/>
          <w:sz w:val="22"/>
          <w:szCs w:val="22"/>
          <w:shd w:val="clear" w:color="auto" w:fill="FFFFFF"/>
          <w:lang w:val="es-ES_tradnl"/>
        </w:rPr>
        <w:t xml:space="preserve"> y a nivel país, es el </w:t>
      </w:r>
      <w:r w:rsidRPr="00CF1B34">
        <w:rPr>
          <w:rStyle w:val="Textoennegrita"/>
          <w:rFonts w:ascii="Arial" w:hAnsi="Arial" w:cs="Arial"/>
          <w:color w:val="333333"/>
          <w:sz w:val="22"/>
          <w:szCs w:val="22"/>
          <w:shd w:val="clear" w:color="auto" w:fill="FFFFFF"/>
          <w:lang w:val="es-ES_tradnl"/>
        </w:rPr>
        <w:t>tipo de deuda emitida por el Tesoro</w:t>
      </w:r>
      <w:r w:rsidRPr="00CF1B34">
        <w:rPr>
          <w:rFonts w:ascii="Arial" w:hAnsi="Arial" w:cs="Arial"/>
          <w:color w:val="333333"/>
          <w:sz w:val="22"/>
          <w:szCs w:val="22"/>
          <w:shd w:val="clear" w:color="auto" w:fill="FFFFFF"/>
          <w:lang w:val="es-ES_tradnl"/>
        </w:rPr>
        <w:t xml:space="preserve"> con la finalidad de</w:t>
      </w:r>
      <w:r w:rsidRPr="00CF1B34">
        <w:rPr>
          <w:rStyle w:val="Textoennegrita"/>
          <w:rFonts w:ascii="Arial" w:hAnsi="Arial" w:cs="Arial"/>
          <w:color w:val="333333"/>
          <w:sz w:val="22"/>
          <w:szCs w:val="22"/>
          <w:shd w:val="clear" w:color="auto" w:fill="FFFFFF"/>
          <w:lang w:val="es-ES_tradnl"/>
        </w:rPr>
        <w:t xml:space="preserve"> salvaguardar las diferencias o diferimientos entre los vencimientos </w:t>
      </w:r>
      <w:r w:rsidRPr="00CF1B34">
        <w:rPr>
          <w:rFonts w:ascii="Arial" w:hAnsi="Arial" w:cs="Arial"/>
          <w:color w:val="333333"/>
          <w:sz w:val="22"/>
          <w:szCs w:val="22"/>
          <w:shd w:val="clear" w:color="auto" w:fill="FFFFFF"/>
          <w:lang w:val="es-ES_tradnl"/>
        </w:rPr>
        <w:t>de créditos activos y pasivos, y generalmente son a corto plazo.</w:t>
      </w:r>
      <w:r w:rsidR="00ED28F2" w:rsidRPr="00CF1B34">
        <w:rPr>
          <w:rFonts w:ascii="Arial" w:hAnsi="Arial" w:cs="Arial"/>
          <w:color w:val="333333"/>
          <w:sz w:val="22"/>
          <w:szCs w:val="22"/>
          <w:shd w:val="clear" w:color="auto" w:fill="FFFFFF"/>
          <w:lang w:val="es-ES_tradnl"/>
        </w:rPr>
        <w:t xml:space="preserve"> </w:t>
      </w:r>
      <w:r w:rsidR="00D8525C" w:rsidRPr="00CF1B34">
        <w:rPr>
          <w:rFonts w:ascii="Arial" w:hAnsi="Arial" w:cs="Arial"/>
          <w:b/>
          <w:bCs/>
          <w:color w:val="004773"/>
          <w:sz w:val="22"/>
          <w:szCs w:val="22"/>
          <w:lang w:val="es-ES_tradnl"/>
        </w:rPr>
        <w:t>Deuda garantizada</w:t>
      </w:r>
    </w:p>
    <w:p w14:paraId="074CE251" w14:textId="77777777" w:rsidR="008B2512" w:rsidRPr="00CF1B34" w:rsidRDefault="00C5237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aquellas que están garantizadas por otra entidad</w:t>
      </w:r>
      <w:r w:rsidR="008B2512" w:rsidRPr="00CF1B34">
        <w:rPr>
          <w:rFonts w:ascii="Arial" w:hAnsi="Arial" w:cs="Arial"/>
          <w:color w:val="000000" w:themeColor="text1"/>
          <w:sz w:val="22"/>
          <w:szCs w:val="22"/>
          <w:lang w:val="es-ES_tradnl"/>
        </w:rPr>
        <w:t xml:space="preserve"> distinta de la que ha emitido el activo financiero.</w:t>
      </w:r>
    </w:p>
    <w:p w14:paraId="084B87C6" w14:textId="77777777" w:rsidR="00AD5BDE" w:rsidRPr="00CF1B34" w:rsidRDefault="00AD5BDE" w:rsidP="0005621A">
      <w:pPr>
        <w:shd w:val="clear" w:color="auto" w:fill="FFFFFF"/>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lastRenderedPageBreak/>
        <w:t>Deuda privada</w:t>
      </w:r>
    </w:p>
    <w:p w14:paraId="54A47425" w14:textId="77777777" w:rsidR="00AD5BDE" w:rsidRPr="00CF1B34" w:rsidRDefault="00AD5BDE"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deuda privada se refiere a la deuda contraída por empresas u otras entidades no gubernamentales con el fin de financiar sus actividades o adquirir activos. A diferencia de la deuda pública, que es emitida por gobiernos, la deuda privada es emitida por el sector privado.</w:t>
      </w:r>
    </w:p>
    <w:p w14:paraId="440898A4" w14:textId="77777777" w:rsidR="00AD5BDE" w:rsidRPr="00CF1B34" w:rsidRDefault="00AD5BDE"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deuda privada puede tomar muchas formas, incluyendo préstamos bancarios, bonos corporativos, deuda hipotecaria, tarjetas de crédito, préstamos estudiantiles y otros instrumentos financieros. Las empresas pueden emitir deuda para financiar expansiones, inversiones en activos, o para gestionar sus operaciones diarias. Los individuos pueden adquirir deuda para comprar viviendas, automóviles, financiar su educación, o incluso para gastos personales.</w:t>
      </w:r>
    </w:p>
    <w:p w14:paraId="18D4A652" w14:textId="77777777" w:rsidR="00AD5BDE" w:rsidRPr="00CF1B34" w:rsidRDefault="00AD5BDE" w:rsidP="0005621A">
      <w:pPr>
        <w:shd w:val="clear" w:color="auto" w:fill="FFFFFF"/>
        <w:spacing w:after="100" w:afterAutospacing="1"/>
        <w:ind w:left="709"/>
        <w:jc w:val="both"/>
        <w:rPr>
          <w:rFonts w:ascii="Arial" w:hAnsi="Arial" w:cs="Arial"/>
          <w:color w:val="191B1C"/>
          <w:sz w:val="22"/>
          <w:szCs w:val="22"/>
          <w:lang w:val="es-ES_tradnl"/>
        </w:rPr>
      </w:pPr>
      <w:r w:rsidRPr="00CF1B34">
        <w:rPr>
          <w:rFonts w:ascii="Arial" w:hAnsi="Arial" w:cs="Arial"/>
          <w:color w:val="191B1C"/>
          <w:sz w:val="22"/>
          <w:szCs w:val="22"/>
          <w:lang w:val="es-ES_tradnl"/>
        </w:rPr>
        <w:t>También hay muchas empresas que realizan emisiones de títulos de deuda para financiarse, prácticamente mediante el mismo sistema que las emisiones de deuda de un país. Existen tres tipos de deuda privada:</w:t>
      </w:r>
    </w:p>
    <w:p w14:paraId="30FD49FE" w14:textId="77777777" w:rsidR="00AD5BDE" w:rsidRPr="00CF1B34" w:rsidRDefault="00AD5BDE" w:rsidP="0005621A">
      <w:pPr>
        <w:numPr>
          <w:ilvl w:val="0"/>
          <w:numId w:val="7"/>
        </w:numPr>
        <w:shd w:val="clear" w:color="auto" w:fill="FFFFFF"/>
        <w:spacing w:before="100" w:beforeAutospacing="1" w:after="100" w:afterAutospacing="1"/>
        <w:ind w:left="851"/>
        <w:jc w:val="both"/>
        <w:rPr>
          <w:rFonts w:ascii="Arial" w:hAnsi="Arial" w:cs="Arial"/>
          <w:color w:val="191B1C"/>
          <w:sz w:val="22"/>
          <w:szCs w:val="22"/>
          <w:lang w:val="es-ES_tradnl"/>
        </w:rPr>
      </w:pPr>
      <w:r w:rsidRPr="00CF1B34">
        <w:rPr>
          <w:rFonts w:ascii="Arial" w:hAnsi="Arial" w:cs="Arial"/>
          <w:color w:val="191B1C"/>
          <w:sz w:val="22"/>
          <w:szCs w:val="22"/>
          <w:lang w:val="es-ES_tradnl"/>
        </w:rPr>
        <w:t>Cédulas hipotecarías</w:t>
      </w:r>
    </w:p>
    <w:p w14:paraId="000C6394" w14:textId="77777777" w:rsidR="00AD5BDE" w:rsidRPr="00CF1B34" w:rsidRDefault="00AD5BDE" w:rsidP="0005621A">
      <w:pPr>
        <w:numPr>
          <w:ilvl w:val="0"/>
          <w:numId w:val="7"/>
        </w:numPr>
        <w:shd w:val="clear" w:color="auto" w:fill="FFFFFF"/>
        <w:spacing w:before="100" w:beforeAutospacing="1" w:after="100" w:afterAutospacing="1"/>
        <w:ind w:left="851"/>
        <w:jc w:val="both"/>
        <w:rPr>
          <w:rFonts w:ascii="Arial" w:hAnsi="Arial" w:cs="Arial"/>
          <w:color w:val="191B1C"/>
          <w:sz w:val="22"/>
          <w:szCs w:val="22"/>
          <w:lang w:val="es-ES_tradnl"/>
        </w:rPr>
      </w:pPr>
      <w:r w:rsidRPr="00CF1B34">
        <w:rPr>
          <w:rFonts w:ascii="Arial" w:hAnsi="Arial" w:cs="Arial"/>
          <w:color w:val="191B1C"/>
          <w:sz w:val="22"/>
          <w:szCs w:val="22"/>
          <w:lang w:val="es-ES_tradnl"/>
        </w:rPr>
        <w:t>Deuda senior</w:t>
      </w:r>
    </w:p>
    <w:p w14:paraId="7654D11F" w14:textId="0238DDA8" w:rsidR="00AD5BDE" w:rsidRPr="00CF1B34" w:rsidRDefault="00AD5BDE" w:rsidP="0005621A">
      <w:pPr>
        <w:numPr>
          <w:ilvl w:val="0"/>
          <w:numId w:val="7"/>
        </w:numPr>
        <w:shd w:val="clear" w:color="auto" w:fill="FFFFFF"/>
        <w:spacing w:before="100" w:beforeAutospacing="1" w:after="100" w:afterAutospacing="1"/>
        <w:ind w:left="851"/>
        <w:jc w:val="both"/>
        <w:rPr>
          <w:rFonts w:ascii="Arial" w:hAnsi="Arial" w:cs="Arial"/>
          <w:color w:val="191B1C"/>
          <w:sz w:val="22"/>
          <w:szCs w:val="22"/>
          <w:lang w:val="es-ES_tradnl"/>
        </w:rPr>
      </w:pPr>
      <w:r w:rsidRPr="00CF1B34">
        <w:rPr>
          <w:rFonts w:ascii="Arial" w:hAnsi="Arial" w:cs="Arial"/>
          <w:color w:val="191B1C"/>
          <w:sz w:val="22"/>
          <w:szCs w:val="22"/>
          <w:lang w:val="es-ES_tradnl"/>
        </w:rPr>
        <w:t>Deuda subordinada</w:t>
      </w:r>
    </w:p>
    <w:p w14:paraId="33FF9141" w14:textId="77777777" w:rsidR="00AD5BDE" w:rsidRPr="00CF1B34" w:rsidRDefault="00AD5BDE" w:rsidP="0005621A">
      <w:pPr>
        <w:pBdr>
          <w:bottom w:val="dotted" w:sz="12" w:space="12" w:color="666666"/>
        </w:pBdr>
        <w:spacing w:after="240"/>
        <w:jc w:val="both"/>
        <w:rPr>
          <w:rFonts w:ascii="Arial" w:hAnsi="Arial" w:cs="Arial"/>
          <w:color w:val="212529"/>
          <w:sz w:val="22"/>
          <w:szCs w:val="22"/>
          <w:lang w:val="es-ES_tradnl"/>
        </w:rPr>
      </w:pPr>
    </w:p>
    <w:p w14:paraId="0ABE98B4" w14:textId="26A70BDF"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Deuda pública</w:t>
      </w:r>
    </w:p>
    <w:p w14:paraId="4BEB4D87" w14:textId="00FD4368" w:rsidR="00525988"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Valores de renta fija emitidos por el Estado, otros entes territoriales (Comunidades Autónomas...) y organismos públicos. En el caso de la deuda pública española, la página web del Banco de España (www.bde.es) ofrece información sobre precios cotizados y operaciones cruzadas (enlace al boletín de la central de anotaciones).</w:t>
      </w:r>
    </w:p>
    <w:p w14:paraId="473F602A" w14:textId="49C113FC" w:rsidR="00CB6A6F" w:rsidRPr="00CF1B34" w:rsidRDefault="00CB6A6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Deuda subordinada </w:t>
      </w:r>
    </w:p>
    <w:p w14:paraId="0D7FB93E" w14:textId="601E72BA" w:rsidR="00CB6A6F" w:rsidRPr="00CF1B34" w:rsidRDefault="00CB6A6F"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La deuda subordinada son títulos valores de renta fija con rendimiento explícito emitidos normalmente por entidades de</w:t>
      </w:r>
      <w:r w:rsidRPr="00CF1B34">
        <w:rPr>
          <w:rFonts w:ascii="Arial" w:hAnsi="Arial" w:cs="Arial"/>
          <w:b/>
          <w:bCs/>
          <w:color w:val="333333"/>
          <w:sz w:val="22"/>
          <w:szCs w:val="22"/>
          <w:shd w:val="clear" w:color="auto" w:fill="FFFFFF"/>
          <w:lang w:val="es-ES_tradnl"/>
        </w:rPr>
        <w:t xml:space="preserve"> crédito </w:t>
      </w:r>
      <w:r w:rsidRPr="00CF1B34">
        <w:rPr>
          <w:rFonts w:ascii="Arial" w:hAnsi="Arial" w:cs="Arial"/>
          <w:color w:val="333333"/>
          <w:sz w:val="22"/>
          <w:szCs w:val="22"/>
          <w:shd w:val="clear" w:color="auto" w:fill="FFFFFF"/>
          <w:lang w:val="es-ES_tradnl"/>
        </w:rPr>
        <w:t xml:space="preserve">que ofrecen una rentabilidad mayor que otros activos de deuda. Sin embargo, esta mayor rentabilidad se logra a cambio de perder capacidad de cobro en caso de extinción y posterior liquidación de la sociedad </w:t>
      </w:r>
      <w:r w:rsidRPr="00CF1B34">
        <w:rPr>
          <w:rFonts w:ascii="Arial" w:hAnsi="Arial" w:cs="Arial"/>
          <w:b/>
          <w:bCs/>
          <w:color w:val="333333"/>
          <w:sz w:val="22"/>
          <w:szCs w:val="22"/>
          <w:shd w:val="clear" w:color="auto" w:fill="FFFFFF"/>
          <w:lang w:val="es-ES_tradnl"/>
        </w:rPr>
        <w:t>-la quiebra o bancarrota-</w:t>
      </w:r>
      <w:r w:rsidRPr="00CF1B34">
        <w:rPr>
          <w:rFonts w:ascii="Arial" w:hAnsi="Arial" w:cs="Arial"/>
          <w:color w:val="333333"/>
          <w:sz w:val="22"/>
          <w:szCs w:val="22"/>
          <w:shd w:val="clear" w:color="auto" w:fill="FFFFFF"/>
          <w:lang w:val="es-ES_tradnl"/>
        </w:rPr>
        <w:t>, ya que está subordinado el pago en orden de prelación en relación con los acreedores ordinarios.</w:t>
      </w:r>
    </w:p>
    <w:p w14:paraId="7A2E80FD" w14:textId="77777777" w:rsidR="00FF2AEB" w:rsidRPr="00CF1B34" w:rsidRDefault="00FF2AEB"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Esto quiere decir que, en caso de quiebra de la sociedad, primero cobrarán los acreedores ordinarios y luego, si queda un remanente en los activos, podrán cobrar los poseedores de este tipo de deuda.</w:t>
      </w:r>
    </w:p>
    <w:p w14:paraId="5F115113" w14:textId="77777777" w:rsidR="00FF2AEB" w:rsidRPr="00CF1B34" w:rsidRDefault="00FF2AEB"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Éstos serían los tres tipos de deuda subordinada:</w:t>
      </w:r>
    </w:p>
    <w:p w14:paraId="36604043" w14:textId="1895A413" w:rsidR="00FF2AEB" w:rsidRPr="00CF1B34" w:rsidRDefault="00FF2AEB" w:rsidP="004F7A62">
      <w:pPr>
        <w:pStyle w:val="Sinespaciado"/>
        <w:numPr>
          <w:ilvl w:val="0"/>
          <w:numId w:val="157"/>
        </w:numPr>
        <w:jc w:val="both"/>
        <w:rPr>
          <w:rFonts w:ascii="Arial" w:hAnsi="Arial" w:cs="Arial"/>
          <w:sz w:val="22"/>
          <w:szCs w:val="22"/>
          <w:lang w:val="es-ES_tradnl"/>
        </w:rPr>
      </w:pPr>
      <w:r w:rsidRPr="00CF1B34">
        <w:rPr>
          <w:rFonts w:ascii="Arial" w:hAnsi="Arial" w:cs="Arial"/>
          <w:sz w:val="22"/>
          <w:szCs w:val="22"/>
          <w:lang w:val="es-ES_tradnl"/>
        </w:rPr>
        <w:t xml:space="preserve">La </w:t>
      </w:r>
      <w:r w:rsidRPr="00CF1B34">
        <w:rPr>
          <w:rFonts w:ascii="Arial" w:hAnsi="Arial" w:cs="Arial"/>
          <w:b/>
          <w:bCs/>
          <w:sz w:val="22"/>
          <w:szCs w:val="22"/>
          <w:lang w:val="es-ES_tradnl"/>
        </w:rPr>
        <w:t>deuda convertible/canjeable</w:t>
      </w:r>
      <w:r w:rsidRPr="00CF1B34">
        <w:rPr>
          <w:rFonts w:ascii="Arial" w:hAnsi="Arial" w:cs="Arial"/>
          <w:sz w:val="22"/>
          <w:szCs w:val="22"/>
          <w:lang w:val="es-ES_tradnl"/>
        </w:rPr>
        <w:t xml:space="preserve"> en la que en un momento determinado el principal puede devolverse por su equivalente en acciones. Estas acciones generalmente se encontrarán a precio del momento de suscripción lo cual puede generar una devaluación de la inversión muy importante.</w:t>
      </w:r>
    </w:p>
    <w:p w14:paraId="48FF3DD5" w14:textId="16D1AE67" w:rsidR="00FF2AEB" w:rsidRPr="00CF1B34" w:rsidRDefault="00FF2AEB" w:rsidP="004F7A62">
      <w:pPr>
        <w:pStyle w:val="Sinespaciado"/>
        <w:numPr>
          <w:ilvl w:val="0"/>
          <w:numId w:val="157"/>
        </w:numPr>
        <w:jc w:val="both"/>
        <w:rPr>
          <w:rFonts w:ascii="Arial" w:hAnsi="Arial" w:cs="Arial"/>
          <w:sz w:val="22"/>
          <w:szCs w:val="22"/>
          <w:lang w:val="es-ES_tradnl"/>
        </w:rPr>
      </w:pPr>
      <w:r w:rsidRPr="00CF1B34">
        <w:rPr>
          <w:rFonts w:ascii="Arial" w:hAnsi="Arial" w:cs="Arial"/>
          <w:sz w:val="22"/>
          <w:szCs w:val="22"/>
          <w:lang w:val="es-ES_tradnl"/>
        </w:rPr>
        <w:t xml:space="preserve">La </w:t>
      </w:r>
      <w:r w:rsidRPr="00CF1B34">
        <w:rPr>
          <w:rFonts w:ascii="Arial" w:hAnsi="Arial" w:cs="Arial"/>
          <w:b/>
          <w:bCs/>
          <w:sz w:val="22"/>
          <w:szCs w:val="22"/>
          <w:lang w:val="es-ES_tradnl"/>
        </w:rPr>
        <w:t>redimible</w:t>
      </w:r>
      <w:r w:rsidRPr="00CF1B34">
        <w:rPr>
          <w:rFonts w:ascii="Arial" w:hAnsi="Arial" w:cs="Arial"/>
          <w:sz w:val="22"/>
          <w:szCs w:val="22"/>
          <w:lang w:val="es-ES_tradnl"/>
        </w:rPr>
        <w:t xml:space="preserve"> en este caso el principal de la inversión se devuelve en una fecha pactada y determinada de antemano.</w:t>
      </w:r>
    </w:p>
    <w:p w14:paraId="6199FCCF" w14:textId="77777777" w:rsidR="00FF2AEB" w:rsidRPr="00CF1B34" w:rsidRDefault="00FF2AEB" w:rsidP="004F7A62">
      <w:pPr>
        <w:pStyle w:val="Sinespaciado"/>
        <w:numPr>
          <w:ilvl w:val="0"/>
          <w:numId w:val="157"/>
        </w:numPr>
        <w:jc w:val="both"/>
        <w:rPr>
          <w:rFonts w:ascii="Arial" w:hAnsi="Arial" w:cs="Arial"/>
          <w:sz w:val="22"/>
          <w:szCs w:val="22"/>
          <w:lang w:val="es-ES_tradnl"/>
        </w:rPr>
      </w:pPr>
      <w:r w:rsidRPr="00CF1B34">
        <w:rPr>
          <w:rFonts w:ascii="Arial" w:hAnsi="Arial" w:cs="Arial"/>
          <w:b/>
          <w:bCs/>
          <w:sz w:val="22"/>
          <w:szCs w:val="22"/>
          <w:lang w:val="es-ES_tradnl"/>
        </w:rPr>
        <w:t>No redimible</w:t>
      </w:r>
      <w:r w:rsidRPr="00CF1B34">
        <w:rPr>
          <w:rFonts w:ascii="Arial" w:hAnsi="Arial" w:cs="Arial"/>
          <w:sz w:val="22"/>
          <w:szCs w:val="22"/>
          <w:lang w:val="es-ES_tradnl"/>
        </w:rPr>
        <w:t>, en este caso la inversión es continua y el principal no se devuelve.</w:t>
      </w:r>
    </w:p>
    <w:p w14:paraId="639E6706" w14:textId="77777777" w:rsidR="00FF2AEB" w:rsidRPr="00CF1B34" w:rsidRDefault="00FF2AEB"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Dentro de las malas prácticas relacionadas con deuda subordinada podemos encontrar las siguientes:</w:t>
      </w:r>
    </w:p>
    <w:p w14:paraId="7D889E61" w14:textId="097C24EB" w:rsidR="00FF2AEB" w:rsidRPr="00CF1B34" w:rsidRDefault="00FF2AEB" w:rsidP="004F7A62">
      <w:pPr>
        <w:pStyle w:val="Sinespaciado"/>
        <w:numPr>
          <w:ilvl w:val="0"/>
          <w:numId w:val="158"/>
        </w:numPr>
        <w:jc w:val="both"/>
        <w:rPr>
          <w:rFonts w:ascii="Arial" w:hAnsi="Arial" w:cs="Arial"/>
          <w:sz w:val="22"/>
          <w:szCs w:val="22"/>
          <w:lang w:val="es-ES_tradnl"/>
        </w:rPr>
      </w:pPr>
      <w:r w:rsidRPr="00CF1B34">
        <w:rPr>
          <w:rFonts w:ascii="Arial" w:hAnsi="Arial" w:cs="Arial"/>
          <w:sz w:val="22"/>
          <w:szCs w:val="22"/>
          <w:lang w:val="es-ES_tradnl"/>
        </w:rPr>
        <w:t>La comercialización del producto sin que ni su emisión de su folleto hayan sido autorizados por la Comisión nacional del mercado de valores.</w:t>
      </w:r>
    </w:p>
    <w:p w14:paraId="3A210B4A" w14:textId="77777777" w:rsidR="00FF2AEB" w:rsidRPr="00CF1B34" w:rsidRDefault="00FF2AEB" w:rsidP="004F7A62">
      <w:pPr>
        <w:pStyle w:val="Sinespaciado"/>
        <w:numPr>
          <w:ilvl w:val="0"/>
          <w:numId w:val="158"/>
        </w:numPr>
        <w:jc w:val="both"/>
        <w:rPr>
          <w:rFonts w:ascii="Arial" w:hAnsi="Arial" w:cs="Arial"/>
          <w:sz w:val="22"/>
          <w:szCs w:val="22"/>
          <w:lang w:val="es-ES_tradnl"/>
        </w:rPr>
      </w:pPr>
      <w:r w:rsidRPr="00CF1B34">
        <w:rPr>
          <w:rFonts w:ascii="Arial" w:hAnsi="Arial" w:cs="Arial"/>
          <w:sz w:val="22"/>
          <w:szCs w:val="22"/>
          <w:lang w:val="es-ES_tradnl"/>
        </w:rPr>
        <w:lastRenderedPageBreak/>
        <w:t>Presentar el producto como si se tratara de una especie de depósito a plazo fijo garantizado.</w:t>
      </w:r>
    </w:p>
    <w:p w14:paraId="22ED5EF9" w14:textId="051C52FA" w:rsidR="00FF2AEB" w:rsidRPr="00CF1B34" w:rsidRDefault="00FF2AEB" w:rsidP="004F7A62">
      <w:pPr>
        <w:pStyle w:val="Sinespaciado"/>
        <w:numPr>
          <w:ilvl w:val="0"/>
          <w:numId w:val="158"/>
        </w:numPr>
        <w:jc w:val="both"/>
        <w:rPr>
          <w:rFonts w:ascii="Arial" w:hAnsi="Arial" w:cs="Arial"/>
          <w:sz w:val="22"/>
          <w:szCs w:val="22"/>
          <w:lang w:val="es-ES_tradnl"/>
        </w:rPr>
      </w:pPr>
      <w:r w:rsidRPr="00CF1B34">
        <w:rPr>
          <w:rFonts w:ascii="Arial" w:hAnsi="Arial" w:cs="Arial"/>
          <w:sz w:val="22"/>
          <w:szCs w:val="22"/>
          <w:lang w:val="es-ES_tradnl"/>
        </w:rPr>
        <w:t>Ofrecer deuda subordinada como si se tratara de una inversión de bajo riesgo.</w:t>
      </w:r>
    </w:p>
    <w:p w14:paraId="6402A6FA" w14:textId="77777777" w:rsidR="00F96362" w:rsidRPr="00CF1B34" w:rsidRDefault="00F96362" w:rsidP="0005621A">
      <w:pPr>
        <w:pBdr>
          <w:bottom w:val="dotted" w:sz="12" w:space="12" w:color="666666"/>
        </w:pBdr>
        <w:spacing w:after="240"/>
        <w:ind w:left="720"/>
        <w:jc w:val="both"/>
        <w:rPr>
          <w:rFonts w:ascii="Arial" w:hAnsi="Arial" w:cs="Arial"/>
          <w:color w:val="212529"/>
          <w:sz w:val="22"/>
          <w:szCs w:val="22"/>
          <w:lang w:val="es-ES_tradnl"/>
        </w:rPr>
      </w:pPr>
      <w:proofErr w:type="gramStart"/>
      <w:r w:rsidRPr="00CF1B34">
        <w:rPr>
          <w:rFonts w:ascii="Arial" w:hAnsi="Arial" w:cs="Arial"/>
          <w:color w:val="333333"/>
          <w:sz w:val="22"/>
          <w:szCs w:val="22"/>
          <w:shd w:val="clear" w:color="auto" w:fill="FFFFFF"/>
          <w:lang w:val="es-ES_tradnl"/>
        </w:rPr>
        <w:t>Resumiendo</w:t>
      </w:r>
      <w:proofErr w:type="gramEnd"/>
      <w:r w:rsidRPr="00CF1B34">
        <w:rPr>
          <w:rFonts w:ascii="Arial" w:hAnsi="Arial" w:cs="Arial"/>
          <w:color w:val="333333"/>
          <w:sz w:val="22"/>
          <w:szCs w:val="22"/>
          <w:shd w:val="clear" w:color="auto" w:fill="FFFFFF"/>
          <w:lang w:val="es-ES_tradnl"/>
        </w:rPr>
        <w:t xml:space="preserve"> un poco el concepto: la </w:t>
      </w:r>
      <w:r w:rsidRPr="00CF1B34">
        <w:rPr>
          <w:rStyle w:val="Textoennegrita"/>
          <w:rFonts w:ascii="Arial" w:hAnsi="Arial" w:cs="Arial"/>
          <w:color w:val="333333"/>
          <w:sz w:val="22"/>
          <w:szCs w:val="22"/>
          <w:shd w:val="clear" w:color="auto" w:fill="FFFFFF"/>
          <w:lang w:val="es-ES_tradnl"/>
        </w:rPr>
        <w:t>Deuda Subordinada</w:t>
      </w:r>
      <w:r w:rsidRPr="00CF1B34">
        <w:rPr>
          <w:rFonts w:ascii="Arial" w:hAnsi="Arial" w:cs="Arial"/>
          <w:color w:val="333333"/>
          <w:sz w:val="22"/>
          <w:szCs w:val="22"/>
          <w:shd w:val="clear" w:color="auto" w:fill="FFFFFF"/>
          <w:lang w:val="es-ES_tradnl"/>
        </w:rPr>
        <w:t xml:space="preserve"> –</w:t>
      </w:r>
      <w:r w:rsidRPr="00CF1B34">
        <w:rPr>
          <w:rStyle w:val="nfasis"/>
          <w:rFonts w:ascii="Arial" w:hAnsi="Arial" w:cs="Arial"/>
          <w:color w:val="333333"/>
          <w:sz w:val="22"/>
          <w:szCs w:val="22"/>
          <w:shd w:val="clear" w:color="auto" w:fill="FFFFFF"/>
          <w:lang w:val="es-ES_tradnl"/>
        </w:rPr>
        <w:t xml:space="preserve">En inglés </w:t>
      </w:r>
      <w:r w:rsidRPr="00CF1B34">
        <w:rPr>
          <w:rStyle w:val="Textoennegrita"/>
          <w:rFonts w:ascii="Arial" w:hAnsi="Arial" w:cs="Arial"/>
          <w:i/>
          <w:iCs/>
          <w:color w:val="333333"/>
          <w:sz w:val="22"/>
          <w:szCs w:val="22"/>
          <w:shd w:val="clear" w:color="auto" w:fill="FFFFFF"/>
          <w:lang w:val="es-ES_tradnl"/>
        </w:rPr>
        <w:t>secondary debt</w:t>
      </w:r>
      <w:r w:rsidRPr="00CF1B34">
        <w:rPr>
          <w:rFonts w:ascii="Arial" w:hAnsi="Arial" w:cs="Arial"/>
          <w:color w:val="333333"/>
          <w:sz w:val="22"/>
          <w:szCs w:val="22"/>
          <w:shd w:val="clear" w:color="auto" w:fill="FFFFFF"/>
          <w:lang w:val="es-ES_tradnl"/>
        </w:rPr>
        <w:t>– es un tipo de deuda cuyo poseedor tiene una prioridad de pago menor que la de otros acreedores generales. Por este motivo se trata de un bono relativamente arriesgado, que en ocasiones se compensa con un rendimiento más alto.</w:t>
      </w:r>
    </w:p>
    <w:p w14:paraId="4213D582" w14:textId="52D71EE9" w:rsidR="00DC68B5" w:rsidRPr="00CF1B34" w:rsidRDefault="00DC68B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Deudor</w:t>
      </w:r>
    </w:p>
    <w:p w14:paraId="79DCE8FC" w14:textId="77777777" w:rsidR="00DC68B5" w:rsidRPr="00CF1B34" w:rsidRDefault="00DC68B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F3864" w:themeColor="accent1" w:themeShade="80"/>
          <w:sz w:val="22"/>
          <w:szCs w:val="22"/>
          <w:lang w:val="es-ES_tradnl"/>
        </w:rPr>
        <w:t>Persona que debe o esta obligado a satisfacer una deuda.</w:t>
      </w:r>
    </w:p>
    <w:p w14:paraId="6A533D6F" w14:textId="310782B6"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Devaluación</w:t>
      </w:r>
    </w:p>
    <w:p w14:paraId="1668AA30"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Reducción del valor de una divisa en relación con otra. Implica que para adquirir una unidad de la otra divisa es necesario emplear más cantidad de la divisa devaluada.</w:t>
      </w:r>
    </w:p>
    <w:p w14:paraId="26F9757A" w14:textId="1776590D" w:rsidR="00D8525C" w:rsidRPr="00CF1B34" w:rsidRDefault="00D8525C"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Diamante</w:t>
      </w:r>
    </w:p>
    <w:p w14:paraId="17334D32" w14:textId="4566717E" w:rsidR="008B2512" w:rsidRPr="00CF1B34" w:rsidRDefault="008B2512" w:rsidP="004F7A62">
      <w:pPr>
        <w:pStyle w:val="Prrafodelista"/>
        <w:numPr>
          <w:ilvl w:val="1"/>
          <w:numId w:val="155"/>
        </w:numPr>
        <w:pBdr>
          <w:bottom w:val="dotted" w:sz="12" w:space="12" w:color="666666"/>
        </w:pBdr>
        <w:spacing w:after="24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Formaci</w:t>
      </w:r>
      <w:r w:rsidR="00711F2F" w:rsidRPr="00CF1B34">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 chartista de volumen irregular e indicativa de un cambio de tendencia del mercado y con implicaciones bajistas a muy corto plazo.</w:t>
      </w:r>
    </w:p>
    <w:p w14:paraId="28434412" w14:textId="6FD7249D" w:rsidR="00197B8B" w:rsidRPr="00CF1B34" w:rsidRDefault="00197B8B" w:rsidP="004F7A62">
      <w:pPr>
        <w:pStyle w:val="Prrafodelista"/>
        <w:numPr>
          <w:ilvl w:val="1"/>
          <w:numId w:val="155"/>
        </w:numPr>
        <w:pBdr>
          <w:bottom w:val="dotted" w:sz="12" w:space="12" w:color="666666"/>
        </w:pBdr>
        <w:spacing w:after="24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Piedra preciosa que encanta a los inversores por su practicidad. Invertir en diamantes, es como invertir en objetos cotidianos (futuros / commodities).  Para su </w:t>
      </w:r>
      <w:r w:rsidR="00354EFE" w:rsidRPr="00CF1B34">
        <w:rPr>
          <w:rFonts w:ascii="Arial" w:hAnsi="Arial" w:cs="Arial"/>
          <w:color w:val="000000" w:themeColor="text1"/>
          <w:sz w:val="22"/>
          <w:szCs w:val="22"/>
          <w:lang w:val="es-ES_tradnl"/>
        </w:rPr>
        <w:t>negociación</w:t>
      </w:r>
      <w:r w:rsidR="00AB6C0F" w:rsidRPr="00CF1B34">
        <w:rPr>
          <w:rFonts w:ascii="Arial" w:hAnsi="Arial" w:cs="Arial"/>
          <w:color w:val="000000" w:themeColor="text1"/>
          <w:sz w:val="22"/>
          <w:szCs w:val="22"/>
          <w:lang w:val="es-ES_tradnl"/>
        </w:rPr>
        <w:t xml:space="preserve"> o compra</w:t>
      </w:r>
      <w:r w:rsidR="00354EFE" w:rsidRPr="00CF1B34">
        <w:rPr>
          <w:rFonts w:ascii="Arial" w:hAnsi="Arial" w:cs="Arial"/>
          <w:color w:val="000000" w:themeColor="text1"/>
          <w:sz w:val="22"/>
          <w:szCs w:val="22"/>
          <w:lang w:val="es-ES_tradnl"/>
        </w:rPr>
        <w:t xml:space="preserve"> vaya a un joyero que venda diamantes IGA certificados (instituto de Gemología de América), para la </w:t>
      </w:r>
      <w:r w:rsidR="00AB6C0F" w:rsidRPr="00CF1B34">
        <w:rPr>
          <w:rFonts w:ascii="Arial" w:hAnsi="Arial" w:cs="Arial"/>
          <w:color w:val="000000" w:themeColor="text1"/>
          <w:sz w:val="22"/>
          <w:szCs w:val="22"/>
          <w:lang w:val="es-ES_tradnl"/>
        </w:rPr>
        <w:t>inversión</w:t>
      </w:r>
      <w:r w:rsidR="00354EFE" w:rsidRPr="00CF1B34">
        <w:rPr>
          <w:rFonts w:ascii="Arial" w:hAnsi="Arial" w:cs="Arial"/>
          <w:color w:val="000000" w:themeColor="text1"/>
          <w:sz w:val="22"/>
          <w:szCs w:val="22"/>
          <w:lang w:val="es-ES_tradnl"/>
        </w:rPr>
        <w:t xml:space="preserve"> y comercialización de diamantes: KPR Capital Limited =. KPR Diamond Fund (Cayman Islands) y </w:t>
      </w:r>
      <w:r w:rsidR="00AB6C0F" w:rsidRPr="00CF1B34">
        <w:rPr>
          <w:rFonts w:ascii="Arial" w:hAnsi="Arial" w:cs="Arial"/>
          <w:color w:val="000000" w:themeColor="text1"/>
          <w:sz w:val="22"/>
          <w:szCs w:val="22"/>
          <w:lang w:val="es-ES_tradnl"/>
        </w:rPr>
        <w:t>Diamond Circle Capital PLC´s (London – UK)</w:t>
      </w:r>
    </w:p>
    <w:p w14:paraId="34891378" w14:textId="3450815F" w:rsidR="00D8525C" w:rsidRPr="00CF1B34" w:rsidRDefault="009D62CA"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Diferencial de tipos de inter</w:t>
      </w:r>
      <w:r w:rsidR="00AB6C0F" w:rsidRPr="00CF1B34">
        <w:rPr>
          <w:rFonts w:ascii="Arial" w:hAnsi="Arial" w:cs="Arial"/>
          <w:b/>
          <w:bCs/>
          <w:color w:val="1F3864" w:themeColor="accent1" w:themeShade="80"/>
          <w:sz w:val="22"/>
          <w:szCs w:val="22"/>
          <w:lang w:val="es-ES_tradnl"/>
        </w:rPr>
        <w:t>é</w:t>
      </w:r>
      <w:r w:rsidRPr="00CF1B34">
        <w:rPr>
          <w:rFonts w:ascii="Arial" w:hAnsi="Arial" w:cs="Arial"/>
          <w:b/>
          <w:bCs/>
          <w:color w:val="1F3864" w:themeColor="accent1" w:themeShade="80"/>
          <w:sz w:val="22"/>
          <w:szCs w:val="22"/>
          <w:lang w:val="es-ES_tradnl"/>
        </w:rPr>
        <w:t>s</w:t>
      </w:r>
    </w:p>
    <w:p w14:paraId="07ADBF1C" w14:textId="77777777" w:rsidR="0099440C" w:rsidRPr="00CF1B34" w:rsidRDefault="008B251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diferencia entre los distintos tipos que rigen en los países. Los países de economías mas solidas y menor inflación con los que menores tipos de interés tienen. Es conocida también como prima de riesgo</w:t>
      </w:r>
      <w:r w:rsidR="0099440C" w:rsidRPr="00CF1B34">
        <w:rPr>
          <w:rFonts w:ascii="Arial" w:hAnsi="Arial" w:cs="Arial"/>
          <w:color w:val="000000" w:themeColor="text1"/>
          <w:sz w:val="22"/>
          <w:szCs w:val="22"/>
          <w:lang w:val="es-ES_tradnl"/>
        </w:rPr>
        <w:t>.</w:t>
      </w:r>
    </w:p>
    <w:p w14:paraId="57B9E649" w14:textId="3F251AC4" w:rsidR="00802636" w:rsidRPr="00CF1B34" w:rsidRDefault="00802636"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Diferencial Hipoteca</w:t>
      </w:r>
    </w:p>
    <w:p w14:paraId="3AFFECF0" w14:textId="55F3509C" w:rsidR="00802636" w:rsidRPr="00CF1B34" w:rsidRDefault="00802636"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diferencial de una hipoteca</w:t>
      </w:r>
      <w:r w:rsidRPr="00CF1B34">
        <w:rPr>
          <w:rFonts w:ascii="Arial" w:hAnsi="Arial" w:cs="Arial"/>
          <w:sz w:val="22"/>
          <w:szCs w:val="22"/>
          <w:lang w:val="es-ES_tradnl"/>
        </w:rPr>
        <w:t> es un porcentaje fijo de intereses que supone la remuneración del banco por el hecho de prestarnos ese dinero. Es decir: es el beneficio que obtiene por adelantarnos un capital, por eso cada banco ofrece su propio diferencial. Además, el diferencial puede cambiar con los años</w:t>
      </w:r>
      <w:r w:rsidR="00D8525C" w:rsidRPr="00CF1B34">
        <w:rPr>
          <w:rFonts w:ascii="Arial" w:hAnsi="Arial" w:cs="Arial"/>
          <w:sz w:val="22"/>
          <w:szCs w:val="22"/>
          <w:lang w:val="es-ES_tradnl"/>
        </w:rPr>
        <w:t xml:space="preserve"> </w:t>
      </w:r>
      <w:r w:rsidRPr="00CF1B34">
        <w:rPr>
          <w:rFonts w:ascii="Arial" w:hAnsi="Arial" w:cs="Arial"/>
          <w:sz w:val="22"/>
          <w:szCs w:val="22"/>
          <w:lang w:val="es-ES_tradnl"/>
        </w:rPr>
        <w:t>en función de numerosos factores. En el caso de las </w:t>
      </w:r>
      <w:hyperlink r:id="rId225" w:history="1">
        <w:r w:rsidRPr="00CF1B34">
          <w:rPr>
            <w:rFonts w:ascii="Arial" w:hAnsi="Arial" w:cs="Arial"/>
            <w:b/>
            <w:bCs/>
            <w:color w:val="2F5496" w:themeColor="accent1" w:themeShade="BF"/>
            <w:sz w:val="22"/>
            <w:szCs w:val="22"/>
            <w:u w:val="single"/>
            <w:lang w:val="es-ES_tradnl"/>
          </w:rPr>
          <w:t>hipotecas variables</w:t>
        </w:r>
      </w:hyperlink>
      <w:r w:rsidRPr="00CF1B34">
        <w:rPr>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este porcentaje se suma a otro porcentaje (un índice de referencia que normalmente es el euríbor) para calcular el interés nominal del préstamo (o TIN). Por tanto, junto al índice de referencia, es una de las dos partes que determina el interés de las hipotecas variables. Pero a diferencia del euríbor que se revisa cada doce meses, el diferencial permanece igual a lo largo de la vida del préstamo.</w:t>
      </w:r>
    </w:p>
    <w:p w14:paraId="3673D83B" w14:textId="77777777" w:rsidR="00802636" w:rsidRPr="00CF1B34" w:rsidRDefault="0080263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caso de que contratemos productos de venta combinada o bonificados (productos que nos ofrecerá el banco de su propia cartera y que nos ayudarán a reducirnos el interés de la hipoteca) podremos reducir este interés. </w:t>
      </w:r>
    </w:p>
    <w:p w14:paraId="4855A544" w14:textId="64B0B449"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Diferencial de tipos de interés</w:t>
      </w:r>
    </w:p>
    <w:p w14:paraId="18B1F387"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Es la prima de riesgo que los inversores exigen a los activos de renta fija de un determinado país, en relación con otro que se considera más solvente. Entre dos valores </w:t>
      </w:r>
      <w:r w:rsidRPr="00CF1B34">
        <w:rPr>
          <w:rFonts w:ascii="Arial" w:hAnsi="Arial" w:cs="Arial"/>
          <w:color w:val="212529"/>
          <w:sz w:val="22"/>
          <w:szCs w:val="22"/>
          <w:lang w:val="es-ES_tradnl"/>
        </w:rPr>
        <w:lastRenderedPageBreak/>
        <w:t>de renta fija con el mismo vencimiento, se exigirá una rentabilidad superior al del país cuya economía se considera menos sólida. De la misma manera, cuando se trata de compañías, se exige menor rentabilidad a las que se considera más solventes.</w:t>
      </w:r>
    </w:p>
    <w:p w14:paraId="7DD84301"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Dilución</w:t>
      </w:r>
    </w:p>
    <w:p w14:paraId="6C8F69B5" w14:textId="1F50A846"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Disminución en el valor teórico de las acciones en circulación de una empresa, cuando se amplía capital sin prima de emisión (es decir, a la par o a un precio inferior al valor de mercado). Al no haber prima, las reservas de la sociedad se mantienen el mismo importe que antes de la ampliación, pero han de repartirse entre un mayor número de acciones, por lo que su valor teórico se reduce. Este efecto es el que justifica la concesión a los accionistas del derecho de suscripción preferente.</w:t>
      </w:r>
      <w:r w:rsidR="00711F2F" w:rsidRPr="00CF1B34">
        <w:rPr>
          <w:rFonts w:ascii="Arial" w:hAnsi="Arial" w:cs="Arial"/>
          <w:color w:val="212529"/>
          <w:sz w:val="22"/>
          <w:szCs w:val="22"/>
          <w:lang w:val="es-ES_tradnl"/>
        </w:rPr>
        <w:t xml:space="preserve"> </w:t>
      </w:r>
      <w:hyperlink r:id="rId226" w:tgtFrame="_self" w:history="1">
        <w:r w:rsidRPr="00CF1B34">
          <w:rPr>
            <w:rFonts w:ascii="Arial" w:hAnsi="Arial" w:cs="Arial"/>
            <w:b/>
            <w:bCs/>
            <w:color w:val="2F5496" w:themeColor="accent1" w:themeShade="BF"/>
            <w:sz w:val="22"/>
            <w:szCs w:val="22"/>
            <w:u w:val="single"/>
            <w:lang w:val="es-ES_tradnl"/>
          </w:rPr>
          <w:t>Ver cláusula anti dilución</w:t>
        </w:r>
      </w:hyperlink>
      <w:r w:rsidR="00711F2F" w:rsidRPr="00CF1B34">
        <w:rPr>
          <w:rFonts w:ascii="Arial" w:hAnsi="Arial" w:cs="Arial"/>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w:t>
      </w:r>
      <w:r w:rsidR="00711F2F" w:rsidRPr="00CF1B34">
        <w:rPr>
          <w:rFonts w:ascii="Arial" w:hAnsi="Arial" w:cs="Arial"/>
          <w:color w:val="2F5496" w:themeColor="accent1" w:themeShade="BF"/>
          <w:sz w:val="22"/>
          <w:szCs w:val="22"/>
          <w:lang w:val="es-ES_tradnl"/>
        </w:rPr>
        <w:t xml:space="preserve"> </w:t>
      </w:r>
      <w:hyperlink r:id="rId227" w:tgtFrame="_self" w:history="1">
        <w:r w:rsidRPr="00CF1B34">
          <w:rPr>
            <w:rFonts w:ascii="Arial" w:hAnsi="Arial" w:cs="Arial"/>
            <w:b/>
            <w:bCs/>
            <w:color w:val="2F5496" w:themeColor="accent1" w:themeShade="BF"/>
            <w:sz w:val="22"/>
            <w:szCs w:val="22"/>
            <w:u w:val="single"/>
            <w:lang w:val="es-ES_tradnl"/>
          </w:rPr>
          <w:t>derecho de suscripción preferente</w:t>
        </w:r>
      </w:hyperlink>
      <w:r w:rsidRPr="00CF1B34">
        <w:rPr>
          <w:rFonts w:ascii="Arial" w:hAnsi="Arial" w:cs="Arial"/>
          <w:color w:val="2F5496" w:themeColor="accent1" w:themeShade="BF"/>
          <w:sz w:val="22"/>
          <w:szCs w:val="22"/>
          <w:lang w:val="es-ES_tradnl"/>
        </w:rPr>
        <w:t>.</w:t>
      </w:r>
    </w:p>
    <w:p w14:paraId="62287F23" w14:textId="7C2D7B34" w:rsidR="00711F2F" w:rsidRPr="00CF1B34" w:rsidRDefault="00711F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Dinero negro.</w:t>
      </w:r>
    </w:p>
    <w:p w14:paraId="2AE273F5" w14:textId="4FDE77CF" w:rsidR="00711F2F" w:rsidRPr="00CF1B34" w:rsidRDefault="00711F2F" w:rsidP="0005621A">
      <w:pPr>
        <w:ind w:left="708"/>
        <w:jc w:val="both"/>
        <w:rPr>
          <w:rFonts w:ascii="Arial" w:hAnsi="Arial" w:cs="Arial"/>
          <w:sz w:val="22"/>
          <w:szCs w:val="22"/>
          <w:lang w:val="es-ES_tradnl"/>
        </w:rPr>
      </w:pPr>
      <w:r w:rsidRPr="00CF1B34">
        <w:rPr>
          <w:rFonts w:ascii="Arial" w:hAnsi="Arial" w:cs="Arial"/>
          <w:color w:val="4A4A4A"/>
          <w:sz w:val="22"/>
          <w:szCs w:val="22"/>
          <w:shd w:val="clear" w:color="auto" w:fill="FFFFFF"/>
          <w:lang w:val="es-ES_tradnl"/>
        </w:rPr>
        <w:t xml:space="preserve">En principio, se considera dinero negro o dinero B a las cantidades dinero que </w:t>
      </w:r>
      <w:r w:rsidRPr="00CF1B34">
        <w:rPr>
          <w:rFonts w:ascii="Arial" w:hAnsi="Arial" w:cs="Arial"/>
          <w:b/>
          <w:bCs/>
          <w:color w:val="4A4A4A"/>
          <w:sz w:val="22"/>
          <w:szCs w:val="22"/>
          <w:shd w:val="clear" w:color="auto" w:fill="FFFFFF"/>
          <w:lang w:val="es-ES_tradnl"/>
        </w:rPr>
        <w:t>n</w:t>
      </w:r>
      <w:r w:rsidRPr="00CF1B34">
        <w:rPr>
          <w:rStyle w:val="Textoennegrita"/>
          <w:rFonts w:ascii="Arial" w:hAnsi="Arial" w:cs="Arial"/>
          <w:b w:val="0"/>
          <w:bCs w:val="0"/>
          <w:color w:val="4A4A4A"/>
          <w:sz w:val="22"/>
          <w:szCs w:val="22"/>
          <w:shd w:val="clear" w:color="auto" w:fill="FFFFFF"/>
          <w:lang w:val="es-ES_tradnl"/>
        </w:rPr>
        <w:t>o se declaran a</w:t>
      </w:r>
      <w:r w:rsidRPr="00CF1B34">
        <w:rPr>
          <w:rStyle w:val="Textoennegrita"/>
          <w:rFonts w:ascii="Arial" w:hAnsi="Arial" w:cs="Arial"/>
          <w:color w:val="4A4A4A"/>
          <w:sz w:val="22"/>
          <w:szCs w:val="22"/>
          <w:shd w:val="clear" w:color="auto" w:fill="FFFFFF"/>
          <w:lang w:val="es-ES_tradnl"/>
        </w:rPr>
        <w:t xml:space="preserve"> Hacienda</w:t>
      </w:r>
      <w:r w:rsidR="00D64273" w:rsidRPr="00CF1B34">
        <w:rPr>
          <w:rFonts w:ascii="Arial" w:hAnsi="Arial" w:cs="Arial"/>
          <w:color w:val="4A4A4A"/>
          <w:sz w:val="22"/>
          <w:szCs w:val="22"/>
          <w:shd w:val="clear" w:color="auto" w:fill="FFFFFF"/>
          <w:lang w:val="es-ES_tradnl"/>
        </w:rPr>
        <w:t xml:space="preserve"> </w:t>
      </w:r>
      <w:r w:rsidRPr="00CF1B34">
        <w:rPr>
          <w:rFonts w:ascii="Arial" w:hAnsi="Arial" w:cs="Arial"/>
          <w:color w:val="4A4A4A"/>
          <w:sz w:val="22"/>
          <w:szCs w:val="22"/>
          <w:shd w:val="clear" w:color="auto" w:fill="FFFFFF"/>
          <w:lang w:val="es-ES_tradnl"/>
        </w:rPr>
        <w:t>y que por lo tanto</w:t>
      </w:r>
      <w:r w:rsidR="00D64273" w:rsidRPr="00CF1B34">
        <w:rPr>
          <w:rFonts w:ascii="Arial" w:hAnsi="Arial" w:cs="Arial"/>
          <w:color w:val="4A4A4A"/>
          <w:sz w:val="22"/>
          <w:szCs w:val="22"/>
          <w:shd w:val="clear" w:color="auto" w:fill="FFFFFF"/>
          <w:lang w:val="es-ES_tradnl"/>
        </w:rPr>
        <w:t xml:space="preserve"> </w:t>
      </w:r>
      <w:r w:rsidRPr="00CF1B34">
        <w:rPr>
          <w:rStyle w:val="Textoennegrita"/>
          <w:rFonts w:ascii="Arial" w:hAnsi="Arial" w:cs="Arial"/>
          <w:color w:val="4A4A4A"/>
          <w:sz w:val="22"/>
          <w:szCs w:val="22"/>
          <w:shd w:val="clear" w:color="auto" w:fill="FFFFFF"/>
          <w:lang w:val="es-ES_tradnl"/>
        </w:rPr>
        <w:t>no están controladas por las autoridades</w:t>
      </w:r>
      <w:r w:rsidRPr="00CF1B34">
        <w:rPr>
          <w:rFonts w:ascii="Arial" w:hAnsi="Arial" w:cs="Arial"/>
          <w:color w:val="4A4A4A"/>
          <w:sz w:val="22"/>
          <w:szCs w:val="22"/>
          <w:shd w:val="clear" w:color="auto" w:fill="FFFFFF"/>
          <w:lang w:val="es-ES_tradnl"/>
        </w:rPr>
        <w:t>.</w:t>
      </w:r>
    </w:p>
    <w:p w14:paraId="0BC27729" w14:textId="75872B28" w:rsidR="00D64273" w:rsidRPr="00CF1B34" w:rsidRDefault="00711F2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4A4A4A"/>
          <w:sz w:val="22"/>
          <w:szCs w:val="22"/>
          <w:shd w:val="clear" w:color="auto" w:fill="FFFFFF"/>
          <w:lang w:val="es-ES_tradnl"/>
        </w:rPr>
        <w:t>El dinero negro tiene muchas formas y</w:t>
      </w:r>
      <w:r w:rsidR="00D64273" w:rsidRPr="00CF1B34">
        <w:rPr>
          <w:rFonts w:ascii="Arial" w:hAnsi="Arial" w:cs="Arial"/>
          <w:color w:val="4A4A4A"/>
          <w:sz w:val="22"/>
          <w:szCs w:val="22"/>
          <w:shd w:val="clear" w:color="auto" w:fill="FFFFFF"/>
          <w:lang w:val="es-ES_tradnl"/>
        </w:rPr>
        <w:t xml:space="preserve"> </w:t>
      </w:r>
      <w:r w:rsidRPr="00CF1B34">
        <w:rPr>
          <w:rStyle w:val="Textoennegrita"/>
          <w:rFonts w:ascii="Arial" w:hAnsi="Arial" w:cs="Arial"/>
          <w:color w:val="4A4A4A"/>
          <w:sz w:val="22"/>
          <w:szCs w:val="22"/>
          <w:shd w:val="clear" w:color="auto" w:fill="FFFFFF"/>
          <w:lang w:val="es-ES_tradnl"/>
        </w:rPr>
        <w:t>puede proceder de actividades legales o ilegales</w:t>
      </w:r>
      <w:r w:rsidRPr="00CF1B34">
        <w:rPr>
          <w:rFonts w:ascii="Arial" w:hAnsi="Arial" w:cs="Arial"/>
          <w:color w:val="4A4A4A"/>
          <w:sz w:val="22"/>
          <w:szCs w:val="22"/>
          <w:shd w:val="clear" w:color="auto" w:fill="FFFFFF"/>
          <w:lang w:val="es-ES_tradnl"/>
        </w:rPr>
        <w:t>.</w:t>
      </w:r>
      <w:r w:rsidR="00D64273" w:rsidRPr="00CF1B34">
        <w:rPr>
          <w:rFonts w:ascii="Arial" w:hAnsi="Arial" w:cs="Arial"/>
          <w:color w:val="4A4A4A"/>
          <w:sz w:val="22"/>
          <w:szCs w:val="22"/>
          <w:shd w:val="clear" w:color="auto" w:fill="FFFFFF"/>
          <w:lang w:val="es-ES_tradnl"/>
        </w:rPr>
        <w:t xml:space="preserve"> </w:t>
      </w:r>
      <w:r w:rsidRPr="00CF1B34">
        <w:rPr>
          <w:rStyle w:val="Textoennegrita"/>
          <w:rFonts w:ascii="Arial" w:hAnsi="Arial" w:cs="Arial"/>
          <w:color w:val="4A4A4A"/>
          <w:sz w:val="22"/>
          <w:szCs w:val="22"/>
          <w:shd w:val="clear" w:color="auto" w:fill="FFFFFF"/>
          <w:lang w:val="es-ES_tradnl"/>
        </w:rPr>
        <w:t>Las primeras</w:t>
      </w:r>
      <w:r w:rsidR="00D64273" w:rsidRPr="00CF1B34">
        <w:rPr>
          <w:rFonts w:ascii="Arial" w:hAnsi="Arial" w:cs="Arial"/>
          <w:color w:val="4A4A4A"/>
          <w:sz w:val="22"/>
          <w:szCs w:val="22"/>
          <w:shd w:val="clear" w:color="auto" w:fill="FFFFFF"/>
          <w:lang w:val="es-ES_tradnl"/>
        </w:rPr>
        <w:t xml:space="preserve"> </w:t>
      </w:r>
      <w:r w:rsidRPr="00CF1B34">
        <w:rPr>
          <w:rFonts w:ascii="Arial" w:hAnsi="Arial" w:cs="Arial"/>
          <w:color w:val="4A4A4A"/>
          <w:sz w:val="22"/>
          <w:szCs w:val="22"/>
          <w:shd w:val="clear" w:color="auto" w:fill="FFFFFF"/>
          <w:lang w:val="es-ES_tradnl"/>
        </w:rPr>
        <w:t>son las que puede cometer cualquier ciudadano cuando escritura una cada por menor valor del que negocia, paga un alquiler sin contrato o accede a cobrar parte de su salario al margen de la nómina. En estos casos</w:t>
      </w:r>
      <w:r w:rsidR="00D64273" w:rsidRPr="00CF1B34">
        <w:rPr>
          <w:rFonts w:ascii="Arial" w:hAnsi="Arial" w:cs="Arial"/>
          <w:color w:val="4A4A4A"/>
          <w:sz w:val="22"/>
          <w:szCs w:val="22"/>
          <w:shd w:val="clear" w:color="auto" w:fill="FFFFFF"/>
          <w:lang w:val="es-ES_tradnl"/>
        </w:rPr>
        <w:t xml:space="preserve"> </w:t>
      </w:r>
      <w:r w:rsidRPr="00CF1B34">
        <w:rPr>
          <w:rStyle w:val="Textoennegrita"/>
          <w:rFonts w:ascii="Arial" w:hAnsi="Arial" w:cs="Arial"/>
          <w:color w:val="4A4A4A"/>
          <w:sz w:val="22"/>
          <w:szCs w:val="22"/>
          <w:shd w:val="clear" w:color="auto" w:fill="FFFFFF"/>
          <w:lang w:val="es-ES_tradnl"/>
        </w:rPr>
        <w:t>se suele hablar de dinero en B o dinero sucio</w:t>
      </w:r>
      <w:r w:rsidRPr="00CF1B34">
        <w:rPr>
          <w:rFonts w:ascii="Arial" w:hAnsi="Arial" w:cs="Arial"/>
          <w:color w:val="4A4A4A"/>
          <w:sz w:val="22"/>
          <w:szCs w:val="22"/>
          <w:shd w:val="clear" w:color="auto" w:fill="FFFFFF"/>
          <w:lang w:val="es-ES_tradnl"/>
        </w:rPr>
        <w:t>, ya que la actividad de la que proviene el dinero el legal, aunque ocultar ese capital al fisco no lo sea</w:t>
      </w:r>
      <w:r w:rsidR="00D64273" w:rsidRPr="00CF1B34">
        <w:rPr>
          <w:rFonts w:ascii="Arial" w:hAnsi="Arial" w:cs="Arial"/>
          <w:color w:val="4A4A4A"/>
          <w:shd w:val="clear" w:color="auto" w:fill="FFFFFF"/>
          <w:lang w:val="es-ES_tradnl"/>
        </w:rPr>
        <w:t xml:space="preserve"> </w:t>
      </w:r>
      <w:proofErr w:type="gramStart"/>
      <w:r w:rsidR="00D64273" w:rsidRPr="00CF1B34">
        <w:rPr>
          <w:rFonts w:ascii="Arial" w:hAnsi="Arial" w:cs="Arial"/>
          <w:color w:val="4A4A4A"/>
          <w:sz w:val="22"/>
          <w:szCs w:val="22"/>
          <w:shd w:val="clear" w:color="auto" w:fill="FFFFFF"/>
          <w:lang w:val="es-ES_tradnl"/>
        </w:rPr>
        <w:t>y,  no</w:t>
      </w:r>
      <w:proofErr w:type="gramEnd"/>
      <w:r w:rsidR="00D64273" w:rsidRPr="00CF1B34">
        <w:rPr>
          <w:rFonts w:ascii="Arial" w:hAnsi="Arial" w:cs="Arial"/>
          <w:color w:val="4A4A4A"/>
          <w:sz w:val="22"/>
          <w:szCs w:val="22"/>
          <w:shd w:val="clear" w:color="auto" w:fill="FFFFFF"/>
          <w:lang w:val="es-ES_tradnl"/>
        </w:rPr>
        <w:t xml:space="preserve"> tienen nada que ver con el</w:t>
      </w:r>
      <w:r w:rsidR="00D64273" w:rsidRPr="00CF1B34">
        <w:rPr>
          <w:rStyle w:val="Textoennegrita"/>
          <w:rFonts w:ascii="Arial" w:hAnsi="Arial" w:cs="Arial"/>
          <w:color w:val="4A4A4A"/>
          <w:sz w:val="22"/>
          <w:szCs w:val="22"/>
          <w:shd w:val="clear" w:color="auto" w:fill="FFFFFF"/>
          <w:lang w:val="es-ES_tradnl"/>
        </w:rPr>
        <w:t xml:space="preserve"> dinero negro</w:t>
      </w:r>
      <w:r w:rsidR="00D64273" w:rsidRPr="00CF1B34">
        <w:rPr>
          <w:rFonts w:ascii="Arial" w:hAnsi="Arial" w:cs="Arial"/>
          <w:color w:val="4A4A4A"/>
          <w:sz w:val="22"/>
          <w:szCs w:val="22"/>
          <w:shd w:val="clear" w:color="auto" w:fill="FFFFFF"/>
          <w:lang w:val="es-ES_tradnl"/>
        </w:rPr>
        <w:t xml:space="preserve"> que mueven las actividades ilegales</w:t>
      </w:r>
      <w:r w:rsidR="00070D74" w:rsidRPr="00CF1B34">
        <w:rPr>
          <w:rFonts w:ascii="Arial" w:hAnsi="Arial" w:cs="Arial"/>
          <w:color w:val="4A4A4A"/>
          <w:sz w:val="22"/>
          <w:szCs w:val="22"/>
          <w:shd w:val="clear" w:color="auto" w:fill="FFFFFF"/>
          <w:lang w:val="es-ES_tradnl"/>
        </w:rPr>
        <w:t>:</w:t>
      </w:r>
      <w:r w:rsidR="00D64273" w:rsidRPr="00CF1B34">
        <w:rPr>
          <w:rFonts w:ascii="Arial" w:hAnsi="Arial" w:cs="Arial"/>
          <w:color w:val="4A4A4A"/>
          <w:sz w:val="22"/>
          <w:szCs w:val="22"/>
          <w:shd w:val="clear" w:color="auto" w:fill="FFFFFF"/>
          <w:lang w:val="es-ES_tradnl"/>
        </w:rPr>
        <w:t xml:space="preserve"> </w:t>
      </w:r>
      <w:r w:rsidR="00070D74" w:rsidRPr="00CF1B34">
        <w:rPr>
          <w:rFonts w:ascii="Arial" w:hAnsi="Arial" w:cs="Arial"/>
          <w:color w:val="4A4A4A"/>
          <w:sz w:val="22"/>
          <w:szCs w:val="22"/>
          <w:shd w:val="clear" w:color="auto" w:fill="FFFFFF"/>
          <w:lang w:val="es-ES_tradnl"/>
        </w:rPr>
        <w:t>t</w:t>
      </w:r>
      <w:r w:rsidR="00D64273" w:rsidRPr="00CF1B34">
        <w:rPr>
          <w:rFonts w:ascii="Arial" w:hAnsi="Arial" w:cs="Arial"/>
          <w:color w:val="4A4A4A"/>
          <w:sz w:val="22"/>
          <w:szCs w:val="22"/>
          <w:shd w:val="clear" w:color="auto" w:fill="FFFFFF"/>
          <w:lang w:val="es-ES_tradnl"/>
        </w:rPr>
        <w:t>ráfico de drogas, de armas y prostitución (aunque esta se puede considerar una actividad alegal) son las más comunes.</w:t>
      </w:r>
    </w:p>
    <w:p w14:paraId="478C1AF5" w14:textId="2FF75B72" w:rsidR="009D62CA" w:rsidRPr="00CF1B34" w:rsidRDefault="009D62C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Direcci</w:t>
      </w:r>
      <w:r w:rsidR="000B1506"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n General del Tesoro y Pol</w:t>
      </w:r>
      <w:r w:rsidR="000B1506" w:rsidRPr="00CF1B34">
        <w:rPr>
          <w:rFonts w:ascii="Arial" w:hAnsi="Arial" w:cs="Arial"/>
          <w:b/>
          <w:bCs/>
          <w:color w:val="004773"/>
          <w:sz w:val="22"/>
          <w:szCs w:val="22"/>
          <w:lang w:val="es-ES_tradnl"/>
        </w:rPr>
        <w:t>í</w:t>
      </w:r>
      <w:r w:rsidRPr="00CF1B34">
        <w:rPr>
          <w:rFonts w:ascii="Arial" w:hAnsi="Arial" w:cs="Arial"/>
          <w:b/>
          <w:bCs/>
          <w:color w:val="004773"/>
          <w:sz w:val="22"/>
          <w:szCs w:val="22"/>
          <w:lang w:val="es-ES_tradnl"/>
        </w:rPr>
        <w:t>tica Financiera</w:t>
      </w:r>
    </w:p>
    <w:p w14:paraId="1B13AF4F" w14:textId="4B676CF8" w:rsidR="0099440C" w:rsidRPr="00CF1B34" w:rsidRDefault="0099440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diferencia entre los distintos tipos que rigen en los países. Los países de economías mas solidas y menor inflación son los que menores tipos de interés tienen. Es conocida también como prima de riesgo.</w:t>
      </w:r>
    </w:p>
    <w:p w14:paraId="78222F3C" w14:textId="6019B00C" w:rsidR="009D62CA" w:rsidRPr="00CF1B34" w:rsidRDefault="009D62C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Disfrute (fecha de)</w:t>
      </w:r>
    </w:p>
    <w:p w14:paraId="3831A18F" w14:textId="77777777" w:rsidR="005E0DF0" w:rsidRPr="00CF1B34" w:rsidRDefault="005E0DF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Inicio del periodo en que se plasma el derecho a percibir un beneficio por un valor móvil, dividendo una acción, intereses una obligación.</w:t>
      </w:r>
    </w:p>
    <w:p w14:paraId="54D737C5" w14:textId="30F43652"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Diversificación de riesgos</w:t>
      </w:r>
    </w:p>
    <w:p w14:paraId="5F835383"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Es un principio básico de la operativa en mercados financieros, según el cual los riesgos pueden controlarse si el importe global que se pretende invertir se distribuye entre productos con diferentes expectativas de rentabilidad y riesgo. La idea que subyace es que, integrando activos de riesgos opuestos, </w:t>
      </w:r>
      <w:proofErr w:type="gramStart"/>
      <w:r w:rsidRPr="00CF1B34">
        <w:rPr>
          <w:rFonts w:ascii="Arial" w:hAnsi="Arial" w:cs="Arial"/>
          <w:color w:val="212529"/>
          <w:sz w:val="22"/>
          <w:szCs w:val="22"/>
          <w:lang w:val="es-ES_tradnl"/>
        </w:rPr>
        <w:t>éstos puede</w:t>
      </w:r>
      <w:proofErr w:type="gramEnd"/>
      <w:r w:rsidRPr="00CF1B34">
        <w:rPr>
          <w:rFonts w:ascii="Arial" w:hAnsi="Arial" w:cs="Arial"/>
          <w:color w:val="212529"/>
          <w:sz w:val="22"/>
          <w:szCs w:val="22"/>
          <w:lang w:val="es-ES_tradnl"/>
        </w:rPr>
        <w:t xml:space="preserve"> compensarse en distinto grado, de modo que el riesgo del agregado resulte inferior.</w:t>
      </w:r>
    </w:p>
    <w:p w14:paraId="4C27A55A"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Dividendo</w:t>
      </w:r>
    </w:p>
    <w:p w14:paraId="2A099298" w14:textId="77777777" w:rsidR="00744669" w:rsidRPr="00CF1B34" w:rsidRDefault="00B75E6A" w:rsidP="0005621A">
      <w:pPr>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Es la parte del beneficio social que se reparte entre los accionistas. Junto con las posibles plusvalías obtenidas por la revalorización, es la principal fuente de rentabilidad de las acciones, y constituye el derecho económico por excelencia de sus titulares (reconocido en el artículo 48 de la Ley de Sociedades Anónimas).</w:t>
      </w:r>
      <w:r w:rsidR="00744669" w:rsidRPr="00CF1B34">
        <w:rPr>
          <w:rFonts w:ascii="Arial" w:hAnsi="Arial" w:cs="Arial"/>
          <w:color w:val="333333"/>
          <w:shd w:val="clear" w:color="auto" w:fill="FFFFFF"/>
          <w:lang w:val="es-ES_tradnl"/>
        </w:rPr>
        <w:t xml:space="preserve"> </w:t>
      </w:r>
      <w:r w:rsidR="00744669" w:rsidRPr="00CF1B34">
        <w:rPr>
          <w:rFonts w:ascii="Arial" w:hAnsi="Arial" w:cs="Arial"/>
          <w:color w:val="333333"/>
          <w:sz w:val="22"/>
          <w:szCs w:val="22"/>
          <w:shd w:val="clear" w:color="auto" w:fill="FFFFFF"/>
          <w:lang w:val="es-ES_tradnl"/>
        </w:rPr>
        <w:t xml:space="preserve">Los dividendos podrán ser repartidos en </w:t>
      </w:r>
      <w:r w:rsidR="00744669" w:rsidRPr="00CF1B34">
        <w:rPr>
          <w:rStyle w:val="Textoennegrita"/>
          <w:rFonts w:ascii="Arial" w:hAnsi="Arial" w:cs="Arial"/>
          <w:color w:val="333333"/>
          <w:sz w:val="22"/>
          <w:szCs w:val="22"/>
          <w:shd w:val="clear" w:color="auto" w:fill="FFFFFF"/>
          <w:lang w:val="es-ES_tradnl"/>
        </w:rPr>
        <w:t>dinero o en acciones</w:t>
      </w:r>
      <w:r w:rsidR="00744669" w:rsidRPr="00CF1B34">
        <w:rPr>
          <w:rFonts w:ascii="Arial" w:hAnsi="Arial" w:cs="Arial"/>
          <w:sz w:val="22"/>
          <w:szCs w:val="22"/>
          <w:lang w:val="es-ES_tradnl"/>
        </w:rPr>
        <w:t xml:space="preserve">. </w:t>
      </w:r>
      <w:r w:rsidRPr="00CF1B34">
        <w:rPr>
          <w:rFonts w:ascii="Arial" w:hAnsi="Arial" w:cs="Arial"/>
          <w:color w:val="212529"/>
          <w:sz w:val="22"/>
          <w:szCs w:val="22"/>
          <w:lang w:val="es-ES_tradnl"/>
        </w:rPr>
        <w:t xml:space="preserve">En ocasiones, la junta general puede estimar conveniente no proceder al reparto del dividendo. </w:t>
      </w:r>
    </w:p>
    <w:p w14:paraId="3DCA243D" w14:textId="772699CA" w:rsidR="00744669" w:rsidRPr="00CF1B34" w:rsidRDefault="0074466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lastRenderedPageBreak/>
        <w:t xml:space="preserve">La legislación de los distintos países pone </w:t>
      </w:r>
      <w:r w:rsidRPr="00CF1B34">
        <w:rPr>
          <w:rStyle w:val="Textoennegrita"/>
          <w:rFonts w:ascii="Arial" w:hAnsi="Arial" w:cs="Arial"/>
          <w:color w:val="333333"/>
          <w:sz w:val="22"/>
          <w:szCs w:val="22"/>
          <w:shd w:val="clear" w:color="auto" w:fill="FFFFFF"/>
          <w:lang w:val="es-ES_tradnl"/>
        </w:rPr>
        <w:t>límites a la distribución de dividendos,</w:t>
      </w:r>
      <w:r w:rsidRPr="00CF1B34">
        <w:rPr>
          <w:rFonts w:ascii="Arial" w:hAnsi="Arial" w:cs="Arial"/>
          <w:color w:val="333333"/>
          <w:sz w:val="22"/>
          <w:szCs w:val="22"/>
          <w:shd w:val="clear" w:color="auto" w:fill="FFFFFF"/>
          <w:lang w:val="es-ES_tradnl"/>
        </w:rPr>
        <w:t xml:space="preserve"> obligando a las empresas a reinvertir una parte de los beneficios. Esta situación es lógica, ya que</w:t>
      </w:r>
      <w:r w:rsidR="00D4229C" w:rsidRPr="00CF1B34">
        <w:rPr>
          <w:rFonts w:ascii="Arial" w:hAnsi="Arial" w:cs="Arial"/>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si periódicamente las empresas reparten entre sus accionistas la totalidad de los beneficios obtenidos, ante cualquier eventualidad se verían ante una potencial </w:t>
      </w:r>
      <w:r w:rsidRPr="00CF1B34">
        <w:rPr>
          <w:rStyle w:val="Textoennegrita"/>
          <w:rFonts w:ascii="Arial" w:hAnsi="Arial" w:cs="Arial"/>
          <w:color w:val="333333"/>
          <w:sz w:val="22"/>
          <w:szCs w:val="22"/>
          <w:shd w:val="clear" w:color="auto" w:fill="FFFFFF"/>
          <w:lang w:val="es-ES_tradnl"/>
        </w:rPr>
        <w:t>descapitalización.</w:t>
      </w:r>
    </w:p>
    <w:p w14:paraId="06AA6CFB"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Dividendo a cuenta</w:t>
      </w:r>
    </w:p>
    <w:p w14:paraId="53238FA8"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dividendo que se entrega a los accionistas, como anticipo de los resultados finales esperados.</w:t>
      </w:r>
    </w:p>
    <w:p w14:paraId="5690A66A" w14:textId="6C89877F" w:rsidR="009D62CA" w:rsidRPr="00CF1B34" w:rsidRDefault="009D62C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Dividendo bruto y neto</w:t>
      </w:r>
    </w:p>
    <w:p w14:paraId="11F4D274" w14:textId="19A3E9B0" w:rsidR="000C3F01" w:rsidRPr="00CF1B34" w:rsidRDefault="000C3F0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dividendo bruto, es la suma del dividendo a cuenta mas el complementario. El dividendo neto, es el que percibe el accionista una vez deducida la retención del impuesto sobre las rentas del c</w:t>
      </w:r>
      <w:r w:rsidR="00B65CD4"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pital.</w:t>
      </w:r>
    </w:p>
    <w:p w14:paraId="164AFBE5" w14:textId="732E64D2"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Dividendo complementario</w:t>
      </w:r>
    </w:p>
    <w:p w14:paraId="55AE4E31"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Dividendo que se añade al entregado a cuenta, una vez aprobada la cantidad definitiva a repartir en concepto de dividendo por la Junta General de Accionistas.</w:t>
      </w:r>
    </w:p>
    <w:p w14:paraId="30F47DF5" w14:textId="0F67A52E" w:rsidR="009D62CA" w:rsidRPr="00CF1B34" w:rsidRDefault="009D62C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Dividendo unico</w:t>
      </w:r>
    </w:p>
    <w:p w14:paraId="119F505F" w14:textId="1EE6DBF0" w:rsidR="00B65CD4" w:rsidRPr="00CF1B34" w:rsidRDefault="00B65CD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pago del dividendo que hacen la</w:t>
      </w:r>
      <w:r w:rsidR="00D4229C" w:rsidRPr="00CF1B34">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 xml:space="preserve"> empresas de una sola vez.</w:t>
      </w:r>
    </w:p>
    <w:p w14:paraId="4422C0CE" w14:textId="0267DAA4" w:rsidR="009D62CA" w:rsidRPr="00CF1B34" w:rsidRDefault="009D62C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Divisa convertible</w:t>
      </w:r>
    </w:p>
    <w:p w14:paraId="3843F1B2" w14:textId="19903BEA" w:rsidR="00B65CD4" w:rsidRPr="00CF1B34" w:rsidRDefault="00B65CD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aquella que puede ser libremente convertida a otras divisas sin ninguna restricción de control de cambios</w:t>
      </w:r>
      <w:r w:rsidR="006B2145" w:rsidRPr="00CF1B34">
        <w:rPr>
          <w:rFonts w:ascii="Arial" w:hAnsi="Arial" w:cs="Arial"/>
          <w:color w:val="000000" w:themeColor="text1"/>
          <w:sz w:val="22"/>
          <w:szCs w:val="22"/>
          <w:lang w:val="es-ES_tradnl"/>
        </w:rPr>
        <w:t>.</w:t>
      </w:r>
    </w:p>
    <w:p w14:paraId="1AFA8B04" w14:textId="12B70998"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Divisa</w:t>
      </w:r>
    </w:p>
    <w:p w14:paraId="18B3CA6F" w14:textId="50BC9ABD"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Moneda en circulación en un país. Sin embargo, este término se emplea con frecuencia para hacer referencia a las monedas extranjeras.</w:t>
      </w:r>
    </w:p>
    <w:p w14:paraId="06D6B596" w14:textId="0D1E790F" w:rsidR="009D62CA" w:rsidRPr="00CF1B34" w:rsidRDefault="009D62CA" w:rsidP="0005621A">
      <w:pPr>
        <w:pStyle w:val="Ttulo2"/>
        <w:shd w:val="clear" w:color="auto" w:fill="FFFFFF"/>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Doble techo y Doble Suelo</w:t>
      </w:r>
    </w:p>
    <w:p w14:paraId="349ED2AC" w14:textId="77777777" w:rsidR="00E040E8" w:rsidRPr="00CF1B34" w:rsidRDefault="00E040E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000000" w:themeColor="text1"/>
          <w:sz w:val="22"/>
          <w:szCs w:val="22"/>
          <w:lang w:val="es-ES_tradnl"/>
        </w:rPr>
        <w:t>Formaciones chartistas que indican un cambio en una tendencia principal o primaria, por lo que es mas fácil de observar en graficos de precios semanales. Su representación grafica consta de dos picos o valles.</w:t>
      </w:r>
    </w:p>
    <w:p w14:paraId="615B643E" w14:textId="28BD6E93" w:rsidR="003B34A5" w:rsidRPr="00CF1B34" w:rsidRDefault="003B34A5" w:rsidP="0005621A">
      <w:pPr>
        <w:pStyle w:val="Ttulo2"/>
        <w:shd w:val="clear" w:color="auto" w:fill="FFFFFF"/>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Documento público</w:t>
      </w:r>
    </w:p>
    <w:p w14:paraId="0A219A02" w14:textId="77777777" w:rsidR="003B34A5" w:rsidRPr="00CF1B34" w:rsidRDefault="003B34A5"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w:t>
      </w:r>
      <w:r w:rsidRPr="00CF1B34">
        <w:rPr>
          <w:rStyle w:val="Textoennegrita"/>
          <w:rFonts w:ascii="Arial" w:hAnsi="Arial" w:cs="Arial"/>
          <w:color w:val="191B1C"/>
          <w:sz w:val="22"/>
          <w:szCs w:val="22"/>
          <w:lang w:val="es-ES_tradnl"/>
        </w:rPr>
        <w:t>Documento público de compraventa</w:t>
      </w:r>
      <w:r w:rsidRPr="00CF1B34">
        <w:rPr>
          <w:rFonts w:ascii="Arial" w:hAnsi="Arial" w:cs="Arial"/>
          <w:color w:val="191B1C"/>
          <w:sz w:val="22"/>
          <w:szCs w:val="22"/>
          <w:lang w:val="es-ES_tradnl"/>
        </w:rPr>
        <w:t> (también conocido como escritura) es el contrato que firmamos ante notario para atribuir legalmente el cambio de propiedad de un inmueble del comprador al vendedor. Este documento lo firma el notario y también de ambas partes, y en el caso de que se produzca un litigio legal, el contenido de la escritura es ley.</w:t>
      </w:r>
    </w:p>
    <w:p w14:paraId="665452CD" w14:textId="012DAFC4" w:rsidR="003B34A5" w:rsidRPr="00CF1B34" w:rsidRDefault="003B34A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La firma de la escritura suele coincidir habitualmente con la de la hipoteca. Una vez firmado, el inmueble se podrá inscribir en el Registro de la propiedad a nuestro nombre</w:t>
      </w:r>
      <w:r w:rsidR="00D80975" w:rsidRPr="00CF1B34">
        <w:rPr>
          <w:rFonts w:ascii="Arial" w:hAnsi="Arial" w:cs="Arial"/>
          <w:color w:val="191B1C"/>
          <w:sz w:val="22"/>
          <w:szCs w:val="22"/>
          <w:lang w:val="es-ES_tradnl"/>
        </w:rPr>
        <w:t>.</w:t>
      </w:r>
    </w:p>
    <w:p w14:paraId="7CE72DC8" w14:textId="4D573C8D" w:rsidR="00744669" w:rsidRPr="00CF1B34" w:rsidRDefault="00744669"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lastRenderedPageBreak/>
        <w:t>Domicilio fiscal</w:t>
      </w:r>
      <w:r w:rsidR="00EE7B23" w:rsidRPr="00CF1B34">
        <w:rPr>
          <w:rFonts w:ascii="Arial" w:hAnsi="Arial" w:cs="Arial"/>
          <w:color w:val="1F3864" w:themeColor="accent1" w:themeShade="80"/>
          <w:sz w:val="22"/>
          <w:szCs w:val="22"/>
          <w:lang w:val="es-ES_tradnl"/>
        </w:rPr>
        <w:t xml:space="preserve"> y Padrón</w:t>
      </w:r>
    </w:p>
    <w:p w14:paraId="21E8769C" w14:textId="77777777" w:rsidR="00D80975" w:rsidRPr="00CF1B34" w:rsidRDefault="00EE7B2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Domicilio fiscal y padrón son dos elementos diferentes que suelen coincidir en la mayoría de ocasiones. </w:t>
      </w:r>
      <w:r w:rsidRPr="00CF1B34">
        <w:rPr>
          <w:rFonts w:ascii="Arial" w:hAnsi="Arial" w:cs="Arial"/>
          <w:color w:val="333333"/>
          <w:sz w:val="22"/>
          <w:szCs w:val="22"/>
          <w:shd w:val="clear" w:color="auto" w:fill="FFFFFF"/>
          <w:lang w:val="es-ES_tradnl"/>
        </w:rPr>
        <w:t xml:space="preserve">Hoy en día </w:t>
      </w:r>
      <w:r w:rsidRPr="00CF1B34">
        <w:rPr>
          <w:rFonts w:ascii="Arial" w:hAnsi="Arial" w:cs="Arial"/>
          <w:b/>
          <w:bCs/>
          <w:color w:val="333333"/>
          <w:sz w:val="22"/>
          <w:szCs w:val="22"/>
          <w:shd w:val="clear" w:color="auto" w:fill="FFFFFF"/>
          <w:lang w:val="es-ES_tradnl"/>
        </w:rPr>
        <w:t>no es extraño que domicilio fiscal y padrón sean diferentes</w:t>
      </w:r>
      <w:r w:rsidRPr="00CF1B34">
        <w:rPr>
          <w:rFonts w:ascii="Arial" w:hAnsi="Arial" w:cs="Arial"/>
          <w:color w:val="333333"/>
          <w:sz w:val="22"/>
          <w:szCs w:val="22"/>
          <w:shd w:val="clear" w:color="auto" w:fill="FFFFFF"/>
          <w:lang w:val="es-ES_tradnl"/>
        </w:rPr>
        <w:t xml:space="preserve"> y que por lo tanto surjan </w:t>
      </w:r>
      <w:r w:rsidRPr="00CF1B34">
        <w:rPr>
          <w:rFonts w:ascii="Arial" w:hAnsi="Arial" w:cs="Arial"/>
          <w:b/>
          <w:bCs/>
          <w:color w:val="333333"/>
          <w:sz w:val="22"/>
          <w:szCs w:val="22"/>
          <w:shd w:val="clear" w:color="auto" w:fill="FFFFFF"/>
          <w:lang w:val="es-ES_tradnl"/>
        </w:rPr>
        <w:t>dudas donde hacer la declaración de la renta</w:t>
      </w:r>
      <w:r w:rsidR="00D80975" w:rsidRPr="00CF1B34">
        <w:rPr>
          <w:rFonts w:ascii="Arial" w:hAnsi="Arial" w:cs="Arial"/>
          <w:b/>
          <w:bCs/>
          <w:color w:val="333333"/>
          <w:sz w:val="22"/>
          <w:szCs w:val="22"/>
          <w:shd w:val="clear" w:color="auto" w:fill="FFFFFF"/>
          <w:lang w:val="es-ES_tradnl"/>
        </w:rPr>
        <w:t>.</w:t>
      </w:r>
    </w:p>
    <w:p w14:paraId="62BCFCDF" w14:textId="1503D40A" w:rsidR="009F69BF" w:rsidRPr="00CF1B34" w:rsidRDefault="009F69BF"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Dow Jones</w:t>
      </w:r>
    </w:p>
    <w:p w14:paraId="073DD9C5" w14:textId="77777777" w:rsidR="009F69BF" w:rsidRPr="00CF1B34" w:rsidRDefault="009F69BF" w:rsidP="0005621A">
      <w:pPr>
        <w:ind w:left="708"/>
        <w:jc w:val="both"/>
        <w:rPr>
          <w:rFonts w:ascii="Arial" w:hAnsi="Arial" w:cs="Arial"/>
          <w:sz w:val="22"/>
          <w:szCs w:val="22"/>
          <w:lang w:val="es-ES_tradnl"/>
        </w:rPr>
      </w:pPr>
      <w:r w:rsidRPr="00CF1B34">
        <w:rPr>
          <w:rFonts w:ascii="Arial" w:hAnsi="Arial" w:cs="Arial"/>
          <w:sz w:val="22"/>
          <w:szCs w:val="22"/>
          <w:lang w:val="es-ES_tradnl"/>
        </w:rPr>
        <w:t>Cuando hablamos del </w:t>
      </w:r>
      <w:r w:rsidRPr="00CF1B34">
        <w:rPr>
          <w:rStyle w:val="Textoennegrita"/>
          <w:rFonts w:ascii="Arial" w:hAnsi="Arial" w:cs="Arial"/>
          <w:sz w:val="22"/>
          <w:szCs w:val="22"/>
          <w:lang w:val="es-ES_tradnl"/>
        </w:rPr>
        <w:t>Dow Jones</w:t>
      </w:r>
      <w:r w:rsidRPr="00CF1B34">
        <w:rPr>
          <w:rFonts w:ascii="Arial" w:hAnsi="Arial" w:cs="Arial"/>
          <w:sz w:val="22"/>
          <w:szCs w:val="22"/>
          <w:lang w:val="es-ES_tradnl"/>
        </w:rPr>
        <w:t>, en realidad nos referimos al índice bursátil Dow Jones Industrial Average (DJIA), uno de los índices más importantes y de referencia en todo el mundo. Está formado por las 30 empresas de mayor captizalización de la Bolsa de Nueva York (NYSE) (las consideradas “blue chips”).</w:t>
      </w:r>
    </w:p>
    <w:p w14:paraId="6AD81D7A" w14:textId="77777777" w:rsidR="009F69BF" w:rsidRPr="00CF1B34" w:rsidRDefault="009F69B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Para figurar en este índice, dichas empresas han de tener una reputación excelente que le aporte prestigio a nivel internacional, así como una trayectoria regular y constante para atraer al mayor número de inversores. De todas formas, conviene saber que no estamos frente a un índice de rentabilidad, sino solo un indicador de valor de sus acciones (o capitalización). Y aunque no es la referencia oficial de NYSE, es el índice que más prestigio tiene a la hora de monitorizar el mercado principal de Estados Unidos, ya que permite conocer la conducta de las empresas que cotizan en el mercado de valores.</w:t>
      </w:r>
    </w:p>
    <w:p w14:paraId="75D7A3A8" w14:textId="77777777" w:rsidR="009F69BF" w:rsidRPr="00CF1B34" w:rsidRDefault="009F69B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Además de este Promedio Industrial, otros índices del Dow Jones son el índice sobre “utilities” (DJUA), referido a los valores de 15 corporaciones del sector de servicios básicos; el índice transporte (DJTA), integrado por las 20 mayores compañías de transporte y distribución; y el índice agregado (o “composite”) (DJCA), que agrupa las 65 compañías que forman todos los índices anteriores.</w:t>
      </w:r>
    </w:p>
    <w:p w14:paraId="6CAE608F" w14:textId="77777777" w:rsidR="009F69BF" w:rsidRPr="00CF1B34" w:rsidRDefault="009F69B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Estos índices fueron creados por los periodistas norteamericanos Charles Dow y Edward Jones en 1882, quienes fundaron una empresa de noticias financieras que en 1897 ya medían con un índice el desempeño de 12 empresas. En sus inicios no contaron con tanto éxito, ya que las acciones se centraban en las operaciones sobre bonos, y no fue hasta que en los años veinte entraron otros operadores de gama baja, lo que provocó un aumento del mercado y la demanda de índices bursátiles. Así, en 1920, los valores utilizados se convirtieron en 20 y finalmente alcanzaron el total de 30 a partir de 1928.</w:t>
      </w:r>
    </w:p>
    <w:p w14:paraId="78BB49F4" w14:textId="77777777" w:rsidR="009F69BF" w:rsidRPr="00CF1B34" w:rsidRDefault="009F69BF" w:rsidP="0005621A">
      <w:pPr>
        <w:pStyle w:val="Sinespaciado"/>
        <w:ind w:firstLine="708"/>
        <w:jc w:val="both"/>
        <w:rPr>
          <w:rFonts w:ascii="Arial" w:hAnsi="Arial" w:cs="Arial"/>
          <w:lang w:val="es-ES_tradnl"/>
        </w:rPr>
      </w:pPr>
      <w:r w:rsidRPr="00CF1B34">
        <w:rPr>
          <w:rStyle w:val="Textoennegrita"/>
          <w:rFonts w:ascii="Arial" w:hAnsi="Arial" w:cs="Arial"/>
          <w:sz w:val="22"/>
          <w:szCs w:val="22"/>
          <w:lang w:val="es-ES_tradnl"/>
        </w:rPr>
        <w:t>Cómo funciona</w:t>
      </w:r>
    </w:p>
    <w:p w14:paraId="44110728" w14:textId="77777777" w:rsidR="009F69BF" w:rsidRPr="00CF1B34" w:rsidRDefault="009F69B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Este índice se obtiene hallando la media de los treinta valores, aunque se trata de un índice ponderado, por lo que cada elemento tiene un peso distinto a la hora de promediar. </w:t>
      </w:r>
    </w:p>
    <w:p w14:paraId="5C4C6A90" w14:textId="36604B8D" w:rsidR="009F69BF" w:rsidRPr="00CF1B34" w:rsidRDefault="009F69BF"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Como cualquier otro índice, no se puede operar directamente sobre él (no cotiza), pero existen otros productos derivados como los futuros financieros, que sí permiten la operativa sobre el índice, ya que replican su comportamiento.</w:t>
      </w:r>
    </w:p>
    <w:p w14:paraId="273F38DD" w14:textId="77777777" w:rsidR="009F69BF" w:rsidRPr="00CF1B34" w:rsidRDefault="009F69B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El más usado es el E-Mini Dow Future, con un valor de cada punto de 5 dólares por contrato. Es decir, que si (por ejemplo) compramos 10 contratos y el índice sufre un movimiento de 50 puntos, obtendremos una ganancia de 2.500 dólares.</w:t>
      </w:r>
    </w:p>
    <w:p w14:paraId="645D47A4" w14:textId="48EA24EB" w:rsidR="00DC68B5" w:rsidRPr="00CF1B34" w:rsidRDefault="00DC68B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Drawback</w:t>
      </w:r>
    </w:p>
    <w:p w14:paraId="6CD46D0E" w14:textId="2F636646" w:rsidR="003A740B" w:rsidRPr="00CF1B34" w:rsidRDefault="00DC68B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F3864" w:themeColor="accent1" w:themeShade="80"/>
          <w:sz w:val="22"/>
          <w:szCs w:val="22"/>
          <w:lang w:val="es-ES_tradnl"/>
        </w:rPr>
        <w:t>R</w:t>
      </w:r>
      <w:r w:rsidR="00D4229C" w:rsidRPr="00CF1B34">
        <w:rPr>
          <w:rFonts w:ascii="Arial" w:hAnsi="Arial" w:cs="Arial"/>
          <w:color w:val="1F3864" w:themeColor="accent1" w:themeShade="80"/>
          <w:sz w:val="22"/>
          <w:szCs w:val="22"/>
          <w:lang w:val="es-ES_tradnl"/>
        </w:rPr>
        <w:t>é</w:t>
      </w:r>
      <w:r w:rsidRPr="00CF1B34">
        <w:rPr>
          <w:rFonts w:ascii="Arial" w:hAnsi="Arial" w:cs="Arial"/>
          <w:color w:val="1F3864" w:themeColor="accent1" w:themeShade="80"/>
          <w:sz w:val="22"/>
          <w:szCs w:val="22"/>
          <w:lang w:val="es-ES_tradnl"/>
        </w:rPr>
        <w:t>gimen aduanero que permite, en el momento de la exportación de mercancías, obtener la restitución total parcial de los derechos</w:t>
      </w:r>
      <w:r w:rsidR="003A740B" w:rsidRPr="00CF1B34">
        <w:rPr>
          <w:rFonts w:ascii="Arial" w:hAnsi="Arial" w:cs="Arial"/>
          <w:color w:val="1F3864" w:themeColor="accent1" w:themeShade="80"/>
          <w:sz w:val="22"/>
          <w:szCs w:val="22"/>
          <w:lang w:val="es-ES_tradnl"/>
        </w:rPr>
        <w:t xml:space="preserve"> e impuestos que hayan gravado productos importados y nacionales contenidos en las mercancías exportadas o consumidas durante su producción</w:t>
      </w:r>
      <w:r w:rsidR="003A740B" w:rsidRPr="00CF1B34">
        <w:rPr>
          <w:rFonts w:ascii="Arial" w:hAnsi="Arial" w:cs="Arial"/>
          <w:b/>
          <w:bCs/>
          <w:color w:val="004773"/>
          <w:sz w:val="22"/>
          <w:szCs w:val="22"/>
          <w:lang w:val="es-ES_tradnl"/>
        </w:rPr>
        <w:t>.</w:t>
      </w:r>
    </w:p>
    <w:p w14:paraId="2C68B55D" w14:textId="579D2F63" w:rsidR="003A740B" w:rsidRPr="00CF1B34" w:rsidRDefault="003A740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Dumping</w:t>
      </w:r>
    </w:p>
    <w:p w14:paraId="51601772" w14:textId="77777777" w:rsidR="006B2145" w:rsidRPr="00CF1B34" w:rsidRDefault="003A740B" w:rsidP="0005621A">
      <w:pPr>
        <w:pStyle w:val="Sinespaciado"/>
        <w:ind w:left="708"/>
        <w:jc w:val="both"/>
        <w:rPr>
          <w:rFonts w:ascii="Arial" w:hAnsi="Arial" w:cs="Arial"/>
          <w:sz w:val="22"/>
          <w:szCs w:val="22"/>
          <w:shd w:val="clear" w:color="auto" w:fill="FFFFFF"/>
          <w:lang w:val="es-ES_tradnl"/>
        </w:rPr>
      </w:pPr>
      <w:r w:rsidRPr="00CF1B34">
        <w:rPr>
          <w:rFonts w:ascii="Arial" w:hAnsi="Arial" w:cs="Arial"/>
          <w:sz w:val="22"/>
          <w:szCs w:val="22"/>
          <w:shd w:val="clear" w:color="auto" w:fill="FFFFFF"/>
          <w:lang w:val="es-ES_tradnl"/>
        </w:rPr>
        <w:lastRenderedPageBreak/>
        <w:t>Para una empresa, es el hecho de vender su producción a precio inferior al costo para competir eficazmente en el mercado. Se utiliza como sinónimo de competencia desleal. Se considera fundamentalmente como una acción sobre los precios de exportación, por lo que se lleva a cabo por el Estado (a través de subvenciones), o con su apoyo, y por grupos de empresas.</w:t>
      </w:r>
    </w:p>
    <w:p w14:paraId="69484E0B" w14:textId="135762F3" w:rsidR="006B2145" w:rsidRPr="00CF1B34" w:rsidRDefault="006B214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La diferencia que se puede detectar entre el dumping se da en la decisión de la empresa, y la subvención que se otorga viene de parte de la política del, gobierno. La </w:t>
      </w:r>
      <w:r w:rsidRPr="00CF1B34">
        <w:rPr>
          <w:rStyle w:val="Textoennegrita"/>
          <w:rFonts w:ascii="Arial" w:hAnsi="Arial" w:cs="Arial"/>
          <w:color w:val="333333"/>
          <w:sz w:val="22"/>
          <w:szCs w:val="22"/>
          <w:shd w:val="clear" w:color="auto" w:fill="FFFFFF"/>
          <w:lang w:val="es-ES_tradnl"/>
        </w:rPr>
        <w:t>Organización Mundial de Comercio (OMC)</w:t>
      </w:r>
      <w:r w:rsidRPr="00CF1B34">
        <w:rPr>
          <w:rFonts w:ascii="Arial" w:hAnsi="Arial" w:cs="Arial"/>
          <w:color w:val="333333"/>
          <w:sz w:val="22"/>
          <w:szCs w:val="22"/>
          <w:shd w:val="clear" w:color="auto" w:fill="FFFFFF"/>
          <w:lang w:val="es-ES_tradnl"/>
        </w:rPr>
        <w:t xml:space="preserve"> considera que practicar el dumping se debe condenar.</w:t>
      </w:r>
    </w:p>
    <w:p w14:paraId="4469BDB8" w14:textId="3242FE5D"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Duración</w:t>
      </w:r>
    </w:p>
    <w:p w14:paraId="7470BF3E" w14:textId="77777777" w:rsidR="00146C19" w:rsidRPr="00CF1B34" w:rsidRDefault="00B75E6A" w:rsidP="0005621A">
      <w:pPr>
        <w:pStyle w:val="NormalWeb"/>
        <w:shd w:val="clear" w:color="auto" w:fill="FFFFFF"/>
        <w:spacing w:before="0" w:beforeAutospacing="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Es un concepto que admite más de una interpretación. En términos generales, indica la vida media de un valor de renta fija (calculada mediante el descuento de los flujos de ingresos previstos, ponderados según su cuantía y el tiempo que reste hasta su percepción). Sirve también como instrumento para medir la sensibilidad en el precio de un bono, ante variaciones en los tipos de interés (ofreciendo así una medida del riesgo). </w:t>
      </w:r>
    </w:p>
    <w:p w14:paraId="6FAB6FD2" w14:textId="23685424" w:rsidR="00146C19" w:rsidRPr="00CF1B34" w:rsidRDefault="00B75E6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212529"/>
          <w:sz w:val="22"/>
          <w:szCs w:val="22"/>
          <w:lang w:val="es-ES_tradnl"/>
        </w:rPr>
        <w:t>La duración indica asimismo en qué momento de la vida del bono, éste puede venderse de manera que se neutralice el riesgo de variaciones en los tipos; es decir, en esa fecha no existe riesgo de tipos. </w:t>
      </w:r>
      <w:r w:rsidR="00146C19" w:rsidRPr="00CF1B34">
        <w:rPr>
          <w:rFonts w:ascii="Arial" w:hAnsi="Arial" w:cs="Arial"/>
          <w:color w:val="191B1C"/>
          <w:sz w:val="22"/>
          <w:szCs w:val="22"/>
          <w:lang w:val="es-ES_tradnl"/>
        </w:rPr>
        <w:t>El interés o la rentabilidad de un bono está inversamente relacionada con su valor en el mercado, es decir, si los intereses del bono bajan el precio sube.</w:t>
      </w:r>
    </w:p>
    <w:p w14:paraId="1EEDCC65" w14:textId="77777777" w:rsidR="00146C19" w:rsidRPr="00CF1B34" w:rsidRDefault="00146C19"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En el caso de los bonos sin cupón o cupón cero, la duración de éste encajará exactamente con la duración temporal de ese bono, es decir, el tiempo que queda para la fecha de caducidad de este. Aplicado en el día a día; si un bono cupón cero vence en 10 años, la duración de ese bono es 10 años.</w:t>
      </w:r>
    </w:p>
    <w:p w14:paraId="23C6F0F8" w14:textId="77777777" w:rsidR="00146C19" w:rsidRPr="00CF1B34" w:rsidRDefault="00146C19"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En el caso de los bonos con cupones: la duración es mayor cuantos más años queden para la fecha de caducidad, pero cuanto mayor sean sus cupones, menor será su duración, porque realmente estamos recibiendo parte de los intereses anticipadamente a la fecha de vencimiento.</w:t>
      </w:r>
    </w:p>
    <w:p w14:paraId="22172F5D" w14:textId="77777777" w:rsidR="00146C19" w:rsidRPr="00CF1B34" w:rsidRDefault="00146C19"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Hay que tener en cuenta que la duración de un bono también se puede entender como un porcentaje que variará el precio de un bono ante un cambio del 1% en la rentabilidad de ese bono.</w:t>
      </w:r>
    </w:p>
    <w:p w14:paraId="6E80D162" w14:textId="77777777" w:rsidR="00146C19" w:rsidRPr="00CF1B34" w:rsidRDefault="00146C19" w:rsidP="0005621A">
      <w:pPr>
        <w:pStyle w:val="Sinespaciado"/>
        <w:ind w:firstLine="708"/>
        <w:jc w:val="both"/>
        <w:rPr>
          <w:rFonts w:ascii="Arial" w:hAnsi="Arial" w:cs="Arial"/>
          <w:lang w:val="es-ES_tradnl"/>
        </w:rPr>
      </w:pPr>
      <w:r w:rsidRPr="00CF1B34">
        <w:rPr>
          <w:rStyle w:val="Textoennegrita"/>
          <w:rFonts w:ascii="Arial" w:hAnsi="Arial" w:cs="Arial"/>
          <w:color w:val="191B1C"/>
          <w:sz w:val="22"/>
          <w:szCs w:val="22"/>
          <w:lang w:val="es-ES_tradnl"/>
        </w:rPr>
        <w:t>¿Cómo se calcula la duración de un bono?</w:t>
      </w:r>
    </w:p>
    <w:p w14:paraId="5EED8B32" w14:textId="77777777" w:rsidR="00146C19" w:rsidRPr="00CF1B34" w:rsidRDefault="00146C19"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Para calcular la duración de un bono lo primero es determinar el valor actual de cada flujo de pago (cupones y principal).</w:t>
      </w:r>
    </w:p>
    <w:p w14:paraId="5A01DAE6" w14:textId="77777777" w:rsidR="00146C19" w:rsidRPr="00CF1B34" w:rsidRDefault="00146C19" w:rsidP="0005621A">
      <w:pPr>
        <w:pStyle w:val="listitem"/>
        <w:numPr>
          <w:ilvl w:val="0"/>
          <w:numId w:val="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La suma de los valores de esos flujos equivale al precio del bono.</w:t>
      </w:r>
    </w:p>
    <w:p w14:paraId="14378C50" w14:textId="77777777" w:rsidR="00146C19" w:rsidRPr="00CF1B34" w:rsidRDefault="00146C19" w:rsidP="0005621A">
      <w:pPr>
        <w:pStyle w:val="listitem"/>
        <w:numPr>
          <w:ilvl w:val="0"/>
          <w:numId w:val="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Se multiplican los flujos de pago por el periodo de tiempo que falta hasta cada uno de ellos (por ejemplo, si el primer cupón se paga dentro de un año se multiplicará ese cupón por uno, si el segundo cupón se paga dentro de dos años, se multiplicará por dos y así sucesivamente para todos los flujos de pago).</w:t>
      </w:r>
    </w:p>
    <w:p w14:paraId="320E9BFA" w14:textId="77777777" w:rsidR="00146C19" w:rsidRPr="00CF1B34" w:rsidRDefault="00146C19" w:rsidP="0005621A">
      <w:pPr>
        <w:pStyle w:val="listitem"/>
        <w:numPr>
          <w:ilvl w:val="0"/>
          <w:numId w:val="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Sumamos todos estos elementos.</w:t>
      </w:r>
    </w:p>
    <w:p w14:paraId="75828129" w14:textId="77777777" w:rsidR="00146C19" w:rsidRPr="00CF1B34" w:rsidRDefault="00146C19" w:rsidP="0005621A">
      <w:pPr>
        <w:pStyle w:val="listitem"/>
        <w:numPr>
          <w:ilvl w:val="0"/>
          <w:numId w:val="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Y, por último, dividimos la suma anterior por el precio del bono para conseguir la duración de dicho bono.</w:t>
      </w:r>
    </w:p>
    <w:p w14:paraId="27A01AEE" w14:textId="2AA1FCB4"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p>
    <w:p w14:paraId="4435E331" w14:textId="77777777" w:rsidR="00B75E6A" w:rsidRPr="00CF1B34" w:rsidRDefault="00B75E6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Duración modificada</w:t>
      </w:r>
    </w:p>
    <w:p w14:paraId="6259BA9F" w14:textId="77777777" w:rsidR="00B75E6A" w:rsidRPr="00CF1B34" w:rsidRDefault="00B75E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Para poder utilizar la duración como medida del riesgo de un valor de renta fija, es necesario ponerla en función de los tipos de interés. La duración modificada, por tanto, indica la volatilidad del precio de un bono, al producirse variaciones en los tipos.</w:t>
      </w:r>
    </w:p>
    <w:p w14:paraId="24E12844" w14:textId="6CD29024" w:rsidR="00B65466" w:rsidRPr="00CF1B34" w:rsidRDefault="00B65466" w:rsidP="0005621A">
      <w:pPr>
        <w:jc w:val="both"/>
        <w:rPr>
          <w:rFonts w:ascii="Arial" w:hAnsi="Arial" w:cs="Arial"/>
          <w:sz w:val="22"/>
          <w:szCs w:val="22"/>
          <w:lang w:val="es-ES_tradnl"/>
        </w:rPr>
      </w:pPr>
    </w:p>
    <w:p w14:paraId="64F0B44E" w14:textId="1464D778" w:rsidR="00B65466" w:rsidRPr="00CF1B34" w:rsidRDefault="00B65466" w:rsidP="0005621A">
      <w:pPr>
        <w:jc w:val="both"/>
        <w:rPr>
          <w:rFonts w:ascii="Arial" w:hAnsi="Arial" w:cs="Arial"/>
          <w:sz w:val="22"/>
          <w:szCs w:val="22"/>
          <w:lang w:val="es-ES_tradnl"/>
        </w:rPr>
      </w:pPr>
    </w:p>
    <w:p w14:paraId="7BAAE125" w14:textId="5C81B262" w:rsidR="00B75E6A" w:rsidRPr="00CF1B34" w:rsidRDefault="00B75E6A" w:rsidP="0005621A">
      <w:pPr>
        <w:jc w:val="both"/>
        <w:rPr>
          <w:rFonts w:ascii="Arial" w:hAnsi="Arial" w:cs="Arial"/>
          <w:color w:val="2F5496" w:themeColor="accent1" w:themeShade="BF"/>
          <w:sz w:val="32"/>
          <w:szCs w:val="32"/>
          <w:lang w:val="es-ES_tradnl"/>
        </w:rPr>
      </w:pPr>
      <w:r w:rsidRPr="00CF1B34">
        <w:rPr>
          <w:rFonts w:ascii="Arial" w:hAnsi="Arial" w:cs="Arial"/>
          <w:color w:val="2F5496" w:themeColor="accent1" w:themeShade="BF"/>
          <w:sz w:val="32"/>
          <w:szCs w:val="32"/>
          <w:lang w:val="es-ES_tradnl"/>
        </w:rPr>
        <w:t>E</w:t>
      </w:r>
    </w:p>
    <w:p w14:paraId="5041E57B" w14:textId="3088AF09" w:rsidR="00B75E6A" w:rsidRPr="00CF1B34" w:rsidRDefault="00B75E6A" w:rsidP="0005621A">
      <w:pPr>
        <w:jc w:val="both"/>
        <w:rPr>
          <w:rFonts w:ascii="Arial" w:hAnsi="Arial" w:cs="Arial"/>
          <w:sz w:val="22"/>
          <w:szCs w:val="22"/>
          <w:lang w:val="es-ES_tradnl"/>
        </w:rPr>
      </w:pPr>
    </w:p>
    <w:p w14:paraId="06AFCBCF" w14:textId="77777777" w:rsidR="003A4CD6" w:rsidRPr="00CF1B34" w:rsidRDefault="003A4CD6" w:rsidP="0005621A">
      <w:pPr>
        <w:jc w:val="both"/>
        <w:rPr>
          <w:rFonts w:ascii="Arial" w:hAnsi="Arial" w:cs="Arial"/>
          <w:sz w:val="22"/>
          <w:szCs w:val="22"/>
          <w:lang w:val="es-ES_tradnl"/>
        </w:rPr>
      </w:pPr>
    </w:p>
    <w:p w14:paraId="15643693" w14:textId="0F4974CC"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EBITDA o </w:t>
      </w:r>
      <w:r w:rsidR="00C0265A" w:rsidRPr="00CF1B34">
        <w:rPr>
          <w:rFonts w:ascii="Arial" w:hAnsi="Arial" w:cs="Arial"/>
          <w:b/>
          <w:bCs/>
          <w:color w:val="004773"/>
          <w:sz w:val="22"/>
          <w:szCs w:val="22"/>
          <w:lang w:val="es-ES_tradnl"/>
        </w:rPr>
        <w:t>C</w:t>
      </w:r>
      <w:r w:rsidRPr="00CF1B34">
        <w:rPr>
          <w:rFonts w:ascii="Arial" w:hAnsi="Arial" w:cs="Arial"/>
          <w:b/>
          <w:bCs/>
          <w:color w:val="004773"/>
          <w:sz w:val="22"/>
          <w:szCs w:val="22"/>
          <w:lang w:val="es-ES_tradnl"/>
        </w:rPr>
        <w:t>ash-</w:t>
      </w:r>
      <w:r w:rsidR="00C0265A" w:rsidRPr="00CF1B34">
        <w:rPr>
          <w:rFonts w:ascii="Arial" w:hAnsi="Arial" w:cs="Arial"/>
          <w:b/>
          <w:bCs/>
          <w:color w:val="004773"/>
          <w:sz w:val="22"/>
          <w:szCs w:val="22"/>
          <w:lang w:val="es-ES_tradnl"/>
        </w:rPr>
        <w:t>F</w:t>
      </w:r>
      <w:r w:rsidRPr="00CF1B34">
        <w:rPr>
          <w:rFonts w:ascii="Arial" w:hAnsi="Arial" w:cs="Arial"/>
          <w:b/>
          <w:bCs/>
          <w:color w:val="004773"/>
          <w:sz w:val="22"/>
          <w:szCs w:val="22"/>
          <w:lang w:val="es-ES_tradnl"/>
        </w:rPr>
        <w:t>low operativo</w:t>
      </w:r>
    </w:p>
    <w:p w14:paraId="408E67B7" w14:textId="10127594" w:rsidR="00DB1AEF" w:rsidRPr="00CF1B34" w:rsidRDefault="00C0265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EBITDA = Earnings Before Interests, Taxes, Depreciation and Amortizations </w:t>
      </w:r>
      <w:r w:rsidR="00DB1AEF" w:rsidRPr="00CF1B34">
        <w:rPr>
          <w:rFonts w:ascii="Arial" w:hAnsi="Arial" w:cs="Arial"/>
          <w:color w:val="212529"/>
          <w:sz w:val="22"/>
          <w:szCs w:val="22"/>
          <w:lang w:val="es-ES_tradnl"/>
        </w:rPr>
        <w:t xml:space="preserve">Resultado de explotación obtenido por una empresa antes de deducir los intereses, impuestos, provisiones y amortizaciones. Indica a los inversores la </w:t>
      </w:r>
      <w:r w:rsidR="00DB1AEF" w:rsidRPr="00CF1B34">
        <w:rPr>
          <w:rFonts w:ascii="Arial" w:hAnsi="Arial" w:cs="Arial"/>
          <w:color w:val="000000" w:themeColor="text1"/>
          <w:sz w:val="22"/>
          <w:szCs w:val="22"/>
          <w:lang w:val="es-ES_tradnl"/>
        </w:rPr>
        <w:t>capacidad</w:t>
      </w:r>
      <w:r w:rsidR="00DB1AEF" w:rsidRPr="00CF1B34">
        <w:rPr>
          <w:rFonts w:ascii="Arial" w:hAnsi="Arial" w:cs="Arial"/>
          <w:color w:val="212529"/>
          <w:sz w:val="22"/>
          <w:szCs w:val="22"/>
          <w:lang w:val="es-ES_tradnl"/>
        </w:rPr>
        <w:t xml:space="preserve"> de la empresa para obtener resultados de su actividad (sin considerar el efecto de las cargas financieras, ya que éstas no dependen del negocio en sí).</w:t>
      </w:r>
    </w:p>
    <w:p w14:paraId="3D0BE5D5" w14:textId="6017AC27" w:rsidR="003A740B" w:rsidRPr="00CF1B34" w:rsidRDefault="003A740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Economía de mercado</w:t>
      </w:r>
    </w:p>
    <w:p w14:paraId="121E3A92" w14:textId="77777777" w:rsidR="00875707" w:rsidRPr="00CF1B34" w:rsidRDefault="003A740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F3864" w:themeColor="accent1" w:themeShade="80"/>
          <w:sz w:val="22"/>
          <w:szCs w:val="22"/>
          <w:lang w:val="es-ES_tradnl"/>
        </w:rPr>
        <w:t>Economía cuya asignación de recursos se guía por el sistema de precios. También se denomina economía laissez-faire.</w:t>
      </w:r>
    </w:p>
    <w:p w14:paraId="5D0414A3" w14:textId="58251DCD" w:rsidR="00C0265A" w:rsidRPr="00CF1B34" w:rsidRDefault="00C0265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Economía sumergida</w:t>
      </w:r>
    </w:p>
    <w:p w14:paraId="173306CB" w14:textId="2FFF5BC8" w:rsidR="008009A5" w:rsidRPr="00CF1B34" w:rsidRDefault="008009A5"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Si bien</w:t>
      </w:r>
      <w:r w:rsidRPr="00CF1B34">
        <w:rPr>
          <w:rStyle w:val="Textoennegrita"/>
          <w:rFonts w:ascii="Arial" w:hAnsi="Arial" w:cs="Arial"/>
          <w:color w:val="333333"/>
          <w:sz w:val="22"/>
          <w:szCs w:val="22"/>
          <w:shd w:val="clear" w:color="auto" w:fill="FFFFFF"/>
          <w:lang w:val="es-ES_tradnl"/>
        </w:rPr>
        <w:t xml:space="preserve"> la economía sumergida </w:t>
      </w:r>
      <w:r w:rsidRPr="00CF1B34">
        <w:rPr>
          <w:rStyle w:val="Textoennegrita"/>
          <w:rFonts w:ascii="Arial" w:hAnsi="Arial" w:cs="Arial"/>
          <w:b w:val="0"/>
          <w:bCs w:val="0"/>
          <w:color w:val="333333"/>
          <w:sz w:val="22"/>
          <w:szCs w:val="22"/>
          <w:shd w:val="clear" w:color="auto" w:fill="FFFFFF"/>
          <w:lang w:val="es-ES_tradnl"/>
        </w:rPr>
        <w:t>siempre y cuando su tamaño no sea de importancia</w:t>
      </w:r>
      <w:r w:rsidRPr="00CF1B34">
        <w:rPr>
          <w:rStyle w:val="Textoennegrita"/>
          <w:rFonts w:ascii="Arial" w:hAnsi="Arial" w:cs="Arial"/>
          <w:color w:val="333333"/>
          <w:sz w:val="22"/>
          <w:szCs w:val="22"/>
          <w:shd w:val="clear" w:color="auto" w:fill="FFFFFF"/>
          <w:lang w:val="es-ES_tradnl"/>
        </w:rPr>
        <w:t>, en ciertos casos es favorable para ciertos países europeos como una forma de poder sobrellevar sus actuales recesiones de mejor manera</w:t>
      </w:r>
      <w:r w:rsidRPr="00CF1B34">
        <w:rPr>
          <w:rFonts w:ascii="Arial" w:hAnsi="Arial" w:cs="Arial"/>
          <w:color w:val="333333"/>
          <w:sz w:val="22"/>
          <w:szCs w:val="22"/>
          <w:shd w:val="clear" w:color="auto" w:fill="FFFFFF"/>
          <w:lang w:val="es-ES_tradnl"/>
        </w:rPr>
        <w:t xml:space="preserve"> que otros más honestos. Un ejemplo es</w:t>
      </w:r>
      <w:r w:rsidRPr="00CF1B34">
        <w:rPr>
          <w:rFonts w:ascii="Arial" w:hAnsi="Arial" w:cs="Arial"/>
          <w:sz w:val="22"/>
          <w:szCs w:val="22"/>
          <w:lang w:val="es-ES_tradnl"/>
        </w:rPr>
        <w:t xml:space="preserve"> la economía sumergida en España</w:t>
      </w:r>
      <w:r w:rsidRPr="00CF1B34">
        <w:rPr>
          <w:rFonts w:ascii="Arial" w:hAnsi="Arial" w:cs="Arial"/>
          <w:color w:val="333333"/>
          <w:sz w:val="22"/>
          <w:szCs w:val="22"/>
          <w:shd w:val="clear" w:color="auto" w:fill="FFFFFF"/>
          <w:lang w:val="es-ES_tradnl"/>
        </w:rPr>
        <w:t xml:space="preserve"> esta significa el 23% del PIB (208.000 millones de euros).</w:t>
      </w:r>
    </w:p>
    <w:p w14:paraId="0AD87D7C" w14:textId="77777777" w:rsidR="008009A5" w:rsidRPr="00CF1B34" w:rsidRDefault="008009A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De encontrarle una explicación a esta actualidad de la economía sumergida es que </w:t>
      </w:r>
      <w:proofErr w:type="gramStart"/>
      <w:r w:rsidRPr="00CF1B34">
        <w:rPr>
          <w:rFonts w:ascii="Arial" w:hAnsi="Arial" w:cs="Arial"/>
          <w:color w:val="333333"/>
          <w:sz w:val="22"/>
          <w:szCs w:val="22"/>
          <w:shd w:val="clear" w:color="auto" w:fill="FFFFFF"/>
          <w:lang w:val="es-ES_tradnl"/>
        </w:rPr>
        <w:t>le</w:t>
      </w:r>
      <w:proofErr w:type="gramEnd"/>
      <w:r w:rsidRPr="00CF1B34">
        <w:rPr>
          <w:rFonts w:ascii="Arial" w:hAnsi="Arial" w:cs="Arial"/>
          <w:color w:val="333333"/>
          <w:sz w:val="22"/>
          <w:szCs w:val="22"/>
          <w:shd w:val="clear" w:color="auto" w:fill="FFFFFF"/>
          <w:lang w:val="es-ES_tradnl"/>
        </w:rPr>
        <w:t xml:space="preserve"> aporta ciertas alternativas a los parados oficiales. Expertos señalan que cuando la gente gana dinero extra, nadie lo hace en medio de la economía sumergida para poner su dinero en una cuenta de ahorro, es así que el dinero lo gastan en bienes de consumo.</w:t>
      </w:r>
    </w:p>
    <w:p w14:paraId="322DA7CE" w14:textId="692097C1"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Ecuación de canje</w:t>
      </w:r>
    </w:p>
    <w:p w14:paraId="1C8B58E3"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una fusión de sociedades, representa la proporción en que las acciones de una sociedad serán intercambiadas por las de otra, y depende de la valoración que se haga de las sociedades implicadas. También se aplica al intercambio de participaciones, en caso de fusión entre fondos de inversión.</w:t>
      </w:r>
    </w:p>
    <w:p w14:paraId="2D296028" w14:textId="4F65C1DB" w:rsidR="00C0265A" w:rsidRPr="00CF1B34" w:rsidRDefault="00C0265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Edad de jubilación</w:t>
      </w:r>
    </w:p>
    <w:p w14:paraId="198AB8D3" w14:textId="34900C4D" w:rsidR="00CF75F7" w:rsidRPr="00CF1B34" w:rsidRDefault="00CF75F7"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La edad de jubilación tendrá un </w:t>
      </w:r>
      <w:r w:rsidRPr="00CF1B34">
        <w:rPr>
          <w:rFonts w:ascii="Arial" w:hAnsi="Arial" w:cs="Arial"/>
          <w:b/>
          <w:bCs/>
          <w:color w:val="333333"/>
          <w:sz w:val="22"/>
          <w:szCs w:val="22"/>
          <w:shd w:val="clear" w:color="auto" w:fill="FFFFFF"/>
          <w:lang w:val="es-ES_tradnl"/>
        </w:rPr>
        <w:t>efecto progresivo</w:t>
      </w:r>
      <w:r w:rsidR="00ED3542" w:rsidRPr="00CF1B34">
        <w:rPr>
          <w:rFonts w:ascii="Arial" w:hAnsi="Arial" w:cs="Arial"/>
          <w:b/>
          <w:bCs/>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de manera que</w:t>
      </w:r>
      <w:r w:rsidR="00ED3542" w:rsidRPr="00CF1B34">
        <w:rPr>
          <w:rFonts w:ascii="Arial" w:hAnsi="Arial" w:cs="Arial"/>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los que cumplieron 65 años en 2013 les asistió el derecho al 100% de la pensión cuando tengan 65 años y 1 mes. En tanto </w:t>
      </w:r>
      <w:proofErr w:type="gramStart"/>
      <w:r w:rsidRPr="00CF1B34">
        <w:rPr>
          <w:rFonts w:ascii="Arial" w:hAnsi="Arial" w:cs="Arial"/>
          <w:color w:val="333333"/>
          <w:sz w:val="22"/>
          <w:szCs w:val="22"/>
          <w:shd w:val="clear" w:color="auto" w:fill="FFFFFF"/>
          <w:lang w:val="es-ES_tradnl"/>
        </w:rPr>
        <w:t>que</w:t>
      </w:r>
      <w:proofErr w:type="gramEnd"/>
      <w:r w:rsidRPr="00CF1B34">
        <w:rPr>
          <w:rFonts w:ascii="Arial" w:hAnsi="Arial" w:cs="Arial"/>
          <w:color w:val="333333"/>
          <w:sz w:val="22"/>
          <w:szCs w:val="22"/>
          <w:shd w:val="clear" w:color="auto" w:fill="FFFFFF"/>
          <w:lang w:val="es-ES_tradnl"/>
        </w:rPr>
        <w:t xml:space="preserve"> en 2018, la edad legal de jubilación sería de 65 años y 6 meses y en 2028 llegará a los 67 años.</w:t>
      </w:r>
    </w:p>
    <w:p w14:paraId="420F0231" w14:textId="77777777" w:rsidR="00ED3542" w:rsidRPr="00CF1B34" w:rsidRDefault="00CF75F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Como poder observar, </w:t>
      </w:r>
      <w:r w:rsidRPr="00CF1B34">
        <w:rPr>
          <w:rStyle w:val="Textoennegrita"/>
          <w:rFonts w:ascii="Arial" w:hAnsi="Arial" w:cs="Arial"/>
          <w:color w:val="333333"/>
          <w:sz w:val="22"/>
          <w:szCs w:val="22"/>
          <w:shd w:val="clear" w:color="auto" w:fill="FFFFFF"/>
          <w:lang w:val="es-ES_tradnl"/>
        </w:rPr>
        <w:t xml:space="preserve">aquellos nacidos años entre mediados de los 50 y los 70, deberán cotizar más años para lograr cobrar el 100% de sus </w:t>
      </w:r>
      <w:r w:rsidR="00ED3542" w:rsidRPr="00CF1B34">
        <w:rPr>
          <w:rFonts w:ascii="Arial" w:hAnsi="Arial" w:cs="Arial"/>
          <w:sz w:val="22"/>
          <w:szCs w:val="22"/>
          <w:lang w:val="es-ES_tradnl"/>
        </w:rPr>
        <w:t xml:space="preserve">pensiones. </w:t>
      </w:r>
      <w:r w:rsidR="00ED3542" w:rsidRPr="00CF1B34">
        <w:rPr>
          <w:rFonts w:ascii="Arial" w:hAnsi="Arial" w:cs="Arial"/>
          <w:color w:val="333333"/>
          <w:sz w:val="22"/>
          <w:szCs w:val="22"/>
          <w:shd w:val="clear" w:color="auto" w:fill="FFFFFF"/>
          <w:lang w:val="es-ES_tradnl"/>
        </w:rPr>
        <w:t xml:space="preserve">la tendencia </w:t>
      </w:r>
      <w:r w:rsidR="00ED3542" w:rsidRPr="00CF1B34">
        <w:rPr>
          <w:rFonts w:ascii="Arial" w:hAnsi="Arial" w:cs="Arial"/>
          <w:color w:val="333333"/>
          <w:sz w:val="22"/>
          <w:szCs w:val="22"/>
          <w:shd w:val="clear" w:color="auto" w:fill="FFFFFF"/>
          <w:lang w:val="es-ES_tradnl"/>
        </w:rPr>
        <w:lastRenderedPageBreak/>
        <w:t>de Europa y Asia es incrementar la edad de jubilación de acuerdo aumenta la expectativa de vida y hacerlo de forma gradual para evitar que el sistema colapse.</w:t>
      </w:r>
    </w:p>
    <w:p w14:paraId="71C23E8A" w14:textId="14D43469" w:rsidR="00875707" w:rsidRPr="00CF1B34" w:rsidRDefault="0087570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Encaje legal</w:t>
      </w:r>
    </w:p>
    <w:p w14:paraId="307BB9CF" w14:textId="77777777" w:rsidR="00875707" w:rsidRPr="00CF1B34" w:rsidRDefault="0087570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Porcentaje de los depósitos totales que un banco debe mantener como reserva obligatoria en el Banco Central. Es legal porque la ley autoriza al Banco Central a fijar discrecionalmente dicho encaje. Mediante este instrumento, la autoridad monetaria influye sobre los fondos disponibles para el crédito por parte de los bancos.</w:t>
      </w:r>
    </w:p>
    <w:p w14:paraId="61639313" w14:textId="7B6FA4D6" w:rsidR="00E040E8" w:rsidRPr="00CF1B34" w:rsidRDefault="00E040E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Eficiencia </w:t>
      </w:r>
    </w:p>
    <w:p w14:paraId="43A7B006" w14:textId="182B2E71" w:rsidR="009D6995" w:rsidRPr="00CF1B34" w:rsidRDefault="00E040E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Este</w:t>
      </w:r>
      <w:r w:rsidR="00D4229C"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 xml:space="preserve">ratio es </w:t>
      </w:r>
      <w:r w:rsidR="009D6995" w:rsidRPr="00CF1B34">
        <w:rPr>
          <w:rFonts w:ascii="Arial" w:hAnsi="Arial" w:cs="Arial"/>
          <w:color w:val="000000" w:themeColor="text1"/>
          <w:sz w:val="22"/>
          <w:szCs w:val="22"/>
          <w:lang w:val="es-ES_tradnl"/>
        </w:rPr>
        <w:t>u</w:t>
      </w:r>
      <w:r w:rsidRPr="00CF1B34">
        <w:rPr>
          <w:rFonts w:ascii="Arial" w:hAnsi="Arial" w:cs="Arial"/>
          <w:color w:val="000000" w:themeColor="text1"/>
          <w:sz w:val="22"/>
          <w:szCs w:val="22"/>
          <w:lang w:val="es-ES_tradnl"/>
        </w:rPr>
        <w:t>tilizado en las entidades financieras para medir lo que gasta la entidad por cada 0</w:t>
      </w:r>
      <w:r w:rsidR="009D6995" w:rsidRPr="00CF1B34">
        <w:rPr>
          <w:rFonts w:ascii="Arial" w:hAnsi="Arial" w:cs="Arial"/>
          <w:color w:val="000000" w:themeColor="text1"/>
          <w:sz w:val="22"/>
          <w:szCs w:val="22"/>
          <w:lang w:val="es-ES_tradnl"/>
        </w:rPr>
        <w:t>,60 € (cien pesetas) que ingresa. As</w:t>
      </w:r>
      <w:r w:rsidR="00ED3542" w:rsidRPr="00CF1B34">
        <w:rPr>
          <w:rFonts w:ascii="Arial" w:hAnsi="Arial" w:cs="Arial"/>
          <w:color w:val="000000" w:themeColor="text1"/>
          <w:sz w:val="22"/>
          <w:szCs w:val="22"/>
          <w:lang w:val="es-ES_tradnl"/>
        </w:rPr>
        <w:t>í</w:t>
      </w:r>
      <w:r w:rsidR="009D6995" w:rsidRPr="00CF1B34">
        <w:rPr>
          <w:rFonts w:ascii="Arial" w:hAnsi="Arial" w:cs="Arial"/>
          <w:color w:val="000000" w:themeColor="text1"/>
          <w:sz w:val="22"/>
          <w:szCs w:val="22"/>
          <w:lang w:val="es-ES_tradnl"/>
        </w:rPr>
        <w:t xml:space="preserve"> cuanto mas bajo es dicho ratio mas eficiente es la entidad. La forma de calculo es dividir los gastos de explotación entre el margen ordinario.</w:t>
      </w:r>
    </w:p>
    <w:p w14:paraId="28DDC825" w14:textId="457C3569"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Ejecución</w:t>
      </w:r>
    </w:p>
    <w:p w14:paraId="5F53F873"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Término con el que se hace referencia al cumplimiento de una orden bursátil de compra o venta.</w:t>
      </w:r>
    </w:p>
    <w:p w14:paraId="336F38C8" w14:textId="77777777"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Ejecución de órdenes por cuenta de clientes</w:t>
      </w:r>
    </w:p>
    <w:p w14:paraId="4CE224CD" w14:textId="0A12AA98"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Consiste en la mera tramitación de las órdenes presentadas a iniciativa de los clientes, por lo que sólo si el producto es complejo la entidad estará obligada a analizar su conveniencia para el inversor.</w:t>
      </w:r>
      <w:r w:rsidR="00D4229C" w:rsidRPr="00CF1B34">
        <w:rPr>
          <w:rFonts w:ascii="Arial" w:hAnsi="Arial" w:cs="Arial"/>
          <w:color w:val="212529"/>
          <w:sz w:val="22"/>
          <w:szCs w:val="22"/>
          <w:lang w:val="es-ES_tradnl"/>
        </w:rPr>
        <w:t xml:space="preserve"> </w:t>
      </w:r>
      <w:hyperlink r:id="rId228" w:tgtFrame="_self" w:history="1">
        <w:r w:rsidRPr="00CF1B34">
          <w:rPr>
            <w:rFonts w:ascii="Arial" w:hAnsi="Arial" w:cs="Arial"/>
            <w:b/>
            <w:bCs/>
            <w:color w:val="2F5496" w:themeColor="accent1" w:themeShade="BF"/>
            <w:sz w:val="22"/>
            <w:szCs w:val="22"/>
            <w:u w:val="single"/>
            <w:lang w:val="es-ES_tradnl"/>
          </w:rPr>
          <w:t>Ver test de conveniencia</w:t>
        </w:r>
      </w:hyperlink>
      <w:r w:rsidRPr="00CF1B34">
        <w:rPr>
          <w:rFonts w:ascii="Arial" w:hAnsi="Arial" w:cs="Arial"/>
          <w:color w:val="2F5496" w:themeColor="accent1" w:themeShade="BF"/>
          <w:sz w:val="22"/>
          <w:szCs w:val="22"/>
          <w:lang w:val="es-ES_tradnl"/>
        </w:rPr>
        <w:t>.</w:t>
      </w:r>
      <w:r w:rsidR="003A4CD6" w:rsidRPr="00CF1B34">
        <w:rPr>
          <w:rFonts w:ascii="Arial" w:hAnsi="Arial" w:cs="Arial"/>
          <w:color w:val="2F5496" w:themeColor="accent1" w:themeShade="BF"/>
          <w:sz w:val="22"/>
          <w:szCs w:val="22"/>
          <w:lang w:val="es-ES_tradnl"/>
        </w:rPr>
        <w:t xml:space="preserve"> </w:t>
      </w:r>
    </w:p>
    <w:p w14:paraId="3D555C7D" w14:textId="77777777" w:rsidR="00146C19" w:rsidRPr="00CF1B34" w:rsidRDefault="00146C19"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Ejecución hipotecaria</w:t>
      </w:r>
    </w:p>
    <w:p w14:paraId="67E6B1AA" w14:textId="6051CEFA" w:rsidR="00146C19" w:rsidRPr="00CF1B34" w:rsidRDefault="00146C1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Una</w:t>
      </w:r>
      <w:r w:rsidR="00443153"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ejecución hipotecaria</w:t>
      </w:r>
      <w:r w:rsidR="00443153" w:rsidRPr="00CF1B34">
        <w:rPr>
          <w:rFonts w:ascii="Arial" w:hAnsi="Arial" w:cs="Arial"/>
          <w:sz w:val="22"/>
          <w:szCs w:val="22"/>
          <w:lang w:val="es-ES_tradnl"/>
        </w:rPr>
        <w:t xml:space="preserve"> </w:t>
      </w:r>
      <w:r w:rsidRPr="00CF1B34">
        <w:rPr>
          <w:rFonts w:ascii="Arial" w:hAnsi="Arial" w:cs="Arial"/>
          <w:sz w:val="22"/>
          <w:szCs w:val="22"/>
          <w:lang w:val="es-ES_tradnl"/>
        </w:rPr>
        <w:t xml:space="preserve">es un proceso a través del cual el banco cobra la deuda del préstamo si el hipotecado se retrasa en el pago de las cuotas, saldando así la cuenta pendiente. Esto sucede cuando se producen impagos de la hipoteca de entre tres y seis cuotas mensuales. La entidad reclamará las </w:t>
      </w:r>
      <w:r w:rsidRPr="00CF1B34">
        <w:rPr>
          <w:rFonts w:ascii="Arial" w:hAnsi="Arial" w:cs="Arial"/>
          <w:color w:val="000000" w:themeColor="text1"/>
          <w:sz w:val="22"/>
          <w:szCs w:val="22"/>
          <w:lang w:val="es-ES_tradnl"/>
        </w:rPr>
        <w:t>mensualidades</w:t>
      </w:r>
      <w:r w:rsidRPr="00CF1B34">
        <w:rPr>
          <w:rFonts w:ascii="Arial" w:hAnsi="Arial" w:cs="Arial"/>
          <w:sz w:val="22"/>
          <w:szCs w:val="22"/>
          <w:lang w:val="es-ES_tradnl"/>
        </w:rPr>
        <w:t xml:space="preserve"> atrasadas y además el resto de hipoteca pendiente, con un 20 a 25% de interés por penalización y los gastos judiciales que se generen, que corren a cuenta del deudor.</w:t>
      </w:r>
      <w:r w:rsidR="003A4CD6" w:rsidRPr="00CF1B34">
        <w:rPr>
          <w:rFonts w:ascii="Arial" w:hAnsi="Arial" w:cs="Arial"/>
          <w:sz w:val="22"/>
          <w:szCs w:val="22"/>
          <w:lang w:val="es-ES_tradnl"/>
        </w:rPr>
        <w:t xml:space="preserve"> </w:t>
      </w:r>
      <w:r w:rsidRPr="00CF1B34">
        <w:rPr>
          <w:rFonts w:ascii="Arial" w:hAnsi="Arial" w:cs="Arial"/>
          <w:sz w:val="22"/>
          <w:szCs w:val="22"/>
          <w:lang w:val="es-ES_tradnl"/>
        </w:rPr>
        <w:t>El proceso podrá terminar con el embargo de la vivienda y el consiguiente desahucio. Además, será bastante largo, aunque podrá detenerse si nos ponemos al día en nuestros pagos, o si llegamos a un acuerdo con el banco. Y si finalmente ocurre, se llevará a cabo siguiendo estos pasos:</w:t>
      </w:r>
    </w:p>
    <w:p w14:paraId="183ABA00" w14:textId="77777777" w:rsidR="00146C19" w:rsidRPr="00CF1B34" w:rsidRDefault="00146C19" w:rsidP="0005621A">
      <w:pPr>
        <w:pStyle w:val="listitem"/>
        <w:numPr>
          <w:ilvl w:val="0"/>
          <w:numId w:val="9"/>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t>Aviso del impago:</w:t>
      </w:r>
      <w:r w:rsidRPr="00CF1B34">
        <w:rPr>
          <w:rFonts w:ascii="Arial" w:hAnsi="Arial" w:cs="Arial"/>
          <w:sz w:val="22"/>
          <w:szCs w:val="22"/>
          <w:lang w:val="es-ES_tradnl"/>
        </w:rPr>
        <w:t> aproximadamente 15 días después del primer impago.</w:t>
      </w:r>
    </w:p>
    <w:p w14:paraId="1FFE536A" w14:textId="77777777" w:rsidR="00146C19" w:rsidRPr="00CF1B34" w:rsidRDefault="00146C19" w:rsidP="0005621A">
      <w:pPr>
        <w:pStyle w:val="listitem"/>
        <w:numPr>
          <w:ilvl w:val="0"/>
          <w:numId w:val="9"/>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t>Comunicación oficial del banco</w:t>
      </w:r>
      <w:r w:rsidRPr="00CF1B34">
        <w:rPr>
          <w:rFonts w:ascii="Arial" w:hAnsi="Arial" w:cs="Arial"/>
          <w:sz w:val="22"/>
          <w:szCs w:val="22"/>
          <w:lang w:val="es-ES_tradnl"/>
        </w:rPr>
        <w:t> mediante SMS, e-mail o carta, tras el primer mes.</w:t>
      </w:r>
    </w:p>
    <w:p w14:paraId="7AD2D2EF" w14:textId="77777777" w:rsidR="00146C19" w:rsidRPr="00CF1B34" w:rsidRDefault="00146C19" w:rsidP="0005621A">
      <w:pPr>
        <w:pStyle w:val="listitem"/>
        <w:numPr>
          <w:ilvl w:val="0"/>
          <w:numId w:val="9"/>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t>Entrada en los listados de morosos</w:t>
      </w:r>
      <w:r w:rsidRPr="00CF1B34">
        <w:rPr>
          <w:rFonts w:ascii="Arial" w:hAnsi="Arial" w:cs="Arial"/>
          <w:sz w:val="22"/>
          <w:szCs w:val="22"/>
          <w:lang w:val="es-ES_tradnl"/>
        </w:rPr>
        <w:t>, se produce a los cinco meses de impago.</w:t>
      </w:r>
    </w:p>
    <w:p w14:paraId="04F31B55" w14:textId="77777777" w:rsidR="00146C19" w:rsidRPr="00CF1B34" w:rsidRDefault="00146C19" w:rsidP="0005621A">
      <w:pPr>
        <w:pStyle w:val="listitem"/>
        <w:numPr>
          <w:ilvl w:val="0"/>
          <w:numId w:val="9"/>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t>Demanda judicial</w:t>
      </w:r>
      <w:r w:rsidRPr="00CF1B34">
        <w:rPr>
          <w:rFonts w:ascii="Arial" w:hAnsi="Arial" w:cs="Arial"/>
          <w:sz w:val="22"/>
          <w:szCs w:val="22"/>
          <w:lang w:val="es-ES_tradnl"/>
        </w:rPr>
        <w:t>. La Ley hipotecaria a ampliado el plazo para aplicar el procedimiento (y con carácter retroactivo), que ahora es a partir del 12º impago en la primera mitad de la hipoteca, y del 15º en el segundo.</w:t>
      </w:r>
    </w:p>
    <w:p w14:paraId="7D6C2CC5" w14:textId="381054F3" w:rsidR="00146C19" w:rsidRPr="00CF1B34" w:rsidRDefault="00146C19" w:rsidP="0005621A">
      <w:pPr>
        <w:pStyle w:val="listitem"/>
        <w:numPr>
          <w:ilvl w:val="0"/>
          <w:numId w:val="9"/>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t>Inscripción de las cargas</w:t>
      </w:r>
      <w:r w:rsidRPr="00CF1B34">
        <w:rPr>
          <w:rFonts w:ascii="Arial" w:hAnsi="Arial" w:cs="Arial"/>
          <w:sz w:val="22"/>
          <w:szCs w:val="22"/>
          <w:lang w:val="es-ES_tradnl"/>
        </w:rPr>
        <w:t> sobre la propiedad en el</w:t>
      </w:r>
      <w:r w:rsidR="00443153"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Registro de la propiedad</w:t>
      </w:r>
      <w:r w:rsidRPr="00CF1B34">
        <w:rPr>
          <w:rFonts w:ascii="Arial" w:hAnsi="Arial" w:cs="Arial"/>
          <w:sz w:val="22"/>
          <w:szCs w:val="22"/>
          <w:lang w:val="es-ES_tradnl"/>
        </w:rPr>
        <w:t>.</w:t>
      </w:r>
    </w:p>
    <w:p w14:paraId="39FE77CE" w14:textId="413D1A07" w:rsidR="00146C19" w:rsidRPr="00CF1B34" w:rsidRDefault="00146C19" w:rsidP="0005621A">
      <w:pPr>
        <w:pStyle w:val="listitem"/>
        <w:numPr>
          <w:ilvl w:val="0"/>
          <w:numId w:val="9"/>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t>Convocatoria de subasta y su publicación</w:t>
      </w:r>
      <w:r w:rsidR="00443153" w:rsidRPr="00CF1B34">
        <w:rPr>
          <w:rFonts w:ascii="Arial" w:hAnsi="Arial" w:cs="Arial"/>
          <w:sz w:val="22"/>
          <w:szCs w:val="22"/>
          <w:lang w:val="es-ES_tradnl"/>
        </w:rPr>
        <w:t xml:space="preserve"> </w:t>
      </w:r>
      <w:r w:rsidRPr="00CF1B34">
        <w:rPr>
          <w:rFonts w:ascii="Arial" w:hAnsi="Arial" w:cs="Arial"/>
          <w:sz w:val="22"/>
          <w:szCs w:val="22"/>
          <w:lang w:val="es-ES_tradnl"/>
        </w:rPr>
        <w:t>en el Ayuntamiento, en el Registro de la propiedad, en los juzgados y en los BOEs, incluyendo la fecha, la hora y el precio de salida de la vivienda. En cambio, no es obligatorio comunicar esta información al deudor.</w:t>
      </w:r>
    </w:p>
    <w:p w14:paraId="7246E596" w14:textId="77777777" w:rsidR="00146C19" w:rsidRPr="00CF1B34" w:rsidRDefault="00146C19" w:rsidP="0005621A">
      <w:pPr>
        <w:pStyle w:val="listitem"/>
        <w:numPr>
          <w:ilvl w:val="0"/>
          <w:numId w:val="9"/>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lastRenderedPageBreak/>
        <w:t>Celebración de la subasta</w:t>
      </w:r>
      <w:r w:rsidRPr="00CF1B34">
        <w:rPr>
          <w:rFonts w:ascii="Arial" w:hAnsi="Arial" w:cs="Arial"/>
          <w:sz w:val="22"/>
          <w:szCs w:val="22"/>
          <w:lang w:val="es-ES_tradnl"/>
        </w:rPr>
        <w:t>. Si no hay ningún comprador, el banco podrá quedárselo al 60% de su valor. Y si este precio no supera nuestra deuda con el banco, además seguiríamos teniendo una deuda con él, que podría saldarse embargando nuestros bienes presentes y futuros (cuentas corrientes, nóminas, etc.).</w:t>
      </w:r>
    </w:p>
    <w:p w14:paraId="24E29DD6" w14:textId="2E8F112F" w:rsidR="00146C19" w:rsidRPr="00CF1B34" w:rsidRDefault="00146C19" w:rsidP="0005621A">
      <w:pPr>
        <w:pStyle w:val="listitem"/>
        <w:numPr>
          <w:ilvl w:val="0"/>
          <w:numId w:val="9"/>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t>Desahucio.</w:t>
      </w:r>
      <w:r w:rsidR="00443153" w:rsidRPr="00CF1B34">
        <w:rPr>
          <w:rFonts w:ascii="Arial" w:hAnsi="Arial" w:cs="Arial"/>
          <w:sz w:val="22"/>
          <w:szCs w:val="22"/>
          <w:lang w:val="es-ES_tradnl"/>
        </w:rPr>
        <w:t xml:space="preserve"> </w:t>
      </w:r>
      <w:r w:rsidRPr="00CF1B34">
        <w:rPr>
          <w:rFonts w:ascii="Arial" w:hAnsi="Arial" w:cs="Arial"/>
          <w:sz w:val="22"/>
          <w:szCs w:val="22"/>
          <w:lang w:val="es-ES_tradnl"/>
        </w:rPr>
        <w:t>Deberemos abandonar el domicilio, acompañados por una comitiva judicial; un cerrajero, que cambiará la cerradura y, si es necesario, además la policía.</w:t>
      </w:r>
    </w:p>
    <w:p w14:paraId="72EAD446" w14:textId="77777777" w:rsidR="00146C19" w:rsidRPr="00CF1B34" w:rsidRDefault="00146C19" w:rsidP="0005621A">
      <w:pPr>
        <w:pStyle w:val="Prrafodelista"/>
        <w:pBdr>
          <w:bottom w:val="dotted" w:sz="12" w:space="12" w:color="666666"/>
        </w:pBdr>
        <w:spacing w:after="240"/>
        <w:jc w:val="both"/>
        <w:rPr>
          <w:rFonts w:ascii="Arial" w:hAnsi="Arial" w:cs="Arial"/>
          <w:color w:val="212529"/>
          <w:sz w:val="22"/>
          <w:szCs w:val="22"/>
          <w:lang w:val="es-ES_tradnl"/>
        </w:rPr>
      </w:pPr>
    </w:p>
    <w:p w14:paraId="1AAAA5A4" w14:textId="363CD95C"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Ejecución óptima</w:t>
      </w:r>
    </w:p>
    <w:p w14:paraId="1FA13DE7"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Principio que obliga a las entidades a adoptar las medidas razonables para que las órdenes de los clientes se ejecuten en las mejores condiciones posibles. </w:t>
      </w:r>
    </w:p>
    <w:p w14:paraId="69AE1551" w14:textId="7A3F2ECE" w:rsidR="009D6995" w:rsidRPr="00CF1B34" w:rsidRDefault="009D699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Ejercicio</w:t>
      </w:r>
    </w:p>
    <w:p w14:paraId="4DF8872E" w14:textId="77777777" w:rsidR="00D12C27" w:rsidRPr="00CF1B34" w:rsidRDefault="009D699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Acto por el cual el comprador de una opción hace uso de su derecho a comprar (Call) o vender (Put) el Activo Subyacente</w:t>
      </w:r>
      <w:r w:rsidR="00D12C27" w:rsidRPr="00CF1B34">
        <w:rPr>
          <w:rFonts w:ascii="Arial" w:hAnsi="Arial" w:cs="Arial"/>
          <w:color w:val="000000" w:themeColor="text1"/>
          <w:sz w:val="22"/>
          <w:szCs w:val="22"/>
          <w:lang w:val="es-ES_tradnl"/>
        </w:rPr>
        <w:t>. El estilo de la opción delimita el plazo para realizar el ejercicio pudiendo existir el Ejercicio Anticipado a Vencimiento.</w:t>
      </w:r>
    </w:p>
    <w:p w14:paraId="07D078AD" w14:textId="3D199607"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Emisión</w:t>
      </w:r>
    </w:p>
    <w:p w14:paraId="63B22956"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 efectos de lo previsto en la normativa española, se entiende por emisión cada conjunto de valores negociables que proceden de un mismo emisor y que se pueden considerar homogéneos entre sí (atribuyen a sus titulares un contenido similar de derechos y obligaciones, tienen la misma naturaleza y régimen de transmisión, y responden a una unidad de propósito, como por ejemplo la obtención sistemática de financiación). Esta homogeneidad no se ve afectada por la existencia de diferencias en cuestiones accesorias.</w:t>
      </w:r>
    </w:p>
    <w:p w14:paraId="44E8B3B0" w14:textId="77777777"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Emisión al descuento</w:t>
      </w:r>
    </w:p>
    <w:p w14:paraId="2E4252E9"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Se produce cuando el valor de renta fija se emite bajo la par (a un precio inferior a su valor nominal), y en la fecha de vencimiento el emisor entrega el nominal íntegro. La diferencia constituye la rentabilidad obtenida por el inversor, ya que en general los valores emitidos al descuento no ofrecen abono periódico de intereses.  </w:t>
      </w:r>
    </w:p>
    <w:p w14:paraId="417384AB" w14:textId="77777777"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Emisión simple</w:t>
      </w:r>
    </w:p>
    <w:p w14:paraId="07B56DAA"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Tipo de emisión de acciones en que éstas se colocan a un determinado precio (precio de emisión), que ha de ser desembolsado por los adquirentes. Las nuevas acciones tienen el mismo valor nominal y otorgan los mismos derechos que las antiguas. </w:t>
      </w:r>
    </w:p>
    <w:p w14:paraId="563CC88E" w14:textId="77777777"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Emisor</w:t>
      </w:r>
    </w:p>
    <w:p w14:paraId="74E6D975"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Entidad que origina y pone en circulación valores o instrumentos financieros (que pueden negociarse en los mercados de valores). </w:t>
      </w:r>
    </w:p>
    <w:p w14:paraId="57315098" w14:textId="77777777"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Emisores de Derecho Público</w:t>
      </w:r>
    </w:p>
    <w:p w14:paraId="19EDB10F"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aquellos Estados extranjeros, u organismos nacionales o extranjeros que, a pesar de su carácter público, no están exentos de la obligación de registrar en España un folleto informativo al realizar una emisión u oferta de valores.</w:t>
      </w:r>
    </w:p>
    <w:p w14:paraId="0AC27A20" w14:textId="717B25F5" w:rsidR="00443153" w:rsidRPr="00CF1B34" w:rsidRDefault="0044315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 xml:space="preserve">Empresa </w:t>
      </w:r>
    </w:p>
    <w:p w14:paraId="13F61944" w14:textId="092747CA" w:rsidR="00733067" w:rsidRPr="00CF1B34" w:rsidRDefault="00DD44D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un</w:t>
      </w:r>
      <w:r w:rsidR="00D4229C"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 xml:space="preserve"> organización dedicada a actividades industriales, mercantiles o de prestación y/o presentación de servicios con fines lucrativos y el lugar donde se realizan esas actividades. Lo cierto es que hoy en día esa definición es mucho mas abierta y cualquier corporación que ofrece algo</w:t>
      </w:r>
      <w:r w:rsidR="00733067" w:rsidRPr="00CF1B34">
        <w:rPr>
          <w:rFonts w:ascii="Arial" w:hAnsi="Arial" w:cs="Arial"/>
          <w:color w:val="000000" w:themeColor="text1"/>
          <w:sz w:val="22"/>
          <w:szCs w:val="22"/>
          <w:lang w:val="es-ES_tradnl"/>
        </w:rPr>
        <w:t xml:space="preserve"> material o inmaterial emanado de forma planificada de una idea que satisface demandas y deseos de usuarios y clientes</w:t>
      </w:r>
      <w:r w:rsidRPr="00CF1B34">
        <w:rPr>
          <w:rFonts w:ascii="Arial" w:hAnsi="Arial" w:cs="Arial"/>
          <w:color w:val="000000" w:themeColor="text1"/>
          <w:sz w:val="22"/>
          <w:szCs w:val="22"/>
          <w:lang w:val="es-ES_tradnl"/>
        </w:rPr>
        <w:t xml:space="preserve"> a cambio de una retribución </w:t>
      </w:r>
      <w:r w:rsidR="00733067" w:rsidRPr="00CF1B34">
        <w:rPr>
          <w:rFonts w:ascii="Arial" w:hAnsi="Arial" w:cs="Arial"/>
          <w:color w:val="000000" w:themeColor="text1"/>
          <w:sz w:val="22"/>
          <w:szCs w:val="22"/>
          <w:lang w:val="es-ES_tradnl"/>
        </w:rPr>
        <w:t>originando así actividad económica y/o financiera.</w:t>
      </w:r>
    </w:p>
    <w:p w14:paraId="4EAE5E1F" w14:textId="04DAF153"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Empresas de servicios de inversión, ESIS</w:t>
      </w:r>
    </w:p>
    <w:p w14:paraId="125DA4A7"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aquellas entidades financieras cuya actividad principal consiste en prestar servicios de inversión, con carácter profesional, a terceros. En España, se incluyen en tal categoría las sociedades y agencias de valores, las sociedades gestoras de carteras y las empresas de asesoramiento financiero. </w:t>
      </w:r>
    </w:p>
    <w:p w14:paraId="38BAD6A3" w14:textId="62CD25C7" w:rsidR="00D12C27" w:rsidRPr="00CF1B34" w:rsidRDefault="00D12C2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Empresas cotizadas</w:t>
      </w:r>
    </w:p>
    <w:p w14:paraId="0D61FCA0" w14:textId="7230D915" w:rsidR="003A4CD6" w:rsidRPr="00CF1B34" w:rsidRDefault="00D12C2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aquellas que deciden poner sus acciones en el mercado para que se negocien. A estas empresas se les exigen unos requisitos de información superiores a aquellas que no cotizan. En contrapartida el cotizar en los mercados</w:t>
      </w:r>
      <w:r w:rsidR="003A4CD6" w:rsidRPr="00CF1B34">
        <w:rPr>
          <w:rFonts w:ascii="Arial" w:hAnsi="Arial" w:cs="Arial"/>
          <w:color w:val="000000" w:themeColor="text1"/>
          <w:sz w:val="22"/>
          <w:szCs w:val="22"/>
          <w:lang w:val="es-ES_tradnl"/>
        </w:rPr>
        <w:t xml:space="preserve"> bursátiles le otorga una mayor facilidad a la hora de encontrar nuevos socios. Por una parte</w:t>
      </w:r>
      <w:r w:rsidR="00D4229C" w:rsidRPr="00CF1B34">
        <w:rPr>
          <w:rFonts w:ascii="Arial" w:hAnsi="Arial" w:cs="Arial"/>
          <w:color w:val="000000" w:themeColor="text1"/>
          <w:sz w:val="22"/>
          <w:szCs w:val="22"/>
          <w:lang w:val="es-ES_tradnl"/>
        </w:rPr>
        <w:t>,</w:t>
      </w:r>
      <w:r w:rsidR="003A4CD6" w:rsidRPr="00CF1B34">
        <w:rPr>
          <w:rFonts w:ascii="Arial" w:hAnsi="Arial" w:cs="Arial"/>
          <w:color w:val="000000" w:themeColor="text1"/>
          <w:sz w:val="22"/>
          <w:szCs w:val="22"/>
          <w:lang w:val="es-ES_tradnl"/>
        </w:rPr>
        <w:t xml:space="preserve"> pueden recurrir a las ampliaciones de capital como forma de financiación.</w:t>
      </w:r>
    </w:p>
    <w:p w14:paraId="2D8268E5" w14:textId="2823D601"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Empréstito</w:t>
      </w:r>
    </w:p>
    <w:p w14:paraId="7EFEE4F1"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una forma de financiación, por la que una empresa o entidad acude al mercado para solicitar un préstamo a un gran número de inversores, dividiendo la deuda en pequeñas participaciones (títulos-valores). Todos los títulos de una emisión comparten las mismas características en cuanto a importe, remuneración, vencimiento, etc.</w:t>
      </w:r>
    </w:p>
    <w:p w14:paraId="3D4A2D67" w14:textId="0BDC8A18" w:rsidR="00875707" w:rsidRPr="00CF1B34" w:rsidRDefault="0087570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Endoso</w:t>
      </w:r>
    </w:p>
    <w:p w14:paraId="6DE65909" w14:textId="77777777" w:rsidR="006D558E" w:rsidRPr="00CF1B34" w:rsidRDefault="006D558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Firma del tenedor legitimo de un titulo en el reverso del mismo para transferir su propiedad o para constituir mandato o poder.</w:t>
      </w:r>
    </w:p>
    <w:p w14:paraId="08FB25D9" w14:textId="0CDFED76" w:rsidR="000C0A2A" w:rsidRPr="00CF1B34" w:rsidRDefault="000C0A2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Enfermedad profesional </w:t>
      </w:r>
    </w:p>
    <w:p w14:paraId="31790FF5" w14:textId="5704FCA1" w:rsidR="000C0A2A" w:rsidRPr="00CF1B34" w:rsidRDefault="000C0A2A"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Uno de los grandes riesgos a los que se expone cualquier empresario es a las bajas laborales por parte de sus trabajadores. En el caso de las pyme</w:t>
      </w:r>
      <w:r w:rsidR="00D4229C" w:rsidRPr="00CF1B34">
        <w:rPr>
          <w:rFonts w:ascii="Arial" w:hAnsi="Arial" w:cs="Arial"/>
          <w:color w:val="333333"/>
          <w:sz w:val="22"/>
          <w:szCs w:val="22"/>
          <w:shd w:val="clear" w:color="auto" w:fill="FFFFFF"/>
          <w:lang w:val="es-ES_tradnl"/>
        </w:rPr>
        <w:t>s</w:t>
      </w:r>
      <w:r w:rsidRPr="00CF1B34">
        <w:rPr>
          <w:rFonts w:ascii="Arial" w:hAnsi="Arial" w:cs="Arial"/>
          <w:color w:val="333333"/>
          <w:sz w:val="22"/>
          <w:szCs w:val="22"/>
          <w:shd w:val="clear" w:color="auto" w:fill="FFFFFF"/>
          <w:lang w:val="es-ES_tradnl"/>
        </w:rPr>
        <w:t xml:space="preserve"> cuyos recursos suelen ser limitados, el problema puede ser todavía mayor, por no mencionar su repercusión en el colectivo de los trabajadores autónomos. Por eso es importante conocer cuáles son las causas reconocidas como enfermedad profesional que es aquella «contraída a consecuencia del trabajo ejecutado por cuenta ajena </w:t>
      </w:r>
    </w:p>
    <w:p w14:paraId="6CD314F1" w14:textId="2118D88D" w:rsidR="007530A1" w:rsidRPr="00CF1B34" w:rsidRDefault="007530A1" w:rsidP="0005621A">
      <w:pPr>
        <w:ind w:left="708"/>
        <w:jc w:val="both"/>
        <w:rPr>
          <w:rFonts w:ascii="Arial" w:hAnsi="Arial" w:cs="Arial"/>
          <w:sz w:val="22"/>
          <w:szCs w:val="22"/>
          <w:lang w:val="es-ES_tradnl"/>
        </w:rPr>
      </w:pPr>
      <w:r w:rsidRPr="00CF1B34">
        <w:rPr>
          <w:rStyle w:val="nfasis"/>
          <w:rFonts w:ascii="Arial" w:hAnsi="Arial" w:cs="Arial"/>
          <w:color w:val="333333"/>
          <w:sz w:val="22"/>
          <w:szCs w:val="22"/>
          <w:shd w:val="clear" w:color="auto" w:fill="FFFFFF"/>
          <w:lang w:val="es-ES_tradnl"/>
        </w:rPr>
        <w:t xml:space="preserve">Las </w:t>
      </w:r>
      <w:r w:rsidRPr="00CF1B34">
        <w:rPr>
          <w:rStyle w:val="Textoennegrita"/>
          <w:rFonts w:ascii="Arial" w:hAnsi="Arial" w:cs="Arial"/>
          <w:i/>
          <w:iCs/>
          <w:color w:val="333333"/>
          <w:sz w:val="22"/>
          <w:szCs w:val="22"/>
          <w:shd w:val="clear" w:color="auto" w:fill="FFFFFF"/>
          <w:lang w:val="es-ES_tradnl"/>
        </w:rPr>
        <w:t>enfermedades laborales</w:t>
      </w:r>
      <w:r w:rsidRPr="00CF1B34">
        <w:rPr>
          <w:rStyle w:val="nfasis"/>
          <w:rFonts w:ascii="Arial" w:hAnsi="Arial" w:cs="Arial"/>
          <w:color w:val="333333"/>
          <w:sz w:val="22"/>
          <w:szCs w:val="22"/>
          <w:shd w:val="clear" w:color="auto" w:fill="FFFFFF"/>
          <w:lang w:val="es-ES_tradnl"/>
        </w:rPr>
        <w:t xml:space="preserve"> abarcan desde la sordera hasta intoxicaciones por una exposición repetida a un determinado producto.</w:t>
      </w:r>
    </w:p>
    <w:p w14:paraId="7AC8DF54" w14:textId="77777777" w:rsidR="007530A1" w:rsidRPr="00CF1B34" w:rsidRDefault="007530A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Pero si la espalda es el rey de las bajas laborales y de las enfermedades profesionales, el estrés es la reina. Cada vez son más las personas que acreditan problemas de salud relacionadas con esta dolencia. Su principal efecto es psicológico y además afecta directamente al rendimiento del trabajador hasta el punto que es responsable entre el 50% y el 60% del total de jornadas laborales perdidas según estudios de la UE. Otras enfermedades profesionales que se repiten con asiduidad son las de la piel y las relacionadas con el ruido.</w:t>
      </w:r>
    </w:p>
    <w:p w14:paraId="13A1E3E5" w14:textId="7E26AB6B"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Entidad aseguradora</w:t>
      </w:r>
    </w:p>
    <w:p w14:paraId="44B082DC" w14:textId="07B989F5" w:rsidR="00DB1AEF" w:rsidRPr="00CF1B34" w:rsidRDefault="00DB1AEF" w:rsidP="0005621A">
      <w:pPr>
        <w:pBdr>
          <w:bottom w:val="dotted" w:sz="12" w:space="12" w:color="666666"/>
        </w:pBdr>
        <w:spacing w:after="240"/>
        <w:ind w:left="720"/>
        <w:jc w:val="both"/>
        <w:rPr>
          <w:rFonts w:ascii="Arial" w:hAnsi="Arial" w:cs="Arial"/>
          <w:b/>
          <w:bCs/>
          <w:color w:val="2F5496" w:themeColor="accent1" w:themeShade="BF"/>
          <w:sz w:val="22"/>
          <w:szCs w:val="22"/>
          <w:lang w:val="es-ES_tradnl"/>
        </w:rPr>
      </w:pPr>
      <w:r w:rsidRPr="00CF1B34">
        <w:rPr>
          <w:rFonts w:ascii="Arial" w:hAnsi="Arial" w:cs="Arial"/>
          <w:color w:val="212529"/>
          <w:sz w:val="22"/>
          <w:szCs w:val="22"/>
          <w:lang w:val="es-ES_tradnl"/>
        </w:rPr>
        <w:lastRenderedPageBreak/>
        <w:t xml:space="preserve">Entidad que asume ante el emisor el compromiso de garantizar el resultado económico de una oferta pública frente al riesgo de colocación, adquiriendo en su caso los valores que no consiga colocar entre el público. </w:t>
      </w:r>
      <w:r w:rsidRPr="00CF1B34">
        <w:rPr>
          <w:rFonts w:ascii="Arial" w:hAnsi="Arial" w:cs="Arial"/>
          <w:b/>
          <w:bCs/>
          <w:color w:val="2F5496" w:themeColor="accent1" w:themeShade="BF"/>
          <w:sz w:val="22"/>
          <w:szCs w:val="22"/>
          <w:lang w:val="es-ES_tradnl"/>
        </w:rPr>
        <w:t xml:space="preserve">Ver </w:t>
      </w:r>
      <w:r w:rsidR="00D4229C" w:rsidRPr="00CF1B34">
        <w:rPr>
          <w:rFonts w:ascii="Arial" w:hAnsi="Arial" w:cs="Arial"/>
          <w:b/>
          <w:bCs/>
          <w:color w:val="2F5496" w:themeColor="accent1" w:themeShade="BF"/>
          <w:sz w:val="22"/>
          <w:szCs w:val="22"/>
          <w:lang w:val="es-ES_tradnl"/>
        </w:rPr>
        <w:t>Aseguramiento de una emisión</w:t>
      </w:r>
      <w:r w:rsidRPr="00CF1B34">
        <w:rPr>
          <w:rFonts w:ascii="Arial" w:hAnsi="Arial" w:cs="Arial"/>
          <w:b/>
          <w:bCs/>
          <w:color w:val="2F5496" w:themeColor="accent1" w:themeShade="BF"/>
          <w:sz w:val="22"/>
          <w:szCs w:val="22"/>
          <w:lang w:val="es-ES_tradnl"/>
        </w:rPr>
        <w:t>.</w:t>
      </w:r>
    </w:p>
    <w:p w14:paraId="42991461" w14:textId="77777777"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Entidad colocadora de una oferta pública </w:t>
      </w:r>
    </w:p>
    <w:p w14:paraId="05AF9AA5"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Entidad que gestiona la colocación de una oferta pública en todos sus tramos (minoristas, inversores cualificados y empleados, en su caso). Se ocupa de controlar el estado y evolución de la demanda y de coordinar las actividades de las distintas entidades aseguradoras y colocadoras que intervienen en la operación, a las cuales representa en sus relaciones con el emisor u oferente. En su caso, fija el precio definitivo de acuerdo con la sociedad y realiza la redistribución entre tramos.</w:t>
      </w:r>
    </w:p>
    <w:p w14:paraId="3CCC5168" w14:textId="77777777"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Entidad directora</w:t>
      </w:r>
    </w:p>
    <w:p w14:paraId="055BD5BB"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Entidad que participa en la dirección y preparación de una oferta pública de venta o suscripción de valores (OPV / OPS) en cada uno de sus tramos, asumiendo un compromiso de aseguramiento mayor que el de las propias aseguradoras. Se encarga de preparar toda la documentación de la oferta, coordinar la demanda, nombrar co-directores en su caso, etc. </w:t>
      </w:r>
    </w:p>
    <w:p w14:paraId="3BA96CBC" w14:textId="4FE51911" w:rsidR="0024710D" w:rsidRPr="00CF1B34" w:rsidRDefault="0024710D"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Entidad negociante de Deuda Publica.</w:t>
      </w:r>
    </w:p>
    <w:p w14:paraId="53D55A41" w14:textId="77777777" w:rsidR="00867D6B" w:rsidRPr="00CF1B34" w:rsidRDefault="0024710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 una categoría previa al acceso a Creador de Mercado. Se les exige, por parte del Tesoro Español, la participación en el mercado español superando por lo menos un 1% del total negociado y la obligación de cotizar las cinco referencias </w:t>
      </w:r>
      <w:r w:rsidR="00867D6B" w:rsidRPr="00CF1B34">
        <w:rPr>
          <w:rFonts w:ascii="Arial" w:hAnsi="Arial" w:cs="Arial"/>
          <w:color w:val="000000" w:themeColor="text1"/>
          <w:sz w:val="22"/>
          <w:szCs w:val="22"/>
          <w:lang w:val="es-ES_tradnl"/>
        </w:rPr>
        <w:t>benchmark con un spread y volumen determinado, el mismo exigido a los caracteres y durante el 60% del tiempo de la sesión del mercado</w:t>
      </w:r>
      <w:r w:rsidR="00867D6B" w:rsidRPr="00CF1B34">
        <w:rPr>
          <w:rFonts w:ascii="Arial" w:hAnsi="Arial" w:cs="Arial"/>
          <w:b/>
          <w:bCs/>
          <w:color w:val="000000" w:themeColor="text1"/>
          <w:sz w:val="22"/>
          <w:szCs w:val="22"/>
          <w:lang w:val="es-ES_tradnl"/>
        </w:rPr>
        <w:t>.</w:t>
      </w:r>
    </w:p>
    <w:p w14:paraId="3AF4584A" w14:textId="282150CD" w:rsidR="00867D6B" w:rsidRPr="00CF1B34" w:rsidRDefault="0037376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Entidades de crédito de ámbito operativo limitado</w:t>
      </w:r>
    </w:p>
    <w:p w14:paraId="1568C195" w14:textId="10C1CF01" w:rsidR="00A71DC9" w:rsidRPr="00CF1B34" w:rsidRDefault="00703C0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Denominación que tiende a aplicarse a un conjunto de instituciones de crédito constituido por las sociedades mediadoras en el mercado de dinero, las entidades de </w:t>
      </w:r>
      <w:r w:rsidR="00C4720B" w:rsidRPr="00CF1B34">
        <w:rPr>
          <w:rFonts w:ascii="Arial" w:hAnsi="Arial" w:cs="Arial"/>
          <w:color w:val="000000" w:themeColor="text1"/>
          <w:sz w:val="22"/>
          <w:szCs w:val="22"/>
          <w:lang w:val="es-ES_tradnl"/>
        </w:rPr>
        <w:t>financiación, las sociedades de crédito hipotecario y las sociedades de arrendamiento financiero, leasin</w:t>
      </w:r>
      <w:r w:rsidR="00A71DC9" w:rsidRPr="00CF1B34">
        <w:rPr>
          <w:rFonts w:ascii="Arial" w:hAnsi="Arial" w:cs="Arial"/>
          <w:color w:val="000000" w:themeColor="text1"/>
          <w:sz w:val="22"/>
          <w:szCs w:val="22"/>
          <w:lang w:val="es-ES_tradnl"/>
        </w:rPr>
        <w:t>g</w:t>
      </w:r>
      <w:r w:rsidR="003D2D89" w:rsidRPr="00CF1B34">
        <w:rPr>
          <w:rFonts w:ascii="Arial" w:hAnsi="Arial" w:cs="Arial"/>
          <w:color w:val="000000" w:themeColor="text1"/>
          <w:sz w:val="22"/>
          <w:szCs w:val="22"/>
          <w:lang w:val="es-ES_tradnl"/>
        </w:rPr>
        <w:t>.</w:t>
      </w:r>
    </w:p>
    <w:p w14:paraId="15D7D7F4" w14:textId="467F004C" w:rsidR="00A71DC9" w:rsidRPr="00CF1B34" w:rsidRDefault="00A71DC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Entidades </w:t>
      </w:r>
      <w:r w:rsidR="00B57D50" w:rsidRPr="00CF1B34">
        <w:rPr>
          <w:rFonts w:ascii="Arial" w:hAnsi="Arial" w:cs="Arial"/>
          <w:b/>
          <w:bCs/>
          <w:color w:val="004773"/>
          <w:sz w:val="22"/>
          <w:szCs w:val="22"/>
          <w:lang w:val="es-ES_tradnl"/>
        </w:rPr>
        <w:t>financieras</w:t>
      </w:r>
    </w:p>
    <w:p w14:paraId="3F955484" w14:textId="762F080A" w:rsidR="00B57D50" w:rsidRPr="00CF1B34" w:rsidRDefault="00B57D50"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Son aquellas encargadas de facilitar financiación a quien lo necesite, sean particulares o sociedades</w:t>
      </w:r>
      <w:r w:rsidR="003D2D89" w:rsidRPr="00CF1B34">
        <w:rPr>
          <w:rFonts w:ascii="Arial" w:hAnsi="Arial" w:cs="Arial"/>
          <w:color w:val="000000" w:themeColor="text1"/>
          <w:sz w:val="22"/>
          <w:szCs w:val="22"/>
          <w:lang w:val="es-ES_tradnl"/>
        </w:rPr>
        <w:t>.</w:t>
      </w:r>
    </w:p>
    <w:p w14:paraId="415D875E" w14:textId="0CB5A1BD" w:rsidR="00373764" w:rsidRPr="00CF1B34" w:rsidRDefault="0037376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Entidades gestoras por cuenta de terceros</w:t>
      </w:r>
    </w:p>
    <w:p w14:paraId="1A94CD58" w14:textId="771D1915" w:rsidR="00D0487A" w:rsidRPr="00CF1B34" w:rsidRDefault="00113A57"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 xml:space="preserve">Constituyen un subgrupo de los titulares de cuenta </w:t>
      </w:r>
      <w:r w:rsidR="00D0487A" w:rsidRPr="00CF1B34">
        <w:rPr>
          <w:rFonts w:ascii="Arial" w:hAnsi="Arial" w:cs="Arial"/>
          <w:color w:val="000000" w:themeColor="text1"/>
          <w:sz w:val="22"/>
          <w:szCs w:val="22"/>
          <w:lang w:val="es-ES_tradnl"/>
        </w:rPr>
        <w:t>de la Central de Anotaciones de quienes se exigen unos requisitos mas restrictivos que los aplicados a aquellos y que pueden mantener en sus cuentas tanto anotaciones de su propia cartera como de sus clientes o de terceros.</w:t>
      </w:r>
    </w:p>
    <w:p w14:paraId="7C22DEE7" w14:textId="0E410873" w:rsidR="007530A1" w:rsidRPr="00CF1B34" w:rsidRDefault="007530A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Entidades no autorizadas</w:t>
      </w:r>
    </w:p>
    <w:p w14:paraId="06C1844E" w14:textId="503B5F3F" w:rsidR="007530A1" w:rsidRPr="00CF1B34" w:rsidRDefault="007530A1"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Toda entidad financiera para poder operara debe estar registrada en la</w:t>
      </w:r>
      <w:r w:rsidR="003D2D89"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Comisión Nacional de Mercado de Valores</w:t>
      </w:r>
      <w:r w:rsidR="003D2D89"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(CNMV),</w:t>
      </w:r>
      <w:r w:rsidR="003D2D89"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organismo que emitirá la autorización correspondiente para que pueda ofrecer servicios de inversión, y que sólo se concede cuando las empresas cumplen ciertos requisitos.</w:t>
      </w:r>
    </w:p>
    <w:p w14:paraId="130EE3D5" w14:textId="77777777" w:rsidR="003D2D89" w:rsidRPr="00CF1B34" w:rsidRDefault="007530A1"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333333"/>
          <w:sz w:val="22"/>
          <w:szCs w:val="22"/>
          <w:lang w:val="es-ES_tradnl"/>
        </w:rPr>
        <w:lastRenderedPageBreak/>
        <w:t>Asimismo, existen muchas entidades que no poseen dicha autorización por parte de la</w:t>
      </w:r>
      <w:hyperlink r:id="rId229" w:history="1"/>
      <w:r w:rsidRPr="00CF1B34">
        <w:rPr>
          <w:rFonts w:ascii="Arial" w:hAnsi="Arial" w:cs="Arial"/>
          <w:color w:val="333333"/>
          <w:sz w:val="22"/>
          <w:szCs w:val="22"/>
          <w:lang w:val="es-ES_tradnl"/>
        </w:rPr>
        <w:t xml:space="preserve"> CNMV e igualmente prestan servicios de inversión, y son conocidos con el nombre de</w:t>
      </w:r>
      <w:r w:rsidR="003D2D89"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chiringuitos financieros</w:t>
      </w:r>
      <w:r w:rsidRPr="00CF1B34">
        <w:rPr>
          <w:rFonts w:ascii="Arial" w:hAnsi="Arial" w:cs="Arial"/>
          <w:color w:val="333333"/>
          <w:lang w:val="es-ES_tradnl"/>
        </w:rPr>
        <w:t>.</w:t>
      </w:r>
      <w:r w:rsidRPr="00CF1B34">
        <w:rPr>
          <w:rFonts w:ascii="Arial" w:hAnsi="Arial" w:cs="Arial"/>
          <w:color w:val="333333"/>
          <w:shd w:val="clear" w:color="auto" w:fill="FFFFFF"/>
          <w:lang w:val="es-ES_tradnl"/>
        </w:rPr>
        <w:t xml:space="preserve"> </w:t>
      </w:r>
      <w:r w:rsidRPr="00CF1B34">
        <w:rPr>
          <w:rFonts w:ascii="Arial" w:hAnsi="Arial" w:cs="Arial"/>
          <w:color w:val="333333"/>
          <w:sz w:val="22"/>
          <w:szCs w:val="22"/>
          <w:shd w:val="clear" w:color="auto" w:fill="FFFFFF"/>
          <w:lang w:val="es-ES_tradnl"/>
        </w:rPr>
        <w:t>Con el objetivo de proteger a los inversores sobre estas entidades, está la de difundir información alertando sobre aquellas entidades sobre las que sospecha que están prestando servicios de inversión reservados sin la correspondiente autorización.</w:t>
      </w:r>
    </w:p>
    <w:p w14:paraId="30918F72" w14:textId="1429B27E" w:rsidR="00373764" w:rsidRPr="00CF1B34" w:rsidRDefault="0037376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Eonia (Euro Overnight Index Average)</w:t>
      </w:r>
    </w:p>
    <w:p w14:paraId="139F62F1" w14:textId="77777777" w:rsidR="00E809BB" w:rsidRPr="00CF1B34" w:rsidRDefault="00E809BB"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Es el tipo “overnight” del Euribor. Es el tipo de interés de oferta para los depósitos iinterbancarios en euros ofrecidos por una entidad.</w:t>
      </w:r>
    </w:p>
    <w:p w14:paraId="1282A272" w14:textId="22F10680" w:rsidR="003D2D89" w:rsidRPr="00CF1B34" w:rsidRDefault="003D2D89" w:rsidP="0005621A">
      <w:pPr>
        <w:ind w:firstLine="708"/>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EPA</w:t>
      </w:r>
    </w:p>
    <w:p w14:paraId="57AC2503" w14:textId="77777777" w:rsidR="003D2D89" w:rsidRPr="00CF1B34" w:rsidRDefault="003D2D89"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La encuesta de Población Activa es una investigación por muestreo de periodicidad trimestral del desempleo, y esta dirigía a la población que reside en viviendas familiares del territorio nacional y cuya finalidad es poder tener un conocimiento de las características de esta población en relación con el mercado de trabajo y dar por ejemplo datos sobre el desempleo.</w:t>
      </w:r>
    </w:p>
    <w:p w14:paraId="694613F0" w14:textId="738D2530" w:rsidR="003D2D89" w:rsidRPr="00CF1B34" w:rsidRDefault="003D2D89"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EPSV</w:t>
      </w:r>
    </w:p>
    <w:p w14:paraId="0F9E2816" w14:textId="53264CE3" w:rsidR="006D558E" w:rsidRPr="00CF1B34" w:rsidRDefault="006D558E" w:rsidP="0005621A">
      <w:pPr>
        <w:ind w:left="708"/>
        <w:jc w:val="both"/>
        <w:rPr>
          <w:rFonts w:ascii="Arial" w:hAnsi="Arial" w:cs="Arial"/>
          <w:sz w:val="22"/>
          <w:szCs w:val="22"/>
          <w:lang w:val="es-ES_tradnl"/>
        </w:rPr>
      </w:pPr>
      <w:r w:rsidRPr="00CF1B34">
        <w:rPr>
          <w:rFonts w:ascii="Arial" w:hAnsi="Arial" w:cs="Arial"/>
          <w:sz w:val="22"/>
          <w:szCs w:val="22"/>
          <w:lang w:val="es-ES_tradnl"/>
        </w:rPr>
        <w:t xml:space="preserve">Las </w:t>
      </w:r>
      <w:r w:rsidRPr="00CF1B34">
        <w:rPr>
          <w:rStyle w:val="Textoennegrita"/>
          <w:rFonts w:ascii="Arial" w:hAnsi="Arial" w:cs="Arial"/>
          <w:sz w:val="22"/>
          <w:szCs w:val="22"/>
          <w:lang w:val="es-ES_tradnl"/>
        </w:rPr>
        <w:t>Entidades de Previsión Social Voluntaria </w:t>
      </w:r>
      <w:r w:rsidRPr="00CF1B34">
        <w:rPr>
          <w:rFonts w:ascii="Arial" w:hAnsi="Arial" w:cs="Arial"/>
          <w:sz w:val="22"/>
          <w:szCs w:val="22"/>
          <w:lang w:val="es-ES_tradnl"/>
        </w:rPr>
        <w:t>o </w:t>
      </w:r>
      <w:r w:rsidRPr="00CF1B34">
        <w:rPr>
          <w:rStyle w:val="Textoennegrita"/>
          <w:rFonts w:ascii="Arial" w:hAnsi="Arial" w:cs="Arial"/>
          <w:sz w:val="22"/>
          <w:szCs w:val="22"/>
          <w:lang w:val="es-ES_tradnl"/>
        </w:rPr>
        <w:t>EPSV</w:t>
      </w:r>
      <w:r w:rsidRPr="00CF1B34">
        <w:rPr>
          <w:rFonts w:ascii="Arial" w:hAnsi="Arial" w:cs="Arial"/>
          <w:sz w:val="22"/>
          <w:szCs w:val="22"/>
          <w:lang w:val="es-ES_tradnl"/>
        </w:rPr>
        <w:t xml:space="preserve"> son entidades sin ánimo de lucro y de carácter voluntario. Tuvieron su origen en el País Vasco, y se crearon con el objetivo de ayudar a </w:t>
      </w:r>
      <w:r w:rsidRPr="00CF1B34">
        <w:rPr>
          <w:rStyle w:val="Textoennegrita"/>
          <w:rFonts w:ascii="Arial" w:hAnsi="Arial" w:cs="Arial"/>
          <w:sz w:val="22"/>
          <w:szCs w:val="22"/>
          <w:lang w:val="es-ES_tradnl"/>
        </w:rPr>
        <w:t>crear un sistema de ahorro</w:t>
      </w:r>
      <w:r w:rsidRPr="00CF1B34">
        <w:rPr>
          <w:rFonts w:ascii="Arial" w:hAnsi="Arial" w:cs="Arial"/>
          <w:sz w:val="22"/>
          <w:szCs w:val="22"/>
          <w:lang w:val="es-ES_tradnl"/>
        </w:rPr>
        <w:t xml:space="preserve"> que permitiera incrementar los ingresos de sus asociados de cara a la</w:t>
      </w:r>
      <w:r w:rsidRPr="00CF1B34">
        <w:rPr>
          <w:rStyle w:val="Textoennegrita"/>
          <w:rFonts w:ascii="Arial" w:hAnsi="Arial" w:cs="Arial"/>
          <w:sz w:val="22"/>
          <w:szCs w:val="22"/>
          <w:lang w:val="es-ES_tradnl"/>
        </w:rPr>
        <w:t xml:space="preserve"> jubilación</w:t>
      </w:r>
      <w:r w:rsidRPr="00CF1B34">
        <w:rPr>
          <w:rFonts w:ascii="Arial" w:hAnsi="Arial" w:cs="Arial"/>
          <w:sz w:val="22"/>
          <w:szCs w:val="22"/>
          <w:lang w:val="es-ES_tradnl"/>
        </w:rPr>
        <w:t>. Por tanto, estas entidades ofrecen a aquellos ciudadanos o empresas con residencia en el País Vasco, la posibilidad de complementar su jubilación y así poder mantener su nivel de vida, equilibrando los ingresos de su época activa y pasiva. Al ser un instrumento propio y específico del País vasco, estas entidades están controladas, reguladas y supervisadas por el Gobierno de esta comunidad.  </w:t>
      </w:r>
    </w:p>
    <w:p w14:paraId="417487B1" w14:textId="77777777" w:rsidR="006D558E" w:rsidRPr="00CF1B34" w:rsidRDefault="006D558E" w:rsidP="0005621A">
      <w:pPr>
        <w:pStyle w:val="Ttulo2"/>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Principales características del EPSV</w:t>
      </w:r>
    </w:p>
    <w:p w14:paraId="2E8677E1" w14:textId="77777777" w:rsidR="006D558E" w:rsidRPr="00CF1B34" w:rsidRDefault="006D558E" w:rsidP="0005621A">
      <w:pPr>
        <w:pStyle w:val="NormalWeb"/>
        <w:spacing w:before="0" w:beforeAutospacing="0"/>
        <w:ind w:firstLine="360"/>
        <w:jc w:val="both"/>
        <w:rPr>
          <w:rFonts w:ascii="Arial" w:hAnsi="Arial" w:cs="Arial"/>
          <w:sz w:val="22"/>
          <w:szCs w:val="22"/>
          <w:lang w:val="es-ES_tradnl"/>
        </w:rPr>
      </w:pPr>
      <w:r w:rsidRPr="00CF1B34">
        <w:rPr>
          <w:rFonts w:ascii="Arial" w:hAnsi="Arial" w:cs="Arial"/>
          <w:sz w:val="22"/>
          <w:szCs w:val="22"/>
          <w:lang w:val="es-ES_tradnl"/>
        </w:rPr>
        <w:t>Estas entidades comparten las siguientes características:</w:t>
      </w:r>
    </w:p>
    <w:p w14:paraId="77B1BFC3" w14:textId="77777777" w:rsidR="006D558E" w:rsidRPr="00CF1B34" w:rsidRDefault="006D558E" w:rsidP="0005621A">
      <w:pPr>
        <w:numPr>
          <w:ilvl w:val="0"/>
          <w:numId w:val="10"/>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Tienen personalidad jurídica propia, y por lo tanto no precisan de entidad gestora alguna para administrar su patrimonio.  </w:t>
      </w:r>
    </w:p>
    <w:p w14:paraId="7916918D"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No tienen ánimo de lucro. </w:t>
      </w:r>
    </w:p>
    <w:p w14:paraId="71DAB5D9"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Suponen un ahorro fiscal, ya que reducen la base imponible del IRPF. Y aunque no existe límite en las aportaciones, sí existe una cantidad máxima de desgravación, que es 5.000€.</w:t>
      </w:r>
    </w:p>
    <w:p w14:paraId="6E7F27C3"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Los </w:t>
      </w:r>
      <w:hyperlink r:id="rId230" w:history="1">
        <w:r w:rsidRPr="00CF1B34">
          <w:rPr>
            <w:rStyle w:val="Hipervnculo"/>
            <w:rFonts w:ascii="Arial" w:hAnsi="Arial" w:cs="Arial"/>
            <w:color w:val="2F5496" w:themeColor="accent1" w:themeShade="BF"/>
            <w:sz w:val="22"/>
            <w:szCs w:val="22"/>
            <w:lang w:val="es-ES_tradnl"/>
          </w:rPr>
          <w:t>planes de pensiones</w:t>
        </w:r>
      </w:hyperlink>
      <w:r w:rsidRPr="00CF1B34">
        <w:rPr>
          <w:rFonts w:ascii="Arial" w:hAnsi="Arial" w:cs="Arial"/>
          <w:color w:val="2F5496" w:themeColor="accent1" w:themeShade="BF"/>
          <w:sz w:val="22"/>
          <w:szCs w:val="22"/>
          <w:lang w:val="es-ES_tradnl"/>
        </w:rPr>
        <w:t> </w:t>
      </w:r>
      <w:r w:rsidRPr="00CF1B34">
        <w:rPr>
          <w:rFonts w:ascii="Arial" w:hAnsi="Arial" w:cs="Arial"/>
          <w:sz w:val="22"/>
          <w:szCs w:val="22"/>
          <w:lang w:val="es-ES_tradnl"/>
        </w:rPr>
        <w:t>en cambio, incrementan esta cifra hasta los 8.000€.  </w:t>
      </w:r>
    </w:p>
    <w:p w14:paraId="1F254D44"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Existe total libertad en cuanto a la periodicidad y la cantidad de las aportaciones a realizar a los planes.</w:t>
      </w:r>
    </w:p>
    <w:p w14:paraId="7511F30E"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Es posible mover las aportaciones entre los diferentes EPSV existentes sin coste alguno.  </w:t>
      </w:r>
    </w:p>
    <w:p w14:paraId="4CA6599F"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En caso de darse alguna de las contingencias contempladas, el Reglamento de cada Plan de Previsión establece la posibilidad de liquidez inmediata mediante el rescate del plan.   </w:t>
      </w:r>
    </w:p>
    <w:p w14:paraId="24C8F437"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lastRenderedPageBreak/>
        <w:t>Las aportaciones pueden ser realizadas a través de las diferentes Entidades de Previsión Social Voluntaria.</w:t>
      </w:r>
    </w:p>
    <w:p w14:paraId="4C4DB873"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En el caso de disponer de una EPSV de empleo, es habitual que empleador y empleador realicen las aportaciones a partes iguales. Y si se trata de una EPSV individual, el total de las aportaciones será realizado por el socio a nivel individual.</w:t>
      </w:r>
    </w:p>
    <w:p w14:paraId="5CA9DEC7"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Como hemos dicho, la libertad en cuanto a la cantidad de las aportaciones y también en cuanto a la periodicidad es absoluta.  </w:t>
      </w:r>
    </w:p>
    <w:p w14:paraId="7BD471AC" w14:textId="77777777" w:rsidR="006D558E" w:rsidRPr="00CF1B34" w:rsidRDefault="006D558E" w:rsidP="0005621A">
      <w:pPr>
        <w:pStyle w:val="listitem"/>
        <w:numPr>
          <w:ilvl w:val="0"/>
          <w:numId w:val="1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El rescate del Plan puede realizarse en caso de darse alguna de las contingencias contempladas: </w:t>
      </w:r>
    </w:p>
    <w:p w14:paraId="2019DD94" w14:textId="77777777" w:rsidR="006D558E" w:rsidRPr="00CF1B34" w:rsidRDefault="006D558E" w:rsidP="0005621A">
      <w:pPr>
        <w:pStyle w:val="listitem"/>
        <w:numPr>
          <w:ilvl w:val="1"/>
          <w:numId w:val="1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Prestación por jubilación. </w:t>
      </w:r>
    </w:p>
    <w:p w14:paraId="1B56479E" w14:textId="77777777" w:rsidR="006D558E" w:rsidRPr="00CF1B34" w:rsidRDefault="006D558E" w:rsidP="0005621A">
      <w:pPr>
        <w:pStyle w:val="listitem"/>
        <w:numPr>
          <w:ilvl w:val="1"/>
          <w:numId w:val="1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Prestación por enfermedad grave. </w:t>
      </w:r>
    </w:p>
    <w:p w14:paraId="58062B80" w14:textId="77777777" w:rsidR="006D558E" w:rsidRPr="00CF1B34" w:rsidRDefault="006D558E" w:rsidP="0005621A">
      <w:pPr>
        <w:pStyle w:val="listitem"/>
        <w:numPr>
          <w:ilvl w:val="1"/>
          <w:numId w:val="1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Prestación por invalidez permanente total, invalidez permanente absoluta o gran invalidez. </w:t>
      </w:r>
    </w:p>
    <w:p w14:paraId="7FBFA2B1" w14:textId="77777777" w:rsidR="006D558E" w:rsidRPr="00CF1B34" w:rsidRDefault="006D558E" w:rsidP="0005621A">
      <w:pPr>
        <w:pStyle w:val="listitem"/>
        <w:numPr>
          <w:ilvl w:val="1"/>
          <w:numId w:val="1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Prestación por desempleo de larga duración. </w:t>
      </w:r>
    </w:p>
    <w:p w14:paraId="75D14E4B" w14:textId="77777777" w:rsidR="006D558E" w:rsidRPr="00CF1B34" w:rsidRDefault="006D558E" w:rsidP="0005621A">
      <w:pPr>
        <w:pStyle w:val="listitem"/>
        <w:numPr>
          <w:ilvl w:val="1"/>
          <w:numId w:val="1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Una vez transcurridos diez años después de la primera aportación. </w:t>
      </w:r>
    </w:p>
    <w:p w14:paraId="79B585F5" w14:textId="77777777" w:rsidR="006D558E" w:rsidRPr="00CF1B34" w:rsidRDefault="006D558E" w:rsidP="0005621A">
      <w:pPr>
        <w:pStyle w:val="listitem"/>
        <w:numPr>
          <w:ilvl w:val="1"/>
          <w:numId w:val="1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Prestación por fallecimiento. </w:t>
      </w:r>
    </w:p>
    <w:p w14:paraId="43E10BCE" w14:textId="6EDB07A9" w:rsidR="006D558E" w:rsidRPr="00CF1B34" w:rsidRDefault="006D558E" w:rsidP="0005621A">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sz w:val="22"/>
          <w:szCs w:val="22"/>
          <w:lang w:val="es-ES_tradnl"/>
        </w:rPr>
        <w:t>Además, el rescate del EPSV  podrá realizarse de varias formas: bien en forma de capital (en este caso contará con un 40% de exención, siempre que hayan transcurrido más de dos años desde la primera aportación</w:t>
      </w:r>
      <w:proofErr w:type="gramStart"/>
      <w:r w:rsidRPr="00CF1B34">
        <w:rPr>
          <w:rFonts w:ascii="Arial" w:hAnsi="Arial" w:cs="Arial"/>
          <w:sz w:val="22"/>
          <w:szCs w:val="22"/>
          <w:lang w:val="es-ES_tradnl"/>
        </w:rPr>
        <w:t>);bien</w:t>
      </w:r>
      <w:proofErr w:type="gramEnd"/>
      <w:r w:rsidRPr="00CF1B34">
        <w:rPr>
          <w:rFonts w:ascii="Arial" w:hAnsi="Arial" w:cs="Arial"/>
          <w:sz w:val="22"/>
          <w:szCs w:val="22"/>
          <w:lang w:val="es-ES_tradnl"/>
        </w:rPr>
        <w:t xml:space="preserve"> en forma de renta (en cuyo caso se recibirá una cantidad mensual, y sin posibilidad de exención fiscal); o bien de forma mixta (en este caso el</w:t>
      </w:r>
      <w:r w:rsidR="00AC436F" w:rsidRPr="00CF1B34">
        <w:rPr>
          <w:rFonts w:ascii="Arial" w:hAnsi="Arial" w:cs="Arial"/>
          <w:sz w:val="22"/>
          <w:szCs w:val="22"/>
          <w:lang w:val="es-ES_tradnl"/>
        </w:rPr>
        <w:t xml:space="preserve"> </w:t>
      </w:r>
      <w:r w:rsidRPr="00CF1B34">
        <w:rPr>
          <w:rFonts w:ascii="Arial" w:hAnsi="Arial" w:cs="Arial"/>
          <w:sz w:val="22"/>
          <w:szCs w:val="22"/>
          <w:lang w:val="es-ES_tradnl"/>
        </w:rPr>
        <w:t>porcentaje deducible únicamente se aplicará al cobro efectuado en forma de capital, hasta un límite de 300.000€).</w:t>
      </w:r>
    </w:p>
    <w:p w14:paraId="3BE0D679" w14:textId="44DEB901" w:rsidR="00AC436F" w:rsidRPr="00CF1B34" w:rsidRDefault="00AC436F" w:rsidP="0005621A">
      <w:pPr>
        <w:jc w:val="both"/>
        <w:rPr>
          <w:rFonts w:ascii="Arial" w:hAnsi="Arial" w:cs="Arial"/>
          <w:b/>
          <w:bCs/>
          <w:color w:val="2F5496" w:themeColor="accent1" w:themeShade="BF"/>
          <w:sz w:val="22"/>
          <w:szCs w:val="22"/>
          <w:shd w:val="clear" w:color="auto" w:fill="FFFFFF"/>
          <w:lang w:val="es-ES_tradnl"/>
        </w:rPr>
      </w:pPr>
      <w:r w:rsidRPr="00CF1B34">
        <w:rPr>
          <w:rFonts w:ascii="Arial" w:hAnsi="Arial" w:cs="Arial"/>
          <w:b/>
          <w:bCs/>
          <w:color w:val="2F5496" w:themeColor="accent1" w:themeShade="BF"/>
          <w:sz w:val="22"/>
          <w:szCs w:val="22"/>
          <w:shd w:val="clear" w:color="auto" w:fill="FFFFFF"/>
          <w:lang w:val="es-ES_tradnl"/>
        </w:rPr>
        <w:t>ERE</w:t>
      </w:r>
    </w:p>
    <w:p w14:paraId="0C069662" w14:textId="37503DB5" w:rsidR="00AC436F" w:rsidRPr="00CF1B34" w:rsidRDefault="00AC436F" w:rsidP="0005621A">
      <w:pPr>
        <w:ind w:left="360"/>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El Servicio Público de Empleo Estatal (SEPE), el antiguo Instituto Nacional de Empleo (INEM) </w:t>
      </w:r>
      <w:r w:rsidR="004B3369" w:rsidRPr="00CF1B34">
        <w:rPr>
          <w:rFonts w:ascii="Arial" w:hAnsi="Arial" w:cs="Arial"/>
          <w:color w:val="333333"/>
          <w:sz w:val="22"/>
          <w:szCs w:val="22"/>
          <w:shd w:val="clear" w:color="auto" w:fill="FFFFFF"/>
          <w:lang w:val="es-ES_tradnl"/>
        </w:rPr>
        <w:t xml:space="preserve">da </w:t>
      </w:r>
      <w:r w:rsidRPr="00CF1B34">
        <w:rPr>
          <w:rFonts w:ascii="Arial" w:hAnsi="Arial" w:cs="Arial"/>
          <w:color w:val="333333"/>
          <w:sz w:val="22"/>
          <w:szCs w:val="22"/>
          <w:shd w:val="clear" w:color="auto" w:fill="FFFFFF"/>
          <w:lang w:val="es-ES_tradnl"/>
        </w:rPr>
        <w:t>una definición clara:</w:t>
      </w:r>
      <w:r w:rsidR="004B3369" w:rsidRPr="00CF1B34">
        <w:rPr>
          <w:rFonts w:ascii="Arial" w:hAnsi="Arial" w:cs="Arial"/>
          <w:color w:val="333333"/>
          <w:sz w:val="22"/>
          <w:szCs w:val="22"/>
          <w:shd w:val="clear" w:color="auto" w:fill="FFFFFF"/>
          <w:lang w:val="es-ES_tradnl"/>
        </w:rPr>
        <w:t xml:space="preserve"> </w:t>
      </w:r>
      <w:r w:rsidRPr="00CF1B34">
        <w:rPr>
          <w:rFonts w:ascii="Arial" w:hAnsi="Arial" w:cs="Arial"/>
          <w:i/>
          <w:iCs/>
          <w:color w:val="333333"/>
          <w:sz w:val="22"/>
          <w:szCs w:val="22"/>
          <w:shd w:val="clear" w:color="auto" w:fill="FFFFFF"/>
          <w:lang w:val="es-ES_tradnl"/>
        </w:rPr>
        <w:t>“Es un mecanismo laboral especial dirigido a empresas en crisis que les permiten una reducción de trabajadores</w:t>
      </w:r>
      <w:proofErr w:type="gramStart"/>
      <w:r w:rsidRPr="00CF1B34">
        <w:rPr>
          <w:rFonts w:ascii="Arial" w:hAnsi="Arial" w:cs="Arial"/>
          <w:i/>
          <w:iCs/>
          <w:color w:val="333333"/>
          <w:sz w:val="22"/>
          <w:szCs w:val="22"/>
          <w:shd w:val="clear" w:color="auto" w:fill="FFFFFF"/>
          <w:lang w:val="es-ES_tradnl"/>
        </w:rPr>
        <w:t>” .</w:t>
      </w:r>
      <w:proofErr w:type="gramEnd"/>
    </w:p>
    <w:p w14:paraId="270641BD" w14:textId="0DC7D7B6" w:rsidR="004B3369" w:rsidRPr="00CF1B34" w:rsidRDefault="004B3369" w:rsidP="0005621A">
      <w:pPr>
        <w:shd w:val="clear" w:color="auto" w:fill="FFFFFF"/>
        <w:spacing w:after="165"/>
        <w:ind w:firstLine="360"/>
        <w:jc w:val="both"/>
        <w:rPr>
          <w:rFonts w:ascii="Arial" w:hAnsi="Arial" w:cs="Arial"/>
          <w:color w:val="333333"/>
          <w:sz w:val="22"/>
          <w:szCs w:val="22"/>
          <w:lang w:val="es-ES_tradnl"/>
        </w:rPr>
      </w:pPr>
      <w:r w:rsidRPr="00CF1B34">
        <w:rPr>
          <w:rFonts w:ascii="Arial" w:hAnsi="Arial" w:cs="Arial"/>
          <w:color w:val="333333"/>
          <w:sz w:val="22"/>
          <w:szCs w:val="22"/>
          <w:lang w:val="es-ES_tradnl"/>
        </w:rPr>
        <w:t>Para cada uno de estos casos hay regulado un</w:t>
      </w:r>
      <w:r w:rsidRPr="00CF1B34">
        <w:rPr>
          <w:rFonts w:ascii="Arial" w:hAnsi="Arial" w:cs="Arial"/>
          <w:b/>
          <w:bCs/>
          <w:color w:val="333333"/>
          <w:sz w:val="22"/>
          <w:szCs w:val="22"/>
          <w:lang w:val="es-ES_tradnl"/>
        </w:rPr>
        <w:t xml:space="preserve"> tipo específico de ERE:</w:t>
      </w:r>
    </w:p>
    <w:p w14:paraId="3614C6CD" w14:textId="6051C036" w:rsidR="004B3369" w:rsidRPr="00CF1B34" w:rsidRDefault="004B3369" w:rsidP="004F7A62">
      <w:pPr>
        <w:numPr>
          <w:ilvl w:val="0"/>
          <w:numId w:val="15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 xml:space="preserve">ERE de extinción: </w:t>
      </w:r>
      <w:r w:rsidRPr="00CF1B34">
        <w:rPr>
          <w:rFonts w:ascii="Arial" w:hAnsi="Arial" w:cs="Arial"/>
          <w:color w:val="333333"/>
          <w:sz w:val="22"/>
          <w:szCs w:val="22"/>
          <w:lang w:val="es-ES_tradnl"/>
        </w:rPr>
        <w:t xml:space="preserve">es el denominado </w:t>
      </w:r>
      <w:r w:rsidRPr="00CF1B34">
        <w:rPr>
          <w:rFonts w:ascii="Arial" w:hAnsi="Arial" w:cs="Arial"/>
          <w:b/>
          <w:bCs/>
          <w:color w:val="333333"/>
          <w:sz w:val="22"/>
          <w:szCs w:val="22"/>
          <w:lang w:val="es-ES_tradnl"/>
        </w:rPr>
        <w:t>despido colectivo,</w:t>
      </w:r>
      <w:r w:rsidRPr="00CF1B34">
        <w:rPr>
          <w:rFonts w:ascii="Arial" w:hAnsi="Arial" w:cs="Arial"/>
          <w:color w:val="333333"/>
          <w:sz w:val="22"/>
          <w:szCs w:val="22"/>
          <w:lang w:val="es-ES_tradnl"/>
        </w:rPr>
        <w:t xml:space="preserve"> que supone la finalización definitiva de la relación laboral entre empresa y parte de los trabajadores</w:t>
      </w:r>
      <w:r w:rsidRPr="00CF1B34">
        <w:rPr>
          <w:rFonts w:ascii="Arial" w:hAnsi="Arial" w:cs="Arial"/>
          <w:b/>
          <w:bCs/>
          <w:color w:val="333333"/>
          <w:sz w:val="22"/>
          <w:szCs w:val="22"/>
          <w:lang w:val="es-ES_tradnl"/>
        </w:rPr>
        <w:t>.</w:t>
      </w:r>
      <w:r w:rsidRPr="00CF1B34">
        <w:rPr>
          <w:rFonts w:ascii="Arial" w:hAnsi="Arial" w:cs="Arial"/>
          <w:color w:val="333333"/>
          <w:sz w:val="22"/>
          <w:szCs w:val="22"/>
          <w:lang w:val="es-ES_tradnl"/>
        </w:rPr>
        <w:t xml:space="preserve"> Es la opción más desfavorable para los empleados.</w:t>
      </w:r>
    </w:p>
    <w:p w14:paraId="561B89D4" w14:textId="5F906473" w:rsidR="004B3369" w:rsidRPr="00CF1B34" w:rsidRDefault="004B3369" w:rsidP="004F7A62">
      <w:pPr>
        <w:numPr>
          <w:ilvl w:val="0"/>
          <w:numId w:val="15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 xml:space="preserve">ERE de suspensión, </w:t>
      </w:r>
      <w:r w:rsidRPr="00CF1B34">
        <w:rPr>
          <w:rFonts w:ascii="Arial" w:hAnsi="Arial" w:cs="Arial"/>
          <w:color w:val="333333"/>
          <w:sz w:val="22"/>
          <w:szCs w:val="22"/>
          <w:lang w:val="es-ES_tradnl"/>
        </w:rPr>
        <w:t>que</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 xml:space="preserve">consiste en establecer un nuevo calendario laboral a la plantilla de trabajadores o a una parte de ella, señalándose los días de suspensión, en los que no habrá actividad laboral. Es lo que habitualmente se conoce como </w:t>
      </w:r>
      <w:r w:rsidRPr="00CF1B34">
        <w:rPr>
          <w:rFonts w:ascii="Arial" w:hAnsi="Arial" w:cs="Arial"/>
          <w:b/>
          <w:bCs/>
          <w:i/>
          <w:iCs/>
          <w:color w:val="333333"/>
          <w:sz w:val="22"/>
          <w:szCs w:val="22"/>
          <w:lang w:val="es-ES_tradnl"/>
        </w:rPr>
        <w:t>“mandar al trabajador a casa”.</w:t>
      </w:r>
    </w:p>
    <w:p w14:paraId="79835E4F" w14:textId="37F49A90" w:rsidR="004B3369" w:rsidRPr="00CF1B34" w:rsidRDefault="004B3369" w:rsidP="004F7A62">
      <w:pPr>
        <w:numPr>
          <w:ilvl w:val="0"/>
          <w:numId w:val="15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ERE de reducción de jornada.</w:t>
      </w:r>
      <w:r w:rsidRPr="00CF1B34">
        <w:rPr>
          <w:rFonts w:ascii="Arial" w:hAnsi="Arial" w:cs="Arial"/>
          <w:color w:val="333333"/>
          <w:sz w:val="22"/>
          <w:szCs w:val="22"/>
          <w:lang w:val="es-ES_tradnl"/>
        </w:rPr>
        <w:t xml:space="preserve"> En este caso también se establece un calendario laboral, pero en lugar de suspensión de días se reduce la jornada horaria en determinados días de la semana. </w:t>
      </w:r>
      <w:r w:rsidRPr="00CF1B34">
        <w:rPr>
          <w:rFonts w:ascii="Arial" w:hAnsi="Arial" w:cs="Arial"/>
          <w:b/>
          <w:bCs/>
          <w:color w:val="333333"/>
          <w:sz w:val="22"/>
          <w:szCs w:val="22"/>
          <w:lang w:val="es-ES_tradnl"/>
        </w:rPr>
        <w:t>El trabajador continúa en su puesto, pero trabajando menos horas o menos días.</w:t>
      </w:r>
    </w:p>
    <w:p w14:paraId="1B940D13" w14:textId="235CE09D" w:rsidR="004B3369" w:rsidRPr="00CF1B34" w:rsidRDefault="004B3369" w:rsidP="0005621A">
      <w:pPr>
        <w:ind w:left="360"/>
        <w:jc w:val="both"/>
        <w:rPr>
          <w:rFonts w:ascii="Arial" w:hAnsi="Arial" w:cs="Arial"/>
          <w:lang w:val="es-ES_tradnl"/>
        </w:rPr>
      </w:pPr>
      <w:r w:rsidRPr="00CF1B34">
        <w:rPr>
          <w:rFonts w:ascii="Arial" w:hAnsi="Arial" w:cs="Arial"/>
          <w:color w:val="333333"/>
          <w:sz w:val="22"/>
          <w:szCs w:val="22"/>
          <w:shd w:val="clear" w:color="auto" w:fill="FFFFFF"/>
          <w:lang w:val="es-ES_tradnl"/>
        </w:rPr>
        <w:t xml:space="preserve">De todos ellos, </w:t>
      </w:r>
      <w:r w:rsidRPr="00CF1B34">
        <w:rPr>
          <w:rStyle w:val="Textoennegrita"/>
          <w:rFonts w:ascii="Arial" w:hAnsi="Arial" w:cs="Arial"/>
          <w:color w:val="333333"/>
          <w:sz w:val="22"/>
          <w:szCs w:val="22"/>
          <w:shd w:val="clear" w:color="auto" w:fill="FFFFFF"/>
          <w:lang w:val="es-ES_tradnl"/>
        </w:rPr>
        <w:t>el expediente de regulación de extinción es el único definitivo,</w:t>
      </w:r>
      <w:r w:rsidRPr="00CF1B34">
        <w:rPr>
          <w:rFonts w:ascii="Arial" w:hAnsi="Arial" w:cs="Arial"/>
          <w:color w:val="333333"/>
          <w:sz w:val="22"/>
          <w:szCs w:val="22"/>
          <w:shd w:val="clear" w:color="auto" w:fill="FFFFFF"/>
          <w:lang w:val="es-ES_tradnl"/>
        </w:rPr>
        <w:t xml:space="preserve"> ya que la empresa despide al trabajador. Tanto en </w:t>
      </w:r>
      <w:r w:rsidRPr="00CF1B34">
        <w:rPr>
          <w:rStyle w:val="Textoennegrita"/>
          <w:rFonts w:ascii="Arial" w:hAnsi="Arial" w:cs="Arial"/>
          <w:color w:val="333333"/>
          <w:sz w:val="22"/>
          <w:szCs w:val="22"/>
          <w:shd w:val="clear" w:color="auto" w:fill="FFFFFF"/>
          <w:lang w:val="es-ES_tradnl"/>
        </w:rPr>
        <w:t xml:space="preserve">el ERE de suspensión, como en el ERE de </w:t>
      </w:r>
      <w:r w:rsidRPr="00CF1B34">
        <w:rPr>
          <w:rStyle w:val="Textoennegrita"/>
          <w:rFonts w:ascii="Arial" w:hAnsi="Arial" w:cs="Arial"/>
          <w:color w:val="333333"/>
          <w:sz w:val="22"/>
          <w:szCs w:val="22"/>
          <w:shd w:val="clear" w:color="auto" w:fill="FFFFFF"/>
          <w:lang w:val="es-ES_tradnl"/>
        </w:rPr>
        <w:lastRenderedPageBreak/>
        <w:t>reducción, el ajuste de plantilla es temporal, por lo que realmente se habla de ERTE</w:t>
      </w:r>
      <w:r w:rsidRPr="00CF1B34">
        <w:rPr>
          <w:rFonts w:ascii="Arial" w:hAnsi="Arial" w:cs="Arial"/>
          <w:color w:val="333333"/>
          <w:sz w:val="22"/>
          <w:szCs w:val="22"/>
          <w:shd w:val="clear" w:color="auto" w:fill="FFFFFF"/>
          <w:lang w:val="es-ES_tradnl"/>
        </w:rPr>
        <w:t xml:space="preserve"> o, lo que es lo mismo, un </w:t>
      </w:r>
      <w:r w:rsidRPr="00CF1B34">
        <w:rPr>
          <w:rStyle w:val="Textoennegrita"/>
          <w:rFonts w:ascii="Arial" w:hAnsi="Arial" w:cs="Arial"/>
          <w:color w:val="333333"/>
          <w:sz w:val="22"/>
          <w:szCs w:val="22"/>
          <w:shd w:val="clear" w:color="auto" w:fill="FFFFFF"/>
          <w:lang w:val="es-ES_tradnl"/>
        </w:rPr>
        <w:t>expediente de regulación de empleo temporal</w:t>
      </w:r>
      <w:r w:rsidRPr="00CF1B34">
        <w:rPr>
          <w:rFonts w:ascii="Arial" w:hAnsi="Arial" w:cs="Arial"/>
          <w:color w:val="333333"/>
          <w:shd w:val="clear" w:color="auto" w:fill="FFFFFF"/>
          <w:lang w:val="es-ES_tradnl"/>
        </w:rPr>
        <w:t>.</w:t>
      </w:r>
    </w:p>
    <w:p w14:paraId="132681B8" w14:textId="053C1D7B" w:rsidR="004B3369" w:rsidRPr="00CF1B34" w:rsidRDefault="004B3369" w:rsidP="0005621A">
      <w:pPr>
        <w:shd w:val="clear" w:color="auto" w:fill="FFFFFF"/>
        <w:spacing w:after="165"/>
        <w:ind w:left="360"/>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Las </w:t>
      </w:r>
      <w:r w:rsidRPr="00CF1B34">
        <w:rPr>
          <w:rFonts w:ascii="Arial" w:hAnsi="Arial" w:cs="Arial"/>
          <w:b/>
          <w:bCs/>
          <w:color w:val="333333"/>
          <w:sz w:val="22"/>
          <w:szCs w:val="22"/>
          <w:lang w:val="es-ES_tradnl"/>
        </w:rPr>
        <w:t>causas para que una empresa pueda acogerse a expediente de regulación de empleo:</w:t>
      </w:r>
    </w:p>
    <w:p w14:paraId="474B1EAC" w14:textId="59907C07" w:rsidR="004B3369" w:rsidRPr="00CF1B34" w:rsidRDefault="004B3369" w:rsidP="004F7A62">
      <w:pPr>
        <w:numPr>
          <w:ilvl w:val="0"/>
          <w:numId w:val="16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Carácter económico.</w:t>
      </w:r>
      <w:r w:rsidRPr="00CF1B34">
        <w:rPr>
          <w:rFonts w:ascii="Arial" w:hAnsi="Arial" w:cs="Arial"/>
          <w:color w:val="333333"/>
          <w:sz w:val="22"/>
          <w:szCs w:val="22"/>
          <w:lang w:val="es-ES_tradnl"/>
        </w:rPr>
        <w:t xml:space="preserve"> Los despidos ayudan a asegurar la continuidad de la empresa y superar el desequilibrio en sus cuentas. Es decir, cuando de los resultados de la empresa se desprenda una situación económica negativa, como pérdidas actuales o previstas, o disminución persistente del nivel de ingresos o ventas. Se entenderá que la disminución es persistente </w:t>
      </w:r>
      <w:r w:rsidRPr="00CF1B34">
        <w:rPr>
          <w:rFonts w:ascii="Arial" w:hAnsi="Arial" w:cs="Arial"/>
          <w:b/>
          <w:bCs/>
          <w:color w:val="333333"/>
          <w:sz w:val="22"/>
          <w:szCs w:val="22"/>
          <w:lang w:val="es-ES_tradnl"/>
        </w:rPr>
        <w:t>si durante tres trimestres consecutivos el nivel de ingresos ordinarios o ventas de cada trimestre es inferior al registrado en el mismo trimestre del año anterior.</w:t>
      </w:r>
    </w:p>
    <w:p w14:paraId="27E49A7B" w14:textId="00CAFC6F" w:rsidR="004B3369" w:rsidRPr="00CF1B34" w:rsidRDefault="004B3369" w:rsidP="004F7A62">
      <w:pPr>
        <w:numPr>
          <w:ilvl w:val="0"/>
          <w:numId w:val="16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Carácter técnico.</w:t>
      </w:r>
      <w:r w:rsidRPr="00CF1B34">
        <w:rPr>
          <w:rFonts w:ascii="Arial" w:hAnsi="Arial" w:cs="Arial"/>
          <w:color w:val="333333"/>
          <w:sz w:val="22"/>
          <w:szCs w:val="22"/>
          <w:lang w:val="es-ES_tradnl"/>
        </w:rPr>
        <w:t xml:space="preserve"> Cuando existe, de forma probada, </w:t>
      </w:r>
      <w:r w:rsidRPr="00CF1B34">
        <w:rPr>
          <w:rFonts w:ascii="Arial" w:hAnsi="Arial" w:cs="Arial"/>
          <w:b/>
          <w:bCs/>
          <w:color w:val="333333"/>
          <w:sz w:val="22"/>
          <w:szCs w:val="22"/>
          <w:lang w:val="es-ES_tradnl"/>
        </w:rPr>
        <w:t>un excedente de mano de obra tras procesos de renovación de equipo.</w:t>
      </w:r>
    </w:p>
    <w:p w14:paraId="08072D0A" w14:textId="77777777" w:rsidR="004B3369" w:rsidRPr="00CF1B34" w:rsidRDefault="004B3369" w:rsidP="004F7A62">
      <w:pPr>
        <w:numPr>
          <w:ilvl w:val="0"/>
          <w:numId w:val="16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Carácter productivo.</w:t>
      </w:r>
      <w:r w:rsidRPr="00CF1B34">
        <w:rPr>
          <w:rFonts w:ascii="Arial" w:hAnsi="Arial" w:cs="Arial"/>
          <w:color w:val="333333"/>
          <w:sz w:val="22"/>
          <w:szCs w:val="22"/>
          <w:lang w:val="es-ES_tradnl"/>
        </w:rPr>
        <w:t> Cuando ocurran </w:t>
      </w:r>
      <w:r w:rsidRPr="00CF1B34">
        <w:rPr>
          <w:rFonts w:ascii="Arial" w:hAnsi="Arial" w:cs="Arial"/>
          <w:b/>
          <w:bCs/>
          <w:color w:val="333333"/>
          <w:sz w:val="22"/>
          <w:szCs w:val="22"/>
          <w:lang w:val="es-ES_tradnl"/>
        </w:rPr>
        <w:t>cambios, entre otros, en la demanda de los productos o servicios</w:t>
      </w:r>
      <w:r w:rsidRPr="00CF1B34">
        <w:rPr>
          <w:rFonts w:ascii="Arial" w:hAnsi="Arial" w:cs="Arial"/>
          <w:color w:val="333333"/>
          <w:sz w:val="22"/>
          <w:szCs w:val="22"/>
          <w:lang w:val="es-ES_tradnl"/>
        </w:rPr>
        <w:t> que la empresa pretende colocar en el mercado.</w:t>
      </w:r>
    </w:p>
    <w:p w14:paraId="16578FA2" w14:textId="4C0607DD" w:rsidR="004B3369" w:rsidRPr="00CF1B34" w:rsidRDefault="004B3369" w:rsidP="004F7A62">
      <w:pPr>
        <w:numPr>
          <w:ilvl w:val="0"/>
          <w:numId w:val="16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Carácter organizativo.</w:t>
      </w:r>
      <w:r w:rsidRPr="00CF1B34">
        <w:rPr>
          <w:rFonts w:ascii="Arial" w:hAnsi="Arial" w:cs="Arial"/>
          <w:color w:val="333333"/>
          <w:sz w:val="22"/>
          <w:szCs w:val="22"/>
          <w:lang w:val="es-ES_tradnl"/>
        </w:rPr>
        <w:t xml:space="preserve"> Cuando hacen referencia a </w:t>
      </w:r>
      <w:r w:rsidRPr="00CF1B34">
        <w:rPr>
          <w:rFonts w:ascii="Arial" w:hAnsi="Arial" w:cs="Arial"/>
          <w:b/>
          <w:bCs/>
          <w:color w:val="333333"/>
          <w:sz w:val="22"/>
          <w:szCs w:val="22"/>
          <w:lang w:val="es-ES_tradnl"/>
        </w:rPr>
        <w:t>cambios en los sistemas y en los métodos de trabajo del personal</w:t>
      </w:r>
      <w:r w:rsidRPr="00CF1B34">
        <w:rPr>
          <w:rFonts w:ascii="Arial" w:hAnsi="Arial" w:cs="Arial"/>
          <w:color w:val="333333"/>
          <w:sz w:val="22"/>
          <w:szCs w:val="22"/>
          <w:lang w:val="es-ES_tradnl"/>
        </w:rPr>
        <w:t> o en el modo de organizar la producción.</w:t>
      </w:r>
    </w:p>
    <w:p w14:paraId="0F4D3BF2" w14:textId="77777777" w:rsidR="005221B0" w:rsidRPr="00CF1B34" w:rsidRDefault="004B3369" w:rsidP="0005621A">
      <w:pPr>
        <w:pStyle w:val="NormalWeb"/>
        <w:shd w:val="clear" w:color="auto" w:fill="FFFFFF"/>
        <w:spacing w:before="0" w:beforeAutospacing="0" w:after="165" w:afterAutospacing="0"/>
        <w:ind w:left="360"/>
        <w:jc w:val="both"/>
        <w:rPr>
          <w:rFonts w:ascii="Arial" w:hAnsi="Arial" w:cs="Arial"/>
          <w:color w:val="333333"/>
          <w:lang w:val="es-ES_tradnl"/>
        </w:rPr>
      </w:pPr>
      <w:r w:rsidRPr="00CF1B34">
        <w:rPr>
          <w:rFonts w:ascii="Arial" w:hAnsi="Arial" w:cs="Arial"/>
          <w:b/>
          <w:bCs/>
          <w:color w:val="333333"/>
          <w:sz w:val="22"/>
          <w:szCs w:val="22"/>
          <w:lang w:val="es-ES_tradnl"/>
        </w:rPr>
        <w:t>El control sobre si realmente existen causas que justifiquen el ajuste de plantilla tienen que realizarlo los Tribunales</w:t>
      </w:r>
      <w:r w:rsidRPr="00CF1B34">
        <w:rPr>
          <w:rFonts w:ascii="Arial" w:hAnsi="Arial" w:cs="Arial"/>
          <w:color w:val="333333"/>
          <w:sz w:val="22"/>
          <w:szCs w:val="22"/>
          <w:lang w:val="es-ES_tradnl"/>
        </w:rPr>
        <w:t xml:space="preserve"> cuando los trabajadores afectados, sus representantes o la propia autoridad laboral impugnen el expediente.</w:t>
      </w:r>
      <w:r w:rsidR="005221B0" w:rsidRPr="00CF1B34">
        <w:rPr>
          <w:rFonts w:ascii="Arial" w:hAnsi="Arial" w:cs="Arial"/>
          <w:color w:val="333333"/>
          <w:lang w:val="es-ES_tradnl"/>
        </w:rPr>
        <w:t xml:space="preserve"> </w:t>
      </w:r>
    </w:p>
    <w:p w14:paraId="40184262" w14:textId="760A96AB" w:rsidR="005221B0" w:rsidRPr="00CF1B34" w:rsidRDefault="005221B0" w:rsidP="0005621A">
      <w:pPr>
        <w:pStyle w:val="NormalWeb"/>
        <w:shd w:val="clear" w:color="auto" w:fill="FFFFFF"/>
        <w:spacing w:before="0" w:beforeAutospacing="0" w:after="165" w:afterAutospacing="0"/>
        <w:ind w:firstLine="360"/>
        <w:jc w:val="both"/>
        <w:rPr>
          <w:rFonts w:ascii="Arial" w:hAnsi="Arial" w:cs="Arial"/>
          <w:color w:val="333333"/>
          <w:sz w:val="22"/>
          <w:szCs w:val="22"/>
          <w:lang w:val="es-ES_tradnl"/>
        </w:rPr>
      </w:pPr>
      <w:r w:rsidRPr="00CF1B34">
        <w:rPr>
          <w:rFonts w:ascii="Arial" w:hAnsi="Arial" w:cs="Arial"/>
          <w:color w:val="333333"/>
          <w:sz w:val="22"/>
          <w:szCs w:val="22"/>
          <w:lang w:val="es-ES_tradnl"/>
        </w:rPr>
        <w:t>El proceso de realización se divide en tres partes o etapas:</w:t>
      </w:r>
    </w:p>
    <w:p w14:paraId="7DB79259" w14:textId="11E88725" w:rsidR="005221B0" w:rsidRPr="00CF1B34" w:rsidRDefault="005221B0" w:rsidP="004F7A62">
      <w:pPr>
        <w:numPr>
          <w:ilvl w:val="0"/>
          <w:numId w:val="16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Periodo de consultas.</w:t>
      </w:r>
      <w:r w:rsidR="00D4229C"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Tras anunciar un ERE, empresa y trabajadores deberán negociar durante 30 días, salvo en las empresas con menos de 50 trabajadores, caso en el que el periodo se reduce a 15 días. Aunque haya acuerdo, las negociaciones deberán alargarse hasta esos 15 días igualmente.</w:t>
      </w:r>
    </w:p>
    <w:p w14:paraId="06765DFE" w14:textId="1CB431DA" w:rsidR="005221B0" w:rsidRPr="00CF1B34" w:rsidRDefault="005221B0" w:rsidP="004F7A62">
      <w:pPr>
        <w:numPr>
          <w:ilvl w:val="0"/>
          <w:numId w:val="16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Solicitud de la autorización administrativa.</w:t>
      </w:r>
      <w:r w:rsidR="00D4229C"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La empresa envía el expediente de regulación a la autoridad laboral competente para que pueda examinarlo. Entre la documentación que enviar figuran el impreso de solicitud del ERE, el resultado de las consultas con los trabajadores, una memoria explicativa de las causas y motivos del ERE, los profesionales empleados durante los últimos años por la empresa, los trabajadores afectados por el ERE, el plan de medidas adoptadas para evitar el ERE y los documentos acreditativos de la situación económica de la empresa, entre otros.</w:t>
      </w:r>
    </w:p>
    <w:p w14:paraId="06007DEB" w14:textId="47E9418D" w:rsidR="005221B0" w:rsidRPr="00CF1B34" w:rsidRDefault="005221B0" w:rsidP="004F7A62">
      <w:pPr>
        <w:numPr>
          <w:ilvl w:val="0"/>
          <w:numId w:val="16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Resolución del ERE.</w:t>
      </w:r>
      <w:r w:rsidRPr="00CF1B34">
        <w:rPr>
          <w:rFonts w:ascii="Arial" w:hAnsi="Arial" w:cs="Arial"/>
          <w:color w:val="333333"/>
          <w:sz w:val="22"/>
          <w:szCs w:val="22"/>
          <w:lang w:val="es-ES_tradnl"/>
        </w:rPr>
        <w:t> Tras recibir la documentación, la autoridad comprueba que la documentación está completa y que el ERE reúne los requisitos que exige la ley, dando a la empresa 10 días para subsanar errores, e iniciará una inspección de trabajo en un plazo de 10 días. En total, el proceso de resolución no puede alargarse más allá de 15 días naturales desde que finaliza el periodo de consultas. Finalmente, una vez que se haya producido la comunicación, la empresa podrá notificar a los trabajadores, a la espera de lo que decidan los tribunales si hay impugnaciones.</w:t>
      </w:r>
    </w:p>
    <w:p w14:paraId="6A6FF7EF" w14:textId="4DE851AF" w:rsidR="005221B0" w:rsidRPr="00CF1B34" w:rsidRDefault="005221B0" w:rsidP="0005621A">
      <w:pPr>
        <w:ind w:left="360"/>
        <w:jc w:val="both"/>
        <w:rPr>
          <w:rFonts w:ascii="Arial" w:hAnsi="Arial" w:cs="Arial"/>
          <w:sz w:val="22"/>
          <w:szCs w:val="22"/>
          <w:lang w:val="es-ES_tradnl"/>
        </w:rPr>
      </w:pPr>
      <w:r w:rsidRPr="00CF1B34">
        <w:rPr>
          <w:rFonts w:ascii="Arial" w:hAnsi="Arial" w:cs="Arial"/>
          <w:color w:val="333333"/>
          <w:sz w:val="22"/>
          <w:szCs w:val="22"/>
          <w:lang w:val="es-ES_tradnl"/>
        </w:rPr>
        <w:t>El proceso del ERE está pensado para que no se demore en el tiempo y que se encuentre una solución rápida para empleados y empresas. Una vez recibida la resolución el ERE seguirá adelante o se paralizará</w:t>
      </w:r>
      <w:r w:rsidRPr="00CF1B34">
        <w:rPr>
          <w:rFonts w:ascii="Arial" w:hAnsi="Arial" w:cs="Arial"/>
          <w:color w:val="333333"/>
          <w:lang w:val="es-ES_tradnl"/>
        </w:rPr>
        <w:t xml:space="preserve">. </w:t>
      </w:r>
      <w:r w:rsidRPr="00CF1B34">
        <w:rPr>
          <w:rFonts w:ascii="Arial" w:hAnsi="Arial" w:cs="Arial"/>
          <w:color w:val="333333"/>
          <w:sz w:val="22"/>
          <w:szCs w:val="22"/>
          <w:shd w:val="clear" w:color="auto" w:fill="FFFFFF"/>
          <w:lang w:val="es-ES_tradnl"/>
        </w:rPr>
        <w:t>Los representantes de los trabajadores podrán impugnar ante la jurisdicción social la decisión.</w:t>
      </w:r>
    </w:p>
    <w:p w14:paraId="250C55DE" w14:textId="64927852" w:rsidR="005221B0" w:rsidRPr="00CF1B34" w:rsidRDefault="005221B0" w:rsidP="0005621A">
      <w:pPr>
        <w:shd w:val="clear" w:color="auto" w:fill="FFFFFF"/>
        <w:spacing w:after="165"/>
        <w:ind w:firstLine="360"/>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Los </w:t>
      </w:r>
      <w:r w:rsidRPr="00CF1B34">
        <w:rPr>
          <w:rFonts w:ascii="Arial" w:hAnsi="Arial" w:cs="Arial"/>
          <w:b/>
          <w:bCs/>
          <w:color w:val="333333"/>
          <w:sz w:val="22"/>
          <w:szCs w:val="22"/>
          <w:lang w:val="es-ES_tradnl"/>
        </w:rPr>
        <w:t xml:space="preserve">derechos del trabajador ante un despido colectivo </w:t>
      </w:r>
      <w:r w:rsidRPr="00CF1B34">
        <w:rPr>
          <w:rFonts w:ascii="Arial" w:hAnsi="Arial" w:cs="Arial"/>
          <w:color w:val="333333"/>
          <w:sz w:val="22"/>
          <w:szCs w:val="22"/>
          <w:lang w:val="es-ES_tradnl"/>
        </w:rPr>
        <w:t>son los siguientes:</w:t>
      </w:r>
    </w:p>
    <w:p w14:paraId="6546ECE7" w14:textId="510AF5E8" w:rsidR="005221B0" w:rsidRPr="00CF1B34" w:rsidRDefault="005221B0" w:rsidP="004F7A62">
      <w:pPr>
        <w:numPr>
          <w:ilvl w:val="0"/>
          <w:numId w:val="16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Solicitar una prestación por desempleo,</w:t>
      </w:r>
      <w:r w:rsidRPr="00CF1B34">
        <w:rPr>
          <w:rFonts w:ascii="Arial" w:hAnsi="Arial" w:cs="Arial"/>
          <w:color w:val="333333"/>
          <w:sz w:val="22"/>
          <w:szCs w:val="22"/>
          <w:lang w:val="es-ES_tradnl"/>
        </w:rPr>
        <w:t xml:space="preserve"> si cumples los requisitos de cotización suficiente.</w:t>
      </w:r>
    </w:p>
    <w:p w14:paraId="6CFB5027" w14:textId="13FEEF63" w:rsidR="005221B0" w:rsidRPr="00CF1B34" w:rsidRDefault="005221B0" w:rsidP="004F7A62">
      <w:pPr>
        <w:numPr>
          <w:ilvl w:val="0"/>
          <w:numId w:val="16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lastRenderedPageBreak/>
        <w:t>Percibir una indemnización por despido</w:t>
      </w:r>
      <w:r w:rsidRPr="00CF1B34">
        <w:rPr>
          <w:rFonts w:ascii="Arial" w:hAnsi="Arial" w:cs="Arial"/>
          <w:color w:val="333333"/>
          <w:sz w:val="22"/>
          <w:szCs w:val="22"/>
          <w:lang w:val="es-ES_tradnl"/>
        </w:rPr>
        <w:t xml:space="preserve"> que será, como mínimo de 20 días por año trabajado, con un máximo de 12 mensualidades.</w:t>
      </w:r>
    </w:p>
    <w:p w14:paraId="003EDA23" w14:textId="77777777" w:rsidR="005221B0" w:rsidRPr="00CF1B34" w:rsidRDefault="005221B0" w:rsidP="004F7A62">
      <w:pPr>
        <w:numPr>
          <w:ilvl w:val="0"/>
          <w:numId w:val="16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Participar en un plan de recolocación</w:t>
      </w:r>
      <w:r w:rsidRPr="00CF1B34">
        <w:rPr>
          <w:rFonts w:ascii="Arial" w:hAnsi="Arial" w:cs="Arial"/>
          <w:color w:val="333333"/>
          <w:sz w:val="22"/>
          <w:szCs w:val="22"/>
          <w:lang w:val="es-ES_tradnl"/>
        </w:rPr>
        <w:t>. Mediante una agencia externa para tener más oportunidades de encontrar un nuevo empleo.</w:t>
      </w:r>
    </w:p>
    <w:p w14:paraId="06432ED6" w14:textId="77777777" w:rsidR="005221B0" w:rsidRPr="00CF1B34" w:rsidRDefault="005221B0" w:rsidP="004F7A62">
      <w:pPr>
        <w:numPr>
          <w:ilvl w:val="0"/>
          <w:numId w:val="164"/>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Impugnar judicialmente el despido</w:t>
      </w:r>
      <w:r w:rsidRPr="00CF1B34">
        <w:rPr>
          <w:rFonts w:ascii="Arial" w:hAnsi="Arial" w:cs="Arial"/>
          <w:color w:val="333333"/>
          <w:sz w:val="22"/>
          <w:szCs w:val="22"/>
          <w:lang w:val="es-ES_tradnl"/>
        </w:rPr>
        <w:t>. Lo puedes hacer mediante tus representantes sindicales o a nivel individual.</w:t>
      </w:r>
    </w:p>
    <w:p w14:paraId="07BA6B94" w14:textId="5A849164" w:rsidR="007F72C5" w:rsidRPr="00CF1B34" w:rsidRDefault="005221B0"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333333"/>
          <w:sz w:val="22"/>
          <w:szCs w:val="22"/>
          <w:shd w:val="clear" w:color="auto" w:fill="FFFFFF"/>
          <w:lang w:val="es-ES_tradnl"/>
        </w:rPr>
        <w:t xml:space="preserve">Quienes se enfrenten a un </w:t>
      </w:r>
      <w:r w:rsidRPr="00CF1B34">
        <w:rPr>
          <w:rStyle w:val="Textoennegrita"/>
          <w:rFonts w:ascii="Arial" w:hAnsi="Arial" w:cs="Arial"/>
          <w:color w:val="333333"/>
          <w:sz w:val="22"/>
          <w:szCs w:val="22"/>
          <w:shd w:val="clear" w:color="auto" w:fill="FFFFFF"/>
          <w:lang w:val="es-ES_tradnl"/>
        </w:rPr>
        <w:t xml:space="preserve">despido colectivo </w:t>
      </w:r>
      <w:r w:rsidRPr="00CF1B34">
        <w:rPr>
          <w:rFonts w:ascii="Arial" w:hAnsi="Arial" w:cs="Arial"/>
          <w:color w:val="333333"/>
          <w:sz w:val="22"/>
          <w:szCs w:val="22"/>
          <w:shd w:val="clear" w:color="auto" w:fill="FFFFFF"/>
          <w:lang w:val="es-ES_tradnl"/>
        </w:rPr>
        <w:t xml:space="preserve">seguirán teniendo derecho a </w:t>
      </w:r>
      <w:r w:rsidRPr="00CF1B34">
        <w:rPr>
          <w:rStyle w:val="Textoennegrita"/>
          <w:rFonts w:ascii="Arial" w:hAnsi="Arial" w:cs="Arial"/>
          <w:color w:val="333333"/>
          <w:sz w:val="22"/>
          <w:szCs w:val="22"/>
          <w:shd w:val="clear" w:color="auto" w:fill="FFFFFF"/>
          <w:lang w:val="es-ES_tradnl"/>
        </w:rPr>
        <w:t>su indemnización por cese de actividad.</w:t>
      </w:r>
      <w:r w:rsidR="00696F07" w:rsidRPr="00CF1B34">
        <w:rPr>
          <w:rStyle w:val="Textoennegrita"/>
          <w:rFonts w:ascii="Arial" w:hAnsi="Arial" w:cs="Arial"/>
          <w:color w:val="333333"/>
          <w:sz w:val="22"/>
          <w:szCs w:val="22"/>
          <w:shd w:val="clear" w:color="auto" w:fill="FFFFFF"/>
          <w:lang w:val="es-ES_tradnl"/>
        </w:rPr>
        <w:t xml:space="preserve"> </w:t>
      </w:r>
      <w:r w:rsidR="00696F07" w:rsidRPr="00CF1B34">
        <w:rPr>
          <w:rFonts w:ascii="Arial" w:hAnsi="Arial" w:cs="Arial"/>
          <w:color w:val="333333"/>
          <w:sz w:val="22"/>
          <w:szCs w:val="22"/>
          <w:shd w:val="clear" w:color="auto" w:fill="FFFFFF"/>
          <w:lang w:val="es-ES_tradnl"/>
        </w:rPr>
        <w:t>Por otro lado</w:t>
      </w:r>
      <w:r w:rsidR="00D4229C" w:rsidRPr="00CF1B34">
        <w:rPr>
          <w:rFonts w:ascii="Arial" w:hAnsi="Arial" w:cs="Arial"/>
          <w:color w:val="333333"/>
          <w:sz w:val="22"/>
          <w:szCs w:val="22"/>
          <w:shd w:val="clear" w:color="auto" w:fill="FFFFFF"/>
          <w:lang w:val="es-ES_tradnl"/>
        </w:rPr>
        <w:t>,</w:t>
      </w:r>
      <w:r w:rsidR="00696F07" w:rsidRPr="00CF1B34">
        <w:rPr>
          <w:rFonts w:ascii="Arial" w:hAnsi="Arial" w:cs="Arial"/>
          <w:color w:val="333333"/>
          <w:sz w:val="22"/>
          <w:szCs w:val="22"/>
          <w:shd w:val="clear" w:color="auto" w:fill="FFFFFF"/>
          <w:lang w:val="es-ES_tradnl"/>
        </w:rPr>
        <w:t xml:space="preserve"> cuando una empresa, pasa a solicitar la tramitación de un ERE, sea de carácter de suspensión o de extinción, estas empresas cuentan con graves problemas económicos, que no se acaban cuando termina la suspensión de los empleados.</w:t>
      </w:r>
    </w:p>
    <w:p w14:paraId="3D052E3F" w14:textId="3E635D68" w:rsidR="00373764" w:rsidRPr="00CF1B34" w:rsidRDefault="0037376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Espaclear</w:t>
      </w:r>
    </w:p>
    <w:p w14:paraId="0670887F" w14:textId="77777777" w:rsidR="00EA41EF" w:rsidRPr="00CF1B34" w:rsidRDefault="008C0CF9"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Sociedad anónima creada para ofrecer el servicio de compensación y liquidación a los operadores que negocian títulos de renta fija de emisiones privados. Se trata de un sistema de entrega contra pago en el que los títulos, en el caso de que los haya, permanecen, desde su emisión hasta su vencimiento, en una entidad de crédito designada por Espaclear, y las ventas y las compras de dichos títulos se hacen a través de anotaciones en cuenta. En un futuro</w:t>
      </w:r>
      <w:r w:rsidR="00EA41EF" w:rsidRPr="00CF1B34">
        <w:rPr>
          <w:rFonts w:ascii="Arial" w:hAnsi="Arial" w:cs="Arial"/>
          <w:color w:val="000000" w:themeColor="text1"/>
          <w:sz w:val="22"/>
          <w:szCs w:val="22"/>
          <w:lang w:val="es-ES_tradnl"/>
        </w:rPr>
        <w:t xml:space="preserve"> Espaclear será subsistema del servicio de compensación y liquidación del sistema único que contempla la Ley del Mercado de Valores, con lo que aquella deberá integrar diariamente sus saldos.</w:t>
      </w:r>
    </w:p>
    <w:p w14:paraId="5EC842FF" w14:textId="69762B72" w:rsidR="00373764" w:rsidRPr="00CF1B34" w:rsidRDefault="0037376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Especulación </w:t>
      </w:r>
    </w:p>
    <w:p w14:paraId="6E646886" w14:textId="77777777" w:rsidR="00914CF8" w:rsidRPr="00CF1B34" w:rsidRDefault="00EA41EF" w:rsidP="0005621A">
      <w:pPr>
        <w:pBdr>
          <w:bottom w:val="dotted" w:sz="12" w:space="12" w:color="666666"/>
        </w:pBdr>
        <w:spacing w:after="240"/>
        <w:ind w:left="708"/>
        <w:jc w:val="both"/>
        <w:rPr>
          <w:rFonts w:ascii="Arial" w:hAnsi="Arial" w:cs="Arial"/>
          <w:color w:val="004773"/>
          <w:sz w:val="22"/>
          <w:szCs w:val="22"/>
          <w:lang w:val="es-ES_tradnl"/>
        </w:rPr>
      </w:pPr>
      <w:r w:rsidRPr="00CF1B34">
        <w:rPr>
          <w:rFonts w:ascii="Arial" w:hAnsi="Arial" w:cs="Arial"/>
          <w:color w:val="000000" w:themeColor="text1"/>
          <w:sz w:val="22"/>
          <w:szCs w:val="22"/>
          <w:lang w:val="es-ES_tradnl"/>
        </w:rPr>
        <w:t>Consiste en el alza de los precios que provocan los vendedores por la escasez de un producto para lograr el máximo beneficio</w:t>
      </w:r>
      <w:r w:rsidR="00914CF8" w:rsidRPr="00CF1B34">
        <w:rPr>
          <w:rFonts w:ascii="Arial" w:hAnsi="Arial" w:cs="Arial"/>
          <w:color w:val="000000" w:themeColor="text1"/>
          <w:sz w:val="22"/>
          <w:szCs w:val="22"/>
          <w:lang w:val="es-ES_tradnl"/>
        </w:rPr>
        <w:t>. En los mercados financieros la especulación se entiende como la búsqueda rápida de la ganancia por cualquier medio.</w:t>
      </w:r>
    </w:p>
    <w:p w14:paraId="2F231D55" w14:textId="04154834"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Escisión</w:t>
      </w:r>
    </w:p>
    <w:p w14:paraId="71291AC5" w14:textId="39A8F12B" w:rsidR="00DB1AEF" w:rsidRPr="00CF1B34" w:rsidRDefault="00DB1AEF" w:rsidP="0005621A">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de reestructuración de sociedades, de sentido inverso a la fusión. Mediante la escisión puede crearse una nueva sociedad a partir de una rama de actividad de la sociedad existente, o bien puede transmitirse una rama de actividad a otra sociedad ya existente, o incluso es posible que desaparezca la sociedad original para dar lugar a varias sociedades.</w:t>
      </w:r>
      <w:r w:rsidR="00D4229C" w:rsidRPr="00CF1B34">
        <w:rPr>
          <w:rFonts w:ascii="Arial" w:hAnsi="Arial" w:cs="Arial"/>
          <w:color w:val="212529"/>
          <w:sz w:val="22"/>
          <w:szCs w:val="22"/>
          <w:lang w:val="es-ES_tradnl"/>
        </w:rPr>
        <w:t xml:space="preserve"> </w:t>
      </w:r>
      <w:hyperlink r:id="rId231" w:tgtFrame="_self" w:history="1">
        <w:r w:rsidRPr="00CF1B34">
          <w:rPr>
            <w:rFonts w:ascii="Arial" w:hAnsi="Arial" w:cs="Arial"/>
            <w:b/>
            <w:bCs/>
            <w:color w:val="2F5496" w:themeColor="accent1" w:themeShade="BF"/>
            <w:sz w:val="22"/>
            <w:szCs w:val="22"/>
            <w:u w:val="single"/>
            <w:lang w:val="es-ES_tradnl"/>
          </w:rPr>
          <w:t>Ver fusión</w:t>
        </w:r>
      </w:hyperlink>
      <w:r w:rsidRPr="00CF1B34">
        <w:rPr>
          <w:rFonts w:ascii="Arial" w:hAnsi="Arial" w:cs="Arial"/>
          <w:color w:val="2F5496" w:themeColor="accent1" w:themeShade="BF"/>
          <w:sz w:val="22"/>
          <w:szCs w:val="22"/>
          <w:lang w:val="es-ES_tradnl"/>
        </w:rPr>
        <w:t>.</w:t>
      </w:r>
    </w:p>
    <w:p w14:paraId="46ADEE7B" w14:textId="77777777" w:rsidR="00DC233D" w:rsidRPr="00CF1B34" w:rsidRDefault="00DC233D"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Escritura de compraventa</w:t>
      </w:r>
    </w:p>
    <w:p w14:paraId="19A2C98A" w14:textId="6FEE06E1"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w:t>
      </w:r>
      <w:r w:rsidR="006D558E"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escritura de compraventa</w:t>
      </w:r>
      <w:r w:rsidR="006D558E" w:rsidRPr="00CF1B34">
        <w:rPr>
          <w:rFonts w:ascii="Arial" w:hAnsi="Arial" w:cs="Arial"/>
          <w:sz w:val="22"/>
          <w:szCs w:val="22"/>
          <w:lang w:val="es-ES_tradnl"/>
        </w:rPr>
        <w:t xml:space="preserve"> </w:t>
      </w:r>
      <w:r w:rsidRPr="00CF1B34">
        <w:rPr>
          <w:rFonts w:ascii="Arial" w:hAnsi="Arial" w:cs="Arial"/>
          <w:sz w:val="22"/>
          <w:szCs w:val="22"/>
          <w:lang w:val="es-ES_tradnl"/>
        </w:rPr>
        <w:t>es un documento que se inscribe en el Registro de la propiedad, demostrando así la existencia de la propiedad a nivel legal, ratificando que el inmueble está libre de ocupantes y cargas, y mostrando la voluntad de ambas partes de cumplir con el contrato.</w:t>
      </w:r>
    </w:p>
    <w:p w14:paraId="151A7958" w14:textId="77777777"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Supone el último paso que daremos antes de inscribir nuestra vivienda en el Registro de la propiedad, pues indica que ambas partes están de acuerdo y van a hacerlo constar ante notario.</w:t>
      </w:r>
    </w:p>
    <w:p w14:paraId="7AF56F56" w14:textId="77777777"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Aunque la escritura de compraventa no es obligatoria es muy recomendable, ya que nos dará la tranquilidad de tenerlo todo bien atado a nivel legal, y evitará posibles complicaciones en el futuro. Tampoco es demasiado caro (el trámite no superará los 300 €). Además, es una opción más aconsejable que realizar un contrato privado, que no es legal, ni tiene por que ser beneficioso para ambas partes.</w:t>
      </w:r>
    </w:p>
    <w:p w14:paraId="34BD2A4F" w14:textId="77777777"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Más concretamente, </w:t>
      </w:r>
      <w:r w:rsidRPr="00CF1B34">
        <w:rPr>
          <w:rStyle w:val="Textoennegrita"/>
          <w:rFonts w:ascii="Arial" w:hAnsi="Arial" w:cs="Arial"/>
          <w:sz w:val="22"/>
          <w:szCs w:val="22"/>
          <w:lang w:val="es-ES_tradnl"/>
        </w:rPr>
        <w:t>registrar una propiedad</w:t>
      </w:r>
      <w:r w:rsidRPr="00CF1B34">
        <w:rPr>
          <w:rFonts w:ascii="Arial" w:hAnsi="Arial" w:cs="Arial"/>
          <w:sz w:val="22"/>
          <w:szCs w:val="22"/>
          <w:lang w:val="es-ES_tradnl"/>
        </w:rPr>
        <w:t> dará fe de que el comprador es el único propietario, otorgándole todos los derechos sobre el inmueble; estará protegido frente a posibles acreedores del vendedor, y frente a terceros poseedores de la vivienda; asegurará la legitimidad del vendedor, al poder acceder a su historia registral.</w:t>
      </w:r>
    </w:p>
    <w:p w14:paraId="580CDA1C" w14:textId="77777777" w:rsidR="00DC233D" w:rsidRPr="00CF1B34" w:rsidRDefault="00DC233D" w:rsidP="0005621A">
      <w:pPr>
        <w:pStyle w:val="Ttulo2"/>
        <w:spacing w:before="0" w:beforeAutospacing="0"/>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¿Qué verifica una escritura de compraventa?</w:t>
      </w:r>
    </w:p>
    <w:p w14:paraId="001853F8" w14:textId="5809899F"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Además de lo ya contemplado, esta escritura de compraventa pública exigirá al</w:t>
      </w:r>
      <w:r w:rsidR="00AC436F" w:rsidRPr="00CF1B34">
        <w:rPr>
          <w:rFonts w:ascii="Arial" w:hAnsi="Arial" w:cs="Arial"/>
          <w:sz w:val="22"/>
          <w:szCs w:val="22"/>
          <w:lang w:val="es-ES_tradnl"/>
        </w:rPr>
        <w:t xml:space="preserve"> </w:t>
      </w:r>
      <w:r w:rsidRPr="00CF1B34">
        <w:rPr>
          <w:rFonts w:ascii="Arial" w:hAnsi="Arial" w:cs="Arial"/>
          <w:sz w:val="22"/>
          <w:szCs w:val="22"/>
          <w:lang w:val="es-ES_tradnl"/>
        </w:rPr>
        <w:t>vendedor:</w:t>
      </w:r>
    </w:p>
    <w:p w14:paraId="405A04DF" w14:textId="77777777" w:rsidR="00DC233D" w:rsidRPr="00CF1B34" w:rsidRDefault="00DC233D" w:rsidP="0005621A">
      <w:pPr>
        <w:pStyle w:val="listitem"/>
        <w:numPr>
          <w:ilvl w:val="0"/>
          <w:numId w:val="11"/>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Que los gastos de comunidad estén al corriente de pagos.</w:t>
      </w:r>
    </w:p>
    <w:p w14:paraId="5879A632" w14:textId="77777777" w:rsidR="00DC233D" w:rsidRPr="00CF1B34" w:rsidRDefault="00DC233D" w:rsidP="0005621A">
      <w:pPr>
        <w:pStyle w:val="listitem"/>
        <w:numPr>
          <w:ilvl w:val="0"/>
          <w:numId w:val="11"/>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Le obligará a presentar el último justificante del IBI y a facilitar los datos del comprador al Catastro para que este se haga cargo de los recibos futuros.</w:t>
      </w:r>
    </w:p>
    <w:p w14:paraId="4DE9A2B5" w14:textId="77777777" w:rsidR="00DC233D" w:rsidRPr="00CF1B34" w:rsidRDefault="00DC233D" w:rsidP="0005621A">
      <w:pPr>
        <w:pStyle w:val="listitem"/>
        <w:numPr>
          <w:ilvl w:val="0"/>
          <w:numId w:val="11"/>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El certificado de eficiencia energética y de la cédula de habitabilidad.</w:t>
      </w:r>
    </w:p>
    <w:p w14:paraId="1713CBBA" w14:textId="77777777" w:rsidR="00DC233D" w:rsidRPr="00CF1B34" w:rsidRDefault="00DC233D" w:rsidP="0005621A">
      <w:pPr>
        <w:pStyle w:val="listitem"/>
        <w:numPr>
          <w:ilvl w:val="0"/>
          <w:numId w:val="11"/>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Le obligará al cumplimiento de cualquier obligación fiscal y legal.</w:t>
      </w:r>
    </w:p>
    <w:p w14:paraId="6D7B6D78" w14:textId="77777777" w:rsidR="00DC233D" w:rsidRPr="00CF1B34" w:rsidRDefault="00DC233D" w:rsidP="0005621A">
      <w:pPr>
        <w:pStyle w:val="listitem"/>
        <w:numPr>
          <w:ilvl w:val="0"/>
          <w:numId w:val="11"/>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Además, garantizará la conformidad por ambas partes de los términos y condiciones de pago, del reparto de gastos y de la liquidación de aranceles notariales.</w:t>
      </w:r>
    </w:p>
    <w:p w14:paraId="332378B3" w14:textId="2138D1DE"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Al realizarse ante notario, este nos leerá y explicará todo lo que precisemos, y sobre todo dará fe de todo lo que firmemos. Cerrará el encuentro entregándonos las llaves y la licencia de primera ocupación para poder dar de alta los consumos de la vivienda. Y</w:t>
      </w:r>
      <w:r w:rsidR="00D4229C" w:rsidRPr="00CF1B34">
        <w:rPr>
          <w:rFonts w:ascii="Arial" w:hAnsi="Arial" w:cs="Arial"/>
          <w:sz w:val="22"/>
          <w:szCs w:val="22"/>
          <w:lang w:val="es-ES_tradnl"/>
        </w:rPr>
        <w:t>,</w:t>
      </w:r>
      <w:r w:rsidRPr="00CF1B34">
        <w:rPr>
          <w:rFonts w:ascii="Arial" w:hAnsi="Arial" w:cs="Arial"/>
          <w:sz w:val="22"/>
          <w:szCs w:val="22"/>
          <w:lang w:val="es-ES_tradnl"/>
        </w:rPr>
        <w:t xml:space="preserve"> además, nos entregará una copia simple de la escritura para que podamos declararla en el IRPF.</w:t>
      </w:r>
    </w:p>
    <w:p w14:paraId="72DA3847" w14:textId="77777777" w:rsidR="00DC233D" w:rsidRPr="00CF1B34" w:rsidRDefault="00DC233D" w:rsidP="0005621A">
      <w:pPr>
        <w:pStyle w:val="Sinespaciado"/>
        <w:ind w:firstLine="708"/>
        <w:jc w:val="both"/>
        <w:rPr>
          <w:rFonts w:ascii="Arial" w:hAnsi="Arial" w:cs="Arial"/>
          <w:i/>
          <w:iCs/>
          <w:lang w:val="es-ES_tradnl"/>
        </w:rPr>
      </w:pPr>
      <w:r w:rsidRPr="00CF1B34">
        <w:rPr>
          <w:rStyle w:val="Textoennegrita"/>
          <w:rFonts w:ascii="Arial" w:hAnsi="Arial" w:cs="Arial"/>
          <w:b w:val="0"/>
          <w:bCs w:val="0"/>
          <w:i/>
          <w:iCs/>
          <w:sz w:val="22"/>
          <w:szCs w:val="22"/>
          <w:lang w:val="es-ES_tradnl"/>
        </w:rPr>
        <w:t>Vender una casa sin escritura pública</w:t>
      </w:r>
    </w:p>
    <w:p w14:paraId="0EE66656" w14:textId="77777777" w:rsidR="00DC233D" w:rsidRPr="00CF1B34" w:rsidRDefault="00DC233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Al no ser obligatorio se podría, aunque no contaríamos con cierta información importante y podría dar lugar a posibles problemas después; hay que tener en cuenta que este escrito público obliga al vendedor a presentar todos los documentos necesarios a la hora de vender un inmueble.</w:t>
      </w:r>
    </w:p>
    <w:p w14:paraId="51A0F922" w14:textId="77777777" w:rsidR="00DC233D" w:rsidRPr="00CF1B34" w:rsidRDefault="00DC233D" w:rsidP="0005621A">
      <w:pPr>
        <w:pStyle w:val="Sinespaciado"/>
        <w:jc w:val="both"/>
        <w:rPr>
          <w:rFonts w:ascii="Arial" w:hAnsi="Arial" w:cs="Arial"/>
          <w:color w:val="2F5496" w:themeColor="accent1" w:themeShade="BF"/>
          <w:lang w:val="es-ES_tradnl"/>
        </w:rPr>
      </w:pPr>
      <w:r w:rsidRPr="00CF1B34">
        <w:rPr>
          <w:rStyle w:val="Textoennegrita"/>
          <w:rFonts w:ascii="Arial" w:hAnsi="Arial" w:cs="Arial"/>
          <w:color w:val="2F5496" w:themeColor="accent1" w:themeShade="BF"/>
          <w:sz w:val="22"/>
          <w:szCs w:val="22"/>
          <w:lang w:val="es-ES_tradnl"/>
        </w:rPr>
        <w:t>Escritura del préstamo hipotecario</w:t>
      </w:r>
    </w:p>
    <w:p w14:paraId="27827847" w14:textId="77777777"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w:t>
      </w:r>
      <w:r w:rsidRPr="00CF1B34">
        <w:rPr>
          <w:rStyle w:val="Textoennegrita"/>
          <w:rFonts w:ascii="Arial" w:hAnsi="Arial" w:cs="Arial"/>
          <w:sz w:val="22"/>
          <w:szCs w:val="22"/>
          <w:lang w:val="es-ES_tradnl"/>
        </w:rPr>
        <w:t>escritura de préstamo hipotecario</w:t>
      </w:r>
      <w:r w:rsidRPr="00CF1B34">
        <w:rPr>
          <w:rFonts w:ascii="Arial" w:hAnsi="Arial" w:cs="Arial"/>
          <w:sz w:val="22"/>
          <w:szCs w:val="22"/>
          <w:lang w:val="es-ES_tradnl"/>
        </w:rPr>
        <w:t> es un documento oficial donde se exponen las cláusulas y condiciones que el banco y el cliente hayan pactado para constituir una hipoteca.</w:t>
      </w:r>
    </w:p>
    <w:p w14:paraId="534CF6FC" w14:textId="314A7890"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Este documento es encargado por el banco y expedido por un notario, y debe incluirse en el Registro de la propiedad para que adquiera carácter oficial y probatorio. El notario entregará una copia al banco, otra al cliente, e incluirá una tercera para liquidar los impuestos. Nuestra</w:t>
      </w:r>
      <w:r w:rsidR="00D4229C" w:rsidRPr="00CF1B34">
        <w:rPr>
          <w:rFonts w:ascii="Arial" w:hAnsi="Arial" w:cs="Arial"/>
          <w:sz w:val="22"/>
          <w:szCs w:val="22"/>
          <w:lang w:val="es-ES_tradnl"/>
        </w:rPr>
        <w:t xml:space="preserve"> </w:t>
      </w:r>
      <w:hyperlink r:id="rId232" w:history="1">
        <w:r w:rsidRPr="00CF1B34">
          <w:rPr>
            <w:rStyle w:val="Hipervnculo"/>
            <w:rFonts w:ascii="Arial" w:hAnsi="Arial" w:cs="Arial"/>
            <w:b/>
            <w:bCs/>
            <w:color w:val="2F5496" w:themeColor="accent1" w:themeShade="BF"/>
            <w:sz w:val="22"/>
            <w:szCs w:val="22"/>
            <w:lang w:val="es-ES_tradnl"/>
          </w:rPr>
          <w:t>hipoteca</w:t>
        </w:r>
      </w:hyperlink>
      <w:r w:rsidR="00D4229C" w:rsidRPr="00CF1B34">
        <w:rPr>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nos condicionará a nivel económico durante muchos años, así que hay que revisar bien su escritura y estar muy seguros antes de firmarla.</w:t>
      </w:r>
    </w:p>
    <w:p w14:paraId="572F14D5" w14:textId="77777777"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Diez días antes de firmar una escritura de hipoteca, será muy importante que acudamos al notario para revisarla bien. Este trámite se llevará acabo de manera gratuita. Lo mejor es que acudamos con tiempo de sobra para reflexionar y estar realmente seguros antes de dar el paso. Le tendremos que preguntar todo lo que no entendamos y no firmar con aquello que no entendamos, o con lo que no estemos de acuerdo.</w:t>
      </w:r>
    </w:p>
    <w:p w14:paraId="443F1009" w14:textId="77777777" w:rsidR="00DC233D" w:rsidRPr="00CF1B34" w:rsidRDefault="00DC233D" w:rsidP="0005621A">
      <w:pPr>
        <w:pStyle w:val="Ttulo2"/>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¿Qué información contiene la escritura del préstamo hipotecario?</w:t>
      </w:r>
    </w:p>
    <w:p w14:paraId="42570F3F" w14:textId="00AD5493" w:rsidR="00DC233D" w:rsidRPr="00CF1B34" w:rsidRDefault="00DC233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En primer lugar, el</w:t>
      </w:r>
      <w:r w:rsidR="00D4229C"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capital del préstamo</w:t>
      </w:r>
      <w:r w:rsidR="00D4229C" w:rsidRPr="00CF1B34">
        <w:rPr>
          <w:rFonts w:ascii="Arial" w:hAnsi="Arial" w:cs="Arial"/>
          <w:sz w:val="22"/>
          <w:szCs w:val="22"/>
          <w:lang w:val="es-ES_tradnl"/>
        </w:rPr>
        <w:t xml:space="preserve"> </w:t>
      </w:r>
      <w:r w:rsidRPr="00CF1B34">
        <w:rPr>
          <w:rFonts w:ascii="Arial" w:hAnsi="Arial" w:cs="Arial"/>
          <w:sz w:val="22"/>
          <w:szCs w:val="22"/>
          <w:lang w:val="es-ES_tradnl"/>
        </w:rPr>
        <w:t>(es decir: la suma que el banco nos va a prestar. Los intereses de la hipoteca se calcularán teniendo en cuenta dicho importe): También el</w:t>
      </w:r>
      <w:r w:rsidR="00D4229C"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plazo de la hipoteca</w:t>
      </w:r>
      <w:r w:rsidRPr="00CF1B34">
        <w:rPr>
          <w:rFonts w:ascii="Arial" w:hAnsi="Arial" w:cs="Arial"/>
          <w:sz w:val="22"/>
          <w:szCs w:val="22"/>
          <w:lang w:val="es-ES_tradnl"/>
        </w:rPr>
        <w:t>, o tiempo durante el que estaremos pagándola. Lo normal es que se definan entre 15 y 30 años, pero hemos de pensar que cuanto mayor se ale plazo pagaremos más dinero (debido a los intereses generados), pero en cutas más pequeñas. También el</w:t>
      </w:r>
      <w:r w:rsidR="00D4229C"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tipo de interés</w:t>
      </w:r>
      <w:r w:rsidR="00D4229C" w:rsidRPr="00CF1B34">
        <w:rPr>
          <w:rFonts w:ascii="Arial" w:hAnsi="Arial" w:cs="Arial"/>
          <w:sz w:val="22"/>
          <w:szCs w:val="22"/>
          <w:lang w:val="es-ES_tradnl"/>
        </w:rPr>
        <w:t xml:space="preserve"> </w:t>
      </w:r>
      <w:r w:rsidRPr="00CF1B34">
        <w:rPr>
          <w:rFonts w:ascii="Arial" w:hAnsi="Arial" w:cs="Arial"/>
          <w:sz w:val="22"/>
          <w:szCs w:val="22"/>
          <w:lang w:val="es-ES_tradnl"/>
        </w:rPr>
        <w:t>de nuestro préstamo. Este es el porcentaje que abonaremos a la entidad financiera por le hecho de prestarnos el dinero. Este interés será fijo, si no varía durante la videncia de la hipoteca, o variable, si varía por tramos temporales, en función de la fluctuación de los intereses en el mercado. Además, el </w:t>
      </w:r>
      <w:r w:rsidRPr="00CF1B34">
        <w:rPr>
          <w:rStyle w:val="Textoennegrita"/>
          <w:rFonts w:ascii="Arial" w:hAnsi="Arial" w:cs="Arial"/>
          <w:sz w:val="22"/>
          <w:szCs w:val="22"/>
          <w:lang w:val="es-ES_tradnl"/>
        </w:rPr>
        <w:t>sistema de amortización</w:t>
      </w:r>
      <w:r w:rsidRPr="00CF1B34">
        <w:rPr>
          <w:rFonts w:ascii="Arial" w:hAnsi="Arial" w:cs="Arial"/>
          <w:sz w:val="22"/>
          <w:szCs w:val="22"/>
          <w:lang w:val="es-ES_tradnl"/>
        </w:rPr>
        <w:t>, es decir: la manera en que devolveremos el dinero.</w:t>
      </w:r>
    </w:p>
    <w:p w14:paraId="3D1350DF" w14:textId="417DE230" w:rsidR="00373764" w:rsidRPr="00CF1B34" w:rsidRDefault="00DC233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las hipotecas españolas prevalece el sistema francés, por el que se paga la parte de los intereses al inicio, y el capital después. También la carencia del préstamo, o precisamente el periodo en que solo estamos abonando los intereses (y no el capital) al banco. Aunque en los periodos de carencia las cuotas sean más bajas (ya que corresponden a los intereses), al final acabaremos pagando más dinero, ya que en ese tiempo no estaremos</w:t>
      </w:r>
      <w:r w:rsidR="00D4229C"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amortizando capital</w:t>
      </w:r>
      <w:r w:rsidRPr="00CF1B34">
        <w:rPr>
          <w:rFonts w:ascii="Arial" w:hAnsi="Arial" w:cs="Arial"/>
          <w:sz w:val="22"/>
          <w:szCs w:val="22"/>
          <w:lang w:val="es-ES_tradnl"/>
        </w:rPr>
        <w:t xml:space="preserve">. Además, las comisiones, que son cobros que nos realiza el banco por realizar. Ciertos servicios adicionales para nosotros (comisiones de riesgo de tipo de interés, de cancelación, etc.). Además, el interés de demora, en caso de que nos retrasemos en las cuotas o dejemos de pagarlas; el vencimiento anticipado (que sucede si devolvemos el préstamo antes de lo estipulado);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por último, la</w:t>
      </w:r>
      <w:r w:rsidR="00D4229C"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Tasa Anual Equivalente</w:t>
      </w:r>
      <w:r w:rsidR="00D4229C" w:rsidRPr="00CF1B34">
        <w:rPr>
          <w:rFonts w:ascii="Arial" w:hAnsi="Arial" w:cs="Arial"/>
          <w:sz w:val="22"/>
          <w:szCs w:val="22"/>
          <w:lang w:val="es-ES_tradnl"/>
        </w:rPr>
        <w:t xml:space="preserve"> </w:t>
      </w:r>
      <w:r w:rsidRPr="00CF1B34">
        <w:rPr>
          <w:rFonts w:ascii="Arial" w:hAnsi="Arial" w:cs="Arial"/>
          <w:sz w:val="22"/>
          <w:szCs w:val="22"/>
          <w:lang w:val="es-ES_tradnl"/>
        </w:rPr>
        <w:t>(TAE), que es el índice que determina el coste de la hipoteca.</w:t>
      </w:r>
    </w:p>
    <w:p w14:paraId="50F4F00D" w14:textId="222D9118"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Especialista</w:t>
      </w:r>
    </w:p>
    <w:p w14:paraId="5FA9FF8F"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algunos mercados, actúan como especialistas aquellos miembros que se comprometen a introducir precios en firme de compra y venta para uno o más valores, a los que de esta manera se proporciona liquidez.</w:t>
      </w:r>
    </w:p>
    <w:p w14:paraId="17BDECD0" w14:textId="77777777"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Estado de posición</w:t>
      </w:r>
    </w:p>
    <w:p w14:paraId="6C32B58F" w14:textId="7C911F71"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Documento que elaboran las sociedades gestoras, para informar a los partícipes o accionistas de su posición en el fondo o sociedad de inversión. Se debe enviar a los inversores todos los meses, si se han producido movimientos en el período, o anualmente si no los ha habido.</w:t>
      </w:r>
    </w:p>
    <w:p w14:paraId="7F4B2FD0" w14:textId="3277280A" w:rsidR="006D558E" w:rsidRPr="00CF1B34" w:rsidRDefault="006D558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Estanflación</w:t>
      </w:r>
    </w:p>
    <w:p w14:paraId="4AED65C7" w14:textId="0692CB57" w:rsidR="00BB786F" w:rsidRPr="00CF1B34" w:rsidRDefault="006D558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Situación que se presenta </w:t>
      </w:r>
      <w:r w:rsidR="00BB786F" w:rsidRPr="00CF1B34">
        <w:rPr>
          <w:rFonts w:ascii="Arial" w:hAnsi="Arial" w:cs="Arial"/>
          <w:color w:val="000000" w:themeColor="text1"/>
          <w:sz w:val="22"/>
          <w:szCs w:val="22"/>
          <w:lang w:val="es-ES_tradnl"/>
        </w:rPr>
        <w:t>cuando de un titulo en el reverso del mismo coinciden una elevada tasa de inflación y una fuerte ca</w:t>
      </w:r>
      <w:r w:rsidR="00CE75A5" w:rsidRPr="00CF1B34">
        <w:rPr>
          <w:rFonts w:ascii="Arial" w:hAnsi="Arial" w:cs="Arial"/>
          <w:color w:val="000000" w:themeColor="text1"/>
          <w:sz w:val="22"/>
          <w:szCs w:val="22"/>
          <w:lang w:val="es-ES_tradnl"/>
        </w:rPr>
        <w:t>í</w:t>
      </w:r>
      <w:r w:rsidR="00BB786F" w:rsidRPr="00CF1B34">
        <w:rPr>
          <w:rFonts w:ascii="Arial" w:hAnsi="Arial" w:cs="Arial"/>
          <w:color w:val="000000" w:themeColor="text1"/>
          <w:sz w:val="22"/>
          <w:szCs w:val="22"/>
          <w:lang w:val="es-ES_tradnl"/>
        </w:rPr>
        <w:t>da del ritmo de crecimiento económico.</w:t>
      </w:r>
    </w:p>
    <w:p w14:paraId="706C3285" w14:textId="13CB1B1F"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Estatutos sociales</w:t>
      </w:r>
    </w:p>
    <w:p w14:paraId="01DB1706" w14:textId="77777777" w:rsidR="00DB1AEF" w:rsidRPr="00CF1B34" w:rsidRDefault="00DB1AE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Documento en el que se recogen todas las normas que rigen el funcionamiento interno de una sociedad, desde los derechos y obligaciones de los accionistas hasta las funciones del Consejo de Administración. Entre otros aspectos de interés para el accionista, se incluye el número de acciones necesarias para acudir a la Junta, las posibles restricciones para el voto y nombramiento de consejeros, o si se precisan mayorías reforzadas para adoptar determinados acuerdos.</w:t>
      </w:r>
    </w:p>
    <w:p w14:paraId="2BB49687" w14:textId="2181B9FD" w:rsidR="00DD05D2" w:rsidRPr="00CF1B34" w:rsidRDefault="00DD05D2" w:rsidP="0005621A">
      <w:pPr>
        <w:pStyle w:val="Ttulo2"/>
        <w:shd w:val="clear" w:color="auto" w:fill="FFFFFF"/>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Estocástico</w:t>
      </w:r>
    </w:p>
    <w:p w14:paraId="22C03F6E" w14:textId="77777777" w:rsidR="00DD05D2" w:rsidRPr="00CF1B34" w:rsidRDefault="00DD05D2" w:rsidP="0005621A">
      <w:pPr>
        <w:pStyle w:val="Sinespaciado"/>
        <w:ind w:left="708"/>
        <w:jc w:val="both"/>
        <w:rPr>
          <w:rFonts w:ascii="Arial" w:hAnsi="Arial" w:cs="Arial"/>
          <w:sz w:val="22"/>
          <w:szCs w:val="22"/>
          <w:lang w:val="es-ES_tradnl"/>
        </w:rPr>
      </w:pPr>
      <w:r w:rsidRPr="00CF1B34">
        <w:rPr>
          <w:rFonts w:ascii="Arial" w:hAnsi="Arial" w:cs="Arial"/>
          <w:sz w:val="22"/>
          <w:szCs w:val="22"/>
          <w:shd w:val="clear" w:color="auto" w:fill="FFFFFF"/>
          <w:lang w:val="es-ES_tradnl"/>
        </w:rPr>
        <w:lastRenderedPageBreak/>
        <w:t>El indicador estocástico es un oscilador que permite identificar reversiones de tendencias, cambios de precio y señales de compra y venta en los mercados. El mismo es de gran ayuda para los traders durante el análisis técnico.</w:t>
      </w:r>
    </w:p>
    <w:p w14:paraId="6356161D" w14:textId="77777777" w:rsidR="00D4229C" w:rsidRPr="00CF1B34" w:rsidRDefault="00DD05D2"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Con el oscilador Estocástico los inversores determinan las señales de compra y venta y la dirección de la tendencia para definir sus estrategias de trading. Esta última es la media móvil de la rápida y se coloca debajo del gráfico de precios. El oscilador Estocástico mide de esta forma el impulso del mercado y muestra las posibles reversiones de tendencia.</w:t>
      </w:r>
    </w:p>
    <w:p w14:paraId="42B3131B" w14:textId="0E178318" w:rsidR="00DD05D2" w:rsidRPr="00CF1B34" w:rsidRDefault="00DD05D2"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El indicador se representa mediante dos líneas (%K y %D) cuyo valor evoluciona entre 0 y 100. De estas líneas una es rápida (azul), denominada %K y la otra lenta (naranja) %D. La fórmula básica para la construcción de osciladores estocásticos es la siguiente:</w:t>
      </w:r>
    </w:p>
    <w:p w14:paraId="6AF0C454" w14:textId="77777777" w:rsidR="00DD05D2" w:rsidRPr="00CF1B34" w:rsidRDefault="00DD05D2" w:rsidP="0005621A">
      <w:pPr>
        <w:pStyle w:val="Sinespaciado"/>
        <w:ind w:firstLine="708"/>
        <w:jc w:val="both"/>
        <w:rPr>
          <w:rFonts w:ascii="Arial" w:hAnsi="Arial" w:cs="Arial"/>
          <w:sz w:val="22"/>
          <w:szCs w:val="22"/>
          <w:lang w:val="es-ES_tradnl"/>
        </w:rPr>
      </w:pPr>
      <w:r w:rsidRPr="00CF1B34">
        <w:rPr>
          <w:rStyle w:val="Textoennegrita"/>
          <w:rFonts w:ascii="Arial" w:hAnsi="Arial" w:cs="Arial"/>
          <w:color w:val="000000"/>
          <w:sz w:val="22"/>
          <w:szCs w:val="22"/>
          <w:lang w:val="es-ES_tradnl"/>
        </w:rPr>
        <w:t>%K = (U - Mi) / (Max - Mi) x 100</w:t>
      </w:r>
    </w:p>
    <w:p w14:paraId="7D860FD8" w14:textId="77777777" w:rsidR="005C067D" w:rsidRPr="00CF1B34" w:rsidRDefault="005C067D" w:rsidP="0005621A">
      <w:pPr>
        <w:pStyle w:val="Sinespaciado"/>
        <w:ind w:firstLine="708"/>
        <w:jc w:val="both"/>
        <w:rPr>
          <w:rFonts w:ascii="Arial" w:hAnsi="Arial" w:cs="Arial"/>
          <w:sz w:val="22"/>
          <w:szCs w:val="22"/>
          <w:lang w:val="es-ES_tradnl"/>
        </w:rPr>
      </w:pPr>
      <w:r w:rsidRPr="00CF1B34">
        <w:rPr>
          <w:rFonts w:ascii="Arial" w:hAnsi="Arial" w:cs="Arial"/>
          <w:b/>
          <w:bCs/>
          <w:sz w:val="22"/>
          <w:szCs w:val="22"/>
          <w:lang w:val="es-ES_tradnl"/>
        </w:rPr>
        <w:t>U</w:t>
      </w:r>
      <w:r w:rsidRPr="00CF1B34">
        <w:rPr>
          <w:rFonts w:ascii="Arial" w:hAnsi="Arial" w:cs="Arial"/>
          <w:sz w:val="22"/>
          <w:szCs w:val="22"/>
          <w:lang w:val="es-ES_tradnl"/>
        </w:rPr>
        <w:t xml:space="preserve"> es el último precio del período</w:t>
      </w:r>
    </w:p>
    <w:p w14:paraId="1B1AC7B5" w14:textId="77777777" w:rsidR="005C067D" w:rsidRPr="00CF1B34" w:rsidRDefault="005C067D" w:rsidP="0005621A">
      <w:pPr>
        <w:pStyle w:val="Sinespaciado"/>
        <w:ind w:firstLine="708"/>
        <w:jc w:val="both"/>
        <w:rPr>
          <w:rFonts w:ascii="Arial" w:hAnsi="Arial" w:cs="Arial"/>
          <w:sz w:val="22"/>
          <w:szCs w:val="22"/>
          <w:lang w:val="es-ES_tradnl"/>
        </w:rPr>
      </w:pPr>
      <w:r w:rsidRPr="00CF1B34">
        <w:rPr>
          <w:rFonts w:ascii="Arial" w:hAnsi="Arial" w:cs="Arial"/>
          <w:b/>
          <w:bCs/>
          <w:sz w:val="22"/>
          <w:szCs w:val="22"/>
          <w:lang w:val="es-ES_tradnl"/>
        </w:rPr>
        <w:t xml:space="preserve">Mi </w:t>
      </w:r>
      <w:r w:rsidRPr="00CF1B34">
        <w:rPr>
          <w:rFonts w:ascii="Arial" w:hAnsi="Arial" w:cs="Arial"/>
          <w:sz w:val="22"/>
          <w:szCs w:val="22"/>
          <w:lang w:val="es-ES_tradnl"/>
        </w:rPr>
        <w:t>es el mínimo precio del período</w:t>
      </w:r>
    </w:p>
    <w:p w14:paraId="6D6C3681" w14:textId="77777777" w:rsidR="005C067D" w:rsidRPr="00CF1B34" w:rsidRDefault="005C067D" w:rsidP="0005621A">
      <w:pPr>
        <w:pStyle w:val="Sinespaciado"/>
        <w:ind w:firstLine="708"/>
        <w:jc w:val="both"/>
        <w:rPr>
          <w:rFonts w:ascii="Arial" w:hAnsi="Arial" w:cs="Arial"/>
          <w:sz w:val="22"/>
          <w:szCs w:val="22"/>
          <w:lang w:val="es-ES_tradnl"/>
        </w:rPr>
      </w:pPr>
      <w:r w:rsidRPr="00CF1B34">
        <w:rPr>
          <w:rFonts w:ascii="Arial" w:hAnsi="Arial" w:cs="Arial"/>
          <w:b/>
          <w:bCs/>
          <w:sz w:val="22"/>
          <w:szCs w:val="22"/>
          <w:lang w:val="es-ES_tradnl"/>
        </w:rPr>
        <w:t>Max</w:t>
      </w:r>
      <w:r w:rsidRPr="00CF1B34">
        <w:rPr>
          <w:rFonts w:ascii="Arial" w:hAnsi="Arial" w:cs="Arial"/>
          <w:sz w:val="22"/>
          <w:szCs w:val="22"/>
          <w:lang w:val="es-ES_tradnl"/>
        </w:rPr>
        <w:t xml:space="preserve"> es el máximo precio del período</w:t>
      </w:r>
    </w:p>
    <w:p w14:paraId="6B73E534" w14:textId="77777777" w:rsidR="005C067D" w:rsidRPr="00CF1B34" w:rsidRDefault="005C067D"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 xml:space="preserve">El criterio más general en el análisis de este oscilador es que si </w:t>
      </w:r>
      <w:r w:rsidRPr="00CF1B34">
        <w:rPr>
          <w:rFonts w:ascii="Arial" w:hAnsi="Arial" w:cs="Arial"/>
          <w:b/>
          <w:bCs/>
          <w:sz w:val="22"/>
          <w:szCs w:val="22"/>
          <w:lang w:val="es-ES_tradnl"/>
        </w:rPr>
        <w:t>%K</w:t>
      </w:r>
      <w:r w:rsidRPr="00CF1B34">
        <w:rPr>
          <w:rFonts w:ascii="Arial" w:hAnsi="Arial" w:cs="Arial"/>
          <w:sz w:val="22"/>
          <w:szCs w:val="22"/>
          <w:lang w:val="es-ES_tradnl"/>
        </w:rPr>
        <w:t xml:space="preserve"> es mayor de 80 indica señal de venta y si es menor de 20 indica señal de compra.</w:t>
      </w:r>
    </w:p>
    <w:p w14:paraId="582CDCEC" w14:textId="03FC4C6D" w:rsidR="005C067D" w:rsidRPr="00CF1B34" w:rsidRDefault="005C067D"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Existen varios periodos:</w:t>
      </w:r>
    </w:p>
    <w:p w14:paraId="4C242C44" w14:textId="77777777" w:rsidR="005C067D" w:rsidRPr="00CF1B34" w:rsidRDefault="005C067D" w:rsidP="0005621A">
      <w:pPr>
        <w:pStyle w:val="Sinespaciado"/>
        <w:ind w:left="708"/>
        <w:jc w:val="both"/>
        <w:rPr>
          <w:rFonts w:ascii="Arial" w:hAnsi="Arial" w:cs="Arial"/>
          <w:sz w:val="22"/>
          <w:szCs w:val="22"/>
          <w:lang w:val="es-ES_tradnl"/>
        </w:rPr>
      </w:pPr>
      <w:r w:rsidRPr="00CF1B34">
        <w:rPr>
          <w:rStyle w:val="Textoennegrita"/>
          <w:rFonts w:ascii="Arial" w:hAnsi="Arial" w:cs="Arial"/>
          <w:color w:val="000000"/>
          <w:sz w:val="22"/>
          <w:szCs w:val="22"/>
          <w:lang w:val="es-ES_tradnl"/>
        </w:rPr>
        <w:t>K</w:t>
      </w:r>
      <w:r w:rsidRPr="00CF1B34">
        <w:rPr>
          <w:rFonts w:ascii="Arial" w:hAnsi="Arial" w:cs="Arial"/>
          <w:sz w:val="22"/>
          <w:szCs w:val="22"/>
          <w:lang w:val="es-ES_tradnl"/>
        </w:rPr>
        <w:t>: Puede utilizarse 14, como valor estándar, pero si deseas dar más sensibilidad al oscilador debe utilizar valores inferiores. Esto es, menos sesiones bursátiles.</w:t>
      </w:r>
    </w:p>
    <w:p w14:paraId="22C30113" w14:textId="77777777" w:rsidR="005C067D" w:rsidRPr="00CF1B34" w:rsidRDefault="005C067D" w:rsidP="0005621A">
      <w:pPr>
        <w:pStyle w:val="Sinespaciado"/>
        <w:ind w:left="708"/>
        <w:jc w:val="both"/>
        <w:rPr>
          <w:rFonts w:ascii="Arial" w:hAnsi="Arial" w:cs="Arial"/>
          <w:sz w:val="22"/>
          <w:szCs w:val="22"/>
          <w:lang w:val="es-ES_tradnl"/>
        </w:rPr>
      </w:pPr>
      <w:r w:rsidRPr="00CF1B34">
        <w:rPr>
          <w:rStyle w:val="Textoennegrita"/>
          <w:rFonts w:ascii="Arial" w:hAnsi="Arial" w:cs="Arial"/>
          <w:color w:val="000000"/>
          <w:sz w:val="22"/>
          <w:szCs w:val="22"/>
          <w:lang w:val="es-ES_tradnl"/>
        </w:rPr>
        <w:t>SK</w:t>
      </w:r>
      <w:r w:rsidRPr="00CF1B34">
        <w:rPr>
          <w:rFonts w:ascii="Arial" w:hAnsi="Arial" w:cs="Arial"/>
          <w:sz w:val="22"/>
          <w:szCs w:val="22"/>
          <w:lang w:val="es-ES_tradnl"/>
        </w:rPr>
        <w:t>: Los movimientos de la línea "k" suelen ser muy bruscos, dando constantes señales falsas incluso para valores superiores a 14. En consecuencia, muchos analistas utilizan una media móvil para suavizar estos efectos indeseables. Conseguimos de esta forma una apreciación más realista del movimiento. Se pueden utilizar como valores más frecuentes 3,4 y 5.</w:t>
      </w:r>
    </w:p>
    <w:p w14:paraId="5D080384" w14:textId="77777777" w:rsidR="005C067D" w:rsidRPr="00CF1B34" w:rsidRDefault="005C067D"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000000"/>
          <w:sz w:val="22"/>
          <w:szCs w:val="22"/>
          <w:lang w:val="es-ES_tradnl"/>
        </w:rPr>
        <w:t>SD</w:t>
      </w:r>
      <w:r w:rsidRPr="00CF1B34">
        <w:rPr>
          <w:rFonts w:ascii="Arial" w:hAnsi="Arial" w:cs="Arial"/>
          <w:sz w:val="22"/>
          <w:szCs w:val="22"/>
          <w:lang w:val="es-ES_tradnl"/>
        </w:rPr>
        <w:t>: Es frecuente la utilización de una segunda línea formada por la media móvil "n" de los valores "SK". Se consigue así, un efecto de apalancamiento aún mayor</w:t>
      </w:r>
      <w:r w:rsidRPr="00CF1B34">
        <w:rPr>
          <w:rFonts w:ascii="Arial" w:hAnsi="Arial" w:cs="Arial"/>
          <w:lang w:val="es-ES_tradnl"/>
        </w:rPr>
        <w:t>.</w:t>
      </w:r>
    </w:p>
    <w:p w14:paraId="468AE6F1" w14:textId="4A3F46E0" w:rsidR="00C5262A" w:rsidRPr="00CF1B34" w:rsidRDefault="00C5262A" w:rsidP="0005621A">
      <w:pPr>
        <w:pStyle w:val="Ttulo2"/>
        <w:shd w:val="clear" w:color="auto" w:fill="FFFFFF"/>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Estrategia de inversión</w:t>
      </w:r>
    </w:p>
    <w:p w14:paraId="59CA8012" w14:textId="77777777" w:rsidR="00C5262A" w:rsidRPr="00CF1B34" w:rsidRDefault="00C5262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Una estrategia de inversión es algo tan sencillo como el “plan” que tenemos pensado para rentabilizar nuestro capital.</w:t>
      </w:r>
    </w:p>
    <w:p w14:paraId="23B8F6EA" w14:textId="4D393EBB" w:rsidR="00C5262A" w:rsidRPr="00CF1B34" w:rsidRDefault="00C5262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Este plan debe basarse en dos pilares fundamentales: el métido y la disciplina.</w:t>
      </w:r>
    </w:p>
    <w:p w14:paraId="4D0EFAA6" w14:textId="6708B9E1"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ETF (Exchange Traded Fund</w:t>
      </w:r>
      <w:r w:rsidR="008B3C69" w:rsidRPr="00CF1B34">
        <w:rPr>
          <w:rFonts w:ascii="Arial" w:hAnsi="Arial" w:cs="Arial"/>
          <w:b/>
          <w:bCs/>
          <w:color w:val="004773"/>
          <w:sz w:val="22"/>
          <w:szCs w:val="22"/>
          <w:lang w:val="es-ES_tradnl"/>
        </w:rPr>
        <w:t>s</w:t>
      </w:r>
    </w:p>
    <w:p w14:paraId="52B2985C" w14:textId="77777777" w:rsidR="00DB1AEF" w:rsidRPr="00CF1B34" w:rsidRDefault="00D83530"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hyperlink r:id="rId233" w:tgtFrame="_self" w:history="1">
        <w:r w:rsidR="00DB1AEF" w:rsidRPr="00CF1B34">
          <w:rPr>
            <w:rFonts w:ascii="Arial" w:hAnsi="Arial" w:cs="Arial"/>
            <w:b/>
            <w:bCs/>
            <w:color w:val="2F5496" w:themeColor="accent1" w:themeShade="BF"/>
            <w:sz w:val="22"/>
            <w:szCs w:val="22"/>
            <w:u w:val="single"/>
            <w:lang w:val="es-ES_tradnl"/>
          </w:rPr>
          <w:t>Ver fondo cotizado</w:t>
        </w:r>
      </w:hyperlink>
      <w:r w:rsidR="00DB1AEF" w:rsidRPr="00CF1B34">
        <w:rPr>
          <w:rFonts w:ascii="Arial" w:hAnsi="Arial" w:cs="Arial"/>
          <w:color w:val="2F5496" w:themeColor="accent1" w:themeShade="BF"/>
          <w:sz w:val="22"/>
          <w:szCs w:val="22"/>
          <w:lang w:val="es-ES_tradnl"/>
        </w:rPr>
        <w:t>.</w:t>
      </w:r>
    </w:p>
    <w:p w14:paraId="68EB4F2A" w14:textId="42849C74" w:rsidR="00A916A2" w:rsidRPr="00CF1B34" w:rsidRDefault="00A916A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ETF inverso</w:t>
      </w:r>
    </w:p>
    <w:p w14:paraId="3B13FB9D" w14:textId="44FABDAD" w:rsidR="00A916A2" w:rsidRPr="00CF1B34" w:rsidRDefault="00A916A2"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Uno de los productos disponibles para el inversor español, para aprovechar los movimientos a la baja de lo mercados son los </w:t>
      </w:r>
      <w:r w:rsidRPr="00CF1B34">
        <w:rPr>
          <w:rStyle w:val="Textoennegrita"/>
          <w:rFonts w:ascii="Arial" w:hAnsi="Arial" w:cs="Arial"/>
          <w:color w:val="333333"/>
          <w:sz w:val="22"/>
          <w:szCs w:val="22"/>
          <w:shd w:val="clear" w:color="auto" w:fill="FFFFFF"/>
          <w:lang w:val="es-ES_tradnl"/>
        </w:rPr>
        <w:t>ETFs Inversos</w:t>
      </w:r>
      <w:r w:rsidRPr="00CF1B34">
        <w:rPr>
          <w:rFonts w:ascii="Arial" w:hAnsi="Arial" w:cs="Arial"/>
          <w:color w:val="333333"/>
          <w:sz w:val="22"/>
          <w:szCs w:val="22"/>
          <w:shd w:val="clear" w:color="auto" w:fill="FFFFFF"/>
          <w:lang w:val="es-ES_tradnl"/>
        </w:rPr>
        <w:t>. Este producto nos permite invertir nuestro dinero en un producto financiero que se apreciará si el indice o la cartera a la que esta indexado baja. Tambien perderá dinero por contra si el mercado se decide a subir.</w:t>
      </w:r>
    </w:p>
    <w:p w14:paraId="04018880" w14:textId="3DDFC973" w:rsidR="00C6178D" w:rsidRPr="00CF1B34" w:rsidRDefault="00C6178D"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Esto quiere decir que</w:t>
      </w:r>
      <w:r w:rsidR="003142C5" w:rsidRPr="00CF1B34">
        <w:rPr>
          <w:rFonts w:ascii="Arial" w:hAnsi="Arial" w:cs="Arial"/>
          <w:color w:val="333333"/>
          <w:sz w:val="22"/>
          <w:szCs w:val="22"/>
          <w:lang w:val="es-ES_tradnl"/>
        </w:rPr>
        <w:t>,</w:t>
      </w:r>
      <w:r w:rsidRPr="00CF1B34">
        <w:rPr>
          <w:rFonts w:ascii="Arial" w:hAnsi="Arial" w:cs="Arial"/>
          <w:color w:val="333333"/>
          <w:sz w:val="22"/>
          <w:szCs w:val="22"/>
          <w:lang w:val="es-ES_tradnl"/>
        </w:rPr>
        <w:t xml:space="preserve"> si el indice de nuestro ETF pierde un 2%, nuestro fondo sin embargo habrá ganado un 2%.</w:t>
      </w:r>
    </w:p>
    <w:p w14:paraId="678379EC" w14:textId="4D4025A1" w:rsidR="00C6178D" w:rsidRPr="00CF1B34" w:rsidRDefault="00C6178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Actualmente no existen ETFs Inversos de indices españoles y para poder acceder a este tipo de producto podemos hacerlo con ETFs Inversos asociados a indicies americanos. Podremos encontrar ETFs Inversos del Nasdaq, del S&amp;P o del Dow Jones.</w:t>
      </w:r>
    </w:p>
    <w:p w14:paraId="455A86E6" w14:textId="147EA1BE" w:rsidR="008B3C69" w:rsidRPr="00CF1B34" w:rsidRDefault="008B3C6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ETN. (Exchange Traded Notes</w:t>
      </w:r>
    </w:p>
    <w:p w14:paraId="619832D1" w14:textId="3D09FBAC" w:rsidR="008B3C69" w:rsidRPr="00CF1B34" w:rsidRDefault="008B3C69"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lastRenderedPageBreak/>
        <w:t>En el mundo financiero y de la inversión, existen multitud de productos que, a priori, son bastante parecidos pero que tienen diferencias que pueden variar, y mucho, la rentabilidad obtenida. Esta situación ocurre en Exchange Trade Products. Bajo este nombre se incluyen los ETF (Exchange Trade Funds), los</w:t>
      </w:r>
      <w:r w:rsidR="00A916A2"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ETC (Exchange Traded Commodities o Currencies) y los ETNs (Echange Traded Notes).</w:t>
      </w:r>
    </w:p>
    <w:p w14:paraId="79C44017" w14:textId="1520E6DC" w:rsidR="00A916A2" w:rsidRPr="00CF1B34" w:rsidRDefault="008B3C6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Un</w:t>
      </w:r>
      <w:r w:rsidR="00A916A2"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ETN</w:t>
      </w:r>
      <w:r w:rsidR="00A916A2" w:rsidRPr="00CF1B34">
        <w:rPr>
          <w:rStyle w:val="Textoennegrita"/>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es un producto similar a los</w:t>
      </w:r>
      <w:r w:rsidR="00A916A2" w:rsidRPr="00CF1B34">
        <w:rPr>
          <w:rFonts w:ascii="Arial" w:hAnsi="Arial" w:cs="Arial"/>
          <w:color w:val="333333"/>
          <w:sz w:val="22"/>
          <w:szCs w:val="22"/>
          <w:shd w:val="clear" w:color="auto" w:fill="FFFFFF"/>
          <w:lang w:val="es-ES_tradnl"/>
        </w:rPr>
        <w:t xml:space="preserve"> ETFs</w:t>
      </w:r>
      <w:r w:rsidRPr="00CF1B34">
        <w:rPr>
          <w:rStyle w:val="Textoennegrita"/>
          <w:rFonts w:ascii="Arial" w:hAnsi="Arial" w:cs="Arial"/>
          <w:color w:val="333333"/>
          <w:sz w:val="22"/>
          <w:szCs w:val="22"/>
          <w:shd w:val="clear" w:color="auto" w:fill="FFFFFF"/>
          <w:lang w:val="es-ES_tradnl"/>
        </w:rPr>
        <w:t>.</w:t>
      </w:r>
      <w:r w:rsidR="00A916A2"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Se trata de una</w:t>
      </w:r>
      <w:r w:rsidR="00A916A2"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deuda senior subordinada</w:t>
      </w:r>
      <w:r w:rsidR="00A916A2"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emitida por una entidad financiera cuyo objetivo es proporcionar al inversor otra forma de inversión similar a la de un fondo cotizado. No son acciones ni son ETFs, aunque poseen características similares a estos dos activos. Por ejemplo, al igual que las acciones, cotizan en los mercados en tiempo real y,</w:t>
      </w:r>
      <w:r w:rsidR="003142C5"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al igual que un ETF, replican el comportamiento de índices.</w:t>
      </w:r>
      <w:r w:rsidR="00A916A2" w:rsidRPr="00CF1B34">
        <w:rPr>
          <w:rFonts w:ascii="Arial" w:hAnsi="Arial" w:cs="Arial"/>
          <w:color w:val="333333"/>
          <w:sz w:val="22"/>
          <w:szCs w:val="22"/>
          <w:shd w:val="clear" w:color="auto" w:fill="FFFFFF"/>
          <w:lang w:val="es-ES_tradnl"/>
        </w:rPr>
        <w:t xml:space="preserve"> Los ETN son más como un bono. No están garantizados y se puede mantener hasta su vencimiento, o vender antes.</w:t>
      </w:r>
    </w:p>
    <w:p w14:paraId="288BDB0A" w14:textId="2A95AD7D" w:rsidR="00DB1AEF" w:rsidRPr="00CF1B34" w:rsidRDefault="00DB1AE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Euribor</w:t>
      </w:r>
    </w:p>
    <w:p w14:paraId="185ECB67" w14:textId="7A16C612" w:rsidR="00DB1AEF" w:rsidRPr="00CF1B34" w:rsidRDefault="00DB1AEF" w:rsidP="0005621A">
      <w:pPr>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Es</w:t>
      </w:r>
      <w:r w:rsidR="00C5262A" w:rsidRPr="00CF1B34">
        <w:rPr>
          <w:rFonts w:ascii="Arial" w:hAnsi="Arial" w:cs="Arial"/>
          <w:color w:val="212529"/>
          <w:sz w:val="22"/>
          <w:szCs w:val="22"/>
          <w:lang w:val="es-ES_tradnl"/>
        </w:rPr>
        <w:t>,</w:t>
      </w:r>
      <w:r w:rsidR="00C5262A" w:rsidRPr="00CF1B34">
        <w:rPr>
          <w:rFonts w:ascii="Arial" w:hAnsi="Arial" w:cs="Arial"/>
          <w:color w:val="191B1C"/>
          <w:sz w:val="22"/>
          <w:szCs w:val="22"/>
          <w:shd w:val="clear" w:color="auto" w:fill="FFFFFF"/>
          <w:lang w:val="es-ES_tradnl"/>
        </w:rPr>
        <w:t xml:space="preserve"> acrónimo de</w:t>
      </w:r>
      <w:r w:rsidR="003142C5" w:rsidRPr="00CF1B34">
        <w:rPr>
          <w:rFonts w:ascii="Arial" w:hAnsi="Arial" w:cs="Arial"/>
          <w:color w:val="191B1C"/>
          <w:sz w:val="22"/>
          <w:szCs w:val="22"/>
          <w:shd w:val="clear" w:color="auto" w:fill="FFFFFF"/>
          <w:lang w:val="es-ES_tradnl"/>
        </w:rPr>
        <w:t xml:space="preserve"> </w:t>
      </w:r>
      <w:r w:rsidR="00C5262A" w:rsidRPr="00CF1B34">
        <w:rPr>
          <w:rStyle w:val="Textoennegrita"/>
          <w:rFonts w:ascii="Arial" w:hAnsi="Arial" w:cs="Arial"/>
          <w:color w:val="191B1C"/>
          <w:sz w:val="22"/>
          <w:szCs w:val="22"/>
          <w:shd w:val="clear" w:color="auto" w:fill="FFFFFF"/>
          <w:lang w:val="es-ES_tradnl"/>
        </w:rPr>
        <w:t>Euro Interbank Offered Rate</w:t>
      </w:r>
      <w:r w:rsidR="003142C5" w:rsidRPr="00CF1B34">
        <w:rPr>
          <w:rFonts w:ascii="Arial" w:hAnsi="Arial" w:cs="Arial"/>
          <w:color w:val="191B1C"/>
          <w:sz w:val="22"/>
          <w:szCs w:val="22"/>
          <w:shd w:val="clear" w:color="auto" w:fill="FFFFFF"/>
          <w:lang w:val="es-ES_tradnl"/>
        </w:rPr>
        <w:t xml:space="preserve"> </w:t>
      </w:r>
      <w:r w:rsidR="00C5262A" w:rsidRPr="00CF1B34">
        <w:rPr>
          <w:rFonts w:ascii="Arial" w:hAnsi="Arial" w:cs="Arial"/>
          <w:color w:val="191B1C"/>
          <w:sz w:val="22"/>
          <w:szCs w:val="22"/>
          <w:shd w:val="clear" w:color="auto" w:fill="FFFFFF"/>
          <w:lang w:val="es-ES_tradnl"/>
        </w:rPr>
        <w:t>o</w:t>
      </w:r>
      <w:r w:rsidR="003142C5" w:rsidRPr="00CF1B34">
        <w:rPr>
          <w:rFonts w:ascii="Arial" w:hAnsi="Arial" w:cs="Arial"/>
          <w:color w:val="191B1C"/>
          <w:sz w:val="22"/>
          <w:szCs w:val="22"/>
          <w:shd w:val="clear" w:color="auto" w:fill="FFFFFF"/>
          <w:lang w:val="es-ES_tradnl"/>
        </w:rPr>
        <w:t xml:space="preserve"> </w:t>
      </w:r>
      <w:r w:rsidR="00C5262A" w:rsidRPr="00CF1B34">
        <w:rPr>
          <w:rStyle w:val="Textoennegrita"/>
          <w:rFonts w:ascii="Arial" w:hAnsi="Arial" w:cs="Arial"/>
          <w:color w:val="191B1C"/>
          <w:sz w:val="22"/>
          <w:szCs w:val="22"/>
          <w:shd w:val="clear" w:color="auto" w:fill="FFFFFF"/>
          <w:lang w:val="es-ES_tradnl"/>
        </w:rPr>
        <w:t>Tipo europeo de oferta interbancaria,</w:t>
      </w:r>
      <w:r w:rsidR="00C5262A" w:rsidRPr="00CF1B34">
        <w:rPr>
          <w:rFonts w:ascii="Arial" w:hAnsi="Arial" w:cs="Arial"/>
          <w:sz w:val="22"/>
          <w:szCs w:val="22"/>
          <w:lang w:val="es-ES_tradnl"/>
        </w:rPr>
        <w:t xml:space="preserve"> </w:t>
      </w:r>
      <w:r w:rsidRPr="00CF1B34">
        <w:rPr>
          <w:rFonts w:ascii="Arial" w:hAnsi="Arial" w:cs="Arial"/>
          <w:color w:val="212529"/>
          <w:sz w:val="22"/>
          <w:szCs w:val="22"/>
          <w:lang w:val="es-ES_tradnl"/>
        </w:rPr>
        <w:t>un índice de referencia, al cual se vincula la remuneración de numerosos contratos financieros. Se define como el tipo de interés al que las entidades financieras con mejor rating de la zona euro (aproximadamente 60 entidades) se prestan el dinero entre sí, en el mercado interbancario. Se publica mensualmente, como media aritmética simple de los valores diarios (de los días con mercado en el mes) del tipo de interés de contado publicado por la Federación Bancaria Europea, para las operaciones de depósito en euros.</w:t>
      </w:r>
    </w:p>
    <w:p w14:paraId="1B18BF56" w14:textId="77777777" w:rsidR="00C5262A" w:rsidRPr="00CF1B34" w:rsidRDefault="00C5262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euríbor entró en vigor en el año 1999 con la utilización del euro con el objetivo de tener un índice de referencia que sirviera para mantener un cierto equilibrio entre los intereses.</w:t>
      </w:r>
    </w:p>
    <w:p w14:paraId="1F711598" w14:textId="77777777" w:rsidR="00C5262A" w:rsidRPr="00CF1B34" w:rsidRDefault="00C5262A" w:rsidP="0005621A">
      <w:pPr>
        <w:pStyle w:val="Sinespaciado"/>
        <w:ind w:firstLine="708"/>
        <w:jc w:val="both"/>
        <w:rPr>
          <w:rFonts w:ascii="Arial" w:hAnsi="Arial" w:cs="Arial"/>
          <w:lang w:val="es-ES_tradnl"/>
        </w:rPr>
      </w:pPr>
      <w:r w:rsidRPr="00CF1B34">
        <w:rPr>
          <w:rStyle w:val="Textoennegrita"/>
          <w:rFonts w:ascii="Arial" w:hAnsi="Arial" w:cs="Arial"/>
          <w:b w:val="0"/>
          <w:bCs w:val="0"/>
          <w:color w:val="191B1C"/>
          <w:sz w:val="22"/>
          <w:szCs w:val="22"/>
          <w:lang w:val="es-ES_tradnl"/>
        </w:rPr>
        <w:t>¿Cómo se calcula el euríbor?</w:t>
      </w:r>
    </w:p>
    <w:p w14:paraId="50562968" w14:textId="77777777" w:rsidR="00C5262A" w:rsidRPr="00CF1B34" w:rsidRDefault="00C5262A" w:rsidP="0005621A">
      <w:pPr>
        <w:numPr>
          <w:ilvl w:val="0"/>
          <w:numId w:val="12"/>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La Federación Bancaria Europea solicita diariamente los tipos de interés vigentes en cada una de las entidades bancarias que conforman la zona euro.</w:t>
      </w:r>
    </w:p>
    <w:p w14:paraId="147F55AC" w14:textId="77777777" w:rsidR="00C5262A" w:rsidRPr="00CF1B34" w:rsidRDefault="00C5262A" w:rsidP="0005621A">
      <w:pPr>
        <w:numPr>
          <w:ilvl w:val="0"/>
          <w:numId w:val="12"/>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Teniendo los tipos de interés de todos los bancos, el euríbor se calcula eliminando el 15% más alto y el 15% más bajo.</w:t>
      </w:r>
    </w:p>
    <w:p w14:paraId="7406679F" w14:textId="77777777" w:rsidR="00C5262A" w:rsidRPr="00CF1B34" w:rsidRDefault="00C5262A" w:rsidP="0005621A">
      <w:pPr>
        <w:numPr>
          <w:ilvl w:val="0"/>
          <w:numId w:val="12"/>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Una vez eliminados esos valores se calcula la media aritmética de todos los datos restantes.</w:t>
      </w:r>
    </w:p>
    <w:p w14:paraId="34C22B2F" w14:textId="77777777" w:rsidR="00C5262A" w:rsidRPr="00CF1B34" w:rsidRDefault="00C5262A"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¿Cuál es la relación entre el euríbor y las hipotecas?</w:t>
      </w:r>
    </w:p>
    <w:p w14:paraId="17FF7D9F" w14:textId="0E4C2CAE" w:rsidR="00C5262A" w:rsidRPr="00CF1B34" w:rsidRDefault="00C5262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principal aplicación del Euribor es que funcionan como</w:t>
      </w:r>
      <w:r w:rsidR="003142C5" w:rsidRPr="00CF1B34">
        <w:rPr>
          <w:rFonts w:ascii="Arial" w:hAnsi="Arial" w:cs="Arial"/>
          <w:color w:val="191B1C"/>
          <w:sz w:val="22"/>
          <w:szCs w:val="22"/>
          <w:lang w:val="es-ES_tradnl"/>
        </w:rPr>
        <w:t xml:space="preserve"> </w:t>
      </w:r>
      <w:r w:rsidRPr="00CF1B34">
        <w:rPr>
          <w:rStyle w:val="Textoennegrita"/>
          <w:rFonts w:ascii="Arial" w:hAnsi="Arial" w:cs="Arial"/>
          <w:color w:val="191B1C"/>
          <w:sz w:val="22"/>
          <w:szCs w:val="22"/>
          <w:lang w:val="es-ES_tradnl"/>
        </w:rPr>
        <w:t>índice de referencia</w:t>
      </w:r>
      <w:r w:rsidR="003142C5"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en los</w:t>
      </w:r>
      <w:r w:rsidR="003142C5" w:rsidRPr="00CF1B34">
        <w:rPr>
          <w:rFonts w:ascii="Arial" w:hAnsi="Arial" w:cs="Arial"/>
          <w:color w:val="191B1C"/>
          <w:sz w:val="22"/>
          <w:szCs w:val="22"/>
          <w:lang w:val="es-ES_tradnl"/>
        </w:rPr>
        <w:t xml:space="preserve"> </w:t>
      </w:r>
      <w:r w:rsidRPr="00CF1B34">
        <w:rPr>
          <w:rStyle w:val="Textoennegrita"/>
          <w:rFonts w:ascii="Arial" w:hAnsi="Arial" w:cs="Arial"/>
          <w:color w:val="191B1C"/>
          <w:sz w:val="22"/>
          <w:szCs w:val="22"/>
          <w:lang w:val="es-ES_tradnl"/>
        </w:rPr>
        <w:t>préstamos hipotecarios a tipo variable</w:t>
      </w:r>
      <w:r w:rsidR="003142C5"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y determina en gran medida los intereses que tendremos que devolver a la entidad bancaria que nos ha concedido la hipoteca.</w:t>
      </w:r>
    </w:p>
    <w:p w14:paraId="3F83048B" w14:textId="77777777" w:rsidR="00C5262A" w:rsidRPr="00CF1B34" w:rsidRDefault="00C5262A" w:rsidP="0005621A">
      <w:pPr>
        <w:pStyle w:val="NormalWeb"/>
        <w:shd w:val="clear" w:color="auto" w:fill="FFFFFF"/>
        <w:spacing w:before="0" w:beforeAutospacing="0"/>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La cuota de las hipotecas a tipo variable está determinada por dos variables:</w:t>
      </w:r>
    </w:p>
    <w:p w14:paraId="205222C9" w14:textId="30AA733C" w:rsidR="00C5262A" w:rsidRPr="00CF1B34" w:rsidRDefault="00C5262A" w:rsidP="0005621A">
      <w:pPr>
        <w:numPr>
          <w:ilvl w:val="0"/>
          <w:numId w:val="13"/>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El</w:t>
      </w:r>
      <w:r w:rsidR="003142C5" w:rsidRPr="00CF1B34">
        <w:rPr>
          <w:rFonts w:ascii="Arial" w:hAnsi="Arial" w:cs="Arial"/>
          <w:color w:val="191B1C"/>
          <w:sz w:val="22"/>
          <w:szCs w:val="22"/>
          <w:lang w:val="es-ES_tradnl"/>
        </w:rPr>
        <w:t xml:space="preserve"> </w:t>
      </w:r>
      <w:r w:rsidRPr="00CF1B34">
        <w:rPr>
          <w:rStyle w:val="Textoennegrita"/>
          <w:rFonts w:ascii="Arial" w:hAnsi="Arial" w:cs="Arial"/>
          <w:color w:val="191B1C"/>
          <w:sz w:val="22"/>
          <w:szCs w:val="22"/>
          <w:lang w:val="es-ES_tradnl"/>
        </w:rPr>
        <w:t>diferencial</w:t>
      </w:r>
      <w:r w:rsidR="003142C5"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que corresponde con la parte fija que es acordada con la entidad bancaria.</w:t>
      </w:r>
    </w:p>
    <w:p w14:paraId="0A0D4E24" w14:textId="490952C6" w:rsidR="00C5262A" w:rsidRPr="00CF1B34" w:rsidRDefault="00C5262A" w:rsidP="0005621A">
      <w:pPr>
        <w:numPr>
          <w:ilvl w:val="0"/>
          <w:numId w:val="13"/>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El</w:t>
      </w:r>
      <w:r w:rsidR="003142C5" w:rsidRPr="00CF1B34">
        <w:rPr>
          <w:rFonts w:ascii="Arial" w:hAnsi="Arial" w:cs="Arial"/>
          <w:color w:val="191B1C"/>
          <w:sz w:val="22"/>
          <w:szCs w:val="22"/>
          <w:lang w:val="es-ES_tradnl"/>
        </w:rPr>
        <w:t xml:space="preserve"> </w:t>
      </w:r>
      <w:r w:rsidRPr="00CF1B34">
        <w:rPr>
          <w:rStyle w:val="Textoennegrita"/>
          <w:rFonts w:ascii="Arial" w:hAnsi="Arial" w:cs="Arial"/>
          <w:color w:val="191B1C"/>
          <w:sz w:val="22"/>
          <w:szCs w:val="22"/>
          <w:lang w:val="es-ES_tradnl"/>
        </w:rPr>
        <w:t>índice de referencia</w:t>
      </w:r>
      <w:r w:rsidR="003142C5"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que, aunque puede ser otro, en la mayoría de los casos es el euríbor.</w:t>
      </w:r>
    </w:p>
    <w:p w14:paraId="28B6AFC2" w14:textId="77777777" w:rsidR="00603C7D" w:rsidRPr="00CF1B34" w:rsidRDefault="00C5262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En caso de que el índice del euríbor suba, los intereses que debemos pagar por nuestra hipoteca también subirán. Si por el contrario el índice del euríbor baja, los intereses de nuestro préstamo hipotecario también bajarán.</w:t>
      </w:r>
    </w:p>
    <w:p w14:paraId="225ADD45" w14:textId="5712D1E9" w:rsidR="00914CF8" w:rsidRPr="00CF1B34" w:rsidRDefault="009570E7"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Euro-libor (Euro London Inter-bank Offered Rate)</w:t>
      </w:r>
    </w:p>
    <w:p w14:paraId="49A192B5" w14:textId="77777777" w:rsidR="003A05B8" w:rsidRPr="00CF1B34" w:rsidRDefault="003A05B8"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lastRenderedPageBreak/>
        <w:t>Es el interés ofrecido para los depósitos en euros, en el mercado de Londres, a un plazo determinado con una fecha valor D+2.</w:t>
      </w:r>
    </w:p>
    <w:p w14:paraId="33A18541" w14:textId="381B64F4" w:rsidR="009570E7" w:rsidRPr="00CF1B34" w:rsidRDefault="009570E7"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Eurolista</w:t>
      </w:r>
      <w:r w:rsidR="00352CED" w:rsidRPr="00CF1B34">
        <w:rPr>
          <w:rFonts w:ascii="Arial" w:hAnsi="Arial" w:cs="Arial"/>
          <w:b/>
          <w:bCs/>
          <w:color w:val="1F3864" w:themeColor="accent1" w:themeShade="80"/>
          <w:sz w:val="22"/>
          <w:szCs w:val="22"/>
          <w:lang w:val="es-ES_tradnl"/>
        </w:rPr>
        <w:t xml:space="preserve"> </w:t>
      </w:r>
    </w:p>
    <w:p w14:paraId="148ADD40" w14:textId="77777777" w:rsidR="00BC40AA" w:rsidRPr="00CF1B34" w:rsidRDefault="00BC40AA"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 xml:space="preserve">Lista de las sociedades mas importantes que cotizan en los quince países miembros de la CEE, </w:t>
      </w:r>
      <w:proofErr w:type="gramStart"/>
      <w:r w:rsidRPr="00CF1B34">
        <w:rPr>
          <w:rFonts w:ascii="Arial" w:hAnsi="Arial" w:cs="Arial"/>
          <w:color w:val="000000" w:themeColor="text1"/>
          <w:sz w:val="22"/>
          <w:szCs w:val="22"/>
          <w:lang w:val="es-ES_tradnl"/>
        </w:rPr>
        <w:t>que</w:t>
      </w:r>
      <w:proofErr w:type="gramEnd"/>
      <w:r w:rsidRPr="00CF1B34">
        <w:rPr>
          <w:rFonts w:ascii="Arial" w:hAnsi="Arial" w:cs="Arial"/>
          <w:color w:val="000000" w:themeColor="text1"/>
          <w:sz w:val="22"/>
          <w:szCs w:val="22"/>
          <w:lang w:val="es-ES_tradnl"/>
        </w:rPr>
        <w:t xml:space="preserve"> según el proyecto de la Bolsa de País, constituiría el núcleo del mercado bursátil.</w:t>
      </w:r>
    </w:p>
    <w:p w14:paraId="583973A7" w14:textId="6A35618E" w:rsidR="00914CF8" w:rsidRPr="00CF1B34" w:rsidRDefault="009570E7"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Euromercados</w:t>
      </w:r>
    </w:p>
    <w:p w14:paraId="45CFCDFE" w14:textId="05B9552B" w:rsidR="00812AC3" w:rsidRPr="00CF1B34" w:rsidRDefault="00812AC3"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Constituyen una de las principales categorías de los mercados financieros internacionales. Son mercados de crédito en los que los depósitos son aceptados, y los prestamos concedidos, sobre cualquier divisa libremente convertible depositada en una entidad bancaria fuera de su país de origen.</w:t>
      </w:r>
    </w:p>
    <w:p w14:paraId="36D484AD" w14:textId="7082000C" w:rsidR="009570E7" w:rsidRPr="00CF1B34" w:rsidRDefault="0010255D"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 xml:space="preserve">Ex - </w:t>
      </w:r>
      <w:r w:rsidR="009570E7" w:rsidRPr="00CF1B34">
        <w:rPr>
          <w:rFonts w:ascii="Arial" w:hAnsi="Arial" w:cs="Arial"/>
          <w:b/>
          <w:bCs/>
          <w:color w:val="1F3864" w:themeColor="accent1" w:themeShade="80"/>
          <w:sz w:val="22"/>
          <w:szCs w:val="22"/>
          <w:lang w:val="es-ES_tradnl"/>
        </w:rPr>
        <w:t>Cupón</w:t>
      </w:r>
    </w:p>
    <w:p w14:paraId="4E71BA65" w14:textId="77777777" w:rsidR="00832A66" w:rsidRPr="00CF1B34" w:rsidRDefault="00812AC3"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Expresión que indica que el titulo es cotizado sin el cupon</w:t>
      </w:r>
      <w:r w:rsidR="00832A66" w:rsidRPr="00CF1B34">
        <w:rPr>
          <w:rFonts w:ascii="Arial" w:hAnsi="Arial" w:cs="Arial"/>
          <w:color w:val="000000" w:themeColor="text1"/>
          <w:sz w:val="22"/>
          <w:szCs w:val="22"/>
          <w:lang w:val="es-ES_tradnl"/>
        </w:rPr>
        <w:t>. Su titular no se beneficia entonces de ninguno de los derechos derivados del cupon.</w:t>
      </w:r>
    </w:p>
    <w:p w14:paraId="78D8A9EB" w14:textId="549CB7CD" w:rsidR="009570E7" w:rsidRPr="00CF1B34" w:rsidRDefault="0010255D"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Ex - Derecho</w:t>
      </w:r>
    </w:p>
    <w:p w14:paraId="4648C884" w14:textId="320500EE" w:rsidR="0010255D" w:rsidRPr="00CF1B34" w:rsidRDefault="00832A66"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Cuando la acción cotizada es inscrita sin que su</w:t>
      </w:r>
      <w:r w:rsidR="0010255D" w:rsidRPr="00CF1B34">
        <w:rPr>
          <w:rFonts w:ascii="Arial" w:hAnsi="Arial" w:cs="Arial"/>
          <w:color w:val="000000" w:themeColor="text1"/>
          <w:sz w:val="22"/>
          <w:szCs w:val="22"/>
          <w:lang w:val="es-ES_tradnl"/>
        </w:rPr>
        <w:t xml:space="preserve"> titular pueda participar en el incremento de capital previsto, por atribución gratuita o por suscripción.</w:t>
      </w:r>
    </w:p>
    <w:p w14:paraId="58CBC5C9" w14:textId="42A80BED" w:rsidR="009570E7" w:rsidRPr="00CF1B34" w:rsidRDefault="003A05B8"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 xml:space="preserve">Exclusión </w:t>
      </w:r>
    </w:p>
    <w:p w14:paraId="20DE8404" w14:textId="77777777" w:rsidR="0010255D" w:rsidRPr="00CF1B34" w:rsidRDefault="0010255D" w:rsidP="0005621A">
      <w:pPr>
        <w:pBdr>
          <w:bottom w:val="dotted" w:sz="12" w:space="12" w:color="666666"/>
        </w:pBdr>
        <w:spacing w:after="240"/>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Este termino va referido a la marcha de las sociedades de bolsa. La exclusión puede ser voluntaria o forzada por las autoridades del mercado por no atender a los requisitos que se exigen para que coticen sus acciones en el mercado.</w:t>
      </w:r>
    </w:p>
    <w:p w14:paraId="7D72B936" w14:textId="213CF6FB" w:rsidR="003A05B8" w:rsidRPr="00CF1B34" w:rsidRDefault="003A05B8"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Exoneraci</w:t>
      </w:r>
      <w:r w:rsidR="00BB786F" w:rsidRPr="00CF1B34">
        <w:rPr>
          <w:rFonts w:ascii="Arial" w:hAnsi="Arial" w:cs="Arial"/>
          <w:b/>
          <w:bCs/>
          <w:color w:val="1F3864" w:themeColor="accent1" w:themeShade="80"/>
          <w:sz w:val="22"/>
          <w:szCs w:val="22"/>
          <w:lang w:val="es-ES_tradnl"/>
        </w:rPr>
        <w:t>ó</w:t>
      </w:r>
      <w:r w:rsidRPr="00CF1B34">
        <w:rPr>
          <w:rFonts w:ascii="Arial" w:hAnsi="Arial" w:cs="Arial"/>
          <w:b/>
          <w:bCs/>
          <w:color w:val="1F3864" w:themeColor="accent1" w:themeShade="80"/>
          <w:sz w:val="22"/>
          <w:szCs w:val="22"/>
          <w:lang w:val="es-ES_tradnl"/>
        </w:rPr>
        <w:t>n</w:t>
      </w:r>
    </w:p>
    <w:p w14:paraId="0E2A44EC" w14:textId="77777777" w:rsidR="0010255D" w:rsidRPr="00CF1B34" w:rsidRDefault="0010255D" w:rsidP="0005621A">
      <w:pPr>
        <w:pBdr>
          <w:bottom w:val="dotted" w:sz="12" w:space="12" w:color="666666"/>
        </w:pBdr>
        <w:spacing w:after="240"/>
        <w:ind w:firstLine="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Diferencia entre el valor real o liquidable de un titulo y su precio en bolsa.</w:t>
      </w:r>
    </w:p>
    <w:p w14:paraId="663690D4" w14:textId="5B3FB4D8" w:rsidR="00603C7D" w:rsidRPr="00CF1B34" w:rsidRDefault="00603C7D"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Extracto bancario</w:t>
      </w:r>
    </w:p>
    <w:p w14:paraId="565F0DB9" w14:textId="5AAC472B" w:rsidR="00603C7D" w:rsidRPr="00CF1B34" w:rsidRDefault="00603C7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 extracto bancario es un documento emitido por una entidad bancaria que incluye el saldo disponible y el resumen de los movimientos que se han producido en la cuenta bancaria, la tarjeta de crédito o producto financiero durante un periodo de tiempo determinado.</w:t>
      </w:r>
    </w:p>
    <w:p w14:paraId="21F5116B" w14:textId="77777777" w:rsidR="00603C7D" w:rsidRPr="00CF1B34" w:rsidRDefault="00603C7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Tradicionalmente era habitual recibir el extracto bancario mensual en papel. Actualmente, la mayor parte de las entidades han dejado de enviarlo en papel ya que la banca online ofrece la posibilidad a sus clientes de consultar esta información en cualquier momento y lugar. La mayoría de las webs y aplicaciones de banca online permiten, además de consultar los movimientos, descargar el documento del extracto bancario.</w:t>
      </w:r>
    </w:p>
    <w:p w14:paraId="51AA0884" w14:textId="012FF38B" w:rsidR="00603C7D" w:rsidRPr="00CF1B34" w:rsidRDefault="00603C7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extracto bancario incluye todos los movimientos realizados en la</w:t>
      </w:r>
      <w:r w:rsidR="00914CF8" w:rsidRPr="00CF1B34">
        <w:rPr>
          <w:rFonts w:ascii="Arial" w:hAnsi="Arial" w:cs="Arial"/>
          <w:sz w:val="22"/>
          <w:szCs w:val="22"/>
          <w:lang w:val="es-ES_tradnl"/>
        </w:rPr>
        <w:t xml:space="preserve"> </w:t>
      </w:r>
      <w:hyperlink r:id="rId234" w:history="1">
        <w:r w:rsidRPr="00CF1B34">
          <w:rPr>
            <w:rFonts w:ascii="Arial" w:hAnsi="Arial" w:cs="Arial"/>
            <w:b/>
            <w:bCs/>
            <w:color w:val="2F5496" w:themeColor="accent1" w:themeShade="BF"/>
            <w:sz w:val="22"/>
            <w:szCs w:val="22"/>
            <w:u w:val="single"/>
            <w:lang w:val="es-ES_tradnl"/>
          </w:rPr>
          <w:t>cuenta</w:t>
        </w:r>
      </w:hyperlink>
      <w:r w:rsidR="00914CF8" w:rsidRPr="00CF1B34">
        <w:rPr>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como las retiradas de dinero, movimientos en cajeros automáticos, ingreso de nóminas, recibos domiciliados, cobro o pago con cheques o movimientos de la tarjeta de crédito.</w:t>
      </w:r>
    </w:p>
    <w:p w14:paraId="03159735" w14:textId="77777777" w:rsidR="00603C7D" w:rsidRPr="00CF1B34" w:rsidRDefault="00603C7D"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lastRenderedPageBreak/>
        <w:t>El extracto bancario incluye la siguiente información sobre cada uno de los movimientos de la cuenta:</w:t>
      </w:r>
    </w:p>
    <w:p w14:paraId="6E568B44" w14:textId="77777777" w:rsidR="00603C7D" w:rsidRPr="00CF1B34" w:rsidRDefault="00603C7D" w:rsidP="0005621A">
      <w:pPr>
        <w:numPr>
          <w:ilvl w:val="0"/>
          <w:numId w:val="14"/>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Concepto de la operación</w:t>
      </w:r>
      <w:r w:rsidRPr="00CF1B34">
        <w:rPr>
          <w:rFonts w:ascii="Arial" w:hAnsi="Arial" w:cs="Arial"/>
          <w:sz w:val="22"/>
          <w:szCs w:val="22"/>
          <w:lang w:val="es-ES_tradnl"/>
        </w:rPr>
        <w:t>: figurarán en el extracto todas aquellas operaciones que supongan una variación en el saldo de la cuenta.</w:t>
      </w:r>
    </w:p>
    <w:p w14:paraId="0929A6B2" w14:textId="77777777" w:rsidR="00603C7D" w:rsidRPr="00CF1B34" w:rsidRDefault="00603C7D" w:rsidP="0005621A">
      <w:pPr>
        <w:numPr>
          <w:ilvl w:val="0"/>
          <w:numId w:val="14"/>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Fecha</w:t>
      </w:r>
      <w:r w:rsidRPr="00CF1B34">
        <w:rPr>
          <w:rFonts w:ascii="Arial" w:hAnsi="Arial" w:cs="Arial"/>
          <w:sz w:val="22"/>
          <w:szCs w:val="22"/>
          <w:lang w:val="es-ES_tradnl"/>
        </w:rPr>
        <w:t>: el extracto contempla dos fechas para cada operación, una de ellas es la fecha en la que la operación fue realizada y la otra, la fecha de valor que es la fecha a partir de la cual los abonos en cuenta comenzarán a generar valor y en el caso de los adeudos, serán la fecha en que dejan de generarlos.</w:t>
      </w:r>
    </w:p>
    <w:p w14:paraId="1DECAFF1" w14:textId="77777777" w:rsidR="00603C7D" w:rsidRPr="00CF1B34" w:rsidRDefault="00603C7D" w:rsidP="0005621A">
      <w:pPr>
        <w:numPr>
          <w:ilvl w:val="0"/>
          <w:numId w:val="14"/>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Importe</w:t>
      </w:r>
      <w:r w:rsidRPr="00CF1B34">
        <w:rPr>
          <w:rFonts w:ascii="Arial" w:hAnsi="Arial" w:cs="Arial"/>
          <w:sz w:val="22"/>
          <w:szCs w:val="22"/>
          <w:lang w:val="es-ES_tradnl"/>
        </w:rPr>
        <w:t>: refleja los pagos en negativo y los ingresos en positivo.</w:t>
      </w:r>
    </w:p>
    <w:p w14:paraId="18134D79" w14:textId="77777777" w:rsidR="00603C7D" w:rsidRPr="00CF1B34" w:rsidRDefault="00603C7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sz w:val="22"/>
          <w:szCs w:val="22"/>
          <w:lang w:val="es-ES_tradnl"/>
        </w:rPr>
        <w:t>Saldo resultante</w:t>
      </w:r>
      <w:r w:rsidRPr="00CF1B34">
        <w:rPr>
          <w:rFonts w:ascii="Arial" w:hAnsi="Arial" w:cs="Arial"/>
          <w:sz w:val="22"/>
          <w:szCs w:val="22"/>
          <w:lang w:val="es-ES_tradnl"/>
        </w:rPr>
        <w:t>: es el importe de dinero que estará disponible en la cuenta para que el titular pueda utilizarlo libremente.</w:t>
      </w:r>
    </w:p>
    <w:p w14:paraId="1F6076D4" w14:textId="52BB5F42" w:rsidR="00B75E6A" w:rsidRPr="00CF1B34" w:rsidRDefault="00B75E6A" w:rsidP="0005621A">
      <w:pPr>
        <w:jc w:val="both"/>
        <w:rPr>
          <w:rFonts w:ascii="Arial" w:hAnsi="Arial" w:cs="Arial"/>
          <w:sz w:val="22"/>
          <w:szCs w:val="22"/>
          <w:lang w:val="es-ES_tradnl"/>
        </w:rPr>
      </w:pPr>
    </w:p>
    <w:p w14:paraId="79424250" w14:textId="7DF6E102" w:rsidR="00B75E6A" w:rsidRPr="00CF1B34" w:rsidRDefault="00B75E6A" w:rsidP="0005621A">
      <w:pPr>
        <w:jc w:val="both"/>
        <w:rPr>
          <w:rFonts w:ascii="Arial" w:hAnsi="Arial" w:cs="Arial"/>
          <w:sz w:val="22"/>
          <w:szCs w:val="22"/>
          <w:lang w:val="es-ES_tradnl"/>
        </w:rPr>
      </w:pPr>
    </w:p>
    <w:p w14:paraId="032303F0" w14:textId="07ADEDD0" w:rsidR="00B75E6A" w:rsidRPr="00CF1B34" w:rsidRDefault="00DB1AEF" w:rsidP="0005621A">
      <w:pPr>
        <w:jc w:val="both"/>
        <w:rPr>
          <w:rFonts w:ascii="Arial" w:hAnsi="Arial" w:cs="Arial"/>
          <w:color w:val="1F3864" w:themeColor="accent1" w:themeShade="80"/>
          <w:sz w:val="32"/>
          <w:szCs w:val="32"/>
          <w:lang w:val="es-ES_tradnl"/>
        </w:rPr>
      </w:pPr>
      <w:r w:rsidRPr="00CF1B34">
        <w:rPr>
          <w:rFonts w:ascii="Arial" w:hAnsi="Arial" w:cs="Arial"/>
          <w:color w:val="1F3864" w:themeColor="accent1" w:themeShade="80"/>
          <w:sz w:val="32"/>
          <w:szCs w:val="32"/>
          <w:lang w:val="es-ES_tradnl"/>
        </w:rPr>
        <w:t>F</w:t>
      </w:r>
    </w:p>
    <w:p w14:paraId="433FD75C" w14:textId="279ED5DE" w:rsidR="00B75E6A" w:rsidRPr="00CF1B34" w:rsidRDefault="00B75E6A" w:rsidP="0005621A">
      <w:pPr>
        <w:jc w:val="both"/>
        <w:rPr>
          <w:rFonts w:ascii="Arial" w:hAnsi="Arial" w:cs="Arial"/>
          <w:sz w:val="22"/>
          <w:szCs w:val="22"/>
          <w:lang w:val="es-ES_tradnl"/>
        </w:rPr>
      </w:pPr>
    </w:p>
    <w:p w14:paraId="137F6C3C" w14:textId="77777777" w:rsidR="00914CF8" w:rsidRPr="00CF1B34" w:rsidRDefault="00914CF8" w:rsidP="0005621A">
      <w:pPr>
        <w:jc w:val="both"/>
        <w:rPr>
          <w:rFonts w:ascii="Arial" w:hAnsi="Arial" w:cs="Arial"/>
          <w:sz w:val="22"/>
          <w:szCs w:val="22"/>
          <w:lang w:val="es-ES_tradnl"/>
        </w:rPr>
      </w:pPr>
    </w:p>
    <w:p w14:paraId="30D8AE84"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Factores de sostenibilidad </w:t>
      </w:r>
    </w:p>
    <w:p w14:paraId="03ABC763"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Toda información relacionada con cuestiones medioambientales y sociales, así como relativas al personal, y con el respeto de los derechos humanos y la lucha con la corrupción y el soborno. </w:t>
      </w:r>
    </w:p>
    <w:p w14:paraId="56AB0EC6" w14:textId="5719077C" w:rsidR="00520EA9" w:rsidRPr="00CF1B34" w:rsidRDefault="00520EA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Factoring </w:t>
      </w:r>
    </w:p>
    <w:p w14:paraId="7DB3C596" w14:textId="052B892E" w:rsidR="00520EA9" w:rsidRPr="00CF1B34" w:rsidRDefault="00520EA9" w:rsidP="0005621A">
      <w:pPr>
        <w:pStyle w:val="Sinespaciado"/>
        <w:jc w:val="both"/>
        <w:rPr>
          <w:rFonts w:ascii="Arial" w:hAnsi="Arial" w:cs="Arial"/>
          <w:sz w:val="22"/>
          <w:szCs w:val="22"/>
          <w:lang w:val="es-ES_tradnl"/>
        </w:rPr>
      </w:pPr>
      <w:r w:rsidRPr="00CF1B34">
        <w:rPr>
          <w:rFonts w:ascii="Arial" w:hAnsi="Arial" w:cs="Arial"/>
          <w:b/>
          <w:bCs/>
          <w:color w:val="333333"/>
          <w:sz w:val="22"/>
          <w:szCs w:val="22"/>
          <w:lang w:val="es-ES_tradnl"/>
        </w:rPr>
        <w:t>Factoring</w:t>
      </w:r>
      <w:r w:rsidRPr="00CF1B34">
        <w:rPr>
          <w:rFonts w:ascii="Arial" w:hAnsi="Arial" w:cs="Arial"/>
          <w:color w:val="333333"/>
          <w:sz w:val="22"/>
          <w:szCs w:val="22"/>
          <w:lang w:val="es-ES_tradnl"/>
        </w:rPr>
        <w:t>, se lo considera un</w:t>
      </w:r>
      <w:r w:rsidR="00355E56"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tipo de</w:t>
      </w:r>
      <w:r w:rsidR="00355E56" w:rsidRPr="00CF1B34">
        <w:rPr>
          <w:rFonts w:ascii="Arial" w:hAnsi="Arial" w:cs="Arial"/>
          <w:b/>
          <w:bCs/>
          <w:color w:val="333333"/>
          <w:sz w:val="22"/>
          <w:szCs w:val="22"/>
          <w:lang w:val="es-ES_tradnl"/>
        </w:rPr>
        <w:t xml:space="preserve"> product finanaciero </w:t>
      </w:r>
      <w:r w:rsidRPr="00CF1B34">
        <w:rPr>
          <w:rFonts w:ascii="Arial" w:hAnsi="Arial" w:cs="Arial"/>
          <w:b/>
          <w:bCs/>
          <w:color w:val="333333"/>
          <w:sz w:val="22"/>
          <w:szCs w:val="22"/>
          <w:lang w:val="es-ES_tradnl"/>
        </w:rPr>
        <w:t>que otorgan bancos a las empresas</w:t>
      </w:r>
      <w:r w:rsidR="00355E56"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que procura ofrecer</w:t>
      </w:r>
      <w:r w:rsidR="00355E56"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dos servicios:</w:t>
      </w:r>
      <w:r w:rsidR="00355E56"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la</w:t>
      </w:r>
      <w:r w:rsidR="00355E56"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administración de cobros o cobranza</w:t>
      </w:r>
      <w:r w:rsidR="00355E56"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y</w:t>
      </w:r>
      <w:r w:rsidR="00355E56"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la</w:t>
      </w:r>
      <w:r w:rsidR="00355E56" w:rsidRPr="00CF1B34">
        <w:rPr>
          <w:rFonts w:ascii="Arial" w:hAnsi="Arial" w:cs="Arial"/>
          <w:color w:val="333333"/>
          <w:sz w:val="22"/>
          <w:szCs w:val="22"/>
          <w:lang w:val="es-ES_tradnl"/>
        </w:rPr>
        <w:t xml:space="preserve"> </w:t>
      </w:r>
      <w:hyperlink r:id="rId235" w:history="1">
        <w:r w:rsidRPr="00CF1B34">
          <w:rPr>
            <w:rFonts w:ascii="Arial" w:hAnsi="Arial" w:cs="Arial"/>
            <w:b/>
            <w:bCs/>
            <w:color w:val="000000"/>
            <w:sz w:val="22"/>
            <w:szCs w:val="22"/>
            <w:u w:val="single"/>
            <w:lang w:val="es-ES_tradnl"/>
          </w:rPr>
          <w:t>financiación</w:t>
        </w:r>
      </w:hyperlink>
      <w:r w:rsidRPr="00CF1B34">
        <w:rPr>
          <w:rFonts w:ascii="Arial" w:hAnsi="Arial" w:cs="Arial"/>
          <w:color w:val="333333"/>
          <w:sz w:val="22"/>
          <w:szCs w:val="22"/>
          <w:lang w:val="es-ES_tradnl"/>
        </w:rPr>
        <w:t>. Por ejemplo, una</w:t>
      </w:r>
      <w:r w:rsidR="00355E56"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empresa o comerciante</w:t>
      </w:r>
      <w:r w:rsidR="00355E56"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 xml:space="preserve">contrata con un banco la gestión de todos sus cobros y el adelanto financiero de los mismos a cambio de un interés. </w:t>
      </w:r>
      <w:r w:rsidRPr="00CF1B34">
        <w:rPr>
          <w:rFonts w:ascii="Arial" w:hAnsi="Arial" w:cs="Arial"/>
          <w:color w:val="333333"/>
          <w:sz w:val="22"/>
          <w:szCs w:val="22"/>
          <w:shd w:val="clear" w:color="auto" w:fill="FFFFFF"/>
          <w:lang w:val="es-ES_tradnl"/>
        </w:rPr>
        <w:t>Dicho de otra manera, es la compra (que posee un interés descontado) de los creditos originados por la venta de mercancías a corto plazo.</w:t>
      </w:r>
    </w:p>
    <w:p w14:paraId="3A2D38BB" w14:textId="7777777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Por este motivo es que, normalmente, las garantías que da el cliente están referidas a que los bienes han sido entregados. El cliente garantiza que el crédito representa una obligación legal y que el deudor aceptará la mercancía, sin ningún tipo de reclamo.</w:t>
      </w:r>
    </w:p>
    <w:p w14:paraId="73E62DBB" w14:textId="7777777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u w:val="single"/>
          <w:lang w:val="es-ES_tradnl"/>
        </w:rPr>
        <w:t>Costos</w:t>
      </w:r>
    </w:p>
    <w:p w14:paraId="607549EE" w14:textId="7777777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Los costes son móviles en función de:</w:t>
      </w:r>
    </w:p>
    <w:p w14:paraId="173498FB" w14:textId="7777777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 Si los contratos son con recurso o sin recurso.</w:t>
      </w:r>
    </w:p>
    <w:p w14:paraId="4C9DC302" w14:textId="7777777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 Características del deudor, país, riesgo, antigüedad como cliente del cedente, etc.</w:t>
      </w:r>
    </w:p>
    <w:p w14:paraId="4C0063D0" w14:textId="7777777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 Nivel de facturación, importe medio de las facturas, la actividad, cantidad de deudores, vencimientos del cedente.</w:t>
      </w:r>
    </w:p>
    <w:p w14:paraId="54AAF82C" w14:textId="7777777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 El devengo y pago del interés se realiza, no </w:t>
      </w:r>
      <w:proofErr w:type="gramStart"/>
      <w:r w:rsidRPr="00CF1B34">
        <w:rPr>
          <w:rFonts w:ascii="Arial" w:hAnsi="Arial" w:cs="Arial"/>
          <w:color w:val="333333"/>
          <w:sz w:val="22"/>
          <w:szCs w:val="22"/>
          <w:lang w:val="es-ES_tradnl"/>
        </w:rPr>
        <w:t>obstante</w:t>
      </w:r>
      <w:proofErr w:type="gramEnd"/>
      <w:r w:rsidRPr="00CF1B34">
        <w:rPr>
          <w:rFonts w:ascii="Arial" w:hAnsi="Arial" w:cs="Arial"/>
          <w:color w:val="333333"/>
          <w:sz w:val="22"/>
          <w:szCs w:val="22"/>
          <w:lang w:val="es-ES_tradnl"/>
        </w:rPr>
        <w:t xml:space="preserve"> el cedente recibe el pago por anticipado.</w:t>
      </w:r>
    </w:p>
    <w:p w14:paraId="0EA217FD" w14:textId="23926FC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 En cuanto a las comisiones, se sitúan en un rango que oscila entre el 0,50% y el 2,50% sobre el importe total de las facturas. Estas tarifas se devengan y pagan en el momento de la cesión del crédito, con la entrega de las facturas al Factor.</w:t>
      </w:r>
    </w:p>
    <w:p w14:paraId="7B7F074B" w14:textId="7777777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u w:val="single"/>
          <w:lang w:val="es-ES_tradnl"/>
        </w:rPr>
        <w:t>Ventajas</w:t>
      </w:r>
    </w:p>
    <w:p w14:paraId="5347C5E6" w14:textId="77777777" w:rsidR="00520EA9" w:rsidRPr="00CF1B34" w:rsidRDefault="00520EA9" w:rsidP="004F7A62">
      <w:pPr>
        <w:numPr>
          <w:ilvl w:val="0"/>
          <w:numId w:val="16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Ahorro de tiempo y gastos, y precisión de la obtención de informes.</w:t>
      </w:r>
    </w:p>
    <w:p w14:paraId="037FF9ED" w14:textId="77777777" w:rsidR="00520EA9" w:rsidRPr="00CF1B34" w:rsidRDefault="00520EA9" w:rsidP="004F7A62">
      <w:pPr>
        <w:numPr>
          <w:ilvl w:val="0"/>
          <w:numId w:val="16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Simplifica la contabilidad, debido a que con el factoring pasa a tener un solo cliente, que paga al contado.</w:t>
      </w:r>
    </w:p>
    <w:p w14:paraId="5FA3A5C1" w14:textId="77777777" w:rsidR="00520EA9" w:rsidRPr="00CF1B34" w:rsidRDefault="00520EA9" w:rsidP="004F7A62">
      <w:pPr>
        <w:numPr>
          <w:ilvl w:val="0"/>
          <w:numId w:val="16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Permite recibir anticipos de los créditos cedidos.</w:t>
      </w:r>
    </w:p>
    <w:p w14:paraId="241AC0D8" w14:textId="77777777" w:rsidR="00520EA9" w:rsidRPr="00CF1B34" w:rsidRDefault="00520EA9" w:rsidP="004F7A62">
      <w:pPr>
        <w:numPr>
          <w:ilvl w:val="0"/>
          <w:numId w:val="16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Menos supervisión y dirección en la organización de una contabilidad de ventas.</w:t>
      </w:r>
    </w:p>
    <w:p w14:paraId="3164EF3E" w14:textId="77777777" w:rsidR="00520EA9" w:rsidRPr="00CF1B34" w:rsidRDefault="00520EA9" w:rsidP="004F7A62">
      <w:pPr>
        <w:numPr>
          <w:ilvl w:val="0"/>
          <w:numId w:val="16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Las facturas dan garantía para un préstamo que de otro modo la empresa no podría obtener.</w:t>
      </w:r>
    </w:p>
    <w:p w14:paraId="083AF006" w14:textId="77777777" w:rsidR="00520EA9" w:rsidRPr="00CF1B34" w:rsidRDefault="00520EA9" w:rsidP="004F7A62">
      <w:pPr>
        <w:numPr>
          <w:ilvl w:val="0"/>
          <w:numId w:val="165"/>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Proporciona protección en procesos inflacionarios porque se posee el dinero con anticipación</w:t>
      </w:r>
    </w:p>
    <w:p w14:paraId="5816C921" w14:textId="77777777" w:rsidR="00520EA9" w:rsidRPr="00CF1B34" w:rsidRDefault="00520EA9"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u w:val="single"/>
          <w:lang w:val="es-ES_tradnl"/>
        </w:rPr>
        <w:t>Inconvenientes</w:t>
      </w:r>
    </w:p>
    <w:p w14:paraId="7D2EE49B" w14:textId="77777777" w:rsidR="00520EA9" w:rsidRPr="00CF1B34" w:rsidRDefault="00520EA9" w:rsidP="004F7A62">
      <w:pPr>
        <w:numPr>
          <w:ilvl w:val="0"/>
          <w:numId w:val="16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Coste elevado. Mayor que el descuento comercial convencional.</w:t>
      </w:r>
    </w:p>
    <w:p w14:paraId="0B05048D" w14:textId="77777777" w:rsidR="00520EA9" w:rsidRPr="00CF1B34" w:rsidRDefault="00520EA9" w:rsidP="004F7A62">
      <w:pPr>
        <w:numPr>
          <w:ilvl w:val="0"/>
          <w:numId w:val="16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El factor puede no aceptar todos los documentos de su cliente.</w:t>
      </w:r>
    </w:p>
    <w:p w14:paraId="5A8C3A9C" w14:textId="77777777" w:rsidR="00520EA9" w:rsidRPr="00CF1B34" w:rsidRDefault="00520EA9" w:rsidP="004F7A62">
      <w:pPr>
        <w:numPr>
          <w:ilvl w:val="0"/>
          <w:numId w:val="16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Se excluyen operaciones con productos perecederos y las de largo plazo (más de 180 días).</w:t>
      </w:r>
    </w:p>
    <w:p w14:paraId="50B16503" w14:textId="6AE9F4F4" w:rsidR="00520EA9" w:rsidRPr="00CF1B34" w:rsidRDefault="00520EA9" w:rsidP="004F7A62">
      <w:pPr>
        <w:numPr>
          <w:ilvl w:val="0"/>
          <w:numId w:val="166"/>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Las empresas que se dedican al Factoring son impersonales, poco trato social.</w:t>
      </w:r>
    </w:p>
    <w:p w14:paraId="0DE1BA1D" w14:textId="77777777" w:rsidR="00355E56" w:rsidRPr="00CF1B34" w:rsidRDefault="00355E56" w:rsidP="004F7A62">
      <w:pPr>
        <w:pStyle w:val="Prrafodelista"/>
        <w:numPr>
          <w:ilvl w:val="0"/>
          <w:numId w:val="166"/>
        </w:numPr>
        <w:pBdr>
          <w:bottom w:val="dotted" w:sz="12" w:space="12" w:color="666666"/>
        </w:pBdr>
        <w:spacing w:after="240"/>
        <w:jc w:val="both"/>
        <w:rPr>
          <w:rFonts w:ascii="Arial" w:hAnsi="Arial" w:cs="Arial"/>
          <w:color w:val="212529"/>
          <w:sz w:val="22"/>
          <w:szCs w:val="22"/>
          <w:lang w:val="es-ES_tradnl"/>
        </w:rPr>
      </w:pPr>
    </w:p>
    <w:p w14:paraId="24BC0B40" w14:textId="7AE3C580" w:rsidR="00520EA9" w:rsidRPr="00CF1B34" w:rsidRDefault="00355E56" w:rsidP="0005621A">
      <w:pPr>
        <w:pStyle w:val="Sinespaciado"/>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 xml:space="preserve">Factura electronica </w:t>
      </w:r>
    </w:p>
    <w:p w14:paraId="7C956D50" w14:textId="77777777" w:rsidR="004E550D" w:rsidRPr="00CF1B34" w:rsidRDefault="004E550D"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Una factura electrónica es un documento digital de índole fiscal que se expide y recibe en formato electrónico, condicionado a su destinatario y con origen en las legislaciones latinoamericanas surgidas entre los años 2000 y 2005. Tiene validez legal tributaria como medio de respaldo de las operaciones comerciales entre contribuyentes, reemplazando a las facturas tradicionales de papel.</w:t>
      </w:r>
    </w:p>
    <w:p w14:paraId="0B8F84A9" w14:textId="77777777" w:rsidR="004E550D" w:rsidRPr="00CF1B34" w:rsidRDefault="004E550D" w:rsidP="0005621A">
      <w:pPr>
        <w:pStyle w:val="Sinespaciado"/>
        <w:ind w:firstLine="708"/>
        <w:jc w:val="both"/>
        <w:rPr>
          <w:rFonts w:ascii="Arial" w:hAnsi="Arial" w:cs="Arial"/>
          <w:sz w:val="22"/>
          <w:szCs w:val="22"/>
          <w:lang w:val="es-ES_tradnl"/>
        </w:rPr>
      </w:pPr>
      <w:r w:rsidRPr="00CF1B34">
        <w:rPr>
          <w:rFonts w:ascii="Arial" w:hAnsi="Arial" w:cs="Arial"/>
          <w:b/>
          <w:bCs/>
          <w:sz w:val="22"/>
          <w:szCs w:val="22"/>
          <w:lang w:val="es-ES_tradnl"/>
        </w:rPr>
        <w:t>Características</w:t>
      </w:r>
    </w:p>
    <w:p w14:paraId="1BE0FEC5" w14:textId="77777777" w:rsidR="004E550D" w:rsidRPr="00CF1B34" w:rsidRDefault="004E550D"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Entre las características generales de la factura electrónica se encuentran:</w:t>
      </w:r>
    </w:p>
    <w:p w14:paraId="219A87F6" w14:textId="77777777" w:rsidR="004E550D" w:rsidRPr="00CF1B34" w:rsidRDefault="004E550D" w:rsidP="004F7A62">
      <w:pPr>
        <w:numPr>
          <w:ilvl w:val="0"/>
          <w:numId w:val="167"/>
        </w:numPr>
        <w:shd w:val="clear" w:color="auto" w:fill="FFFFFF"/>
        <w:spacing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Es un documento digital que tiene efectos legales similares a una factura en papel</w:t>
      </w:r>
    </w:p>
    <w:p w14:paraId="405EAB47" w14:textId="77777777" w:rsidR="004E550D" w:rsidRPr="00CF1B34" w:rsidRDefault="004E550D" w:rsidP="004F7A62">
      <w:pPr>
        <w:numPr>
          <w:ilvl w:val="0"/>
          <w:numId w:val="167"/>
        </w:numPr>
        <w:shd w:val="clear" w:color="auto" w:fill="FFFFFF"/>
        <w:spacing w:before="100" w:beforeAutospacing="1"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Se expide y recibe en formato electrónico</w:t>
      </w:r>
    </w:p>
    <w:p w14:paraId="0ADDA481" w14:textId="77777777" w:rsidR="004E550D" w:rsidRPr="00CF1B34" w:rsidRDefault="004E550D" w:rsidP="004F7A62">
      <w:pPr>
        <w:numPr>
          <w:ilvl w:val="0"/>
          <w:numId w:val="167"/>
        </w:numPr>
        <w:shd w:val="clear" w:color="auto" w:fill="FFFFFF"/>
        <w:spacing w:before="100" w:beforeAutospacing="1"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Condicionado al consentimiento del destinatario</w:t>
      </w:r>
    </w:p>
    <w:p w14:paraId="73FC96F1" w14:textId="77777777" w:rsidR="004E550D" w:rsidRPr="00CF1B34" w:rsidRDefault="004E550D" w:rsidP="004F7A62">
      <w:pPr>
        <w:numPr>
          <w:ilvl w:val="0"/>
          <w:numId w:val="167"/>
        </w:numPr>
        <w:shd w:val="clear" w:color="auto" w:fill="FFFFFF"/>
        <w:spacing w:before="100" w:beforeAutospacing="1"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Reemplaza a las facturas tradicionales de papel</w:t>
      </w:r>
    </w:p>
    <w:p w14:paraId="3C379097" w14:textId="77777777" w:rsidR="004E550D" w:rsidRPr="00CF1B34" w:rsidRDefault="004E550D" w:rsidP="004F7A62">
      <w:pPr>
        <w:numPr>
          <w:ilvl w:val="0"/>
          <w:numId w:val="167"/>
        </w:numPr>
        <w:shd w:val="clear" w:color="auto" w:fill="FFFFFF"/>
        <w:spacing w:before="100" w:beforeAutospacing="1" w:after="100" w:after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Es un comprobante fiscal digital que se genera mediante internet (CFDI)</w:t>
      </w:r>
    </w:p>
    <w:p w14:paraId="3AB2C035" w14:textId="77777777" w:rsidR="004E550D" w:rsidRPr="00CF1B34" w:rsidRDefault="004E550D" w:rsidP="004F7A62">
      <w:pPr>
        <w:numPr>
          <w:ilvl w:val="0"/>
          <w:numId w:val="167"/>
        </w:numPr>
        <w:shd w:val="clear" w:color="auto" w:fill="FFFFFF"/>
        <w:spacing w:before="100" w:beforeAutospacing="1"/>
        <w:jc w:val="both"/>
        <w:rPr>
          <w:rFonts w:ascii="Arial" w:hAnsi="Arial" w:cs="Arial"/>
          <w:color w:val="000000"/>
          <w:sz w:val="22"/>
          <w:szCs w:val="22"/>
          <w:lang w:val="es-ES_tradnl"/>
        </w:rPr>
      </w:pPr>
      <w:r w:rsidRPr="00CF1B34">
        <w:rPr>
          <w:rFonts w:ascii="Arial" w:hAnsi="Arial" w:cs="Arial"/>
          <w:color w:val="000000"/>
          <w:sz w:val="22"/>
          <w:szCs w:val="22"/>
          <w:lang w:val="es-ES_tradnl"/>
        </w:rPr>
        <w:t>Contiene información detallada sobre la operación comercial, incluyendo datos del emisor y receptor, descripción de los bienes o servicios, valor y otros detalles relevantes</w:t>
      </w:r>
    </w:p>
    <w:p w14:paraId="76847270" w14:textId="77777777" w:rsidR="004E550D" w:rsidRPr="00CF1B34" w:rsidRDefault="004E550D"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Importante destacar</w:t>
      </w:r>
    </w:p>
    <w:p w14:paraId="56E7CFDE" w14:textId="250EEFBD" w:rsidR="0019449F" w:rsidRPr="00CF1B34" w:rsidRDefault="004E550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 expedición de una factura electrónica está condicionada al consentimiento del destinatario, y es importante que los contribuyentes autorizados a emitir facturas electrónicas envíen mensualmente la información del Libro de Compra y Venta al Servicio de Impuestos Internos (SII)</w:t>
      </w:r>
      <w:proofErr w:type="gramStart"/>
      <w:r w:rsidRPr="00CF1B34">
        <w:rPr>
          <w:rFonts w:ascii="Arial" w:hAnsi="Arial" w:cs="Arial"/>
          <w:sz w:val="22"/>
          <w:szCs w:val="22"/>
          <w:lang w:val="es-ES_tradnl"/>
        </w:rPr>
        <w:t>.</w:t>
      </w:r>
      <w:r w:rsidR="0019449F" w:rsidRPr="00CF1B34">
        <w:rPr>
          <w:rFonts w:ascii="Arial" w:hAnsi="Arial" w:cs="Arial"/>
          <w:color w:val="212529"/>
          <w:sz w:val="22"/>
          <w:szCs w:val="22"/>
          <w:lang w:val="es-ES_tradnl"/>
        </w:rPr>
        <w:t xml:space="preserve"> .</w:t>
      </w:r>
      <w:proofErr w:type="gramEnd"/>
    </w:p>
    <w:p w14:paraId="700CD4BD" w14:textId="633386E8" w:rsidR="00637D33" w:rsidRPr="00CF1B34" w:rsidRDefault="00637D33" w:rsidP="0005621A">
      <w:p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004773"/>
          <w:sz w:val="22"/>
          <w:szCs w:val="22"/>
          <w:lang w:val="es-ES_tradnl"/>
        </w:rPr>
        <w:t>Family office</w:t>
      </w:r>
    </w:p>
    <w:p w14:paraId="374A4435" w14:textId="1BA3A2BF"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Grupos familiares que desarrollan una gestión integral de sus patrimonios, por sí mismos o a través de entidades especializadas. Pueden abarcar servicios como planificación financiero-fiscal global, administración de activos, gestión de inversiones, etc.</w:t>
      </w:r>
    </w:p>
    <w:p w14:paraId="5473FFF8" w14:textId="5D9EF5B2" w:rsidR="00771FE6" w:rsidRPr="00CF1B34" w:rsidRDefault="00771FE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Fecha de ejercicio</w:t>
      </w:r>
    </w:p>
    <w:p w14:paraId="73D17CF5" w14:textId="5B301A3E" w:rsidR="00DF4BF6" w:rsidRPr="00CF1B34" w:rsidRDefault="00DF4BF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D</w:t>
      </w:r>
      <w:r w:rsidR="0019449F"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a en que una opción puede ser ejercida. La fecha de ejercicio vendrá establecida en las Condiciones Generales de cada Contrato.</w:t>
      </w:r>
    </w:p>
    <w:p w14:paraId="071E6B85" w14:textId="46338A78" w:rsidR="00771FE6" w:rsidRPr="00CF1B34" w:rsidRDefault="00771FE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Fecha de liquidación</w:t>
      </w:r>
    </w:p>
    <w:p w14:paraId="22875276" w14:textId="17A16AFF" w:rsidR="006119B9" w:rsidRPr="00CF1B34" w:rsidRDefault="00D6751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los mercados de valores, la fecha de liquidación es la fecha en la</w:t>
      </w:r>
      <w:r w:rsidR="006119B9" w:rsidRPr="00CF1B34">
        <w:rPr>
          <w:rFonts w:ascii="Arial" w:hAnsi="Arial" w:cs="Arial"/>
          <w:color w:val="000000" w:themeColor="text1"/>
          <w:sz w:val="22"/>
          <w:szCs w:val="22"/>
          <w:lang w:val="es-ES_tradnl"/>
        </w:rPr>
        <w:t xml:space="preserve"> que se realiza el pago de las </w:t>
      </w:r>
      <w:proofErr w:type="gramStart"/>
      <w:r w:rsidR="006119B9" w:rsidRPr="00CF1B34">
        <w:rPr>
          <w:rFonts w:ascii="Arial" w:hAnsi="Arial" w:cs="Arial"/>
          <w:color w:val="000000" w:themeColor="text1"/>
          <w:sz w:val="22"/>
          <w:szCs w:val="22"/>
          <w:lang w:val="es-ES_tradnl"/>
        </w:rPr>
        <w:t>compras</w:t>
      </w:r>
      <w:proofErr w:type="gramEnd"/>
      <w:r w:rsidR="006119B9" w:rsidRPr="00CF1B34">
        <w:rPr>
          <w:rFonts w:ascii="Arial" w:hAnsi="Arial" w:cs="Arial"/>
          <w:color w:val="000000" w:themeColor="text1"/>
          <w:sz w:val="22"/>
          <w:szCs w:val="22"/>
          <w:lang w:val="es-ES_tradnl"/>
        </w:rPr>
        <w:t xml:space="preserve"> as</w:t>
      </w:r>
      <w:r w:rsidR="0019449F" w:rsidRPr="00CF1B34">
        <w:rPr>
          <w:rFonts w:ascii="Arial" w:hAnsi="Arial" w:cs="Arial"/>
          <w:color w:val="000000" w:themeColor="text1"/>
          <w:sz w:val="22"/>
          <w:szCs w:val="22"/>
          <w:lang w:val="es-ES_tradnl"/>
        </w:rPr>
        <w:t>í</w:t>
      </w:r>
      <w:r w:rsidR="006119B9" w:rsidRPr="00CF1B34">
        <w:rPr>
          <w:rFonts w:ascii="Arial" w:hAnsi="Arial" w:cs="Arial"/>
          <w:color w:val="000000" w:themeColor="text1"/>
          <w:sz w:val="22"/>
          <w:szCs w:val="22"/>
          <w:lang w:val="es-ES_tradnl"/>
        </w:rPr>
        <w:t xml:space="preserve"> como la recepción de las acciones o, en su caso, el cobro de las ventas y la entrega de las acciones.</w:t>
      </w:r>
    </w:p>
    <w:p w14:paraId="006CB223" w14:textId="2AF6AEE8" w:rsidR="00771FE6" w:rsidRPr="00CF1B34" w:rsidRDefault="00771FE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Fecha de valor</w:t>
      </w:r>
    </w:p>
    <w:p w14:paraId="16FDA0FF" w14:textId="77777777" w:rsidR="006119B9" w:rsidRPr="00CF1B34" w:rsidRDefault="006119B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Toda la operación financiera tiene una fecha de valor, que por ejemplo en operaciones de SPOT son dos días hábiles a partir de la fecha de contratación de la operación.</w:t>
      </w:r>
    </w:p>
    <w:p w14:paraId="270E2C0C" w14:textId="72A29DEB" w:rsidR="006119B9" w:rsidRPr="00CF1B34" w:rsidRDefault="006119B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Fecha de vencimiento</w:t>
      </w:r>
    </w:p>
    <w:p w14:paraId="68C1A005" w14:textId="7547A7E3" w:rsidR="00705300" w:rsidRPr="00CF1B34" w:rsidRDefault="006119B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ultimo d</w:t>
      </w:r>
      <w:r w:rsidR="0019449F"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a en que un contrato de opción o de futuro puede ser registrado en el mercado. La fecha de vencimiento vendrá e</w:t>
      </w:r>
      <w:r w:rsidR="00705300" w:rsidRPr="00CF1B34">
        <w:rPr>
          <w:rFonts w:ascii="Arial" w:hAnsi="Arial" w:cs="Arial"/>
          <w:color w:val="000000" w:themeColor="text1"/>
          <w:sz w:val="22"/>
          <w:szCs w:val="22"/>
          <w:lang w:val="es-ES_tradnl"/>
        </w:rPr>
        <w:t>stablecida en las condiciones generales de cada contrato.</w:t>
      </w:r>
    </w:p>
    <w:p w14:paraId="37276E4F" w14:textId="450064C4"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Fecha de vencimiento de la garantía</w:t>
      </w:r>
    </w:p>
    <w:p w14:paraId="7EBFAA5B"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los fondos garantizados, es el momento futuro en que son exigibles por el partícipe los términos de la garantía: la conservación del capital inicial y, en su caso, la obtención de una rentabilidad adicional (muchos fondos sólo garantizan la conservación del capital). Es decir, para poder beneficiarse de la garantía es necesario mantener la inversión en el fondo hasta la fecha de vencimiento de la misma. Por otra parte, ya que es la garantía la que vence (no el fondo), una vez llegada esta fecha el fondo seguirá existiendo, en general con unas características diferentes que deberán ser comunicadas al partícipe con antelación, para que decida si desea o no mantener su inversión.</w:t>
      </w:r>
    </w:p>
    <w:p w14:paraId="37446E76" w14:textId="499AF6F7" w:rsidR="00771FE6" w:rsidRPr="00CF1B34" w:rsidRDefault="00771FE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Fecha rota</w:t>
      </w:r>
    </w:p>
    <w:p w14:paraId="34BE4F84" w14:textId="77777777" w:rsidR="00705300" w:rsidRPr="00CF1B34" w:rsidRDefault="0070530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 aquella operación financiera contratada a una fecha distinta de las habituales (de uno a doce meses vencimiento de la fecha de contratación) </w:t>
      </w:r>
    </w:p>
    <w:p w14:paraId="19F76736" w14:textId="696C3256"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FED (Federal Reserve)</w:t>
      </w:r>
    </w:p>
    <w:p w14:paraId="433F49B9"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Banco Central de Estados Unidos, es la institución responsable de la supervisión del sistema bancario, y de definir y aplicar la política monetaria del país.</w:t>
      </w:r>
    </w:p>
    <w:p w14:paraId="61C1C0C7" w14:textId="507DCDF7" w:rsidR="008C7ACE" w:rsidRPr="00CF1B34" w:rsidRDefault="008C7ACE"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 xml:space="preserve">Feudalismo </w:t>
      </w:r>
    </w:p>
    <w:p w14:paraId="12E2C9ED" w14:textId="64220662" w:rsidR="008C7ACE" w:rsidRPr="00CF1B34" w:rsidRDefault="008C7ACE"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w:t>
      </w:r>
      <w:r w:rsidR="003142C5"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Feudalismo</w:t>
      </w:r>
      <w:r w:rsidR="003142C5" w:rsidRPr="00CF1B34">
        <w:rPr>
          <w:rStyle w:val="Textoennegrita"/>
          <w:rFonts w:ascii="Arial" w:hAnsi="Arial" w:cs="Arial"/>
          <w:color w:val="333333"/>
          <w:sz w:val="22"/>
          <w:szCs w:val="22"/>
          <w:lang w:val="es-ES_tradnl"/>
        </w:rPr>
        <w:t xml:space="preserve"> </w:t>
      </w:r>
      <w:r w:rsidRPr="00CF1B34">
        <w:rPr>
          <w:rFonts w:ascii="Arial" w:hAnsi="Arial" w:cs="Arial"/>
          <w:color w:val="333333"/>
          <w:sz w:val="22"/>
          <w:szCs w:val="22"/>
          <w:lang w:val="es-ES_tradnl"/>
        </w:rPr>
        <w:t>fue el</w:t>
      </w:r>
      <w:r w:rsidR="003142C5"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sistema económico, político y social</w:t>
      </w:r>
      <w:r w:rsidR="003142C5"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imperante en Europa Occidental durante la Edad Media y que comprende el periodo entre los siglos IX y XV. Su origen se remonta a la</w:t>
      </w:r>
      <w:r w:rsidR="003142C5"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caída del Imperio Romano</w:t>
      </w:r>
      <w:r w:rsidR="003142C5"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y el fracaso del intento unificador de Carlomagno y a un</w:t>
      </w:r>
      <w:r w:rsidR="003142C5"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aumento de la inseguridad y el desgobierno</w:t>
      </w:r>
      <w:r w:rsidRPr="00CF1B34">
        <w:rPr>
          <w:rFonts w:ascii="Arial" w:hAnsi="Arial" w:cs="Arial"/>
          <w:color w:val="333333"/>
          <w:sz w:val="22"/>
          <w:szCs w:val="22"/>
          <w:lang w:val="es-ES_tradnl"/>
        </w:rPr>
        <w:t>. Sin un poder central fuerte en toda Europa, cada rey se vio obligado a costearse su propi</w:t>
      </w:r>
      <w:r w:rsidR="003142C5" w:rsidRPr="00CF1B34">
        <w:rPr>
          <w:rFonts w:ascii="Arial" w:hAnsi="Arial" w:cs="Arial"/>
          <w:color w:val="333333"/>
          <w:sz w:val="22"/>
          <w:szCs w:val="22"/>
          <w:lang w:val="es-ES_tradnl"/>
        </w:rPr>
        <w:t>a</w:t>
      </w:r>
      <w:r w:rsidRPr="00CF1B34">
        <w:rPr>
          <w:rFonts w:ascii="Arial" w:hAnsi="Arial" w:cs="Arial"/>
          <w:color w:val="333333"/>
          <w:sz w:val="22"/>
          <w:szCs w:val="22"/>
          <w:lang w:val="es-ES_tradnl"/>
        </w:rPr>
        <w:t xml:space="preserve"> seguridad y ante la imposibilidad de hacerlo fue cediendo parte de su poder a los nobles (condes, duques y marqueses) otorgándoles un territorio para su gestión a cambio de seguridad. Los nobles a su vez subdividían ese terreno y se lo entregaban a los campesinos a cambio de protección y así sucesivamente hasta crear un entramado de vasallaje.</w:t>
      </w:r>
    </w:p>
    <w:p w14:paraId="21693CF3" w14:textId="3622E2D9" w:rsidR="008C7ACE" w:rsidRPr="00CF1B34" w:rsidRDefault="008C7ACE"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 </w:t>
      </w:r>
      <w:r w:rsidRPr="00CF1B34">
        <w:rPr>
          <w:rStyle w:val="Textoennegrita"/>
          <w:rFonts w:ascii="Arial" w:hAnsi="Arial" w:cs="Arial"/>
          <w:color w:val="333333"/>
          <w:sz w:val="22"/>
          <w:szCs w:val="22"/>
          <w:lang w:val="es-ES_tradnl"/>
        </w:rPr>
        <w:t>feudalismo</w:t>
      </w:r>
      <w:r w:rsidR="003142C5" w:rsidRPr="00CF1B34">
        <w:rPr>
          <w:rStyle w:val="Textoennegrita"/>
          <w:rFonts w:ascii="Arial" w:hAnsi="Arial" w:cs="Arial"/>
          <w:color w:val="333333"/>
          <w:sz w:val="22"/>
          <w:szCs w:val="22"/>
          <w:lang w:val="es-ES_tradnl"/>
        </w:rPr>
        <w:t xml:space="preserve"> </w:t>
      </w:r>
      <w:r w:rsidRPr="00CF1B34">
        <w:rPr>
          <w:rFonts w:ascii="Arial" w:hAnsi="Arial" w:cs="Arial"/>
          <w:color w:val="333333"/>
          <w:sz w:val="22"/>
          <w:szCs w:val="22"/>
          <w:lang w:val="es-ES_tradnl"/>
        </w:rPr>
        <w:t>es el sistema creado a través de</w:t>
      </w:r>
      <w:r w:rsidR="003142C5"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un acuerdo entre dos nobles, en el que uno es el señor y el otro el vasallo.</w:t>
      </w:r>
      <w:r w:rsidR="003142C5" w:rsidRPr="00CF1B34">
        <w:rPr>
          <w:rStyle w:val="Textoennegrita"/>
          <w:rFonts w:ascii="Arial" w:hAnsi="Arial" w:cs="Arial"/>
          <w:color w:val="333333"/>
          <w:sz w:val="22"/>
          <w:szCs w:val="22"/>
          <w:lang w:val="es-ES_tradnl"/>
        </w:rPr>
        <w:t xml:space="preserve"> </w:t>
      </w:r>
      <w:r w:rsidRPr="00CF1B34">
        <w:rPr>
          <w:rFonts w:ascii="Arial" w:hAnsi="Arial" w:cs="Arial"/>
          <w:color w:val="333333"/>
          <w:sz w:val="22"/>
          <w:szCs w:val="22"/>
          <w:lang w:val="es-ES_tradnl"/>
        </w:rPr>
        <w:t xml:space="preserve">El segundo promete obediencia y fidelidad a su señor y se compromete a cumplir una serie de funciones en su nombre. Entre esto deberes se encuentran el servicio militar, que podía durar hasta 40 años e incluso de por vida, reclutar soldados para el ejercito del señor y proveerlo de ingresos. Por su parte el </w:t>
      </w:r>
      <w:r w:rsidRPr="00CF1B34">
        <w:rPr>
          <w:rFonts w:ascii="Arial" w:hAnsi="Arial" w:cs="Arial"/>
          <w:color w:val="333333"/>
          <w:sz w:val="22"/>
          <w:szCs w:val="22"/>
          <w:lang w:val="es-ES_tradnl"/>
        </w:rPr>
        <w:lastRenderedPageBreak/>
        <w:t>señor debía dar protección militar al vasallo y proporcionarle medios para su subsistencia. Esto último se traducía en</w:t>
      </w:r>
      <w:r w:rsidR="003142C5" w:rsidRPr="00CF1B34">
        <w:rPr>
          <w:rStyle w:val="Textoennegrita"/>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un feudo</w:t>
      </w:r>
      <w:r w:rsidRPr="00CF1B34">
        <w:rPr>
          <w:rFonts w:ascii="Arial" w:hAnsi="Arial" w:cs="Arial"/>
          <w:color w:val="333333"/>
          <w:sz w:val="22"/>
          <w:szCs w:val="22"/>
          <w:lang w:val="es-ES_tradnl"/>
        </w:rPr>
        <w:t>.</w:t>
      </w:r>
    </w:p>
    <w:p w14:paraId="5D54046D" w14:textId="4608A8A4" w:rsidR="008C7ACE" w:rsidRPr="00CF1B34" w:rsidRDefault="008C7ACE"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w:t>
      </w:r>
      <w:r w:rsidR="003142C5"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feudo, en España denominado señorío,</w:t>
      </w:r>
      <w:r w:rsidR="003142C5" w:rsidRPr="00CF1B34">
        <w:rPr>
          <w:rStyle w:val="Textoennegrita"/>
          <w:rFonts w:ascii="Arial" w:hAnsi="Arial" w:cs="Arial"/>
          <w:color w:val="333333"/>
          <w:sz w:val="22"/>
          <w:szCs w:val="22"/>
          <w:lang w:val="es-ES_tradnl"/>
        </w:rPr>
        <w:t xml:space="preserve"> </w:t>
      </w:r>
      <w:r w:rsidRPr="00CF1B34">
        <w:rPr>
          <w:rFonts w:ascii="Arial" w:hAnsi="Arial" w:cs="Arial"/>
          <w:color w:val="333333"/>
          <w:sz w:val="22"/>
          <w:szCs w:val="22"/>
          <w:lang w:val="es-ES_tradnl"/>
        </w:rPr>
        <w:t>es el recurso o bien en torno al que gira este sistema y no es más que la tierra que el señor otorga al vasallo como beneficio por el cumplimiento de las obligaciones antes mencionadas. Desde este punto de vista, se puede decir que el</w:t>
      </w:r>
      <w:r w:rsidR="003142C5"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feudo es la unidad económica del feudalismo</w:t>
      </w:r>
      <w:r w:rsidR="003142C5"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y por lo tanto de la edad media. En principio un feudo se entregaba de forma temporal y el rey podía retirarlo rompiendo el contrato de vasallaje e</w:t>
      </w:r>
      <w:r w:rsidR="003142C5" w:rsidRPr="00CF1B34">
        <w:rPr>
          <w:rFonts w:ascii="Arial" w:hAnsi="Arial" w:cs="Arial"/>
          <w:color w:val="333333"/>
          <w:sz w:val="22"/>
          <w:szCs w:val="22"/>
          <w:lang w:val="es-ES_tradnl"/>
        </w:rPr>
        <w:t>n</w:t>
      </w:r>
      <w:r w:rsidRPr="00CF1B34">
        <w:rPr>
          <w:rFonts w:ascii="Arial" w:hAnsi="Arial" w:cs="Arial"/>
          <w:color w:val="333333"/>
          <w:sz w:val="22"/>
          <w:szCs w:val="22"/>
          <w:lang w:val="es-ES_tradnl"/>
        </w:rPr>
        <w:t xml:space="preserve"> cualquier momento. Sin embargo, con el paso del tiempo se convirtió en un derecho vitalicio y hereditario, patrimonio de una determinada familia de nobles.</w:t>
      </w:r>
    </w:p>
    <w:p w14:paraId="7B3AB4BE" w14:textId="0A9300AA" w:rsidR="008C7ACE" w:rsidRPr="00CF1B34" w:rsidRDefault="008C7ACE"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 vasallo debía obtener del feudo suficientes beneficios (tanto monetarios como en especie) para poder cumplir con sus obligaciones hacia el señ</w:t>
      </w:r>
      <w:r w:rsidR="003142C5" w:rsidRPr="00CF1B34">
        <w:rPr>
          <w:rFonts w:ascii="Arial" w:hAnsi="Arial" w:cs="Arial"/>
          <w:color w:val="333333"/>
          <w:sz w:val="22"/>
          <w:szCs w:val="22"/>
          <w:lang w:val="es-ES_tradnl"/>
        </w:rPr>
        <w:t>or</w:t>
      </w:r>
      <w:r w:rsidRPr="00CF1B34">
        <w:rPr>
          <w:rFonts w:ascii="Arial" w:hAnsi="Arial" w:cs="Arial"/>
          <w:color w:val="333333"/>
          <w:sz w:val="22"/>
          <w:szCs w:val="22"/>
          <w:lang w:val="es-ES_tradnl"/>
        </w:rPr>
        <w:t xml:space="preserve"> y generar su propia riqueza. Para ello, el vasallo (señor en su feudo) obtiene no sólo la tierra sino también los siervos que en ella habitan y que</w:t>
      </w:r>
      <w:r w:rsidR="003142C5" w:rsidRPr="00CF1B34">
        <w:rPr>
          <w:rFonts w:ascii="Arial" w:hAnsi="Arial" w:cs="Arial"/>
          <w:color w:val="333333"/>
          <w:sz w:val="22"/>
          <w:szCs w:val="22"/>
          <w:lang w:val="es-ES_tradnl"/>
        </w:rPr>
        <w:t>,</w:t>
      </w:r>
      <w:r w:rsidRPr="00CF1B34">
        <w:rPr>
          <w:rFonts w:ascii="Arial" w:hAnsi="Arial" w:cs="Arial"/>
          <w:color w:val="333333"/>
          <w:sz w:val="22"/>
          <w:szCs w:val="22"/>
          <w:lang w:val="es-ES_tradnl"/>
        </w:rPr>
        <w:t xml:space="preserve"> si bien no tienen condición de esclavos, tampoco son libres, ya que su condición de siervos les obliga a trabajar y les impiden abandonar el feudo. Así, la tierra se convierte en fuente de riqueza y de poder.</w:t>
      </w:r>
    </w:p>
    <w:p w14:paraId="1634D37D" w14:textId="2B917ECA" w:rsidR="008C7ACE" w:rsidRPr="00CF1B34" w:rsidRDefault="008C7ACE"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La agricultura y la explotación feudal son la base del feudalismo y de la economía de la Edad Media, que se puede definir como economía de subsistencia en la mayoría de los casos. El avance de las técnicas agríc</w:t>
      </w:r>
      <w:r w:rsidR="003142C5" w:rsidRPr="00CF1B34">
        <w:rPr>
          <w:rFonts w:ascii="Arial" w:hAnsi="Arial" w:cs="Arial"/>
          <w:color w:val="333333"/>
          <w:sz w:val="22"/>
          <w:szCs w:val="22"/>
          <w:lang w:val="es-ES_tradnl"/>
        </w:rPr>
        <w:t>o</w:t>
      </w:r>
      <w:r w:rsidRPr="00CF1B34">
        <w:rPr>
          <w:rFonts w:ascii="Arial" w:hAnsi="Arial" w:cs="Arial"/>
          <w:color w:val="333333"/>
          <w:sz w:val="22"/>
          <w:szCs w:val="22"/>
          <w:lang w:val="es-ES_tradnl"/>
        </w:rPr>
        <w:t>las y de los materiales con el paso de los siglos fue permitiendo aumentar la productividad de los campos, si bien el gran cambio llegó con la introducción del barbecho que permitía un mayor aprovechamiento de la tierra, lo que se tradujo en excedentes que aumentaron el comercio, que permitieron el sur</w:t>
      </w:r>
      <w:r w:rsidR="003142C5" w:rsidRPr="00CF1B34">
        <w:rPr>
          <w:rFonts w:ascii="Arial" w:hAnsi="Arial" w:cs="Arial"/>
          <w:color w:val="333333"/>
          <w:sz w:val="22"/>
          <w:szCs w:val="22"/>
          <w:lang w:val="es-ES_tradnl"/>
        </w:rPr>
        <w:t>g</w:t>
      </w:r>
      <w:r w:rsidRPr="00CF1B34">
        <w:rPr>
          <w:rFonts w:ascii="Arial" w:hAnsi="Arial" w:cs="Arial"/>
          <w:color w:val="333333"/>
          <w:sz w:val="22"/>
          <w:szCs w:val="22"/>
          <w:lang w:val="es-ES_tradnl"/>
        </w:rPr>
        <w:t>imiento de nuevas clases sociales como la burguesía y los comerciantes.</w:t>
      </w:r>
    </w:p>
    <w:p w14:paraId="03A21CA2" w14:textId="77777777" w:rsidR="008C7ACE" w:rsidRPr="00CF1B34" w:rsidRDefault="008C7ACE"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 comercio permitió que el poder de la burguesía creciese y con este sus presiones para obtener una mayor libertar para seguir comerciando. Estas grandes fortunas fueron las que propiciaron las posteriores revoluciones que darían fin al feudalismo hereditario y en algunos países incluso a la nobleza y a los reyes. La Revolución Francesa es el mejor ejemplo.</w:t>
      </w:r>
    </w:p>
    <w:p w14:paraId="605E335B" w14:textId="77777777" w:rsidR="008C7ACE" w:rsidRPr="00CF1B34" w:rsidRDefault="008C7AC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La Edad Media no es un periodo prolífico en términos económicos, aunque sí se pueden extraer algunas lecciones interesantes. La más relevante quizás sea el efecto que las medidas proteccionistas tienen sobre la economía y el efecto que la globalización tiene sobre una región.</w:t>
      </w:r>
    </w:p>
    <w:p w14:paraId="203A377F" w14:textId="0BB13507" w:rsidR="00771FE6" w:rsidRPr="00CF1B34" w:rsidRDefault="00771FE6"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FIAMM</w:t>
      </w:r>
    </w:p>
    <w:p w14:paraId="45464F7E" w14:textId="6F540324" w:rsidR="00A4523B" w:rsidRPr="00CF1B34" w:rsidRDefault="0070530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Siglas de </w:t>
      </w:r>
      <w:r w:rsidRPr="00CF1B34">
        <w:rPr>
          <w:rFonts w:ascii="Arial" w:hAnsi="Arial" w:cs="Arial"/>
          <w:b/>
          <w:bCs/>
          <w:color w:val="000000" w:themeColor="text1"/>
          <w:sz w:val="22"/>
          <w:szCs w:val="22"/>
          <w:lang w:val="es-ES_tradnl"/>
        </w:rPr>
        <w:t>Fondo de Inversi</w:t>
      </w:r>
      <w:r w:rsidR="003142C5" w:rsidRPr="00CF1B34">
        <w:rPr>
          <w:rFonts w:ascii="Arial" w:hAnsi="Arial" w:cs="Arial"/>
          <w:b/>
          <w:bCs/>
          <w:color w:val="000000" w:themeColor="text1"/>
          <w:sz w:val="22"/>
          <w:szCs w:val="22"/>
          <w:lang w:val="es-ES_tradnl"/>
        </w:rPr>
        <w:t>ó</w:t>
      </w:r>
      <w:r w:rsidRPr="00CF1B34">
        <w:rPr>
          <w:rFonts w:ascii="Arial" w:hAnsi="Arial" w:cs="Arial"/>
          <w:b/>
          <w:bCs/>
          <w:color w:val="000000" w:themeColor="text1"/>
          <w:sz w:val="22"/>
          <w:szCs w:val="22"/>
          <w:lang w:val="es-ES_tradnl"/>
        </w:rPr>
        <w:t>n de Activos del Mercado Monetario</w:t>
      </w:r>
      <w:r w:rsidRPr="00CF1B34">
        <w:rPr>
          <w:rFonts w:ascii="Arial" w:hAnsi="Arial" w:cs="Arial"/>
          <w:color w:val="000000" w:themeColor="text1"/>
          <w:sz w:val="22"/>
          <w:szCs w:val="22"/>
          <w:lang w:val="es-ES_tradnl"/>
        </w:rPr>
        <w:t>. Estos fondos tienen un riesgo m</w:t>
      </w:r>
      <w:r w:rsidR="003142C5"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 xml:space="preserve">nimo y sus ganancias dependen de la </w:t>
      </w:r>
      <w:r w:rsidR="00A4523B" w:rsidRPr="00CF1B34">
        <w:rPr>
          <w:rFonts w:ascii="Arial" w:hAnsi="Arial" w:cs="Arial"/>
          <w:color w:val="000000" w:themeColor="text1"/>
          <w:sz w:val="22"/>
          <w:szCs w:val="22"/>
          <w:lang w:val="es-ES_tradnl"/>
        </w:rPr>
        <w:t>evolución de los tipos a corto plazo.</w:t>
      </w:r>
    </w:p>
    <w:p w14:paraId="3FFCD896" w14:textId="11E30F78" w:rsidR="00637889" w:rsidRPr="00CF1B34" w:rsidRDefault="00637889" w:rsidP="0005621A">
      <w:pPr>
        <w:jc w:val="both"/>
        <w:outlineLvl w:val="1"/>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Fianza</w:t>
      </w:r>
    </w:p>
    <w:p w14:paraId="620DB88C" w14:textId="0FAA55E1" w:rsidR="00637889" w:rsidRPr="00CF1B34" w:rsidRDefault="006378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líneas generales, una</w:t>
      </w:r>
      <w:r w:rsidR="003142C5" w:rsidRPr="00CF1B34">
        <w:rPr>
          <w:rFonts w:ascii="Arial" w:hAnsi="Arial" w:cs="Arial"/>
          <w:sz w:val="22"/>
          <w:szCs w:val="22"/>
          <w:lang w:val="es-ES_tradnl"/>
        </w:rPr>
        <w:t xml:space="preserve"> </w:t>
      </w:r>
      <w:r w:rsidRPr="00CF1B34">
        <w:rPr>
          <w:rFonts w:ascii="Arial" w:hAnsi="Arial" w:cs="Arial"/>
          <w:b/>
          <w:bCs/>
          <w:sz w:val="22"/>
          <w:szCs w:val="22"/>
          <w:lang w:val="es-ES_tradnl"/>
        </w:rPr>
        <w:t>fianza</w:t>
      </w:r>
      <w:r w:rsidR="003142C5" w:rsidRPr="00CF1B34">
        <w:rPr>
          <w:rFonts w:ascii="Arial" w:hAnsi="Arial" w:cs="Arial"/>
          <w:sz w:val="22"/>
          <w:szCs w:val="22"/>
          <w:lang w:val="es-ES_tradnl"/>
        </w:rPr>
        <w:t xml:space="preserve"> </w:t>
      </w:r>
      <w:r w:rsidRPr="00CF1B34">
        <w:rPr>
          <w:rFonts w:ascii="Arial" w:hAnsi="Arial" w:cs="Arial"/>
          <w:sz w:val="22"/>
          <w:szCs w:val="22"/>
          <w:lang w:val="es-ES_tradnl"/>
        </w:rPr>
        <w:t>es la garantía que asegura que se cumpla una obligación. Será económica (si por ejemplo se trata de un aval, una cantidad de dinero), o personal (si es un tercero quien responde ante esta obligación con su patrimonio).</w:t>
      </w:r>
    </w:p>
    <w:p w14:paraId="436DCCB1" w14:textId="577709F8" w:rsidR="00637889" w:rsidRPr="00CF1B34" w:rsidRDefault="006378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hablamos de</w:t>
      </w:r>
      <w:r w:rsidR="003142C5" w:rsidRPr="00CF1B34">
        <w:rPr>
          <w:rFonts w:ascii="Arial" w:hAnsi="Arial" w:cs="Arial"/>
          <w:sz w:val="22"/>
          <w:szCs w:val="22"/>
          <w:lang w:val="es-ES_tradnl"/>
        </w:rPr>
        <w:t xml:space="preserve"> </w:t>
      </w:r>
      <w:r w:rsidRPr="00CF1B34">
        <w:rPr>
          <w:rFonts w:ascii="Arial" w:hAnsi="Arial" w:cs="Arial"/>
          <w:b/>
          <w:bCs/>
          <w:sz w:val="22"/>
          <w:szCs w:val="22"/>
          <w:lang w:val="es-ES_tradnl"/>
        </w:rPr>
        <w:t>fianza hipotecaria</w:t>
      </w:r>
      <w:r w:rsidRPr="00CF1B34">
        <w:rPr>
          <w:rFonts w:ascii="Arial" w:hAnsi="Arial" w:cs="Arial"/>
          <w:sz w:val="22"/>
          <w:szCs w:val="22"/>
          <w:lang w:val="es-ES_tradnl"/>
        </w:rPr>
        <w:t>, será la garantía que avala el</w:t>
      </w:r>
      <w:r w:rsidR="00771FE6" w:rsidRPr="00CF1B34">
        <w:rPr>
          <w:rFonts w:ascii="Arial" w:hAnsi="Arial" w:cs="Arial"/>
          <w:sz w:val="22"/>
          <w:szCs w:val="22"/>
          <w:lang w:val="es-ES_tradnl"/>
        </w:rPr>
        <w:t xml:space="preserve"> </w:t>
      </w:r>
      <w:hyperlink r:id="rId236" w:history="1">
        <w:r w:rsidRPr="00CF1B34">
          <w:rPr>
            <w:rFonts w:ascii="Arial" w:hAnsi="Arial" w:cs="Arial"/>
            <w:color w:val="2F5496" w:themeColor="accent1" w:themeShade="BF"/>
            <w:sz w:val="22"/>
            <w:szCs w:val="22"/>
            <w:lang w:val="es-ES_tradnl"/>
          </w:rPr>
          <w:t>préstamo hipotecario</w:t>
        </w:r>
      </w:hyperlink>
      <w:r w:rsidRPr="00CF1B34">
        <w:rPr>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y funciona como respaldo en caso de incumplimiento del contrato (en este caso, el impago de las mensualidades del préstamo).</w:t>
      </w:r>
    </w:p>
    <w:p w14:paraId="121039AE" w14:textId="73013FEE" w:rsidR="00637889" w:rsidRPr="00CF1B34" w:rsidRDefault="006378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Está regulada tanto por la</w:t>
      </w:r>
      <w:r w:rsidR="00771FE6" w:rsidRPr="00CF1B34">
        <w:rPr>
          <w:rFonts w:ascii="Arial" w:hAnsi="Arial" w:cs="Arial"/>
          <w:sz w:val="22"/>
          <w:szCs w:val="22"/>
          <w:lang w:val="es-ES_tradnl"/>
        </w:rPr>
        <w:t xml:space="preserve"> </w:t>
      </w:r>
      <w:hyperlink r:id="rId237" w:history="1">
        <w:r w:rsidRPr="00CF1B34">
          <w:rPr>
            <w:rFonts w:ascii="Arial" w:hAnsi="Arial" w:cs="Arial"/>
            <w:color w:val="2F5496" w:themeColor="accent1" w:themeShade="BF"/>
            <w:sz w:val="22"/>
            <w:szCs w:val="22"/>
            <w:lang w:val="es-ES_tradnl"/>
          </w:rPr>
          <w:t>Ley Hipotecaria</w:t>
        </w:r>
      </w:hyperlink>
      <w:r w:rsidRPr="00CF1B34">
        <w:rPr>
          <w:rFonts w:ascii="Arial" w:hAnsi="Arial" w:cs="Arial"/>
          <w:sz w:val="22"/>
          <w:szCs w:val="22"/>
          <w:lang w:val="es-ES_tradnl"/>
        </w:rPr>
        <w:t xml:space="preserve">, como por el Código Civil. El código civil define el fiador (o afianzador) como quien asume la obligación de cumplir con la deuda contraída por un tercero (que es el fiado, contratante de la hipoteca o deudor), en caso de no hacerlo </w:t>
      </w:r>
      <w:r w:rsidRPr="00CF1B34">
        <w:rPr>
          <w:rFonts w:ascii="Arial" w:hAnsi="Arial" w:cs="Arial"/>
          <w:sz w:val="22"/>
          <w:szCs w:val="22"/>
          <w:lang w:val="es-ES_tradnl"/>
        </w:rPr>
        <w:lastRenderedPageBreak/>
        <w:t>este, y responde ante la deuda ajena con su propio crédito o patrimonio, asegurando el cumplimiento de la obligación contraída.</w:t>
      </w:r>
    </w:p>
    <w:p w14:paraId="13818C66" w14:textId="77777777" w:rsidR="00637889" w:rsidRPr="00CF1B34" w:rsidRDefault="006378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Normalmente, la fianza suele ser </w:t>
      </w:r>
      <w:r w:rsidRPr="00CF1B34">
        <w:rPr>
          <w:rFonts w:ascii="Arial" w:hAnsi="Arial" w:cs="Arial"/>
          <w:b/>
          <w:bCs/>
          <w:sz w:val="22"/>
          <w:szCs w:val="22"/>
          <w:lang w:val="es-ES_tradnl"/>
        </w:rPr>
        <w:t>unilateral</w:t>
      </w:r>
      <w:r w:rsidRPr="00CF1B34">
        <w:rPr>
          <w:rFonts w:ascii="Arial" w:hAnsi="Arial" w:cs="Arial"/>
          <w:sz w:val="22"/>
          <w:szCs w:val="22"/>
          <w:lang w:val="es-ES_tradnl"/>
        </w:rPr>
        <w:t>. Esto quiere decir que solo es el fiador quien contrae una deuda en favor del acreedor. Pero también puede ser bilateral, ya que el acreedor también tiene algunas obligaciones, en caso de que el fiador tampoco cumpla con la deuda contraída.</w:t>
      </w:r>
    </w:p>
    <w:p w14:paraId="6BF3E3C4" w14:textId="2005358D" w:rsidR="00637889" w:rsidRPr="00CF1B34" w:rsidRDefault="006378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Puede darse el caso de que no exista un único fiador, y estaríamos ante una confianza. En ese caso, cada fiador responderá solo a una parte ante el acreedor, salvo que se estipule una responsabilidad solidaria de los fiadores.</w:t>
      </w:r>
    </w:p>
    <w:p w14:paraId="0675D7AF" w14:textId="77777777" w:rsidR="00637889" w:rsidRPr="00CF1B34" w:rsidRDefault="006378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Este aval deberá constar expresamente en un contrato que debe regular la relación entre el acreedor, el fiador y el fiado, así como el tipo de responsabilidad que contraigan. Será subsidiaria, si el fiador tiene que afrontar la deuda únicamente cuando el deudor no pague por declararse insolvente total o parcial; o solidaria, si la obligación sobre la deuda es conjunta. En este caso, no haría falta la declaración de insolvencia por parte del deudor, y el acreedor podría ejercer acciones de cobro contra cualquiera de los dos indistintamente.</w:t>
      </w:r>
    </w:p>
    <w:p w14:paraId="71E00340" w14:textId="77777777" w:rsidR="00637889" w:rsidRPr="00CF1B34" w:rsidRDefault="00637889" w:rsidP="0005621A">
      <w:pPr>
        <w:pStyle w:val="Sinespaciado"/>
        <w:ind w:firstLine="708"/>
        <w:jc w:val="both"/>
        <w:rPr>
          <w:rFonts w:ascii="Arial" w:hAnsi="Arial" w:cs="Arial"/>
          <w:lang w:val="es-ES_tradnl"/>
        </w:rPr>
      </w:pPr>
      <w:r w:rsidRPr="00CF1B34">
        <w:rPr>
          <w:rFonts w:ascii="Arial" w:hAnsi="Arial" w:cs="Arial"/>
          <w:lang w:val="es-ES_tradnl"/>
        </w:rPr>
        <w:t>¿La fianza tributa?</w:t>
      </w:r>
    </w:p>
    <w:p w14:paraId="6DFC2681" w14:textId="314FC350" w:rsidR="00637D33" w:rsidRPr="00CF1B34" w:rsidRDefault="0063788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 tributación de la finanza depende de si este aval se ha constituido a la vez que el préstamo hipotecario, o no. En el primer caso, estará sujeta al Impuesto de Actos Jurídicos Documentados (IAJD), pero no tributará por la regla del tratamiento unitario del préstamo. Es decir, que solo tributará por el concepto de préstamo</w:t>
      </w:r>
      <w:r w:rsidR="003142C5" w:rsidRPr="00CF1B34">
        <w:rPr>
          <w:rFonts w:ascii="Arial" w:hAnsi="Arial" w:cs="Arial"/>
          <w:sz w:val="22"/>
          <w:szCs w:val="22"/>
          <w:lang w:val="es-ES_tradnl"/>
        </w:rPr>
        <w:t>,</w:t>
      </w:r>
      <w:r w:rsidRPr="00CF1B34">
        <w:rPr>
          <w:rFonts w:ascii="Arial" w:hAnsi="Arial" w:cs="Arial"/>
          <w:sz w:val="22"/>
          <w:szCs w:val="22"/>
          <w:lang w:val="es-ES_tradnl"/>
        </w:rPr>
        <w:t xml:space="preserve"> pero no por el concepto de fianza. Si la fianza y el préstamo hipotecario no se han constituido a la vez, esta sí tributará en el IAJD al 1% del importe de la fianza, aunque dependerá de cada comunidad autónoma. Es el banco quien deberá abonar este impuesto, aunque lo normal es que llegue a un acuerdo con el cliente para repartirse el pago</w:t>
      </w:r>
      <w:r w:rsidR="00771FE6" w:rsidRPr="00CF1B34">
        <w:rPr>
          <w:rFonts w:ascii="Arial" w:hAnsi="Arial" w:cs="Arial"/>
          <w:sz w:val="22"/>
          <w:szCs w:val="22"/>
          <w:lang w:val="es-ES_tradnl"/>
        </w:rPr>
        <w:t xml:space="preserve">. </w:t>
      </w:r>
      <w:r w:rsidR="00637D33" w:rsidRPr="00CF1B34">
        <w:rPr>
          <w:rFonts w:ascii="Arial" w:hAnsi="Arial" w:cs="Arial"/>
          <w:b/>
          <w:bCs/>
          <w:color w:val="004773"/>
          <w:sz w:val="22"/>
          <w:szCs w:val="22"/>
          <w:lang w:val="es-ES_tradnl"/>
        </w:rPr>
        <w:t>Finanzas sostenibles</w:t>
      </w:r>
    </w:p>
    <w:p w14:paraId="7D5E1D11"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Tienen por objeto la incorporación de elementos ambientales, sociales y de buen gobierno en la gestión empresarial y en la toma de decisiones de inversión. </w:t>
      </w:r>
    </w:p>
    <w:p w14:paraId="6DF73D8D" w14:textId="77777777" w:rsidR="00637889" w:rsidRPr="00CF1B34" w:rsidRDefault="00637889"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Ficha de Información Precontractual (FIPRE)</w:t>
      </w:r>
    </w:p>
    <w:p w14:paraId="41013825"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Ficha de Información Precontractual, más conocida como FIPRE, es un documento informativo totalmente genérico y transparente que los bancos están obligados a entregar a los consumidores cuando solicita información sobre un préstamo hipotecario. El contenido de este documento está regulado por una normativa jurídica, vigente desde el año 2011, con el objetivo de dar información personalizada sobre el préstamo hipotecario, las condiciones genéricas, los tipos de interés aplicados o los productos vinculados.</w:t>
      </w:r>
    </w:p>
    <w:p w14:paraId="5AB9D025"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Con el fin de aclarar tus posibles dudas, hemos rescatado el artículo que da forma a este documento.</w:t>
      </w:r>
    </w:p>
    <w:p w14:paraId="2572F6DB" w14:textId="77777777" w:rsidR="00637889" w:rsidRPr="00CF1B34" w:rsidRDefault="00637889"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Artículo 21 Ficha de Información Precontractual</w:t>
      </w:r>
    </w:p>
    <w:p w14:paraId="4674FA1D" w14:textId="77777777" w:rsidR="00637889" w:rsidRPr="00CF1B34" w:rsidRDefault="00637889" w:rsidP="0005621A">
      <w:pPr>
        <w:numPr>
          <w:ilvl w:val="0"/>
          <w:numId w:val="15"/>
        </w:numPr>
        <w:spacing w:before="100" w:beforeAutospacing="1" w:after="100" w:afterAutospacing="1"/>
        <w:ind w:left="1560"/>
        <w:jc w:val="both"/>
        <w:rPr>
          <w:rFonts w:ascii="Arial" w:hAnsi="Arial" w:cs="Arial"/>
          <w:sz w:val="22"/>
          <w:szCs w:val="22"/>
          <w:lang w:val="es-ES_tradnl"/>
        </w:rPr>
      </w:pPr>
      <w:r w:rsidRPr="00CF1B34">
        <w:rPr>
          <w:rFonts w:ascii="Arial" w:hAnsi="Arial" w:cs="Arial"/>
          <w:sz w:val="22"/>
          <w:szCs w:val="22"/>
          <w:lang w:val="es-ES_tradnl"/>
        </w:rPr>
        <w:t>Las entidades de crédito deberán proporcionar a los clientes que soliciten cualquiera de estos servicios, información clara y suficiente sobre los préstamos que ofertan. Esta información, que será gratuita y tendrá carácter orientativo, se facilitará mediante la Ficha de Información Precontractual (FIPRE) que figura en el Anexo I.</w:t>
      </w:r>
    </w:p>
    <w:p w14:paraId="10ABFA1D" w14:textId="77777777" w:rsidR="00637889" w:rsidRPr="00CF1B34" w:rsidRDefault="00637889" w:rsidP="0005621A">
      <w:pPr>
        <w:numPr>
          <w:ilvl w:val="0"/>
          <w:numId w:val="15"/>
        </w:numPr>
        <w:spacing w:before="100" w:beforeAutospacing="1" w:after="100" w:afterAutospacing="1"/>
        <w:ind w:left="1560"/>
        <w:jc w:val="both"/>
        <w:rPr>
          <w:rFonts w:ascii="Arial" w:hAnsi="Arial" w:cs="Arial"/>
          <w:sz w:val="22"/>
          <w:szCs w:val="22"/>
          <w:lang w:val="es-ES_tradnl"/>
        </w:rPr>
      </w:pPr>
      <w:r w:rsidRPr="00CF1B34">
        <w:rPr>
          <w:rFonts w:ascii="Arial" w:hAnsi="Arial" w:cs="Arial"/>
          <w:sz w:val="22"/>
          <w:szCs w:val="22"/>
          <w:lang w:val="es-ES_tradnl"/>
        </w:rPr>
        <w:lastRenderedPageBreak/>
        <w:t>La Ficha de Información Precontractual estará a disposición de los clientes de préstamos, de forma gratuita, en todos los canales de comercialización utilizados por la entidad.</w:t>
      </w:r>
    </w:p>
    <w:p w14:paraId="30A6DA44"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Como has visto, en el momento de solicitar una hipoteca, el banco o la entidad financiera deberá proporcionarte este documento informativo donde se deberá explicar claramente la oferta personalizada de la hipoteca. Este documento nace con la necesidad de eliminar los clásicos folletos informativos que encontrabas en los bancos y, principalmente, con el fin de declarar total transparencia al cliente sobre las condiciones del préstamo hipotecario.</w:t>
      </w:r>
    </w:p>
    <w:p w14:paraId="0C10313B" w14:textId="77777777" w:rsidR="00637889" w:rsidRPr="00CF1B34" w:rsidRDefault="00637889"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¿Qué información podemos ver en el FIPRE?</w:t>
      </w:r>
    </w:p>
    <w:p w14:paraId="643D65B2" w14:textId="77777777" w:rsidR="00637889" w:rsidRPr="00CF1B34" w:rsidRDefault="00637889" w:rsidP="0005621A">
      <w:pPr>
        <w:pStyle w:val="NormalWeb"/>
        <w:spacing w:before="0" w:beforeAutospacing="0"/>
        <w:ind w:firstLine="708"/>
        <w:jc w:val="both"/>
        <w:rPr>
          <w:rFonts w:ascii="Arial" w:hAnsi="Arial" w:cs="Arial"/>
          <w:sz w:val="22"/>
          <w:szCs w:val="22"/>
          <w:lang w:val="es-ES_tradnl"/>
        </w:rPr>
      </w:pPr>
      <w:r w:rsidRPr="00CF1B34">
        <w:rPr>
          <w:rStyle w:val="Textoennegrita"/>
          <w:rFonts w:ascii="Arial" w:hAnsi="Arial" w:cs="Arial"/>
          <w:sz w:val="22"/>
          <w:szCs w:val="22"/>
          <w:lang w:val="es-ES_tradnl"/>
        </w:rPr>
        <w:t>Información corporativa y sobre la entidad bancaria</w:t>
      </w:r>
    </w:p>
    <w:p w14:paraId="22733F86"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Nombre del banco o entidad financiera, número de teléfono, domicilio fiscal y página web. Se establece quién será el asesor o la autoridad competente para la supervisión de los servicios bancarios del préstamo hipotecario y los datos de contacto para que el cliente tenga localizado, en todo momento, la persona que llevará su proceso.</w:t>
      </w:r>
      <w:r w:rsidRPr="00CF1B34">
        <w:rPr>
          <w:rFonts w:ascii="Arial" w:hAnsi="Arial" w:cs="Arial"/>
          <w:sz w:val="22"/>
          <w:szCs w:val="22"/>
          <w:lang w:val="es-ES_tradnl"/>
        </w:rPr>
        <w:br/>
        <w:t>En el caso de que la hipoteca se esté gestionando a distancia, el banco indicará además el Registro Mercantil en el que está inscrita, el número de inscripción u otro medio equivalente de identificación en ese registro.</w:t>
      </w:r>
    </w:p>
    <w:p w14:paraId="3A58B3B3" w14:textId="77777777" w:rsidR="00637889" w:rsidRPr="00CF1B34" w:rsidRDefault="00637889" w:rsidP="0005621A">
      <w:pPr>
        <w:pStyle w:val="NormalWeb"/>
        <w:spacing w:before="0" w:beforeAutospacing="0"/>
        <w:ind w:firstLine="708"/>
        <w:jc w:val="both"/>
        <w:rPr>
          <w:rFonts w:ascii="Arial" w:hAnsi="Arial" w:cs="Arial"/>
          <w:sz w:val="22"/>
          <w:szCs w:val="22"/>
          <w:lang w:val="es-ES_tradnl"/>
        </w:rPr>
      </w:pPr>
      <w:r w:rsidRPr="00CF1B34">
        <w:rPr>
          <w:rStyle w:val="Textoennegrita"/>
          <w:rFonts w:ascii="Arial" w:hAnsi="Arial" w:cs="Arial"/>
          <w:sz w:val="22"/>
          <w:szCs w:val="22"/>
          <w:lang w:val="es-ES_tradnl"/>
        </w:rPr>
        <w:t>Características del préstamo</w:t>
      </w:r>
    </w:p>
    <w:p w14:paraId="77F2A075"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este apartado, se explicará el importe máximo de préstamo disponible en relación con el resultado de la tasación del inmueble.</w:t>
      </w:r>
    </w:p>
    <w:p w14:paraId="32029ED1" w14:textId="77777777" w:rsidR="00637889" w:rsidRPr="00CF1B34" w:rsidRDefault="00637889" w:rsidP="0005621A">
      <w:pPr>
        <w:pStyle w:val="NormalWeb"/>
        <w:spacing w:before="0" w:beforeAutospacing="0"/>
        <w:ind w:firstLine="708"/>
        <w:jc w:val="both"/>
        <w:rPr>
          <w:rFonts w:ascii="Arial" w:hAnsi="Arial" w:cs="Arial"/>
          <w:sz w:val="22"/>
          <w:szCs w:val="22"/>
          <w:lang w:val="es-ES_tradnl"/>
        </w:rPr>
      </w:pPr>
      <w:r w:rsidRPr="00CF1B34">
        <w:rPr>
          <w:rStyle w:val="Textoennegrita"/>
          <w:rFonts w:ascii="Arial" w:hAnsi="Arial" w:cs="Arial"/>
          <w:sz w:val="22"/>
          <w:szCs w:val="22"/>
          <w:lang w:val="es-ES_tradnl"/>
        </w:rPr>
        <w:t>Finalidad del préstamo</w:t>
      </w:r>
    </w:p>
    <w:p w14:paraId="29938A93"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el caso de conceder el préstamo hipotecario, deberá especificar si es para una vivienda habitual, segunda vivienda, para una reforma o, rehabilitación u otros fines.</w:t>
      </w:r>
    </w:p>
    <w:p w14:paraId="1C37EA4B"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Style w:val="Textoennegrita"/>
          <w:rFonts w:ascii="Arial" w:hAnsi="Arial" w:cs="Arial"/>
          <w:sz w:val="22"/>
          <w:szCs w:val="22"/>
          <w:lang w:val="es-ES_tradnl"/>
        </w:rPr>
        <w:t>Descripción de la clase de préstamo</w:t>
      </w:r>
      <w:r w:rsidRPr="00CF1B34">
        <w:rPr>
          <w:rFonts w:ascii="Arial" w:hAnsi="Arial" w:cs="Arial"/>
          <w:sz w:val="22"/>
          <w:szCs w:val="22"/>
          <w:lang w:val="es-ES_tradnl"/>
        </w:rPr>
        <w:br/>
        <w:t>Indicará, claramente, de qué forma se reembolsarán el capital y los intereses.</w:t>
      </w:r>
    </w:p>
    <w:p w14:paraId="2823FE43" w14:textId="77777777" w:rsidR="00637889" w:rsidRPr="00CF1B34" w:rsidRDefault="00637889" w:rsidP="0005621A">
      <w:pPr>
        <w:pStyle w:val="NormalWeb"/>
        <w:spacing w:before="0" w:beforeAutospacing="0"/>
        <w:ind w:firstLine="708"/>
        <w:jc w:val="both"/>
        <w:rPr>
          <w:rFonts w:ascii="Arial" w:hAnsi="Arial" w:cs="Arial"/>
          <w:sz w:val="22"/>
          <w:szCs w:val="22"/>
          <w:lang w:val="es-ES_tradnl"/>
        </w:rPr>
      </w:pPr>
      <w:r w:rsidRPr="00CF1B34">
        <w:rPr>
          <w:rStyle w:val="Textoennegrita"/>
          <w:rFonts w:ascii="Arial" w:hAnsi="Arial" w:cs="Arial"/>
          <w:sz w:val="22"/>
          <w:szCs w:val="22"/>
          <w:lang w:val="es-ES_tradnl"/>
        </w:rPr>
        <w:t>Tipo de moneda</w:t>
      </w:r>
    </w:p>
    <w:p w14:paraId="07DE20F7"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Si el préstamo se realiza en un tipo de moneda diferente a la de curso legal en ese país, quedará reflejado el tipo de moneda a ingresar y, además, los intereses que pueden fluctuar en función del tipo de cambio.</w:t>
      </w:r>
    </w:p>
    <w:p w14:paraId="6FA3684A"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Style w:val="Textoennegrita"/>
          <w:rFonts w:ascii="Arial" w:hAnsi="Arial" w:cs="Arial"/>
          <w:sz w:val="22"/>
          <w:szCs w:val="22"/>
          <w:lang w:val="es-ES_tradnl"/>
        </w:rPr>
        <w:t>Tipo de interés</w:t>
      </w:r>
      <w:r w:rsidRPr="00CF1B34">
        <w:rPr>
          <w:rFonts w:ascii="Arial" w:hAnsi="Arial" w:cs="Arial"/>
          <w:sz w:val="22"/>
          <w:szCs w:val="22"/>
          <w:lang w:val="es-ES_tradnl"/>
        </w:rPr>
        <w:br/>
        <w:t>En este apartado se detalla al cliente si es una hipoteca con préstamo de interés fijo, variable o mixto. En el caso de que el préstamo hipotecario tenga un tipo de interés variable o variable limitado, se dejará claro el porcentaje corresponde al interés de referencia y la parte que corresponda al diferencial que aplica el banco. </w:t>
      </w:r>
    </w:p>
    <w:p w14:paraId="6AE4C070" w14:textId="77777777" w:rsidR="00637889" w:rsidRPr="00CF1B34" w:rsidRDefault="00637889" w:rsidP="0005621A">
      <w:pPr>
        <w:pStyle w:val="NormalWeb"/>
        <w:spacing w:before="0" w:beforeAutospacing="0"/>
        <w:ind w:firstLine="708"/>
        <w:jc w:val="both"/>
        <w:rPr>
          <w:rFonts w:ascii="Arial" w:hAnsi="Arial" w:cs="Arial"/>
          <w:sz w:val="22"/>
          <w:szCs w:val="22"/>
          <w:lang w:val="es-ES_tradnl"/>
        </w:rPr>
      </w:pPr>
      <w:r w:rsidRPr="00CF1B34">
        <w:rPr>
          <w:rStyle w:val="Textoennegrita"/>
          <w:rFonts w:ascii="Arial" w:hAnsi="Arial" w:cs="Arial"/>
          <w:sz w:val="22"/>
          <w:szCs w:val="22"/>
          <w:lang w:val="es-ES_tradnl"/>
        </w:rPr>
        <w:t>Vinculaciones y gastos preparatorios</w:t>
      </w:r>
    </w:p>
    <w:p w14:paraId="64B775B5" w14:textId="77777777" w:rsidR="00637889" w:rsidRPr="00CF1B34" w:rsidRDefault="006378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Deberán reflejarse todos aquellos productos o servicios extra que deben ser contratados juntamente con el préstamo para poder ser aprobado en las condiciones ofrecidas. También deberá recoger la tasación del inmueble y quien asume su gasto.</w:t>
      </w:r>
    </w:p>
    <w:p w14:paraId="55DBC4E3" w14:textId="77777777" w:rsidR="00AB2EE5" w:rsidRPr="00CF1B34" w:rsidRDefault="00637889"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sz w:val="22"/>
          <w:szCs w:val="22"/>
          <w:lang w:val="es-ES_tradnl"/>
        </w:rPr>
        <w:lastRenderedPageBreak/>
        <w:t>Otros</w:t>
      </w:r>
      <w:r w:rsidRPr="00CF1B34">
        <w:rPr>
          <w:rFonts w:ascii="Arial" w:hAnsi="Arial" w:cs="Arial"/>
          <w:sz w:val="22"/>
          <w:szCs w:val="22"/>
          <w:lang w:val="es-ES_tradnl"/>
        </w:rPr>
        <w:br/>
        <w:t>La TAE y coste total del préstamo, penalizaciones y métodos para realizar una amortización anticipada y, finalmente, todas las normativas sobre transparencia de las entidades financieras reguladas por la actual Ley hipotecaria.</w:t>
      </w:r>
    </w:p>
    <w:p w14:paraId="1B18806E" w14:textId="1389B857" w:rsidR="00BB786F" w:rsidRPr="00CF1B34" w:rsidRDefault="00BB786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Fideicomiso</w:t>
      </w:r>
    </w:p>
    <w:p w14:paraId="7347CEFB" w14:textId="77777777" w:rsidR="004C5502" w:rsidRPr="00CF1B34" w:rsidRDefault="00BB786F" w:rsidP="0005621A">
      <w:pPr>
        <w:pStyle w:val="Sinespaciado"/>
        <w:jc w:val="both"/>
        <w:rPr>
          <w:rFonts w:ascii="Arial" w:hAnsi="Arial" w:cs="Arial"/>
          <w:sz w:val="22"/>
          <w:szCs w:val="22"/>
          <w:shd w:val="clear" w:color="auto" w:fill="FFFFFF"/>
          <w:lang w:val="es-ES_tradnl"/>
        </w:rPr>
      </w:pPr>
      <w:r w:rsidRPr="00CF1B34">
        <w:rPr>
          <w:rFonts w:ascii="Arial" w:hAnsi="Arial" w:cs="Arial"/>
          <w:sz w:val="22"/>
          <w:szCs w:val="22"/>
          <w:shd w:val="clear" w:color="auto" w:fill="FFFFFF"/>
          <w:lang w:val="es-ES_tradnl"/>
        </w:rPr>
        <w:t>Es un contrato mercantil mediante el cual una persona física o jurídica destina sus bienes o derechos a la realización de una finalidad lícita y determinada encargado a una institución fiduciaria el llevar a cabo esa finalidad en beneficio propio o de otra persona. Los elementos personales son: fideicomitente, quien es la persona que crea el fideicomiso, o sea el que da los bienes; fiduciario, entidad jurídica que maneja el patrimonio dado en fideicomiso; fideicomisario, persona beneficiada del fideicomiso.</w:t>
      </w:r>
      <w:r w:rsidR="00436349" w:rsidRPr="00CF1B34">
        <w:rPr>
          <w:rFonts w:ascii="Arial" w:hAnsi="Arial" w:cs="Arial"/>
          <w:sz w:val="22"/>
          <w:szCs w:val="22"/>
          <w:shd w:val="clear" w:color="auto" w:fill="FFFFFF"/>
          <w:lang w:val="es-ES_tradnl"/>
        </w:rPr>
        <w:t xml:space="preserve"> </w:t>
      </w:r>
    </w:p>
    <w:p w14:paraId="35011C31" w14:textId="77777777" w:rsidR="004C5502" w:rsidRPr="00CF1B34" w:rsidRDefault="00436349" w:rsidP="0005621A">
      <w:pPr>
        <w:pStyle w:val="Sinespaciado"/>
        <w:jc w:val="both"/>
        <w:rPr>
          <w:rFonts w:ascii="Arial" w:hAnsi="Arial" w:cs="Arial"/>
          <w:sz w:val="22"/>
          <w:szCs w:val="22"/>
          <w:lang w:val="es-ES_tradnl"/>
        </w:rPr>
      </w:pPr>
      <w:r w:rsidRPr="00CF1B34">
        <w:rPr>
          <w:rFonts w:ascii="Arial" w:hAnsi="Arial" w:cs="Arial"/>
          <w:sz w:val="22"/>
          <w:szCs w:val="22"/>
          <w:lang w:val="es-ES_tradnl"/>
        </w:rPr>
        <w:t>Tipos de Fideicomisos</w:t>
      </w:r>
    </w:p>
    <w:p w14:paraId="45858027" w14:textId="77777777" w:rsidR="004C5502" w:rsidRPr="00CF1B34" w:rsidRDefault="004C5502" w:rsidP="0005621A">
      <w:pPr>
        <w:pStyle w:val="Sinespaciado"/>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Fideicomisos Ordinarios:</w:t>
      </w:r>
    </w:p>
    <w:p w14:paraId="5E3055E7" w14:textId="77777777" w:rsidR="004C5502" w:rsidRPr="00CF1B34" w:rsidRDefault="004C5502" w:rsidP="0005621A">
      <w:pPr>
        <w:pStyle w:val="Sinespaciado"/>
        <w:jc w:val="both"/>
        <w:rPr>
          <w:rFonts w:ascii="Arial" w:hAnsi="Arial" w:cs="Arial"/>
          <w:sz w:val="22"/>
          <w:szCs w:val="22"/>
          <w:lang w:val="es-ES_tradnl"/>
        </w:rPr>
      </w:pPr>
      <w:r w:rsidRPr="00CF1B34">
        <w:rPr>
          <w:rFonts w:ascii="Arial" w:hAnsi="Arial" w:cs="Arial"/>
          <w:sz w:val="22"/>
          <w:szCs w:val="22"/>
          <w:lang w:val="es-ES_tradnl"/>
        </w:rPr>
        <w:t>Traslativo de dominio</w:t>
      </w:r>
    </w:p>
    <w:p w14:paraId="186092A3" w14:textId="77777777" w:rsidR="004C5502" w:rsidRPr="00CF1B34" w:rsidRDefault="004C5502" w:rsidP="0005621A">
      <w:pPr>
        <w:pStyle w:val="Sinespaciado"/>
        <w:jc w:val="both"/>
        <w:rPr>
          <w:rFonts w:ascii="Arial" w:hAnsi="Arial" w:cs="Arial"/>
          <w:color w:val="333333"/>
          <w:sz w:val="22"/>
          <w:szCs w:val="22"/>
          <w:lang w:val="es-ES_tradnl"/>
        </w:rPr>
      </w:pPr>
      <w:r w:rsidRPr="00CF1B34">
        <w:rPr>
          <w:rFonts w:ascii="Arial" w:hAnsi="Arial" w:cs="Arial"/>
          <w:color w:val="333333"/>
          <w:sz w:val="22"/>
          <w:szCs w:val="22"/>
          <w:lang w:val="es-ES_tradnl"/>
        </w:rPr>
        <w:t>De garantía</w:t>
      </w:r>
    </w:p>
    <w:p w14:paraId="5AEBF859" w14:textId="77777777" w:rsidR="004C5502" w:rsidRPr="00CF1B34" w:rsidRDefault="004C5502" w:rsidP="0005621A">
      <w:pPr>
        <w:pStyle w:val="Sinespaciado"/>
        <w:jc w:val="both"/>
        <w:rPr>
          <w:rFonts w:ascii="Arial" w:hAnsi="Arial" w:cs="Arial"/>
          <w:color w:val="333333"/>
          <w:sz w:val="22"/>
          <w:szCs w:val="22"/>
          <w:lang w:val="es-ES_tradnl"/>
        </w:rPr>
      </w:pPr>
      <w:r w:rsidRPr="00CF1B34">
        <w:rPr>
          <w:rFonts w:ascii="Arial" w:hAnsi="Arial" w:cs="Arial"/>
          <w:color w:val="333333"/>
          <w:sz w:val="22"/>
          <w:szCs w:val="22"/>
          <w:lang w:val="es-ES_tradnl"/>
        </w:rPr>
        <w:t>De administración o de inversión</w:t>
      </w:r>
    </w:p>
    <w:p w14:paraId="53080B8F" w14:textId="77777777" w:rsidR="004C5502" w:rsidRPr="00CF1B34" w:rsidRDefault="004C5502" w:rsidP="0005621A">
      <w:pPr>
        <w:pStyle w:val="Sinespaciado"/>
        <w:jc w:val="both"/>
        <w:rPr>
          <w:rFonts w:ascii="Arial" w:hAnsi="Arial" w:cs="Arial"/>
          <w:color w:val="333333"/>
          <w:sz w:val="22"/>
          <w:szCs w:val="22"/>
          <w:lang w:val="es-ES_tradnl"/>
        </w:rPr>
      </w:pPr>
      <w:r w:rsidRPr="00CF1B34">
        <w:rPr>
          <w:rFonts w:ascii="Arial" w:hAnsi="Arial" w:cs="Arial"/>
          <w:color w:val="333333"/>
          <w:sz w:val="22"/>
          <w:szCs w:val="22"/>
          <w:lang w:val="es-ES_tradnl"/>
        </w:rPr>
        <w:t>Testamentario</w:t>
      </w:r>
    </w:p>
    <w:p w14:paraId="786ACDC6" w14:textId="25F56A9F" w:rsidR="004C5502" w:rsidRPr="00CF1B34" w:rsidRDefault="004C5502" w:rsidP="0005621A">
      <w:pPr>
        <w:pStyle w:val="Sinespaciado"/>
        <w:jc w:val="both"/>
        <w:rPr>
          <w:rFonts w:ascii="Arial" w:hAnsi="Arial" w:cs="Arial"/>
          <w:color w:val="333333"/>
          <w:sz w:val="22"/>
          <w:szCs w:val="22"/>
          <w:lang w:val="es-ES_tradnl"/>
        </w:rPr>
      </w:pPr>
      <w:r w:rsidRPr="00CF1B34">
        <w:rPr>
          <w:rFonts w:ascii="Arial" w:hAnsi="Arial" w:cs="Arial"/>
          <w:color w:val="333333"/>
          <w:sz w:val="22"/>
          <w:szCs w:val="22"/>
          <w:lang w:val="es-ES_tradnl"/>
        </w:rPr>
        <w:t>De seguros</w:t>
      </w:r>
    </w:p>
    <w:p w14:paraId="65FFA960" w14:textId="3267B9B7" w:rsidR="004C5502" w:rsidRPr="00CF1B34" w:rsidRDefault="004C5502" w:rsidP="0005621A">
      <w:pPr>
        <w:pStyle w:val="Sinespaciado"/>
        <w:jc w:val="both"/>
        <w:rPr>
          <w:rFonts w:ascii="Arial" w:hAnsi="Arial" w:cs="Arial"/>
          <w:color w:val="333333"/>
          <w:sz w:val="22"/>
          <w:szCs w:val="22"/>
          <w:lang w:val="es-ES_tradnl"/>
        </w:rPr>
      </w:pPr>
      <w:r w:rsidRPr="00CF1B34">
        <w:rPr>
          <w:rFonts w:ascii="Arial" w:hAnsi="Arial" w:cs="Arial"/>
          <w:color w:val="333333"/>
          <w:sz w:val="22"/>
          <w:szCs w:val="22"/>
          <w:lang w:val="es-ES_tradnl"/>
        </w:rPr>
        <w:t>Inmobiliario</w:t>
      </w:r>
    </w:p>
    <w:p w14:paraId="713578EF" w14:textId="77777777" w:rsidR="004C5502" w:rsidRPr="00CF1B34" w:rsidRDefault="004C5502" w:rsidP="0005621A">
      <w:pPr>
        <w:pStyle w:val="Sinespaciado"/>
        <w:jc w:val="both"/>
        <w:rPr>
          <w:rFonts w:ascii="Arial" w:hAnsi="Arial" w:cs="Arial"/>
          <w:color w:val="333333"/>
          <w:sz w:val="22"/>
          <w:szCs w:val="22"/>
          <w:lang w:val="es-ES_tradnl"/>
        </w:rPr>
      </w:pPr>
      <w:r w:rsidRPr="00CF1B34">
        <w:rPr>
          <w:rFonts w:ascii="Arial" w:hAnsi="Arial" w:cs="Arial"/>
          <w:color w:val="333333"/>
          <w:sz w:val="22"/>
          <w:szCs w:val="22"/>
          <w:lang w:val="es-ES_tradnl"/>
        </w:rPr>
        <w:t>De administración con control judicial</w:t>
      </w:r>
    </w:p>
    <w:p w14:paraId="5F7F5469" w14:textId="1C11C814" w:rsidR="004C5502" w:rsidRPr="00CF1B34" w:rsidRDefault="004C5502" w:rsidP="0005621A">
      <w:pPr>
        <w:pStyle w:val="Sinespaciado"/>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Fideicomisos financieros</w:t>
      </w:r>
    </w:p>
    <w:p w14:paraId="001A5D36" w14:textId="77777777" w:rsidR="004C5502" w:rsidRPr="00CF1B34" w:rsidRDefault="004C5502" w:rsidP="0005621A">
      <w:pPr>
        <w:pBdr>
          <w:bottom w:val="dotted" w:sz="12" w:space="12" w:color="666666"/>
        </w:pBdr>
        <w:spacing w:after="240"/>
        <w:ind w:left="720"/>
        <w:jc w:val="both"/>
        <w:rPr>
          <w:rFonts w:ascii="Arial" w:hAnsi="Arial" w:cs="Arial"/>
          <w:sz w:val="22"/>
          <w:szCs w:val="22"/>
          <w:lang w:val="es-ES_tradnl"/>
        </w:rPr>
      </w:pPr>
    </w:p>
    <w:p w14:paraId="60AE0D0C" w14:textId="601FD00B" w:rsidR="00637889" w:rsidRPr="00CF1B34" w:rsidRDefault="00771FE6" w:rsidP="0005621A">
      <w:pPr>
        <w:pStyle w:val="Sinespaciado"/>
        <w:jc w:val="both"/>
        <w:rPr>
          <w:rFonts w:ascii="Arial" w:hAnsi="Arial" w:cs="Arial"/>
          <w:lang w:val="es-ES_tradnl"/>
        </w:rPr>
      </w:pPr>
      <w:r w:rsidRPr="00CF1B34">
        <w:rPr>
          <w:rFonts w:ascii="Arial" w:hAnsi="Arial" w:cs="Arial"/>
          <w:b/>
          <w:bCs/>
          <w:color w:val="004773"/>
          <w:sz w:val="22"/>
          <w:szCs w:val="22"/>
          <w:lang w:val="es-ES_tradnl"/>
        </w:rPr>
        <w:t>Fiduciario</w:t>
      </w:r>
    </w:p>
    <w:p w14:paraId="750B6834" w14:textId="77777777" w:rsidR="00A4523B" w:rsidRPr="00CF1B34" w:rsidRDefault="00A4523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una persona que tiene valores negociables de otro inversor que es el titular verdadero de estos valores.</w:t>
      </w:r>
    </w:p>
    <w:p w14:paraId="5845CDD8" w14:textId="77777777" w:rsidR="00AB2EE5" w:rsidRPr="00CF1B34" w:rsidRDefault="00AB2EE5" w:rsidP="0005621A">
      <w:pPr>
        <w:pStyle w:val="Ttulo2"/>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FIFO</w:t>
      </w:r>
    </w:p>
    <w:p w14:paraId="08F6BD9A" w14:textId="77777777" w:rsidR="00AB2EE5" w:rsidRPr="00CF1B34" w:rsidRDefault="00AB2EE5"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Del inglés </w:t>
      </w:r>
      <w:r w:rsidRPr="00CF1B34">
        <w:rPr>
          <w:rStyle w:val="nfasis"/>
          <w:rFonts w:ascii="Arial" w:hAnsi="Arial" w:cs="Arial"/>
          <w:sz w:val="22"/>
          <w:szCs w:val="22"/>
          <w:lang w:val="es-ES_tradnl"/>
        </w:rPr>
        <w:t>First-in, First-out</w:t>
      </w:r>
      <w:r w:rsidRPr="00CF1B34">
        <w:rPr>
          <w:rFonts w:ascii="Arial" w:hAnsi="Arial" w:cs="Arial"/>
          <w:sz w:val="22"/>
          <w:szCs w:val="22"/>
          <w:lang w:val="es-ES_tradnl"/>
        </w:rPr>
        <w:t> (en español “lo que primero entra, lo primero sale”).</w:t>
      </w:r>
    </w:p>
    <w:p w14:paraId="3284CB79" w14:textId="74C8D146" w:rsidR="00AB2EE5" w:rsidRPr="00CF1B34" w:rsidRDefault="00AB2EE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Se trata de un método contable de valoración utilizado para calcular el valor de un inventario, o participaciones similares, respecto a su coste y precio de venta. Este inventario pueden ser productos de la empresa, las materias primas con las que se efectúa la actividad laboral o los componentes necesarios para la producción habitual de dicha actividad. El criterio FIFO se utiliza comúnmente a la hora de valorar inventarios compuestos por productos caducos o perecederos, algo que confirma el orden necesario para que todos los componentes que primero entran, se de salida lo antes posible a su </w:t>
      </w:r>
    </w:p>
    <w:p w14:paraId="2B7EB1A8" w14:textId="77777777" w:rsidR="00AB2EE5" w:rsidRPr="00CF1B34" w:rsidRDefault="00AB2EE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Este sistema es el que se utiliza para los cálculos fiscales en la normativa fiscal vigente en España.</w:t>
      </w:r>
    </w:p>
    <w:p w14:paraId="3672458F" w14:textId="77777777" w:rsidR="00AB2EE5" w:rsidRPr="00CF1B34" w:rsidRDefault="00AB2EE5"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FIFO aplicado al ecosistema de inversión</w:t>
      </w:r>
    </w:p>
    <w:p w14:paraId="58E35C62" w14:textId="77777777" w:rsidR="00AB2EE5" w:rsidRPr="00CF1B34" w:rsidRDefault="00AB2EE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inversor debe tener en cuenta que para el cálculo de las plusvalías por la venta de participaciones en un fondo se aplica la regla FIFO (</w:t>
      </w:r>
      <w:r w:rsidRPr="00CF1B34">
        <w:rPr>
          <w:rStyle w:val="nfasis"/>
          <w:rFonts w:ascii="Arial" w:hAnsi="Arial" w:cs="Arial"/>
          <w:sz w:val="22"/>
          <w:szCs w:val="22"/>
          <w:lang w:val="es-ES_tradnl"/>
        </w:rPr>
        <w:t>First in, First out</w:t>
      </w:r>
      <w:r w:rsidRPr="00CF1B34">
        <w:rPr>
          <w:rFonts w:ascii="Arial" w:hAnsi="Arial" w:cs="Arial"/>
          <w:sz w:val="22"/>
          <w:szCs w:val="22"/>
          <w:lang w:val="es-ES_tradnl"/>
        </w:rPr>
        <w:t>), es decir, que las primeras participaciones que entraron en cartera son las que primero se venden.</w:t>
      </w:r>
    </w:p>
    <w:p w14:paraId="255C08D9" w14:textId="77777777" w:rsidR="00AB2EE5" w:rsidRPr="00CF1B34" w:rsidRDefault="00AB2EE5"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FIFO en situación de inflación</w:t>
      </w:r>
    </w:p>
    <w:p w14:paraId="1C182F8E" w14:textId="77777777" w:rsidR="00AB2EE5" w:rsidRPr="00CF1B34" w:rsidRDefault="00AB2EE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lastRenderedPageBreak/>
        <w:t>En situaciones de inflación, es decir, cuando existe un desequilibrio económico causado por la producción y la demanda que estimula una subida de precios en productos y servicios, y una desvalorización en el precio del dinero para poner adquirirlos o hacer uso de los mismo, la variable FIFO actúa como un método que incrementa los beneficios al asignar un coste menor a la mercancía vendida, lo que es positivo a la hora de la presentación de resultados a accionistas, acreedores, etc. pero negativo, a la hora de pago de los tributos.</w:t>
      </w:r>
    </w:p>
    <w:p w14:paraId="4B284144" w14:textId="04BDC16E" w:rsidR="00637889" w:rsidRPr="00CF1B34" w:rsidRDefault="00771FE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Figura </w:t>
      </w:r>
    </w:p>
    <w:p w14:paraId="7CAE544B" w14:textId="504C71BA" w:rsidR="00A4523B" w:rsidRPr="00CF1B34" w:rsidRDefault="00A4523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Resultado de a evolución grafica de los precios de un valor, los cuales van adquiriendo determinados perfiles o formas. También se les denomina como formaciones, o mas comúnmente, figuras chartistas.</w:t>
      </w:r>
    </w:p>
    <w:p w14:paraId="72BEEF25" w14:textId="5D22B141" w:rsidR="00771FE6" w:rsidRPr="00CF1B34" w:rsidRDefault="00771FE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Figuras abiertas</w:t>
      </w:r>
    </w:p>
    <w:p w14:paraId="5EEB04A3" w14:textId="77777777" w:rsidR="00897738" w:rsidRPr="00CF1B34" w:rsidRDefault="0089773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Formación chartista difícil de detectar, pero que conlleva gran volatilidad del mercado y grandes connotaciones bajistas.</w:t>
      </w:r>
    </w:p>
    <w:p w14:paraId="5A7B8B59" w14:textId="580C23F9" w:rsidR="00DF4BF6" w:rsidRPr="00CF1B34" w:rsidRDefault="00DF4BF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FIM</w:t>
      </w:r>
    </w:p>
    <w:p w14:paraId="1B14F177" w14:textId="1FB3DB04" w:rsidR="00897738" w:rsidRPr="00CF1B34" w:rsidRDefault="0089773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Siglas de Fondo de Inversion Mobiliaria. Estos fondos se dividen en varias modalidades, los hay que invierten en renta fija, renta variable o mixtos. Estos fondos tienen mayores riesgos que lis FIAMM.</w:t>
      </w:r>
    </w:p>
    <w:p w14:paraId="3AF5B767" w14:textId="3DEBD5D5" w:rsidR="00894717" w:rsidRPr="00CF1B34" w:rsidRDefault="00A25F6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Financiación </w:t>
      </w:r>
    </w:p>
    <w:p w14:paraId="69FA1B62" w14:textId="77777777" w:rsidR="000C042B" w:rsidRPr="00CF1B34" w:rsidRDefault="000C042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Consiste en como la sociedad consigue el dinero necesario para acometer sus inversiones o atender sus gastos corrientes o extraordinarios.</w:t>
      </w:r>
    </w:p>
    <w:p w14:paraId="1D7A3B07" w14:textId="537D5C73" w:rsidR="00A25F6F" w:rsidRPr="00CF1B34" w:rsidRDefault="00A25F6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Firmas de tasación</w:t>
      </w:r>
    </w:p>
    <w:p w14:paraId="44A14E31" w14:textId="77777777" w:rsidR="000C042B" w:rsidRPr="00CF1B34" w:rsidRDefault="000C042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las encargadas de valorar bienes tangibles, preferiblemente inmuebles.</w:t>
      </w:r>
    </w:p>
    <w:p w14:paraId="6E3CCCFB" w14:textId="1E727DB7" w:rsidR="00045965" w:rsidRPr="00CF1B34" w:rsidRDefault="0004596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Fisiocracia </w:t>
      </w:r>
    </w:p>
    <w:p w14:paraId="174EA6BA" w14:textId="7E719A3E" w:rsidR="00045965" w:rsidRPr="00CF1B34" w:rsidRDefault="00045965" w:rsidP="0005621A">
      <w:pPr>
        <w:ind w:left="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La Fisiocracia</w:t>
      </w:r>
      <w:r w:rsidR="002C2CC3"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 xml:space="preserve">es un sistema económico que se basa en la existencia de una ley natural del mercado, afirmando </w:t>
      </w:r>
      <w:proofErr w:type="gramStart"/>
      <w:r w:rsidRPr="00CF1B34">
        <w:rPr>
          <w:rFonts w:ascii="Arial" w:hAnsi="Arial" w:cs="Arial"/>
          <w:color w:val="333333"/>
          <w:sz w:val="22"/>
          <w:szCs w:val="22"/>
          <w:lang w:val="es-ES_tradnl"/>
        </w:rPr>
        <w:t>que</w:t>
      </w:r>
      <w:proofErr w:type="gramEnd"/>
      <w:r w:rsidRPr="00CF1B34">
        <w:rPr>
          <w:rFonts w:ascii="Arial" w:hAnsi="Arial" w:cs="Arial"/>
          <w:color w:val="333333"/>
          <w:sz w:val="22"/>
          <w:szCs w:val="22"/>
          <w:lang w:val="es-ES_tradnl"/>
        </w:rPr>
        <w:t xml:space="preserve"> si no hubiera intervención del gobierno, éste funcionaría a la perfección. Fundada por François Quesnay en 1758, la Escuela Fisiócrata surge en Francia y se desarrolla exclusivamente allí. </w:t>
      </w:r>
    </w:p>
    <w:p w14:paraId="3FA76ECE" w14:textId="77777777" w:rsidR="00045965" w:rsidRPr="00CF1B34" w:rsidRDefault="0004596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Sus pensadores basaban la riqueza en la producción derivada de la tierra y que sólo la agricultura producía más de lo necesario para que no exista el desempleo. Por otra parte, era de suma importancia el libre cambio, la intervención del estado era considerada inútil. Es de este concepto de donde nace la expresión: «laisser faire, laisser passer» (dejar hacer, dejar pasar).</w:t>
      </w:r>
    </w:p>
    <w:p w14:paraId="1016D900" w14:textId="27D695C7" w:rsidR="00A25F6F" w:rsidRPr="00CF1B34" w:rsidRDefault="00A25F6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Fixing</w:t>
      </w:r>
    </w:p>
    <w:p w14:paraId="609890CF" w14:textId="77777777" w:rsidR="007478C5" w:rsidRPr="00CF1B34" w:rsidRDefault="007478C5" w:rsidP="0005621A">
      <w:pPr>
        <w:pBdr>
          <w:bottom w:val="dotted" w:sz="12" w:space="12" w:color="666666"/>
        </w:pBdr>
        <w:spacing w:after="240"/>
        <w:ind w:left="708"/>
        <w:jc w:val="both"/>
        <w:rPr>
          <w:rFonts w:ascii="Arial" w:hAnsi="Arial" w:cs="Arial"/>
          <w:sz w:val="22"/>
          <w:szCs w:val="22"/>
          <w:shd w:val="clear" w:color="auto" w:fill="FFFFFF"/>
          <w:lang w:val="es-ES_tradnl"/>
        </w:rPr>
      </w:pPr>
      <w:r w:rsidRPr="00CF1B34">
        <w:rPr>
          <w:rFonts w:ascii="Arial" w:hAnsi="Arial" w:cs="Arial"/>
          <w:sz w:val="22"/>
          <w:szCs w:val="22"/>
          <w:shd w:val="clear" w:color="auto" w:fill="FFFFFF"/>
          <w:lang w:val="es-ES_tradnl"/>
        </w:rPr>
        <w:t>S</w:t>
      </w:r>
      <w:r w:rsidR="00045965" w:rsidRPr="00CF1B34">
        <w:rPr>
          <w:rFonts w:ascii="Arial" w:hAnsi="Arial" w:cs="Arial"/>
          <w:sz w:val="22"/>
          <w:szCs w:val="22"/>
          <w:shd w:val="clear" w:color="auto" w:fill="FFFFFF"/>
          <w:lang w:val="es-ES_tradnl"/>
        </w:rPr>
        <w:t>e trata de la fijación del precio en un mercado de un bien a través de un cambio de equilibrio por la confrontación de</w:t>
      </w:r>
      <w:r w:rsidRPr="00CF1B34">
        <w:rPr>
          <w:rStyle w:val="Textoennegrita"/>
          <w:rFonts w:ascii="Arial" w:hAnsi="Arial" w:cs="Arial"/>
          <w:color w:val="333333"/>
          <w:sz w:val="22"/>
          <w:szCs w:val="22"/>
          <w:shd w:val="clear" w:color="auto" w:fill="FFFFFF"/>
          <w:lang w:val="es-ES_tradnl"/>
        </w:rPr>
        <w:t xml:space="preserve"> </w:t>
      </w:r>
      <w:r w:rsidR="00045965" w:rsidRPr="00CF1B34">
        <w:rPr>
          <w:rStyle w:val="Textoennegrita"/>
          <w:rFonts w:ascii="Arial" w:hAnsi="Arial" w:cs="Arial"/>
          <w:color w:val="333333"/>
          <w:sz w:val="22"/>
          <w:szCs w:val="22"/>
          <w:shd w:val="clear" w:color="auto" w:fill="FFFFFF"/>
          <w:lang w:val="es-ES_tradnl"/>
        </w:rPr>
        <w:t>órdenes de compra o órdenes de venta</w:t>
      </w:r>
      <w:r w:rsidRPr="00CF1B34">
        <w:rPr>
          <w:rFonts w:ascii="Arial" w:hAnsi="Arial" w:cs="Arial"/>
          <w:sz w:val="22"/>
          <w:szCs w:val="22"/>
          <w:shd w:val="clear" w:color="auto" w:fill="FFFFFF"/>
          <w:lang w:val="es-ES_tradnl"/>
        </w:rPr>
        <w:t xml:space="preserve"> </w:t>
      </w:r>
      <w:r w:rsidR="00045965" w:rsidRPr="00CF1B34">
        <w:rPr>
          <w:rFonts w:ascii="Arial" w:hAnsi="Arial" w:cs="Arial"/>
          <w:sz w:val="22"/>
          <w:szCs w:val="22"/>
          <w:shd w:val="clear" w:color="auto" w:fill="FFFFFF"/>
          <w:lang w:val="es-ES_tradnl"/>
        </w:rPr>
        <w:t xml:space="preserve">una y varias veces en la misma </w:t>
      </w:r>
      <w:r w:rsidRPr="00CF1B34">
        <w:rPr>
          <w:rFonts w:ascii="Arial" w:hAnsi="Arial" w:cs="Arial"/>
          <w:sz w:val="22"/>
          <w:szCs w:val="22"/>
          <w:shd w:val="clear" w:color="auto" w:fill="FFFFFF"/>
          <w:lang w:val="es-ES_tradnl"/>
        </w:rPr>
        <w:t xml:space="preserve">session. </w:t>
      </w:r>
    </w:p>
    <w:p w14:paraId="2F1E05D1" w14:textId="67374B69" w:rsidR="007478C5" w:rsidRPr="00CF1B34" w:rsidRDefault="007478C5" w:rsidP="0005621A">
      <w:pPr>
        <w:pBdr>
          <w:bottom w:val="dotted" w:sz="12" w:space="12" w:color="666666"/>
        </w:pBdr>
        <w:spacing w:after="240"/>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lastRenderedPageBreak/>
        <w:t>El cambio comprador y vendedor que una entidad aplica a sus operaciones en divisas en un dia determinado. Ejemplo: El Banco Central Europeo ECB en su página de Reuters ECB37 indica los cambios diarios del euro contra las restantes monedas.</w:t>
      </w:r>
    </w:p>
    <w:p w14:paraId="3872A915" w14:textId="44644DB6" w:rsidR="00110682" w:rsidRPr="00CF1B34" w:rsidRDefault="0011068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Flexiseguridad </w:t>
      </w:r>
    </w:p>
    <w:p w14:paraId="088DB266" w14:textId="5015664A" w:rsidR="00110682" w:rsidRPr="00CF1B34" w:rsidRDefault="00110682" w:rsidP="0005621A">
      <w:pPr>
        <w:ind w:left="708"/>
        <w:jc w:val="both"/>
        <w:rPr>
          <w:rFonts w:ascii="Arial" w:hAnsi="Arial" w:cs="Arial"/>
          <w:b/>
          <w:bCs/>
          <w:sz w:val="22"/>
          <w:szCs w:val="22"/>
          <w:lang w:val="es-ES_tradnl"/>
        </w:rPr>
      </w:pPr>
      <w:r w:rsidRPr="00CF1B34">
        <w:rPr>
          <w:rStyle w:val="Textoennegrita"/>
          <w:rFonts w:ascii="Arial" w:hAnsi="Arial" w:cs="Arial"/>
          <w:b w:val="0"/>
          <w:bCs w:val="0"/>
          <w:color w:val="333333"/>
          <w:sz w:val="22"/>
          <w:szCs w:val="22"/>
          <w:shd w:val="clear" w:color="auto" w:fill="FFFFFF"/>
          <w:lang w:val="es-ES_tradnl"/>
        </w:rPr>
        <w:t xml:space="preserve">La </w:t>
      </w:r>
      <w:r w:rsidRPr="00CF1B34">
        <w:rPr>
          <w:rStyle w:val="Textoennegrita"/>
          <w:rFonts w:ascii="Arial" w:hAnsi="Arial" w:cs="Arial"/>
          <w:color w:val="333333"/>
          <w:sz w:val="22"/>
          <w:szCs w:val="22"/>
          <w:shd w:val="clear" w:color="auto" w:fill="FFFFFF"/>
          <w:lang w:val="es-ES_tradnl"/>
        </w:rPr>
        <w:t>flexiguridad</w:t>
      </w:r>
      <w:r w:rsidRPr="00CF1B34">
        <w:rPr>
          <w:rStyle w:val="Textoennegrita"/>
          <w:rFonts w:ascii="Arial" w:hAnsi="Arial" w:cs="Arial"/>
          <w:b w:val="0"/>
          <w:bCs w:val="0"/>
          <w:color w:val="333333"/>
          <w:sz w:val="22"/>
          <w:szCs w:val="22"/>
          <w:shd w:val="clear" w:color="auto" w:fill="FFFFFF"/>
          <w:lang w:val="es-ES_tradnl"/>
        </w:rPr>
        <w:t xml:space="preserve"> es un concepto originario en el mercado laboral danés, el cual combina la flexibilidad con la seguridad aplicadas al mercado de trabajo.</w:t>
      </w:r>
    </w:p>
    <w:p w14:paraId="775CC810" w14:textId="468911A9" w:rsidR="00110682" w:rsidRPr="00CF1B34" w:rsidRDefault="00110682"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Lo que se busca mediante este concepto es, </w:t>
      </w:r>
      <w:r w:rsidRPr="00CF1B34">
        <w:rPr>
          <w:rStyle w:val="Textoennegrita"/>
          <w:rFonts w:ascii="Arial" w:hAnsi="Arial" w:cs="Arial"/>
          <w:color w:val="333333"/>
          <w:sz w:val="22"/>
          <w:szCs w:val="22"/>
          <w:lang w:val="es-ES_tradnl"/>
        </w:rPr>
        <w:t>aplic</w:t>
      </w:r>
      <w:r w:rsidR="002C2CC3" w:rsidRPr="00CF1B34">
        <w:rPr>
          <w:rStyle w:val="Textoennegrita"/>
          <w:rFonts w:ascii="Arial" w:hAnsi="Arial" w:cs="Arial"/>
          <w:color w:val="333333"/>
          <w:sz w:val="22"/>
          <w:szCs w:val="22"/>
          <w:lang w:val="es-ES_tradnl"/>
        </w:rPr>
        <w:t>á</w:t>
      </w:r>
      <w:r w:rsidRPr="00CF1B34">
        <w:rPr>
          <w:rStyle w:val="Textoennegrita"/>
          <w:rFonts w:ascii="Arial" w:hAnsi="Arial" w:cs="Arial"/>
          <w:color w:val="333333"/>
          <w:sz w:val="22"/>
          <w:szCs w:val="22"/>
          <w:lang w:val="es-ES_tradnl"/>
        </w:rPr>
        <w:t>ndolo a una política social, que logre generar un mercado de trabajo flexible</w:t>
      </w:r>
      <w:r w:rsidRPr="00CF1B34">
        <w:rPr>
          <w:rFonts w:ascii="Arial" w:hAnsi="Arial" w:cs="Arial"/>
          <w:color w:val="333333"/>
          <w:sz w:val="22"/>
          <w:szCs w:val="22"/>
          <w:lang w:val="es-ES_tradnl"/>
        </w:rPr>
        <w:t xml:space="preserve"> en paralelo con la protección de carácter de seguridad social para con los trabajadores.</w:t>
      </w:r>
    </w:p>
    <w:p w14:paraId="2EC71E93" w14:textId="77777777" w:rsidR="00110682" w:rsidRPr="00CF1B34" w:rsidRDefault="00110682"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Pilares de la flexiguridad</w:t>
      </w:r>
      <w:r w:rsidRPr="00CF1B34">
        <w:rPr>
          <w:rFonts w:ascii="Arial" w:hAnsi="Arial" w:cs="Arial"/>
          <w:color w:val="333333"/>
          <w:sz w:val="22"/>
          <w:szCs w:val="22"/>
          <w:lang w:val="es-ES_tradnl"/>
        </w:rPr>
        <w:t>:</w:t>
      </w:r>
    </w:p>
    <w:p w14:paraId="27ECC273" w14:textId="52C61561" w:rsidR="00110682" w:rsidRPr="00CF1B34" w:rsidRDefault="00110682" w:rsidP="004F7A62">
      <w:pPr>
        <w:numPr>
          <w:ilvl w:val="0"/>
          <w:numId w:val="16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Flexibilidad a la hora de contratar y despedir.</w:t>
      </w:r>
    </w:p>
    <w:p w14:paraId="40EC6F79" w14:textId="34AABCCD" w:rsidR="00110682" w:rsidRPr="00CF1B34" w:rsidRDefault="00110682" w:rsidP="004F7A62">
      <w:pPr>
        <w:numPr>
          <w:ilvl w:val="0"/>
          <w:numId w:val="16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Alta protección social para los desempleados.</w:t>
      </w:r>
    </w:p>
    <w:p w14:paraId="497D498D" w14:textId="77777777" w:rsidR="00110682" w:rsidRPr="00CF1B34" w:rsidRDefault="00110682" w:rsidP="004F7A62">
      <w:pPr>
        <w:numPr>
          <w:ilvl w:val="0"/>
          <w:numId w:val="168"/>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Política de formación y reinserción laboral.</w:t>
      </w:r>
    </w:p>
    <w:p w14:paraId="28594793" w14:textId="77777777" w:rsidR="002D2A80" w:rsidRPr="00CF1B34" w:rsidRDefault="002D2A8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Los trabajadores deben adecuarse a las demandas del mercado con la evolución del mismo y el desarrollo tecnológico. </w:t>
      </w:r>
      <w:r w:rsidRPr="00CF1B34">
        <w:rPr>
          <w:rStyle w:val="Textoennegrita"/>
          <w:rFonts w:ascii="Arial" w:hAnsi="Arial" w:cs="Arial"/>
          <w:b w:val="0"/>
          <w:bCs w:val="0"/>
          <w:color w:val="333333"/>
          <w:sz w:val="22"/>
          <w:szCs w:val="22"/>
          <w:lang w:val="es-ES_tradnl"/>
        </w:rPr>
        <w:t>El gasto público es elevado con el objeto de poder financiar los procesos de cambio y la protección para los desempleados</w:t>
      </w:r>
      <w:r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La flexiseguridad tiene como principal objetivo darles protección a los trabajadores asegurando su derecho a trabajar, lo que no quiere decir a sus puestos de trabajo.</w:t>
      </w:r>
    </w:p>
    <w:p w14:paraId="5322B69E" w14:textId="33C935B5" w:rsidR="00A25F6F" w:rsidRPr="00CF1B34" w:rsidRDefault="00A25F6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Floor</w:t>
      </w:r>
    </w:p>
    <w:p w14:paraId="7B67203C" w14:textId="0B152C27" w:rsidR="006B271B" w:rsidRPr="00CF1B34" w:rsidRDefault="006B271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Contrato que asegura a un agente económico un tipo de interés m</w:t>
      </w:r>
      <w:r w:rsidR="00EC6564"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nimo durante un periodo determinado. La contrapartida es el pago de una prima.</w:t>
      </w:r>
    </w:p>
    <w:p w14:paraId="3E4C99A7" w14:textId="26F640B5" w:rsidR="006B271B" w:rsidRPr="00CF1B34" w:rsidRDefault="002D2A8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Flotación Sucia</w:t>
      </w:r>
    </w:p>
    <w:p w14:paraId="30BD64EC" w14:textId="22FB62C4" w:rsidR="002D2A80" w:rsidRPr="00CF1B34" w:rsidRDefault="002D2A80"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b/>
          <w:bCs/>
          <w:color w:val="333333"/>
          <w:sz w:val="22"/>
          <w:szCs w:val="22"/>
          <w:lang w:val="es-ES_tradnl"/>
        </w:rPr>
        <w:t>«Flotación Sucia»</w:t>
      </w:r>
      <w:r w:rsidR="00EC6564" w:rsidRPr="00CF1B34">
        <w:rPr>
          <w:rFonts w:ascii="Arial" w:hAnsi="Arial" w:cs="Arial"/>
          <w:b/>
          <w:bCs/>
          <w:color w:val="333333"/>
          <w:sz w:val="22"/>
          <w:szCs w:val="22"/>
          <w:lang w:val="es-ES_tradnl"/>
        </w:rPr>
        <w:t xml:space="preserve"> </w:t>
      </w:r>
      <w:r w:rsidRPr="00CF1B34">
        <w:rPr>
          <w:rFonts w:ascii="Arial" w:hAnsi="Arial" w:cs="Arial"/>
          <w:color w:val="333333"/>
          <w:sz w:val="22"/>
          <w:szCs w:val="22"/>
          <w:lang w:val="es-ES_tradnl"/>
        </w:rPr>
        <w:t>es</w:t>
      </w:r>
      <w:r w:rsidR="00EC6564"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término que es utilizado al hablar de un sistema cambiario bajo el control estatal, ya sea mediante la Banca Central o por medio de políticas monetarias.</w:t>
      </w:r>
    </w:p>
    <w:p w14:paraId="6CD57F5C" w14:textId="58593A4B" w:rsidR="002D2A80" w:rsidRPr="00CF1B34" w:rsidRDefault="002D2A80"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Dicho de otra manera, la “flotación sucia”, surge como un</w:t>
      </w:r>
      <w:r w:rsidR="00EC6564"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tipo de cambio más</w:t>
      </w:r>
      <w:r w:rsidRPr="00CF1B34">
        <w:rPr>
          <w:rFonts w:ascii="Arial" w:hAnsi="Arial" w:cs="Arial"/>
          <w:color w:val="333333"/>
          <w:sz w:val="22"/>
          <w:szCs w:val="22"/>
          <w:lang w:val="es-ES_tradnl"/>
        </w:rPr>
        <w:t>, en contraposición a lo que sería un</w:t>
      </w:r>
      <w:r w:rsidR="002C2CC3"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tipo de cambio libre</w:t>
      </w:r>
      <w:r w:rsidR="00EC6564"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al que podríamos denominar</w:t>
      </w:r>
      <w:r w:rsidR="002C2CC3"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“flotación limpia”.</w:t>
      </w:r>
    </w:p>
    <w:p w14:paraId="0C2C4CBE" w14:textId="40EF6A4D" w:rsidR="002963E1" w:rsidRPr="00CF1B34" w:rsidRDefault="002963E1"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Fonts w:ascii="Arial" w:hAnsi="Arial" w:cs="Arial"/>
          <w:color w:val="333333"/>
          <w:sz w:val="22"/>
          <w:szCs w:val="22"/>
          <w:lang w:val="es-ES_tradnl"/>
        </w:rPr>
        <w:t>Existen, básicamente,</w:t>
      </w:r>
      <w:r w:rsidR="00EC6564"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tres regímenes de tipo de cambio</w:t>
      </w:r>
      <w:r w:rsidRPr="00CF1B34">
        <w:rPr>
          <w:rFonts w:ascii="Arial" w:hAnsi="Arial" w:cs="Arial"/>
          <w:color w:val="333333"/>
          <w:sz w:val="22"/>
          <w:szCs w:val="22"/>
          <w:lang w:val="es-ES_tradnl"/>
        </w:rPr>
        <w:t>:</w:t>
      </w:r>
    </w:p>
    <w:p w14:paraId="1A88CF8C" w14:textId="34427A5C" w:rsidR="002963E1" w:rsidRPr="00CF1B34" w:rsidRDefault="002963E1"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proofErr w:type="gramStart"/>
      <w:r w:rsidRPr="00CF1B34">
        <w:rPr>
          <w:rFonts w:ascii="Arial" w:hAnsi="Arial" w:cs="Arial"/>
          <w:color w:val="333333"/>
          <w:sz w:val="22"/>
          <w:szCs w:val="22"/>
          <w:lang w:val="es-ES_tradnl"/>
        </w:rPr>
        <w:t>a)Tipo</w:t>
      </w:r>
      <w:proofErr w:type="gramEnd"/>
      <w:r w:rsidRPr="00CF1B34">
        <w:rPr>
          <w:rFonts w:ascii="Arial" w:hAnsi="Arial" w:cs="Arial"/>
          <w:color w:val="333333"/>
          <w:sz w:val="22"/>
          <w:szCs w:val="22"/>
          <w:lang w:val="es-ES_tradnl"/>
        </w:rPr>
        <w:t xml:space="preserve"> de cambio libre.</w:t>
      </w:r>
      <w:r w:rsidRPr="00CF1B34">
        <w:rPr>
          <w:rFonts w:ascii="Arial" w:hAnsi="Arial" w:cs="Arial"/>
          <w:color w:val="333333"/>
          <w:sz w:val="22"/>
          <w:szCs w:val="22"/>
          <w:lang w:val="es-ES_tradnl"/>
        </w:rPr>
        <w:br/>
        <w:t>b)Tipo de cambio fijo.</w:t>
      </w:r>
      <w:r w:rsidRPr="00CF1B34">
        <w:rPr>
          <w:rFonts w:ascii="Arial" w:hAnsi="Arial" w:cs="Arial"/>
          <w:color w:val="333333"/>
          <w:sz w:val="22"/>
          <w:szCs w:val="22"/>
          <w:lang w:val="es-ES_tradnl"/>
        </w:rPr>
        <w:br/>
        <w:t>c)Flotación Sucia.</w:t>
      </w:r>
    </w:p>
    <w:p w14:paraId="05E9B5EB" w14:textId="77777777" w:rsidR="002963E1" w:rsidRPr="00CF1B34" w:rsidRDefault="002963E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En un régimen cambiario con flotación sucia, la Banca Central interviene en el mercado ofreciendo o demandando divisas, y de esta manera, elevando o reduciendo el tipo de cambio al deseado por las autoridades</w:t>
      </w:r>
    </w:p>
    <w:p w14:paraId="1E8E1F45" w14:textId="4D892023"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Flujo de caja</w:t>
      </w:r>
      <w:r w:rsidR="00BB786F" w:rsidRPr="00CF1B34">
        <w:rPr>
          <w:rFonts w:ascii="Arial" w:hAnsi="Arial" w:cs="Arial"/>
          <w:b/>
          <w:bCs/>
          <w:color w:val="004773"/>
          <w:sz w:val="22"/>
          <w:szCs w:val="22"/>
          <w:lang w:val="es-ES_tradnl"/>
        </w:rPr>
        <w:t xml:space="preserve"> (Cash Flow)</w:t>
      </w:r>
    </w:p>
    <w:p w14:paraId="4D526AEA"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Diferencia entre los cobros y pagos efectivamente realizados en un período de tiempo, como consecuencia de la actividad de una compañía (no coincide con los gastos e ingresos devengados, que pueden registrarse contablemente pero no siempre tienen un reflejo inmediato en la cuenta de tesorería). A esta entrada y salida de dinero también se le llama ´flujo de tesorería´. En el ámbito de los análisis y valoraciones de empresas, se distingue entre los conceptos de flujo de caja (beneficios después de impuestos más </w:t>
      </w:r>
      <w:r w:rsidRPr="00CF1B34">
        <w:rPr>
          <w:rFonts w:ascii="Arial" w:hAnsi="Arial" w:cs="Arial"/>
          <w:color w:val="212529"/>
          <w:sz w:val="22"/>
          <w:szCs w:val="22"/>
          <w:lang w:val="es-ES_tradnl"/>
        </w:rPr>
        <w:lastRenderedPageBreak/>
        <w:t>amortizaciones) y flujo de caja libre. Este último se obtiene restando al flujo de caja las inversiones necesarias para atender las necesidades operativas de la empresa, y constituye la liquidez efectiva de la misma.</w:t>
      </w:r>
    </w:p>
    <w:p w14:paraId="215DEE7C" w14:textId="609686F4" w:rsidR="00A25F6F" w:rsidRPr="00CF1B34" w:rsidRDefault="00A25F6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Flujo de caja libre</w:t>
      </w:r>
    </w:p>
    <w:p w14:paraId="719E94BE" w14:textId="77777777" w:rsidR="00A25F6F" w:rsidRPr="00CF1B34" w:rsidRDefault="00A25F6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El saldo disponible para pagar a los accionistas y para cubrir el servicio de la deuda (intereses de la deuda + principal de I deuda) de la empresa, depues de descontar las inversiones realizadas en activos fijos y en necesidades operativas de fondos (NOF) </w:t>
      </w:r>
    </w:p>
    <w:p w14:paraId="6DDC6C78" w14:textId="3F372211"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FMI, Fondo Monetario Internacional</w:t>
      </w:r>
    </w:p>
    <w:p w14:paraId="1432998C" w14:textId="77777777" w:rsidR="007C0670"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Organismo creado en 1945 para establecer un marco de cooperación económica internacional, mediante la expansión y el crecimiento del comercio y el fomento de la estabilidad cambiaria.</w:t>
      </w:r>
    </w:p>
    <w:p w14:paraId="3D711CF8" w14:textId="3CCA32FD" w:rsidR="007C0670" w:rsidRPr="00CF1B34" w:rsidRDefault="007C067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El propósito del FMI es servir como guardián del sistema monetario mundial. En la actualidad tiene 119 miembros. Aunque los reglamentos y la organización del FMI son bastante complejos, esencialmente su función primaria es establecer los tipos de cambio para las monedas mundiales. Es obligación de los países miembros registrar su tipo de cambio, en términos de dólares estadounidenses, con el FMI y mantenerlo. Así el FMI es el componente primario del sistema de patrón del cambio en dólares y del sistema de tipos de cambio en dólares y del sistema de tipos de cambio fijo para todo el mundo. El FMI tiene fondos propios, aportados por las naciones miembros, que pueden prestar a los países a fin de ayudarlos a superar dificultades temporales en su Balanza de pagos. Además, a fines de la década de los sesenta, el FMI comenzó a emitir un nuevo tipo de unidad de reserva, los Derechos Especiales de Giro. En este tiempo se dio a estas unidades nuevas el nombre de “papel de oro”, ya que eran unidades contables definidas en términos de oro, que podían utilizarse para saldar deudas entre naciones sobre las mismas bases que el oro.</w:t>
      </w:r>
    </w:p>
    <w:p w14:paraId="1FC926E0"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Folleto de institución de inversión colectiva</w:t>
      </w:r>
    </w:p>
    <w:p w14:paraId="02E532B3"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Documento informativo que recoge las características básicas de una IIC (fondo o sociedad de inversión). Se trata de un documento oficial, cuyo contenido mínimo viene determinado por la normativa: política de inversión, tipo de fondo, evolución de las rentabilidades pasadas, perfil del inversor objetivo, régimen de comisiones, etc. Según su contenido, existen dos tipos: el folleto completo y el simplificado. Este último debe ser entregado al inversor por la entidad comercializadora de forma gratuita, antes de la suscripción de las participaciones o acciones. Los folletos de las IIC son revisados por la CNMV y pueden consultarse en los registros públicos de este organismo y en la página web del comercializador.</w:t>
      </w:r>
    </w:p>
    <w:p w14:paraId="2DD6AFE8"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Folleto de tarifas</w:t>
      </w:r>
    </w:p>
    <w:p w14:paraId="20271793"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Documento que recoge las tarifas máximas que pueden aplicar las entidades que prestan servicios de inversión (sociedades y agencias de valores, sociedades y agencias de valores y entidades de crédito) por la realización de las diferentes operaciones, así como los gastos que pueden repercutirse al cliente. El folleto debe ser comunicado a la CNMV para su inclusión en el correspondiente registro público. Asimismo, es obligatoria su entrega a los clientes en el momento de firmar el contrato para la prestación de un servicio (también es válido que las tarifas figuren en el propio contrato).</w:t>
      </w:r>
    </w:p>
    <w:p w14:paraId="16C0270A"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Folleto informativo</w:t>
      </w:r>
    </w:p>
    <w:p w14:paraId="64A66CCB" w14:textId="000EEE8F"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Documento oficial en el que se recogen por escrito las informaciones y datos necesarios sobre los emisores y los valores que se ofrecen, para que los potenciales inversores puedan hacerse una imagen fiel del emisor y un juicio fundado sobre la inversión propuesta. La Comisión Nacional del Mercado de Valores revisa que el folleto haga referencia, en un lenguaje claro y comprensible, a todos los aspectos establecidos por la ley, de manera que no se omitan hechos relevantes, ni se ofrezcan datos que puedan inducir a error a los inversores. Con carácter general, es obligatorio el registro del folleto en las emisiones y en las ofertas públicas de venta y suscripción de valores (OPV/OPS) y en las ofertas públicas de adquisición de acciones (OPA</w:t>
      </w:r>
      <w:proofErr w:type="gramStart"/>
      <w:r w:rsidRPr="00CF1B34">
        <w:rPr>
          <w:rFonts w:ascii="Arial" w:hAnsi="Arial" w:cs="Arial"/>
          <w:color w:val="212529"/>
          <w:sz w:val="22"/>
          <w:szCs w:val="22"/>
          <w:lang w:val="es-ES_tradnl"/>
        </w:rPr>
        <w:t>).Las</w:t>
      </w:r>
      <w:proofErr w:type="gramEnd"/>
      <w:r w:rsidRPr="00CF1B34">
        <w:rPr>
          <w:rFonts w:ascii="Arial" w:hAnsi="Arial" w:cs="Arial"/>
          <w:color w:val="212529"/>
          <w:sz w:val="22"/>
          <w:szCs w:val="22"/>
          <w:lang w:val="es-ES_tradnl"/>
        </w:rPr>
        <w:t xml:space="preserve"> entidades emisoras u oferentes están obligadas a ponerlo a disposición del público antes de la suscripción de los valores. También puede consultarse en el la página web del emisor y en el registro de la CNMV. Junto al folleto se elabora un tríptico, que de forma breve refleja las características y riesgos esenciales asociados al emisor y a los valores.</w:t>
      </w:r>
    </w:p>
    <w:p w14:paraId="421C5732" w14:textId="1BF240B5" w:rsidR="00EC6564" w:rsidRPr="00CF1B34" w:rsidRDefault="00EC656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FOGAIN (Fondo General de Garantía de Inversiones)</w:t>
      </w:r>
    </w:p>
    <w:p w14:paraId="610415D4" w14:textId="755CF1AA" w:rsidR="00EC6564" w:rsidRPr="00CF1B34" w:rsidRDefault="00EC6564"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Su finalidad es ofrecer a los clientes de las sociedades de valores, agencias de valores y sociedades gestoras de carteras una cobertura en caso que alguna de estas entidades entre en una situación de concurso de acreedores o declaración de insolvencia por parte de</w:t>
      </w:r>
      <w:r w:rsidR="003A56FC" w:rsidRPr="00CF1B34">
        <w:rPr>
          <w:rFonts w:ascii="Arial" w:hAnsi="Arial" w:cs="Arial"/>
          <w:color w:val="333333"/>
          <w:sz w:val="22"/>
          <w:szCs w:val="22"/>
          <w:shd w:val="clear" w:color="auto" w:fill="FFFFFF"/>
          <w:lang w:val="es-ES_tradnl"/>
        </w:rPr>
        <w:t xml:space="preserve"> la Comisión Nacional del Mercado de Valores.</w:t>
      </w:r>
    </w:p>
    <w:p w14:paraId="3B298621" w14:textId="1D0369C2" w:rsidR="00EC6564" w:rsidRPr="00CF1B34" w:rsidRDefault="003A56F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Este</w:t>
      </w:r>
      <w:r w:rsidRPr="00CF1B34">
        <w:rPr>
          <w:rFonts w:ascii="Arial" w:hAnsi="Arial" w:cs="Arial"/>
          <w:sz w:val="22"/>
          <w:szCs w:val="22"/>
          <w:lang w:val="es-ES_tradnl"/>
        </w:rPr>
        <w:t xml:space="preserve"> fondo de garantías</w:t>
      </w:r>
      <w:r w:rsidRPr="00CF1B34">
        <w:rPr>
          <w:rFonts w:ascii="Arial" w:hAnsi="Arial" w:cs="Arial"/>
          <w:color w:val="333333"/>
          <w:sz w:val="22"/>
          <w:szCs w:val="22"/>
          <w:shd w:val="clear" w:color="auto" w:fill="FFFFFF"/>
          <w:lang w:val="es-ES_tradnl"/>
        </w:rPr>
        <w:t xml:space="preserve"> será el encargado de cubrir la</w:t>
      </w:r>
      <w:r w:rsidR="002C2CC3"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falta de reembolso del efectivo o de restitución de valores o instrumentos financieros</w:t>
      </w:r>
      <w:r w:rsidR="002C2CC3"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que hayan sido confiados a una entidad financiera para su</w:t>
      </w:r>
      <w:r w:rsidRPr="00CF1B34">
        <w:rPr>
          <w:rFonts w:ascii="Arial" w:hAnsi="Arial" w:cs="Arial"/>
          <w:sz w:val="22"/>
          <w:szCs w:val="22"/>
          <w:lang w:val="es-ES_tradnl"/>
        </w:rPr>
        <w:t xml:space="preserve"> deposito</w:t>
      </w:r>
      <w:r w:rsidRPr="00CF1B34">
        <w:rPr>
          <w:rFonts w:ascii="Arial" w:hAnsi="Arial" w:cs="Arial"/>
          <w:color w:val="333333"/>
          <w:sz w:val="22"/>
          <w:szCs w:val="22"/>
          <w:shd w:val="clear" w:color="auto" w:fill="FFFFFF"/>
          <w:lang w:val="es-ES_tradnl"/>
        </w:rPr>
        <w:t xml:space="preserve"> o custodia o para la realización de algún servicio de inversión frente a las posibles insolvencias de estas entidades.</w:t>
      </w:r>
    </w:p>
    <w:p w14:paraId="4ED011DA" w14:textId="4D51D535" w:rsidR="001F0B73" w:rsidRPr="00CF1B34" w:rsidRDefault="001F0B7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Fondepósito </w:t>
      </w:r>
    </w:p>
    <w:p w14:paraId="46AF40CD" w14:textId="73E7C23C" w:rsidR="00EA397E" w:rsidRPr="00CF1B34" w:rsidRDefault="00EA397E" w:rsidP="0005621A">
      <w:pPr>
        <w:ind w:left="708"/>
        <w:jc w:val="both"/>
        <w:rPr>
          <w:rFonts w:ascii="Arial" w:hAnsi="Arial" w:cs="Arial"/>
          <w:lang w:val="es-ES_tradnl"/>
        </w:rPr>
      </w:pPr>
      <w:r w:rsidRPr="00CF1B34">
        <w:rPr>
          <w:rFonts w:ascii="Arial" w:hAnsi="Arial" w:cs="Arial"/>
          <w:color w:val="000000"/>
          <w:sz w:val="22"/>
          <w:szCs w:val="22"/>
          <w:shd w:val="clear" w:color="auto" w:fill="FFFFFF"/>
          <w:lang w:val="es-ES_tradnl"/>
        </w:rPr>
        <w:t xml:space="preserve">Un fondepósito </w:t>
      </w:r>
      <w:r w:rsidRPr="00CF1B34">
        <w:rPr>
          <w:rStyle w:val="highlight-answer"/>
          <w:rFonts w:ascii="Arial" w:hAnsi="Arial" w:cs="Arial"/>
          <w:b/>
          <w:bCs/>
          <w:color w:val="000000"/>
          <w:sz w:val="22"/>
          <w:szCs w:val="22"/>
          <w:shd w:val="clear" w:color="auto" w:fill="FFFFFF"/>
          <w:lang w:val="es-ES_tradnl"/>
        </w:rPr>
        <w:t>es un tipo de fondo de inversión colectiva que invierte al menos la mitad de su capital en depósitos bancarios a corto plazo y el resto en activos de renta fija</w:t>
      </w:r>
      <w:r w:rsidRPr="00CF1B34">
        <w:rPr>
          <w:rFonts w:ascii="Arial" w:hAnsi="Arial" w:cs="Arial"/>
          <w:color w:val="000000"/>
          <w:sz w:val="22"/>
          <w:szCs w:val="22"/>
          <w:shd w:val="clear" w:color="auto" w:fill="FFFFFF"/>
          <w:lang w:val="es-ES_tradnl"/>
        </w:rPr>
        <w:t xml:space="preserve"> (pública o privada). Estos fondos ofrecen una alternativa de inversión diversificada y gestionada profesionalmente, con menor riesgo que otros productos financieros</w:t>
      </w:r>
      <w:r w:rsidRPr="00CF1B34">
        <w:rPr>
          <w:rFonts w:ascii="Arial" w:hAnsi="Arial" w:cs="Arial"/>
          <w:color w:val="000000"/>
          <w:shd w:val="clear" w:color="auto" w:fill="FFFFFF"/>
          <w:lang w:val="es-ES_tradnl"/>
        </w:rPr>
        <w:t>.</w:t>
      </w:r>
    </w:p>
    <w:p w14:paraId="576D3BC0" w14:textId="26FCF7C4" w:rsidR="001F0B73" w:rsidRPr="00CF1B34" w:rsidRDefault="00EA397E" w:rsidP="0005621A">
      <w:pPr>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Se caract</w:t>
      </w:r>
      <w:r w:rsidR="00204216" w:rsidRPr="00CF1B34">
        <w:rPr>
          <w:rFonts w:ascii="Arial" w:hAnsi="Arial" w:cs="Arial"/>
          <w:color w:val="000000" w:themeColor="text1"/>
          <w:sz w:val="22"/>
          <w:szCs w:val="22"/>
          <w:lang w:val="es-ES_tradnl"/>
        </w:rPr>
        <w:t>e</w:t>
      </w:r>
      <w:r w:rsidRPr="00CF1B34">
        <w:rPr>
          <w:rFonts w:ascii="Arial" w:hAnsi="Arial" w:cs="Arial"/>
          <w:color w:val="000000" w:themeColor="text1"/>
          <w:sz w:val="22"/>
          <w:szCs w:val="22"/>
          <w:lang w:val="es-ES_tradnl"/>
        </w:rPr>
        <w:t>rizan por ser una inversión en depósitos bancarios a corto plazo (menos de un año) y activos de renta fija, a los cuales se aplica diversificación obligatoria para reducir riesgo, tiene comisiones mas bajas que otros productos financiero</w:t>
      </w:r>
      <w:r w:rsidR="002C2CC3" w:rsidRPr="00CF1B34">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 lo que redunda en una liquidez atractiva, permitiendo la recuperación de los ahorros en cualquier momento</w:t>
      </w:r>
    </w:p>
    <w:p w14:paraId="21E2D830" w14:textId="00A29207" w:rsidR="00204216" w:rsidRPr="00CF1B34" w:rsidRDefault="00204216" w:rsidP="0005621A">
      <w:pPr>
        <w:pStyle w:val="Sinespaciado"/>
        <w:ind w:left="708"/>
        <w:jc w:val="both"/>
        <w:rPr>
          <w:rFonts w:ascii="Arial" w:hAnsi="Arial" w:cs="Arial"/>
          <w:sz w:val="22"/>
          <w:szCs w:val="22"/>
          <w:lang w:val="es-ES_tradnl"/>
        </w:rPr>
      </w:pPr>
      <w:r w:rsidRPr="00CF1B34">
        <w:rPr>
          <w:rFonts w:ascii="Arial" w:hAnsi="Arial" w:cs="Arial"/>
          <w:b/>
          <w:bCs/>
          <w:sz w:val="22"/>
          <w:szCs w:val="22"/>
          <w:lang w:val="es-ES_tradnl"/>
        </w:rPr>
        <w:t>Ventajas</w:t>
      </w:r>
      <w:r w:rsidRPr="00CF1B34">
        <w:rPr>
          <w:rFonts w:ascii="Arial" w:hAnsi="Arial" w:cs="Arial"/>
          <w:sz w:val="22"/>
          <w:szCs w:val="22"/>
          <w:lang w:val="es-ES_tradnl"/>
        </w:rPr>
        <w:t>: Fiscalidad más eficiente, ya que los depósitos tributan en el momento del cobro de intereses, mientras que los fondos permiten diferirlos en el tiempo</w:t>
      </w:r>
    </w:p>
    <w:p w14:paraId="168C5B31" w14:textId="77777777" w:rsidR="00204216" w:rsidRPr="00CF1B34" w:rsidRDefault="00204216"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Mayor rentabilidad que los depósitos comunes, gracias a la diversificación y la gestión profesional</w:t>
      </w:r>
    </w:p>
    <w:p w14:paraId="219331A8" w14:textId="77777777" w:rsidR="00204216" w:rsidRPr="00CF1B34" w:rsidRDefault="00204216"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Posibilidad de cambiar a un fondo de riesgo mayor cuando los mercados están en bonanza</w:t>
      </w:r>
    </w:p>
    <w:p w14:paraId="3084A782" w14:textId="1EB39201" w:rsidR="00204216" w:rsidRPr="00CF1B34" w:rsidRDefault="00204216" w:rsidP="0005621A">
      <w:pPr>
        <w:pStyle w:val="Sinespaciado"/>
        <w:ind w:left="708"/>
        <w:jc w:val="both"/>
        <w:rPr>
          <w:rFonts w:ascii="Arial" w:hAnsi="Arial" w:cs="Arial"/>
          <w:sz w:val="22"/>
          <w:szCs w:val="22"/>
          <w:lang w:val="es-ES_tradnl"/>
        </w:rPr>
      </w:pPr>
      <w:r w:rsidRPr="00CF1B34">
        <w:rPr>
          <w:rFonts w:ascii="Arial" w:hAnsi="Arial" w:cs="Arial"/>
          <w:b/>
          <w:bCs/>
          <w:sz w:val="22"/>
          <w:szCs w:val="22"/>
          <w:lang w:val="es-ES_tradnl"/>
        </w:rPr>
        <w:t>Desventajas</w:t>
      </w:r>
      <w:r w:rsidRPr="00CF1B34">
        <w:rPr>
          <w:rFonts w:ascii="Arial" w:hAnsi="Arial" w:cs="Arial"/>
          <w:sz w:val="22"/>
          <w:szCs w:val="22"/>
          <w:lang w:val="es-ES_tradnl"/>
        </w:rPr>
        <w:t>: Necesidad de contratar una empresa gestora que cobra comisiones por su trabajo</w:t>
      </w:r>
    </w:p>
    <w:p w14:paraId="6C1AF63F" w14:textId="77777777" w:rsidR="00204216" w:rsidRPr="00CF1B34" w:rsidRDefault="00204216"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Rendimiento potencialmente más bajo que otros productos financieros de mayor riesgo</w:t>
      </w:r>
    </w:p>
    <w:p w14:paraId="6165CECA" w14:textId="77777777" w:rsidR="00204216" w:rsidRPr="00CF1B34" w:rsidRDefault="00204216" w:rsidP="0005621A">
      <w:pPr>
        <w:pStyle w:val="Sinespaciado"/>
        <w:ind w:firstLine="708"/>
        <w:jc w:val="both"/>
        <w:rPr>
          <w:rFonts w:ascii="Arial" w:hAnsi="Arial" w:cs="Arial"/>
          <w:b/>
          <w:bCs/>
          <w:sz w:val="22"/>
          <w:szCs w:val="22"/>
          <w:lang w:val="es-ES_tradnl"/>
        </w:rPr>
      </w:pPr>
      <w:r w:rsidRPr="00CF1B34">
        <w:rPr>
          <w:rFonts w:ascii="Arial" w:hAnsi="Arial" w:cs="Arial"/>
          <w:b/>
          <w:bCs/>
          <w:sz w:val="22"/>
          <w:szCs w:val="22"/>
          <w:lang w:val="es-ES_tradnl"/>
        </w:rPr>
        <w:t>Tipos de fondepositos</w:t>
      </w:r>
    </w:p>
    <w:p w14:paraId="19BAF79F" w14:textId="77777777" w:rsidR="00204216" w:rsidRPr="00CF1B34" w:rsidRDefault="00204216"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Fondos de renta fija: invierten en activos de renta fija, como bonos y obligaciones</w:t>
      </w:r>
    </w:p>
    <w:p w14:paraId="34BA593E" w14:textId="77777777" w:rsidR="00204216" w:rsidRPr="00CF1B34" w:rsidRDefault="00204216" w:rsidP="0005621A">
      <w:pPr>
        <w:pStyle w:val="Sinespaciado"/>
        <w:ind w:firstLine="708"/>
        <w:jc w:val="both"/>
        <w:rPr>
          <w:rFonts w:ascii="Arial" w:hAnsi="Arial" w:cs="Arial"/>
          <w:sz w:val="22"/>
          <w:szCs w:val="22"/>
          <w:lang w:val="es-ES_tradnl"/>
        </w:rPr>
      </w:pPr>
      <w:r w:rsidRPr="00CF1B34">
        <w:rPr>
          <w:rFonts w:ascii="Arial" w:hAnsi="Arial" w:cs="Arial"/>
          <w:sz w:val="22"/>
          <w:szCs w:val="22"/>
          <w:lang w:val="es-ES_tradnl"/>
        </w:rPr>
        <w:t>Fondos mixtos: combinan depósitos y activos de renta fija</w:t>
      </w:r>
    </w:p>
    <w:p w14:paraId="23215590" w14:textId="77777777" w:rsidR="00204216" w:rsidRPr="00CF1B34" w:rsidRDefault="0020421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Fondos de renta variable: invierten en activos de renta variable, como acciones y índices bursátiles.</w:t>
      </w:r>
    </w:p>
    <w:p w14:paraId="5FA8907F" w14:textId="68C3B1AB"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abierto</w:t>
      </w:r>
    </w:p>
    <w:p w14:paraId="60BC2F6D"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Fondo de inversión que permite en cualquier momento la entrada y salida de partícipes, sin que el aumento o disminución en el número de participaciones suponga cambio alguno para el resto de los inversores.</w:t>
      </w:r>
    </w:p>
    <w:p w14:paraId="2E7459E4"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cotizado</w:t>
      </w:r>
    </w:p>
    <w:p w14:paraId="40A94BE1"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Institución de inversión colectiva cuya política de inversión consiste en replicar un índice o una cesta de valores (los primeros ETF españoles se referenciaron al Ibex 35). Su mayor particularidad, frente a los fondos de inversión tradicionales, reside en que no es la gestora quien compra o vende las participaciones, sino que el inversor puede adquirirlas a través de las Bolsas de valores, como si se tratara de una acción. Se negocian en tiempo real, a través de un segmento especial de negociación que, entre otros aspectos, permite el cálculo y la difusión de un valor liquidativo estimado a lo largo de la sesión de contratación. </w:t>
      </w:r>
    </w:p>
    <w:p w14:paraId="39D0DE97"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de acumulación o de capitalización</w:t>
      </w:r>
    </w:p>
    <w:p w14:paraId="1CF81742"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Fondos de inversión que reinvierten los rendimientos obtenidos, de forma que éstos aumentan el patrimonio del fondo y en consecuencia el valor liquidativo de las participaciones. En España, prácticamente la totalidad de los fondos de inversión tradicionales son de este tipo (por contraposición a los fondos de reparto, que distribuyen los beneficios entre los partícipes de modo análogo a los dividendos). Ver fondo de reparto.</w:t>
      </w:r>
    </w:p>
    <w:p w14:paraId="74A0EEA1"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de fondos</w:t>
      </w:r>
    </w:p>
    <w:p w14:paraId="5CEF8468"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de inversión cuya cartera se compone en su mayor parte de participaciones o acciones de otras instituciones de inversión colectiva (fondos o sociedades de inversión). </w:t>
      </w:r>
    </w:p>
    <w:p w14:paraId="761AB752" w14:textId="5A32D336" w:rsidR="006B271B" w:rsidRPr="00CF1B34" w:rsidRDefault="006B271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Fondo de </w:t>
      </w:r>
      <w:r w:rsidR="00E40CC2" w:rsidRPr="00CF1B34">
        <w:rPr>
          <w:rFonts w:ascii="Arial" w:hAnsi="Arial" w:cs="Arial"/>
          <w:b/>
          <w:bCs/>
          <w:color w:val="004773"/>
          <w:sz w:val="22"/>
          <w:szCs w:val="22"/>
          <w:lang w:val="es-ES_tradnl"/>
        </w:rPr>
        <w:t>G</w:t>
      </w:r>
      <w:r w:rsidRPr="00CF1B34">
        <w:rPr>
          <w:rFonts w:ascii="Arial" w:hAnsi="Arial" w:cs="Arial"/>
          <w:b/>
          <w:bCs/>
          <w:color w:val="004773"/>
          <w:sz w:val="22"/>
          <w:szCs w:val="22"/>
          <w:lang w:val="es-ES_tradnl"/>
        </w:rPr>
        <w:t xml:space="preserve">arantía de </w:t>
      </w:r>
      <w:r w:rsidR="00E40CC2" w:rsidRPr="00CF1B34">
        <w:rPr>
          <w:rFonts w:ascii="Arial" w:hAnsi="Arial" w:cs="Arial"/>
          <w:b/>
          <w:bCs/>
          <w:color w:val="004773"/>
          <w:sz w:val="22"/>
          <w:szCs w:val="22"/>
          <w:lang w:val="es-ES_tradnl"/>
        </w:rPr>
        <w:t>D</w:t>
      </w:r>
      <w:r w:rsidRPr="00CF1B34">
        <w:rPr>
          <w:rFonts w:ascii="Arial" w:hAnsi="Arial" w:cs="Arial"/>
          <w:b/>
          <w:bCs/>
          <w:color w:val="004773"/>
          <w:sz w:val="22"/>
          <w:szCs w:val="22"/>
          <w:lang w:val="es-ES_tradnl"/>
        </w:rPr>
        <w:t>epósitos</w:t>
      </w:r>
    </w:p>
    <w:p w14:paraId="49B6A11F" w14:textId="22BAFCBA" w:rsidR="006B271B" w:rsidRPr="00CF1B34" w:rsidRDefault="006B271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una institución financiada al 50% por el Banco de España y por la banca privada. Responde de los fondos de los clientes con un limite</w:t>
      </w:r>
      <w:r w:rsidR="00FE43A1" w:rsidRPr="00CF1B34">
        <w:rPr>
          <w:rFonts w:ascii="Arial" w:hAnsi="Arial" w:cs="Arial"/>
          <w:color w:val="000000" w:themeColor="text1"/>
          <w:sz w:val="22"/>
          <w:szCs w:val="22"/>
          <w:lang w:val="es-ES_tradnl"/>
        </w:rPr>
        <w:t xml:space="preserve"> maximo</w:t>
      </w:r>
      <w:r w:rsidRPr="00CF1B34">
        <w:rPr>
          <w:rFonts w:ascii="Arial" w:hAnsi="Arial" w:cs="Arial"/>
          <w:color w:val="000000" w:themeColor="text1"/>
          <w:sz w:val="22"/>
          <w:szCs w:val="22"/>
          <w:lang w:val="es-ES_tradnl"/>
        </w:rPr>
        <w:t xml:space="preserve"> de </w:t>
      </w:r>
      <w:r w:rsidR="00FE43A1" w:rsidRPr="00CF1B34">
        <w:rPr>
          <w:rFonts w:ascii="Arial" w:hAnsi="Arial" w:cs="Arial"/>
          <w:color w:val="000000" w:themeColor="text1"/>
          <w:sz w:val="22"/>
          <w:szCs w:val="22"/>
          <w:lang w:val="es-ES_tradnl"/>
        </w:rPr>
        <w:t>100.000€. En mayo de 2023 su patrimonio alcanzo 4.948 millones de euros</w:t>
      </w:r>
    </w:p>
    <w:p w14:paraId="6BB7759A" w14:textId="6DA331FC"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de Garantía de Inversiones</w:t>
      </w:r>
    </w:p>
    <w:p w14:paraId="78277D64" w14:textId="51B9EE32"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Sistema de indemnización de los inversores, regulado en el RD 948/2001. Ofrece cobertura, hasta un límite de 100.000 euros, cuando la empresa de servicios de inversión sea declarada insolvente y no pueda restituir los valores o instrumentos financieros que tuviera en depósito por la realización de servicios de inversión. En caso de que el servicio de inversión haya sido prestado por una entidad de crédito, la cobertura correspondería a los Fondos de Garantía de Depósitos (en establecimientos bancarios, cajas de ahorros y cooperativas de crédito).</w:t>
      </w:r>
    </w:p>
    <w:p w14:paraId="1E026DA0"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de gestión alternativa</w:t>
      </w:r>
    </w:p>
    <w:p w14:paraId="5E34562F" w14:textId="58E1F6A3"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de inversión que intenta maximizar la rentabilidad sea cual sea la tendencia del mercado, es decir, incluso con mercados bajistas (lo que, en circunstancias normales, implicaría pérdidas). Para ello, estos fondos emplean estrategias e instrumentos como ventas en descubierto, apalancamiento, etc., algunos de los cuales incorporan un alto nivel de riesgo que el inversor debe conocer.</w:t>
      </w:r>
      <w:r w:rsidR="00E06AA4" w:rsidRPr="00CF1B34">
        <w:rPr>
          <w:rFonts w:ascii="Arial" w:hAnsi="Arial" w:cs="Arial"/>
          <w:color w:val="212529"/>
          <w:sz w:val="22"/>
          <w:szCs w:val="22"/>
          <w:lang w:val="es-ES_tradnl"/>
        </w:rPr>
        <w:t xml:space="preserve"> </w:t>
      </w:r>
      <w:hyperlink r:id="rId238" w:tgtFrame="_self" w:history="1">
        <w:r w:rsidRPr="00CF1B34">
          <w:rPr>
            <w:rFonts w:ascii="Arial" w:hAnsi="Arial" w:cs="Arial"/>
            <w:b/>
            <w:bCs/>
            <w:color w:val="2F5496" w:themeColor="accent1" w:themeShade="BF"/>
            <w:sz w:val="22"/>
            <w:szCs w:val="22"/>
            <w:u w:val="single"/>
            <w:lang w:val="es-ES_tradnl"/>
          </w:rPr>
          <w:t>Ver fondo de inversión</w:t>
        </w:r>
      </w:hyperlink>
      <w:r w:rsidR="00E06AA4" w:rsidRPr="00CF1B34">
        <w:rPr>
          <w:rFonts w:ascii="Arial" w:hAnsi="Arial" w:cs="Arial"/>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w:t>
      </w:r>
      <w:r w:rsidR="00E06AA4" w:rsidRPr="00CF1B34">
        <w:rPr>
          <w:rFonts w:ascii="Arial" w:hAnsi="Arial" w:cs="Arial"/>
          <w:color w:val="2F5496" w:themeColor="accent1" w:themeShade="BF"/>
          <w:sz w:val="22"/>
          <w:szCs w:val="22"/>
          <w:lang w:val="es-ES_tradnl"/>
        </w:rPr>
        <w:t xml:space="preserve"> </w:t>
      </w:r>
      <w:hyperlink r:id="rId239" w:tgtFrame="_self" w:history="1">
        <w:r w:rsidRPr="00CF1B34">
          <w:rPr>
            <w:rFonts w:ascii="Arial" w:hAnsi="Arial" w:cs="Arial"/>
            <w:b/>
            <w:bCs/>
            <w:color w:val="2F5496" w:themeColor="accent1" w:themeShade="BF"/>
            <w:sz w:val="22"/>
            <w:szCs w:val="22"/>
            <w:u w:val="single"/>
            <w:lang w:val="es-ES_tradnl"/>
          </w:rPr>
          <w:t>apalancamiento financiero</w:t>
        </w:r>
      </w:hyperlink>
      <w:r w:rsidRPr="00CF1B34">
        <w:rPr>
          <w:rFonts w:ascii="Arial" w:hAnsi="Arial" w:cs="Arial"/>
          <w:color w:val="212529"/>
          <w:sz w:val="22"/>
          <w:szCs w:val="22"/>
          <w:lang w:val="es-ES_tradnl"/>
        </w:rPr>
        <w:t>.</w:t>
      </w:r>
    </w:p>
    <w:p w14:paraId="18DB38B8"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Fondo de inversión</w:t>
      </w:r>
    </w:p>
    <w:p w14:paraId="5F9B9AAB" w14:textId="6F897D7E" w:rsidR="00AB2EE5" w:rsidRPr="00CF1B34" w:rsidRDefault="00637D33" w:rsidP="0005621A">
      <w:pPr>
        <w:pStyle w:val="Ttulo2"/>
        <w:shd w:val="clear" w:color="auto" w:fill="FFFFFF"/>
        <w:ind w:left="708"/>
        <w:jc w:val="both"/>
        <w:rPr>
          <w:rFonts w:ascii="Arial" w:hAnsi="Arial" w:cs="Arial"/>
          <w:b w:val="0"/>
          <w:bCs w:val="0"/>
          <w:color w:val="212529"/>
          <w:sz w:val="22"/>
          <w:szCs w:val="22"/>
          <w:lang w:val="es-ES_tradnl"/>
        </w:rPr>
      </w:pPr>
      <w:r w:rsidRPr="00CF1B34">
        <w:rPr>
          <w:rFonts w:ascii="Arial" w:hAnsi="Arial" w:cs="Arial"/>
          <w:b w:val="0"/>
          <w:bCs w:val="0"/>
          <w:color w:val="212529"/>
          <w:sz w:val="22"/>
          <w:szCs w:val="22"/>
          <w:lang w:val="es-ES_tradnl"/>
        </w:rPr>
        <w:t xml:space="preserve">Son patrimonios sin personalidad jurídica, constituidos por las aportaciones de múltiples inversores. La sociedad gestora que ejerce la administración y representación del fondo se encarga asimismo de invertir estas aportaciones en distintos activos e instrumentos financieros, cuya evolución en los mercados determina los resultados, positivos o negativos, obtenidos por los inversores o partícipes. La unidad de inversión es la participación. </w:t>
      </w:r>
    </w:p>
    <w:p w14:paraId="148A7E13" w14:textId="2C9B5F16" w:rsidR="00AB2EE5" w:rsidRPr="00CF1B34" w:rsidRDefault="00AB2EE5" w:rsidP="0005621A">
      <w:pPr>
        <w:pStyle w:val="Ttulo2"/>
        <w:shd w:val="clear" w:color="auto" w:fill="FFFFFF"/>
        <w:ind w:firstLine="708"/>
        <w:jc w:val="both"/>
        <w:rPr>
          <w:rFonts w:ascii="Arial" w:hAnsi="Arial" w:cs="Arial"/>
          <w:b w:val="0"/>
          <w:bCs w:val="0"/>
          <w:color w:val="191B1C"/>
          <w:sz w:val="22"/>
          <w:szCs w:val="22"/>
          <w:lang w:val="es-ES_tradnl"/>
        </w:rPr>
      </w:pPr>
      <w:r w:rsidRPr="00CF1B34">
        <w:rPr>
          <w:rFonts w:ascii="Arial" w:hAnsi="Arial" w:cs="Arial"/>
          <w:color w:val="191B1C"/>
          <w:sz w:val="22"/>
          <w:szCs w:val="22"/>
          <w:lang w:val="es-ES_tradnl"/>
        </w:rPr>
        <w:t>Tipos de Fondos de Inversión</w:t>
      </w:r>
    </w:p>
    <w:p w14:paraId="20135022" w14:textId="77777777" w:rsidR="00AB2EE5" w:rsidRPr="00CF1B34" w:rsidRDefault="00AB2EE5" w:rsidP="0005621A">
      <w:pPr>
        <w:numPr>
          <w:ilvl w:val="0"/>
          <w:numId w:val="16"/>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b/>
          <w:bCs/>
          <w:color w:val="191B1C"/>
          <w:sz w:val="22"/>
          <w:szCs w:val="22"/>
          <w:lang w:val="es-ES_tradnl"/>
        </w:rPr>
        <w:t>Fondos de renta fija</w:t>
      </w:r>
      <w:r w:rsidRPr="00CF1B34">
        <w:rPr>
          <w:rFonts w:ascii="Arial" w:hAnsi="Arial" w:cs="Arial"/>
          <w:color w:val="191B1C"/>
          <w:sz w:val="22"/>
          <w:szCs w:val="22"/>
          <w:lang w:val="es-ES_tradnl"/>
        </w:rPr>
        <w:t>: Los fondos de renta fija son aquellos que invierten en deuda emitida por gobiernos, administraciones públicas y empresas nacionales o internacionales con el objetivo de financiarse: bonos, obligaciones, deuda corporativa, etc.</w:t>
      </w:r>
    </w:p>
    <w:p w14:paraId="1FF5E8CB" w14:textId="1A5E3EC8" w:rsidR="00AB2EE5" w:rsidRPr="00CF1B34" w:rsidRDefault="00AB2EE5" w:rsidP="0005621A">
      <w:pPr>
        <w:numPr>
          <w:ilvl w:val="0"/>
          <w:numId w:val="16"/>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b/>
          <w:bCs/>
          <w:color w:val="191B1C"/>
          <w:sz w:val="22"/>
          <w:szCs w:val="22"/>
          <w:lang w:val="es-ES_tradnl"/>
        </w:rPr>
        <w:t>Fondos de renta variable:</w:t>
      </w:r>
      <w:r w:rsidR="002C2CC3"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Los fondos de renta variable son fondos que invierten más del 75% de su patrimonio en activos financieros de renta variable, es decir, acciones, empresas cotizadas en bolsa, índices bursátiles, etc</w:t>
      </w:r>
      <w:r w:rsidR="002C2CC3" w:rsidRPr="00CF1B34">
        <w:rPr>
          <w:rFonts w:ascii="Arial" w:hAnsi="Arial" w:cs="Arial"/>
          <w:color w:val="191B1C"/>
          <w:sz w:val="22"/>
          <w:szCs w:val="22"/>
          <w:lang w:val="es-ES_tradnl"/>
        </w:rPr>
        <w:t>.</w:t>
      </w:r>
    </w:p>
    <w:p w14:paraId="37F06F51" w14:textId="3112543A" w:rsidR="00AB2EE5" w:rsidRPr="00CF1B34" w:rsidRDefault="00AB2EE5" w:rsidP="0005621A">
      <w:pPr>
        <w:numPr>
          <w:ilvl w:val="0"/>
          <w:numId w:val="16"/>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b/>
          <w:bCs/>
          <w:color w:val="191B1C"/>
          <w:sz w:val="22"/>
          <w:szCs w:val="22"/>
          <w:lang w:val="es-ES_tradnl"/>
        </w:rPr>
        <w:t>Fondos mixtos:</w:t>
      </w:r>
      <w:r w:rsidR="002C2CC3"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Son aquellos que invierten en renta fija y en renta variable. Cada fondo cuenta con su propia estrategia de inversión, variando los porcentajes del capital invertido en renta fija y renta variable varía.</w:t>
      </w:r>
    </w:p>
    <w:p w14:paraId="1DEB396A" w14:textId="5D4827FF" w:rsidR="00AB2EE5" w:rsidRPr="00CF1B34" w:rsidRDefault="00AB2EE5" w:rsidP="0005621A">
      <w:pPr>
        <w:numPr>
          <w:ilvl w:val="0"/>
          <w:numId w:val="16"/>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b/>
          <w:bCs/>
          <w:color w:val="191B1C"/>
          <w:sz w:val="22"/>
          <w:szCs w:val="22"/>
          <w:lang w:val="es-ES_tradnl"/>
        </w:rPr>
        <w:t>Fondos monetarios:</w:t>
      </w:r>
      <w:r w:rsidR="002C2CC3"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Son fondos que invierten en el mercado monetario: letras, bonos, etc., a muy corto plazo.</w:t>
      </w:r>
    </w:p>
    <w:p w14:paraId="640659D1" w14:textId="60D287B6" w:rsidR="00AB2EE5" w:rsidRPr="00CF1B34" w:rsidRDefault="00AB2EE5" w:rsidP="0005621A">
      <w:pPr>
        <w:numPr>
          <w:ilvl w:val="0"/>
          <w:numId w:val="16"/>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b/>
          <w:bCs/>
          <w:color w:val="191B1C"/>
          <w:sz w:val="22"/>
          <w:szCs w:val="22"/>
          <w:lang w:val="es-ES_tradnl"/>
        </w:rPr>
        <w:t>Fondos garantizados:</w:t>
      </w:r>
      <w:r w:rsidR="002C2CC3"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Los fondos garantizados son un tipo de fondo que aseguran la devolución total o parcial de la inversión inicial, en una fecha concreta. Estos fondos no siempre están disponibles, debes consultar la disponibilidad con el banco.</w:t>
      </w:r>
    </w:p>
    <w:p w14:paraId="2D1BB70C" w14:textId="62B09D9C"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p>
    <w:p w14:paraId="1B4A16C9"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de inversión inmobiliaria, FII</w:t>
      </w:r>
    </w:p>
    <w:p w14:paraId="0458E52E" w14:textId="2C9B362E"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Institución de inversión colectiva no financiera, que invierte principalmente en bienes inmuebles de naturaleza urbana, para explotarlos en régimen de alquiler.</w:t>
      </w:r>
      <w:r w:rsidR="00D11AF4" w:rsidRPr="00CF1B34">
        <w:rPr>
          <w:rFonts w:ascii="Arial" w:hAnsi="Arial" w:cs="Arial"/>
          <w:color w:val="212529"/>
          <w:sz w:val="22"/>
          <w:szCs w:val="22"/>
          <w:lang w:val="es-ES_tradnl"/>
        </w:rPr>
        <w:t xml:space="preserve"> As</w:t>
      </w:r>
      <w:r w:rsidR="00EC6564" w:rsidRPr="00CF1B34">
        <w:rPr>
          <w:rFonts w:ascii="Arial" w:hAnsi="Arial" w:cs="Arial"/>
          <w:color w:val="212529"/>
          <w:sz w:val="22"/>
          <w:szCs w:val="22"/>
          <w:lang w:val="es-ES_tradnl"/>
        </w:rPr>
        <w:t>í</w:t>
      </w:r>
      <w:r w:rsidR="00D11AF4" w:rsidRPr="00CF1B34">
        <w:rPr>
          <w:rFonts w:ascii="Arial" w:hAnsi="Arial" w:cs="Arial"/>
          <w:color w:val="212529"/>
          <w:sz w:val="22"/>
          <w:szCs w:val="22"/>
          <w:lang w:val="es-ES_tradnl"/>
        </w:rPr>
        <w:t xml:space="preserve"> como por las plusvalías obtenidas cuando se venden los inmuebles adquiridos.</w:t>
      </w:r>
    </w:p>
    <w:p w14:paraId="615CC61D"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de inversión libre</w:t>
      </w:r>
    </w:p>
    <w:p w14:paraId="3F292D69" w14:textId="14739A43"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Denominación legal que reciben en España los fondos de inversión alternativa o hedge funds. Son fondos de inversión que intentan maximizar la rentabilidad sea cual sea la tendencia del mercado, es decir, incluso con mercados bajistas (lo que, en circunstancias normales, implicaría pérdidas). No tienen las restricciones de inversión que se imponen a los fondos tradicionales, por lo que pueden elegir libremente los valores e instrumentos en los que invierten. Emplean estrategias sofisticadas como ventas en descubierto, apalancamiento, etc., algunas de las cuales incorporan un alto nivel de riesgo que el inversor debe conocer. Se trata de un grupo heterogéneo, en el que pueden encontrarse fondos con características y niveles de riesgo muy dispares. Se aconseja consultar el apartado </w:t>
      </w:r>
      <w:r w:rsidR="007401AE" w:rsidRPr="00CF1B34">
        <w:rPr>
          <w:rFonts w:ascii="Arial" w:hAnsi="Arial" w:cs="Arial"/>
          <w:color w:val="212529"/>
          <w:sz w:val="22"/>
          <w:szCs w:val="22"/>
          <w:lang w:val="es-ES_tradnl"/>
        </w:rPr>
        <w:t xml:space="preserve">de </w:t>
      </w:r>
      <w:r w:rsidR="007401AE" w:rsidRPr="00CF1B34">
        <w:rPr>
          <w:rFonts w:ascii="Arial" w:hAnsi="Arial" w:cs="Arial"/>
          <w:b/>
          <w:bCs/>
          <w:color w:val="2F5496" w:themeColor="accent1" w:themeShade="BF"/>
          <w:sz w:val="22"/>
          <w:szCs w:val="22"/>
          <w:lang w:val="es-ES_tradnl"/>
        </w:rPr>
        <w:t>Otros fondos de inversión</w:t>
      </w:r>
      <w:r w:rsidR="007401AE" w:rsidRPr="00CF1B34">
        <w:rPr>
          <w:rFonts w:ascii="Arial" w:hAnsi="Arial" w:cs="Arial"/>
          <w:color w:val="2F5496" w:themeColor="accent1" w:themeShade="BF"/>
          <w:sz w:val="22"/>
          <w:szCs w:val="22"/>
          <w:lang w:val="es-ES_tradnl"/>
        </w:rPr>
        <w:t xml:space="preserve"> </w:t>
      </w:r>
      <w:r w:rsidR="007401AE" w:rsidRPr="00CF1B34">
        <w:rPr>
          <w:rFonts w:ascii="Arial" w:hAnsi="Arial" w:cs="Arial"/>
          <w:color w:val="000000" w:themeColor="text1"/>
          <w:sz w:val="22"/>
          <w:szCs w:val="22"/>
          <w:lang w:val="es-ES_tradnl"/>
        </w:rPr>
        <w:t>de</w:t>
      </w:r>
      <w:r w:rsidRPr="00CF1B34">
        <w:rPr>
          <w:rFonts w:ascii="Arial" w:hAnsi="Arial" w:cs="Arial"/>
          <w:color w:val="000000" w:themeColor="text1"/>
          <w:sz w:val="22"/>
          <w:szCs w:val="22"/>
          <w:lang w:val="es-ES_tradnl"/>
        </w:rPr>
        <w:t xml:space="preserve"> </w:t>
      </w:r>
      <w:r w:rsidRPr="00CF1B34">
        <w:rPr>
          <w:rFonts w:ascii="Arial" w:hAnsi="Arial" w:cs="Arial"/>
          <w:color w:val="212529"/>
          <w:sz w:val="22"/>
          <w:szCs w:val="22"/>
          <w:lang w:val="es-ES_tradnl"/>
        </w:rPr>
        <w:t>la</w:t>
      </w:r>
      <w:r w:rsidR="00E06AA4"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Sección</w:t>
      </w:r>
      <w:r w:rsidR="00E06AA4"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del Inversor.</w:t>
      </w:r>
    </w:p>
    <w:p w14:paraId="29BFFE0C"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de maniobra</w:t>
      </w:r>
    </w:p>
    <w:p w14:paraId="4581D139" w14:textId="049E127F"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También llamado capital circulante, es la parte del activo circulante que se financia con fondos a largo plazo. Es un dato positivo, en la medida en que indica que los activos líquidos de la empresa superan a las deudas que tiene a corto plazo. Puede calcularse como diferencia entre los recursos permanentes y el activo fijo de la empresa.</w:t>
      </w:r>
      <w:r w:rsidR="001F0B73" w:rsidRPr="00CF1B34">
        <w:rPr>
          <w:rFonts w:ascii="Arial" w:hAnsi="Arial" w:cs="Arial"/>
          <w:color w:val="212529"/>
          <w:sz w:val="22"/>
          <w:szCs w:val="22"/>
          <w:lang w:val="es-ES_tradnl"/>
        </w:rPr>
        <w:t xml:space="preserve"> </w:t>
      </w:r>
      <w:hyperlink r:id="rId240" w:tgtFrame="_self" w:history="1">
        <w:r w:rsidRPr="00CF1B34">
          <w:rPr>
            <w:rFonts w:ascii="Arial" w:hAnsi="Arial" w:cs="Arial"/>
            <w:b/>
            <w:bCs/>
            <w:color w:val="2F5496" w:themeColor="accent1" w:themeShade="BF"/>
            <w:sz w:val="22"/>
            <w:szCs w:val="22"/>
            <w:u w:val="single"/>
            <w:lang w:val="es-ES_tradnl"/>
          </w:rPr>
          <w:t>Ver activo circulante</w:t>
        </w:r>
      </w:hyperlink>
      <w:r w:rsidRPr="00CF1B34">
        <w:rPr>
          <w:rFonts w:ascii="Arial" w:hAnsi="Arial" w:cs="Arial"/>
          <w:color w:val="2F5496" w:themeColor="accent1" w:themeShade="BF"/>
          <w:sz w:val="22"/>
          <w:szCs w:val="22"/>
          <w:lang w:val="es-ES_tradnl"/>
        </w:rPr>
        <w:t>.</w:t>
      </w:r>
    </w:p>
    <w:p w14:paraId="4DF4FDE6" w14:textId="21B7AB4C"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de titulización de activos</w:t>
      </w:r>
    </w:p>
    <w:p w14:paraId="4C233148" w14:textId="597A4D0A"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que se configura como un patrimonio separado, administrado por una sociedad gestora. Una entidad que desea financiación (cedente) vende determinados activos al fondo de titulización, y éste emite valores respaldados por dichos activos. Estos valores (llamados bonos de titulización) son los que se colocan entre los inversores. Cuando los activos cedidos son préstamos hipotecarios, el fondo que los adquiere es un fondo de titulización hipotecaria (mortgage securitisation fund), y los valores que emite se denominan bonos de titulización hipotecaria. </w:t>
      </w:r>
    </w:p>
    <w:p w14:paraId="7D26666D" w14:textId="03AEFBCF"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global</w:t>
      </w:r>
    </w:p>
    <w:p w14:paraId="45346A8B"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que no tiene definida de forma precisa su política de inversión, por lo que en principio puede invertir en cualquier activo, mercado, divisa, etc. dentro de los permitidos por la normativa, sin necesidad de fijar de antemano los porcentajes que se destinarán a cada tipo de activo.</w:t>
      </w:r>
    </w:p>
    <w:p w14:paraId="06E83595"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índice</w:t>
      </w:r>
    </w:p>
    <w:p w14:paraId="155C5BDD"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de inversión cuya política consiste en tomar como referencia o reproducir un determinado índice bursátil o de renta fija.</w:t>
      </w:r>
    </w:p>
    <w:p w14:paraId="0A37D6F4" w14:textId="3E0AD2C8" w:rsidR="007412EB" w:rsidRPr="00CF1B34" w:rsidRDefault="007412E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indexado</w:t>
      </w:r>
    </w:p>
    <w:p w14:paraId="5AF88F88" w14:textId="77777777" w:rsidR="007412EB" w:rsidRPr="00CF1B34" w:rsidRDefault="007412E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una modalidad de fondos garantizados. Su rentabilidad esta ligada a la evolución de un índice – generalmente el Ibex 35 -. Suelen ofrecer entre un 50 por ciento y un 100 por ciento de la revalorización media obtenida por el índice al que están referenciados. Si la evolución es negativa, garantizan, al menos, la inversión inicial y un pequeño porcentaje.</w:t>
      </w:r>
    </w:p>
    <w:p w14:paraId="133CF2BF" w14:textId="563D17F1"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mixto</w:t>
      </w:r>
    </w:p>
    <w:p w14:paraId="24394B7A"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que invierte parte de su patrimonio en activos de renta fija y parte en renta variable.</w:t>
      </w:r>
    </w:p>
    <w:p w14:paraId="451142BD" w14:textId="44FB450E"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off shore</w:t>
      </w:r>
    </w:p>
    <w:p w14:paraId="423A2813" w14:textId="43EA59AA"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de inversión domiciliado en un paraíso fiscal, que no se encuentra sujeto a control ni supervisión administrativa alguna. Las inversiones en estos fondos no están cubiertas por ningún sistema de compensación o protección del inversor.</w:t>
      </w:r>
    </w:p>
    <w:p w14:paraId="4C202B75"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paraguas o por compartimentos</w:t>
      </w:r>
    </w:p>
    <w:p w14:paraId="092FF715"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de inversión compuesto por diferentes compartimentos o subfondos con distintas políticas de inversión, de tal forma que los partícipes pueden elegir el compartimento con la política de inversión más adecuada a sus expectativas y a su perfil de riesgo.  </w:t>
      </w:r>
    </w:p>
    <w:p w14:paraId="1026905D"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sectorial</w:t>
      </w:r>
    </w:p>
    <w:p w14:paraId="327CE7F3"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Fondo de inversión cuya cartera está formada mayoritariamente por valores de empresas pertenecientes a un sector o sectores determinados. Por ejemplo, los fondos tecnológicos invierten en empresas que desarrollan su actividad en el campo de las tecnologías.</w:t>
      </w:r>
    </w:p>
    <w:p w14:paraId="7CDB1689"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 solidario</w:t>
      </w:r>
    </w:p>
    <w:p w14:paraId="7BFC8DFC"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de inversión cuya sociedad gestora ha asumido el compromiso de ceder parte de las comisiones a una entidad u organización con fines sociales.</w:t>
      </w:r>
    </w:p>
    <w:p w14:paraId="20D7A99C" w14:textId="77777777" w:rsidR="00F27157" w:rsidRPr="00CF1B34" w:rsidRDefault="00F27157"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Fondos Buitres.</w:t>
      </w:r>
    </w:p>
    <w:p w14:paraId="2B3FA413" w14:textId="1C88736E" w:rsidR="00D15D45" w:rsidRPr="00CF1B34" w:rsidRDefault="00F2715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Los</w:t>
      </w:r>
      <w:r w:rsidRPr="00CF1B34">
        <w:rPr>
          <w:rStyle w:val="Textoennegrita"/>
          <w:rFonts w:ascii="Arial" w:hAnsi="Arial" w:cs="Arial"/>
          <w:i/>
          <w:iCs/>
          <w:color w:val="333333"/>
          <w:sz w:val="22"/>
          <w:szCs w:val="22"/>
          <w:shd w:val="clear" w:color="auto" w:fill="FFFFFF"/>
          <w:lang w:val="es-ES_tradnl"/>
        </w:rPr>
        <w:t xml:space="preserve"> “Fondos Buitres”</w:t>
      </w:r>
      <w:r w:rsidRPr="00CF1B34">
        <w:rPr>
          <w:rStyle w:val="nfasis"/>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 xml:space="preserve">son </w:t>
      </w:r>
      <w:r w:rsidRPr="00CF1B34">
        <w:rPr>
          <w:rStyle w:val="Textoennegrita"/>
          <w:rFonts w:ascii="Arial" w:hAnsi="Arial" w:cs="Arial"/>
          <w:color w:val="333333"/>
          <w:sz w:val="22"/>
          <w:szCs w:val="22"/>
          <w:shd w:val="clear" w:color="auto" w:fill="FFFFFF"/>
          <w:lang w:val="es-ES_tradnl"/>
        </w:rPr>
        <w:t>inversores especulativos</w:t>
      </w:r>
      <w:r w:rsidRPr="00CF1B34">
        <w:rPr>
          <w:rFonts w:ascii="Arial" w:hAnsi="Arial" w:cs="Arial"/>
          <w:color w:val="333333"/>
          <w:sz w:val="22"/>
          <w:szCs w:val="22"/>
          <w:shd w:val="clear" w:color="auto" w:fill="FFFFFF"/>
          <w:lang w:val="es-ES_tradnl"/>
        </w:rPr>
        <w:t xml:space="preserve"> que salen a comprar títulos de deuda de países con problemas de cumplimiento cuando están por el piso de su valor, es decir, cuando el valor en bolsas es mucho mas bajo que el valor nominal.</w:t>
      </w:r>
      <w:r w:rsidRPr="00CF1B34">
        <w:rPr>
          <w:rFonts w:ascii="Arial" w:hAnsi="Arial" w:cs="Arial"/>
          <w:color w:val="333333"/>
          <w:shd w:val="clear" w:color="auto" w:fill="FFFFFF"/>
          <w:lang w:val="es-ES_tradnl"/>
        </w:rPr>
        <w:t xml:space="preserve"> </w:t>
      </w:r>
      <w:r w:rsidRPr="00CF1B34">
        <w:rPr>
          <w:rFonts w:ascii="Arial" w:hAnsi="Arial" w:cs="Arial"/>
          <w:color w:val="333333"/>
          <w:sz w:val="22"/>
          <w:szCs w:val="22"/>
          <w:shd w:val="clear" w:color="auto" w:fill="FFFFFF"/>
          <w:lang w:val="es-ES_tradnl"/>
        </w:rPr>
        <w:t xml:space="preserve">Los </w:t>
      </w:r>
      <w:r w:rsidRPr="00CF1B34">
        <w:rPr>
          <w:rStyle w:val="Textoennegrita"/>
          <w:rFonts w:ascii="Arial" w:hAnsi="Arial" w:cs="Arial"/>
          <w:color w:val="333333"/>
          <w:sz w:val="22"/>
          <w:szCs w:val="22"/>
          <w:shd w:val="clear" w:color="auto" w:fill="FFFFFF"/>
          <w:lang w:val="es-ES_tradnl"/>
        </w:rPr>
        <w:t>“Fondos Buitres”</w:t>
      </w:r>
      <w:r w:rsidRPr="00CF1B34">
        <w:rPr>
          <w:rFonts w:ascii="Arial" w:hAnsi="Arial" w:cs="Arial"/>
          <w:color w:val="333333"/>
          <w:sz w:val="22"/>
          <w:szCs w:val="22"/>
          <w:shd w:val="clear" w:color="auto" w:fill="FFFFFF"/>
          <w:lang w:val="es-ES_tradnl"/>
        </w:rPr>
        <w:t xml:space="preserve"> mas conocidos serian los norteamericanos</w:t>
      </w:r>
      <w:r w:rsidRPr="00CF1B34">
        <w:rPr>
          <w:rStyle w:val="Textoennegrita"/>
          <w:rFonts w:ascii="Arial" w:hAnsi="Arial" w:cs="Arial"/>
          <w:color w:val="333333"/>
          <w:sz w:val="22"/>
          <w:szCs w:val="22"/>
          <w:shd w:val="clear" w:color="auto" w:fill="FFFFFF"/>
          <w:lang w:val="es-ES_tradnl"/>
        </w:rPr>
        <w:t xml:space="preserve"> Moore Capital, Fidelity International </w:t>
      </w:r>
      <w:r w:rsidRPr="00CF1B34">
        <w:rPr>
          <w:rFonts w:ascii="Arial" w:hAnsi="Arial" w:cs="Arial"/>
          <w:color w:val="333333"/>
          <w:sz w:val="22"/>
          <w:szCs w:val="22"/>
          <w:shd w:val="clear" w:color="auto" w:fill="FFFFFF"/>
          <w:lang w:val="es-ES_tradnl"/>
        </w:rPr>
        <w:t xml:space="preserve">y </w:t>
      </w:r>
      <w:r w:rsidRPr="00CF1B34">
        <w:rPr>
          <w:rStyle w:val="Textoennegrita"/>
          <w:rFonts w:ascii="Arial" w:hAnsi="Arial" w:cs="Arial"/>
          <w:color w:val="333333"/>
          <w:sz w:val="22"/>
          <w:szCs w:val="22"/>
          <w:shd w:val="clear" w:color="auto" w:fill="FFFFFF"/>
          <w:lang w:val="es-ES_tradnl"/>
        </w:rPr>
        <w:t>Paulson&amp;Co</w:t>
      </w:r>
      <w:r w:rsidRPr="00CF1B34">
        <w:rPr>
          <w:rFonts w:ascii="Arial" w:hAnsi="Arial" w:cs="Arial"/>
          <w:color w:val="333333"/>
          <w:sz w:val="22"/>
          <w:szCs w:val="22"/>
          <w:shd w:val="clear" w:color="auto" w:fill="FFFFFF"/>
          <w:lang w:val="es-ES_tradnl"/>
        </w:rPr>
        <w:t>., además del británico</w:t>
      </w:r>
      <w:r w:rsidR="002C2CC3"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Brevan Howard</w:t>
      </w:r>
      <w:r w:rsidRPr="00CF1B34">
        <w:rPr>
          <w:rFonts w:ascii="Arial" w:hAnsi="Arial" w:cs="Arial"/>
          <w:color w:val="333333"/>
          <w:sz w:val="22"/>
          <w:szCs w:val="22"/>
          <w:shd w:val="clear" w:color="auto" w:fill="FFFFFF"/>
          <w:lang w:val="es-ES_tradnl"/>
        </w:rPr>
        <w:t>, el mayor gestor de los tristemente célebres hedge funds de</w:t>
      </w:r>
      <w:r w:rsidR="00D15D45" w:rsidRPr="00CF1B34">
        <w:rPr>
          <w:rFonts w:ascii="Arial" w:hAnsi="Arial" w:cs="Arial"/>
          <w:color w:val="333333"/>
          <w:sz w:val="22"/>
          <w:szCs w:val="22"/>
          <w:shd w:val="clear" w:color="auto" w:fill="FFFFFF"/>
          <w:lang w:val="es-ES_tradnl"/>
        </w:rPr>
        <w:t xml:space="preserve"> Europa.</w:t>
      </w:r>
    </w:p>
    <w:p w14:paraId="22E00571" w14:textId="4196B3B4"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Fondos de inversión que aplican criterios ASG</w:t>
      </w:r>
    </w:p>
    <w:p w14:paraId="073D9480" w14:textId="39C115E8"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instrumentos de inversión y ahorro (instituciones de inversión colectiva) que incluyen uno o más criterios ASG en su política de inversión. Esta política de inversión está definida en el folleto o DFI (Documento con los Datos Fundamentales para el Inversor).</w:t>
      </w:r>
    </w:p>
    <w:p w14:paraId="60769ACF"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Fondos de inversión solidarios </w:t>
      </w:r>
    </w:p>
    <w:p w14:paraId="411DECC3" w14:textId="3F72420B"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instituciones de inversión colectiva que ceden una parte de la comisión de gestión a determinadas entidades benéficas o no gubernamentales.</w:t>
      </w:r>
    </w:p>
    <w:p w14:paraId="554306AC" w14:textId="77777777" w:rsidR="00D15D45" w:rsidRPr="00CF1B34" w:rsidRDefault="00D15D45"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Fondos de pensiones</w:t>
      </w:r>
    </w:p>
    <w:p w14:paraId="0763E22F" w14:textId="77777777" w:rsidR="00D15D45" w:rsidRPr="00CF1B34" w:rsidRDefault="00D15D4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Los </w:t>
      </w:r>
      <w:r w:rsidRPr="00CF1B34">
        <w:rPr>
          <w:rStyle w:val="Textoennegrita"/>
          <w:rFonts w:ascii="Arial" w:hAnsi="Arial" w:cs="Arial"/>
          <w:sz w:val="22"/>
          <w:szCs w:val="22"/>
          <w:lang w:val="es-ES_tradnl"/>
        </w:rPr>
        <w:t>Fondos de pensiones</w:t>
      </w:r>
      <w:r w:rsidRPr="00CF1B34">
        <w:rPr>
          <w:rFonts w:ascii="Arial" w:hAnsi="Arial" w:cs="Arial"/>
          <w:sz w:val="22"/>
          <w:szCs w:val="22"/>
          <w:lang w:val="es-ES_tradnl"/>
        </w:rPr>
        <w:t xml:space="preserve"> son aquellos patrimonios sin personalidad jurídica que se crean para cumplir con los objetivos de los planes de pensiones.  O más sencillamente: son un tipo de </w:t>
      </w:r>
      <w:r w:rsidRPr="00CF1B34">
        <w:rPr>
          <w:rStyle w:val="Textoennegrita"/>
          <w:rFonts w:ascii="Arial" w:hAnsi="Arial" w:cs="Arial"/>
          <w:sz w:val="22"/>
          <w:szCs w:val="22"/>
          <w:lang w:val="es-ES_tradnl"/>
        </w:rPr>
        <w:t>fondos de inversión para gestionar el capital procedente de los planes de pensiones</w:t>
      </w:r>
      <w:r w:rsidRPr="00CF1B34">
        <w:rPr>
          <w:rFonts w:ascii="Arial" w:hAnsi="Arial" w:cs="Arial"/>
          <w:sz w:val="22"/>
          <w:szCs w:val="22"/>
          <w:lang w:val="es-ES_tradnl"/>
        </w:rPr>
        <w:t>.</w:t>
      </w:r>
    </w:p>
    <w:p w14:paraId="1DE8D58E" w14:textId="77777777" w:rsidR="00D15D45" w:rsidRPr="00CF1B34" w:rsidRDefault="00D15D45" w:rsidP="0005621A">
      <w:pPr>
        <w:pStyle w:val="NormalWeb"/>
        <w:spacing w:before="0" w:beforeAutospacing="0" w:after="0"/>
        <w:ind w:left="708"/>
        <w:jc w:val="both"/>
        <w:rPr>
          <w:rFonts w:ascii="Arial" w:hAnsi="Arial" w:cs="Arial"/>
          <w:sz w:val="22"/>
          <w:szCs w:val="22"/>
          <w:lang w:val="es-ES_tradnl"/>
        </w:rPr>
      </w:pPr>
      <w:r w:rsidRPr="00CF1B34">
        <w:rPr>
          <w:rFonts w:ascii="Arial" w:hAnsi="Arial" w:cs="Arial"/>
          <w:sz w:val="22"/>
          <w:szCs w:val="22"/>
          <w:lang w:val="es-ES_tradnl"/>
        </w:rPr>
        <w:t>Se alimentan del dinero que aportan los clientes a su plan de pensiones, y después lo invierten en diferentes productos (acciones, bonos, etc), rentabilizando así esos ahorros. Se trata de productos de ahorro a largo plazo, </w:t>
      </w:r>
      <w:r w:rsidRPr="00CF1B34">
        <w:rPr>
          <w:rStyle w:val="Textoennegrita"/>
          <w:rFonts w:ascii="Arial" w:hAnsi="Arial" w:cs="Arial"/>
          <w:sz w:val="22"/>
          <w:szCs w:val="22"/>
          <w:lang w:val="es-ES_tradnl"/>
        </w:rPr>
        <w:t>diseñados para cubrir la jubilación</w:t>
      </w:r>
      <w:r w:rsidRPr="00CF1B34">
        <w:rPr>
          <w:rFonts w:ascii="Arial" w:hAnsi="Arial" w:cs="Arial"/>
          <w:sz w:val="22"/>
          <w:szCs w:val="22"/>
          <w:lang w:val="es-ES_tradnl"/>
        </w:rPr>
        <w:t> y otras contingencias que contemplen estos planes.</w:t>
      </w:r>
    </w:p>
    <w:p w14:paraId="08557012" w14:textId="77777777" w:rsidR="00D15D45" w:rsidRPr="00CF1B34" w:rsidRDefault="00D15D4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Habitualmente se habla de planes de pensiones y fondo de pensiones como si fueran un mismo concepto, pero realmente nos encontramos ante dos conceptos diferentes.  </w:t>
      </w:r>
    </w:p>
    <w:p w14:paraId="50B920F4" w14:textId="77777777" w:rsidR="00D15D45" w:rsidRPr="00CF1B34" w:rsidRDefault="00D15D45" w:rsidP="0005621A">
      <w:pPr>
        <w:pStyle w:val="Ttulo2"/>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Diferencia entre los fondos de pensiones y planes de pensiones</w:t>
      </w:r>
    </w:p>
    <w:p w14:paraId="6932163E" w14:textId="77777777" w:rsidR="00D15D45" w:rsidRPr="00CF1B34" w:rsidRDefault="00D15D45"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Ambos productos se diferencian en que:</w:t>
      </w:r>
    </w:p>
    <w:p w14:paraId="418C2E0D" w14:textId="77777777" w:rsidR="00D15D45" w:rsidRPr="00CF1B34" w:rsidRDefault="00D15D4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Los </w:t>
      </w:r>
      <w:r w:rsidRPr="00CF1B34">
        <w:rPr>
          <w:rFonts w:ascii="Arial" w:hAnsi="Arial" w:cs="Arial"/>
          <w:lang w:val="es-ES_tradnl"/>
        </w:rPr>
        <w:t xml:space="preserve">fondos de pensiones </w:t>
      </w:r>
      <w:r w:rsidRPr="00CF1B34">
        <w:rPr>
          <w:rFonts w:ascii="Arial" w:hAnsi="Arial" w:cs="Arial"/>
          <w:sz w:val="22"/>
          <w:szCs w:val="22"/>
          <w:lang w:val="es-ES_tradnl"/>
        </w:rPr>
        <w:t>están formados por el dinero que los clientes aportan de forma periódica o puntual. Y a continuación, los fondos utilizan el dinero aportado a los planes de pensiones y lo invierten en distintos</w:t>
      </w:r>
      <w:r w:rsidRPr="00CF1B34">
        <w:rPr>
          <w:rStyle w:val="Textoennegrita"/>
          <w:rFonts w:ascii="Arial" w:hAnsi="Arial" w:cs="Arial"/>
          <w:sz w:val="22"/>
          <w:szCs w:val="22"/>
          <w:lang w:val="es-ES_tradnl"/>
        </w:rPr>
        <w:t xml:space="preserve"> productos financieros</w:t>
      </w:r>
      <w:r w:rsidRPr="00CF1B34">
        <w:rPr>
          <w:rFonts w:ascii="Arial" w:hAnsi="Arial" w:cs="Arial"/>
          <w:sz w:val="22"/>
          <w:szCs w:val="22"/>
          <w:lang w:val="es-ES_tradnl"/>
        </w:rPr>
        <w:t xml:space="preserve"> (como bonos o acciones) y conseguir rentabilidad.   </w:t>
      </w:r>
    </w:p>
    <w:p w14:paraId="39CF8748" w14:textId="77777777" w:rsidR="00D15D45" w:rsidRPr="00CF1B34" w:rsidRDefault="00D15D4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 xml:space="preserve">Los </w:t>
      </w:r>
      <w:r w:rsidRPr="00CF1B34">
        <w:rPr>
          <w:rStyle w:val="Textoennegrita"/>
          <w:rFonts w:ascii="Arial" w:hAnsi="Arial" w:cs="Arial"/>
          <w:sz w:val="22"/>
          <w:szCs w:val="22"/>
          <w:lang w:val="es-ES_tradnl"/>
        </w:rPr>
        <w:t>fondos de pensiones</w:t>
      </w:r>
      <w:r w:rsidRPr="00CF1B34">
        <w:rPr>
          <w:rFonts w:ascii="Arial" w:hAnsi="Arial" w:cs="Arial"/>
          <w:sz w:val="22"/>
          <w:szCs w:val="22"/>
          <w:lang w:val="es-ES_tradnl"/>
        </w:rPr>
        <w:t xml:space="preserve"> son el producto financiero que los clientes contratan en las entidades financieras. Después realizan aportaciones con el fin de ahorrar dinero y, llegado el momento de la jubilación, cobrar una renta. El dinero aportado por el cliente se incorpora a un fondo de pensiones, que será quien gestione ese dinero.   </w:t>
      </w:r>
    </w:p>
    <w:p w14:paraId="6985B7D6" w14:textId="41E01F79" w:rsidR="00D15D45" w:rsidRPr="00CF1B34" w:rsidRDefault="00D15D4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Los</w:t>
      </w:r>
      <w:r w:rsidR="002C2CC3"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fondos de pensiones</w:t>
      </w:r>
      <w:r w:rsidR="002C2CC3" w:rsidRPr="00CF1B34">
        <w:rPr>
          <w:rFonts w:ascii="Arial" w:hAnsi="Arial" w:cs="Arial"/>
          <w:sz w:val="22"/>
          <w:szCs w:val="22"/>
          <w:lang w:val="es-ES_tradnl"/>
        </w:rPr>
        <w:t xml:space="preserve"> </w:t>
      </w:r>
      <w:r w:rsidRPr="00CF1B34">
        <w:rPr>
          <w:rFonts w:ascii="Arial" w:hAnsi="Arial" w:cs="Arial"/>
          <w:sz w:val="22"/>
          <w:szCs w:val="22"/>
          <w:lang w:val="es-ES_tradnl"/>
        </w:rPr>
        <w:t>se pueden crear para poder instrumentalizar uno o varios planes de pensiones.</w:t>
      </w:r>
    </w:p>
    <w:p w14:paraId="49EA6F0C" w14:textId="77777777" w:rsidR="00D15D45" w:rsidRPr="00CF1B34" w:rsidRDefault="00D15D4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Aunque existe la posibilidad de que un fondo de pensiones se cree para un plan de pensiones concreto, lo habitual es que un único fondo de pensiones gestione el dinero de diferentes planes. Dicho de otra forma: un plan de pensiones puede pertenecer a un único fondo, pero por el contrario un fondo de pensiones podrá aglutinar uno o varios planes de pensiones.    </w:t>
      </w:r>
    </w:p>
    <w:p w14:paraId="41B30530" w14:textId="29B57868" w:rsidR="00D15D45" w:rsidRPr="00CF1B34" w:rsidRDefault="00D15D45"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w:t>
      </w:r>
      <w:r w:rsidR="002C2CC3"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plan de pensiones</w:t>
      </w:r>
      <w:r w:rsidR="002C2CC3" w:rsidRPr="00CF1B34">
        <w:rPr>
          <w:rFonts w:ascii="Arial" w:hAnsi="Arial" w:cs="Arial"/>
          <w:sz w:val="22"/>
          <w:szCs w:val="22"/>
          <w:lang w:val="es-ES_tradnl"/>
        </w:rPr>
        <w:t xml:space="preserve"> </w:t>
      </w:r>
      <w:r w:rsidRPr="00CF1B34">
        <w:rPr>
          <w:rFonts w:ascii="Arial" w:hAnsi="Arial" w:cs="Arial"/>
          <w:sz w:val="22"/>
          <w:szCs w:val="22"/>
          <w:lang w:val="es-ES_tradnl"/>
        </w:rPr>
        <w:t>se considera como un producto de ahorro, mientras que el fondo es un producto de inversión.   </w:t>
      </w:r>
    </w:p>
    <w:p w14:paraId="0BDAD683" w14:textId="77777777" w:rsidR="00D15D45" w:rsidRPr="00CF1B34" w:rsidRDefault="00D15D4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El fondo requiere una entidad gestora de su capital, una figura inexistente en los planes de pensiones.   </w:t>
      </w:r>
    </w:p>
    <w:p w14:paraId="65640B6C" w14:textId="77777777" w:rsidR="00D15D45" w:rsidRPr="00CF1B34" w:rsidRDefault="00D15D4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Fondos de renta fija</w:t>
      </w:r>
    </w:p>
    <w:p w14:paraId="4A17120A" w14:textId="77777777" w:rsidR="00D15D45" w:rsidRPr="00CF1B34" w:rsidRDefault="00D15D4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que destina la mayor parte de su patrimonio a la inversión en activos de renta fija (obligaciones y bonos, letras, pagarés, etc.). A pesar de su denominación, este tipo de fondos no ofrece un rendimiento fijo predeterminado a los partícipes, sino que su rentabilidad (positiva o negativa) dependerá de cómo evolucionen en los mercados los valores de renta fija en los que invierta el fondo.</w:t>
      </w:r>
    </w:p>
    <w:p w14:paraId="721BE15F" w14:textId="77777777" w:rsidR="00D15D45" w:rsidRPr="00CF1B34" w:rsidRDefault="00D15D4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Fondos de renta fija mixta</w:t>
      </w:r>
    </w:p>
    <w:p w14:paraId="32A1EE40" w14:textId="77777777" w:rsidR="00D15D45" w:rsidRPr="00CF1B34" w:rsidRDefault="00D15D4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estos fondos la mayor parte de su patrimonio se invierte en renta fija y el resto en renta variable.</w:t>
      </w:r>
    </w:p>
    <w:p w14:paraId="093DE718" w14:textId="77777777" w:rsidR="00D15D45" w:rsidRPr="00CF1B34" w:rsidRDefault="00D15D45" w:rsidP="0005621A">
      <w:pPr>
        <w:jc w:val="both"/>
        <w:rPr>
          <w:rFonts w:ascii="Arial" w:hAnsi="Arial" w:cs="Arial"/>
          <w:color w:val="000000" w:themeColor="text1"/>
          <w:sz w:val="22"/>
          <w:szCs w:val="22"/>
          <w:lang w:val="es-ES_tradnl"/>
        </w:rPr>
      </w:pPr>
      <w:r w:rsidRPr="00CF1B34">
        <w:rPr>
          <w:rFonts w:ascii="Arial" w:hAnsi="Arial" w:cs="Arial"/>
          <w:b/>
          <w:bCs/>
          <w:color w:val="004773"/>
          <w:sz w:val="22"/>
          <w:szCs w:val="22"/>
          <w:lang w:val="es-ES_tradnl"/>
        </w:rPr>
        <w:t>Fondos de renta periódica</w:t>
      </w:r>
    </w:p>
    <w:p w14:paraId="26D72F07" w14:textId="31D8F843" w:rsidR="00D15D45" w:rsidRPr="00CF1B34" w:rsidRDefault="00D15D4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Tienen las mismas característica</w:t>
      </w:r>
      <w:r w:rsidR="002C2CC3" w:rsidRPr="00CF1B34">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 xml:space="preserve"> que los garantizados, con la ventaja de que aseguran a los participes una renta mensual o trimestral en función de la cantidad invertida.</w:t>
      </w:r>
    </w:p>
    <w:p w14:paraId="2833F8EF" w14:textId="77777777" w:rsidR="00D15D45" w:rsidRPr="00CF1B34" w:rsidRDefault="00D15D4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Fondos de renta variable</w:t>
      </w:r>
    </w:p>
    <w:p w14:paraId="6CE1B70C" w14:textId="77777777" w:rsidR="00D15D45" w:rsidRPr="00CF1B34" w:rsidRDefault="00D15D4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 que invierte la mayor parte de su patrimonio en activos de renta variable o equiparables (acciones, warrants, etc.).</w:t>
      </w:r>
    </w:p>
    <w:p w14:paraId="2A38397A" w14:textId="77777777" w:rsidR="00D15D45" w:rsidRPr="00CF1B34" w:rsidRDefault="00D15D4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Fondos de renta variable mixta</w:t>
      </w:r>
    </w:p>
    <w:p w14:paraId="4A01C95F" w14:textId="77777777" w:rsidR="00D15D45" w:rsidRPr="00CF1B34" w:rsidRDefault="00D15D4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modalidad inversa al anterior, la mayor parte de su patrimonio la invierten en renta variable y el resto en renta fija.</w:t>
      </w:r>
    </w:p>
    <w:p w14:paraId="2D542793" w14:textId="098BB768" w:rsidR="00F27157" w:rsidRPr="00CF1B34" w:rsidRDefault="00F2715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Fondos en divisa</w:t>
      </w:r>
    </w:p>
    <w:p w14:paraId="107EF265" w14:textId="77777777" w:rsidR="00F27157" w:rsidRPr="00CF1B34" w:rsidRDefault="00F2715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Aquel cuyo patrimonio se denomina en una divisa diferente del euro. Hay que considerar el coste vinculado a la conversión de los euros a la moneda en que se denomine el fondo (o a la inversa), ya que es la que se utiliza para suscripciones y reembolsos.</w:t>
      </w:r>
    </w:p>
    <w:p w14:paraId="363AFCBD" w14:textId="78E442FB" w:rsidR="00F27157" w:rsidRPr="00CF1B34" w:rsidRDefault="00F2715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Fondos garantizados</w:t>
      </w:r>
    </w:p>
    <w:p w14:paraId="0FFEBC53" w14:textId="77777777" w:rsidR="00F27157" w:rsidRPr="00CF1B34" w:rsidRDefault="00F2715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Garantizan, como minimo, el importe de la inversión inicial. Para ello, es necesario que las participaciones se compren dentro del periodo de suscripción y que se mantengan de forma ininterrumpida hasta la fecha de finalización de garantía.</w:t>
      </w:r>
    </w:p>
    <w:p w14:paraId="3BE06BE8" w14:textId="47187099" w:rsidR="00F27157" w:rsidRPr="00CF1B34" w:rsidRDefault="00F2715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Fondos mutuales</w:t>
      </w:r>
    </w:p>
    <w:p w14:paraId="2B988870" w14:textId="77777777" w:rsidR="00F27157" w:rsidRPr="00CF1B34" w:rsidRDefault="00F2715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Es un fondo operado por una empresa de inversión, que levanta fondos de accionistas y los invierte en acciones, bonos, opciones, commodities o Money Market Securities. Estos fondos ofrecen a los inversionistas la ventaja de la diversificación.</w:t>
      </w:r>
    </w:p>
    <w:p w14:paraId="4CC68924" w14:textId="3F04697A" w:rsidR="00857610" w:rsidRPr="00CF1B34" w:rsidRDefault="008576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Fondos verdes</w:t>
      </w:r>
    </w:p>
    <w:p w14:paraId="73E6784D" w14:textId="59CC0B4C" w:rsidR="00857610" w:rsidRPr="00CF1B34" w:rsidRDefault="00857610"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En Europa hay registrados 55 </w:t>
      </w:r>
      <w:r w:rsidRPr="00CF1B34">
        <w:rPr>
          <w:rStyle w:val="Textoennegrita"/>
          <w:rFonts w:ascii="Arial" w:hAnsi="Arial" w:cs="Arial"/>
          <w:color w:val="333333"/>
          <w:sz w:val="22"/>
          <w:szCs w:val="22"/>
          <w:lang w:val="es-ES_tradnl"/>
        </w:rPr>
        <w:t>fondos verdes</w:t>
      </w:r>
      <w:r w:rsidRPr="00CF1B34">
        <w:rPr>
          <w:rFonts w:ascii="Arial" w:hAnsi="Arial" w:cs="Arial"/>
          <w:color w:val="333333"/>
          <w:sz w:val="22"/>
          <w:szCs w:val="22"/>
          <w:lang w:val="es-ES_tradnl"/>
        </w:rPr>
        <w:t>, de los que 51 se pueden comprar en España. Además, a ellos se suma el segmento de inversión que apuesta por la</w:t>
      </w:r>
      <w:r w:rsidRPr="00CF1B34">
        <w:rPr>
          <w:rStyle w:val="Textoennegrita"/>
          <w:rFonts w:ascii="Arial" w:hAnsi="Arial" w:cs="Arial"/>
          <w:color w:val="333333"/>
          <w:sz w:val="22"/>
          <w:szCs w:val="22"/>
          <w:lang w:val="es-ES_tradnl"/>
        </w:rPr>
        <w:t xml:space="preserve"> gestión eficiente de los recursos naturales, </w:t>
      </w:r>
      <w:r w:rsidRPr="00CF1B34">
        <w:rPr>
          <w:rFonts w:ascii="Arial" w:hAnsi="Arial" w:cs="Arial"/>
          <w:color w:val="333333"/>
          <w:sz w:val="22"/>
          <w:szCs w:val="22"/>
          <w:lang w:val="es-ES_tradnl"/>
        </w:rPr>
        <w:t>de los cuales encontramos 43 fondos más inscriptos.</w:t>
      </w:r>
    </w:p>
    <w:p w14:paraId="6BA2252B" w14:textId="301A2021" w:rsidR="00857610" w:rsidRPr="00CF1B34" w:rsidRDefault="00857610"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Estos fondos son</w:t>
      </w:r>
      <w:r w:rsidR="002C2CC3" w:rsidRPr="00CF1B34">
        <w:rPr>
          <w:rStyle w:val="Textoennegrita"/>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sectoriales</w:t>
      </w:r>
      <w:r w:rsidRPr="00CF1B34">
        <w:rPr>
          <w:rFonts w:ascii="Arial" w:hAnsi="Arial" w:cs="Arial"/>
          <w:color w:val="333333"/>
          <w:sz w:val="22"/>
          <w:szCs w:val="22"/>
          <w:lang w:val="es-ES_tradnl"/>
        </w:rPr>
        <w:t>, es decir que invierten en un determinado sector económico. En este caso, pueden invertir en energías renovables, agua o diversos recursos naturales.</w:t>
      </w:r>
    </w:p>
    <w:p w14:paraId="6469AAB1" w14:textId="0E7D58B1" w:rsidR="00857610" w:rsidRPr="00CF1B34" w:rsidRDefault="0085761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El </w:t>
      </w:r>
      <w:r w:rsidRPr="00CF1B34">
        <w:rPr>
          <w:rStyle w:val="Textoennegrita"/>
          <w:rFonts w:ascii="Arial" w:hAnsi="Arial" w:cs="Arial"/>
          <w:color w:val="333333"/>
          <w:sz w:val="22"/>
          <w:szCs w:val="22"/>
          <w:lang w:val="es-ES_tradnl"/>
        </w:rPr>
        <w:t>rendimiento a largo plazo</w:t>
      </w:r>
      <w:r w:rsidRPr="00CF1B34">
        <w:rPr>
          <w:rFonts w:ascii="Arial" w:hAnsi="Arial" w:cs="Arial"/>
          <w:color w:val="333333"/>
          <w:sz w:val="22"/>
          <w:szCs w:val="22"/>
          <w:lang w:val="es-ES_tradnl"/>
        </w:rPr>
        <w:t xml:space="preserve"> puede lograrse por medio de soluciones medioambientales en energías limpias, acciones que contrarresten los efectos del cambio climático por medio de un consumo responsable del agua y a través de la gestión de los residuos.</w:t>
      </w:r>
    </w:p>
    <w:p w14:paraId="57531BDC" w14:textId="5711E421" w:rsidR="00EE7071" w:rsidRPr="00CF1B34" w:rsidRDefault="00EE707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Fondtesoros</w:t>
      </w:r>
    </w:p>
    <w:p w14:paraId="285C016D" w14:textId="754F6023" w:rsidR="003A56FC" w:rsidRPr="00CF1B34" w:rsidRDefault="00EE7071"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Son los fondos de inversión cuyo patrimonio esta invertido exclusivamente en valores de Deuda Publica del Estado. Existen dos tipos: Fondtesoros FIM y FIAM. Los primeros deben tener, como minimo, el cincuenta por ciento de su patrimonio invertido en bonos y obligacion</w:t>
      </w:r>
      <w:r w:rsidR="00FE5BE0" w:rsidRPr="00CF1B34">
        <w:rPr>
          <w:rFonts w:ascii="Arial" w:hAnsi="Arial" w:cs="Arial"/>
          <w:color w:val="000000" w:themeColor="text1"/>
          <w:sz w:val="22"/>
          <w:szCs w:val="22"/>
          <w:lang w:val="es-ES_tradnl"/>
        </w:rPr>
        <w:t>e</w:t>
      </w:r>
      <w:r w:rsidRPr="00CF1B34">
        <w:rPr>
          <w:rFonts w:ascii="Arial" w:hAnsi="Arial" w:cs="Arial"/>
          <w:color w:val="000000" w:themeColor="text1"/>
          <w:sz w:val="22"/>
          <w:szCs w:val="22"/>
          <w:lang w:val="es-ES_tradnl"/>
        </w:rPr>
        <w:t>s del Estado</w:t>
      </w:r>
      <w:r w:rsidR="00FE5BE0" w:rsidRPr="00CF1B34">
        <w:rPr>
          <w:rFonts w:ascii="Arial" w:hAnsi="Arial" w:cs="Arial"/>
          <w:color w:val="000000" w:themeColor="text1"/>
          <w:sz w:val="22"/>
          <w:szCs w:val="22"/>
          <w:lang w:val="es-ES_tradnl"/>
        </w:rPr>
        <w:t xml:space="preserve"> o cualquier otra modalidad de Deuda del Estado emitida por el Tesoro con plazo inicial de amortización superior a un año. El resto deberá estar colocado en Deuda Publica a corto plazo.</w:t>
      </w:r>
    </w:p>
    <w:p w14:paraId="026A3950" w14:textId="012809DE" w:rsidR="00D03103" w:rsidRPr="00CF1B34" w:rsidRDefault="00FE5BE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 Los Fondtesoros FIAMM deben tener, como minimo, el noventa y ciento por ciento del patrimonio invertido en valores de Deuda Publica del Estado a corto plazo. El vencimiento medio de la cartera no debe superar los dieciocho meses y el plazo máximo pendiente de amortización de cualquiera de sus activos no puede ser superior a venticuatro meses.</w:t>
      </w:r>
    </w:p>
    <w:p w14:paraId="5BAA4354" w14:textId="67BFF3DE" w:rsidR="00857610" w:rsidRPr="00CF1B34" w:rsidRDefault="008576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Forex (Mercado)</w:t>
      </w:r>
    </w:p>
    <w:p w14:paraId="22D99F35" w14:textId="780F3388" w:rsidR="00857610" w:rsidRPr="00CF1B34" w:rsidRDefault="00857610"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El mercado de divisas internacional más importante, es el </w:t>
      </w:r>
      <w:r w:rsidRPr="00CF1B34">
        <w:rPr>
          <w:rStyle w:val="Textoennegrita"/>
          <w:rFonts w:ascii="Arial" w:hAnsi="Arial" w:cs="Arial"/>
          <w:color w:val="333333"/>
          <w:sz w:val="22"/>
          <w:szCs w:val="22"/>
          <w:shd w:val="clear" w:color="auto" w:fill="FFFFFF"/>
          <w:lang w:val="es-ES_tradnl"/>
        </w:rPr>
        <w:t>FOREING EXCHANGE</w:t>
      </w:r>
      <w:r w:rsidRPr="00CF1B34">
        <w:rPr>
          <w:rFonts w:ascii="Arial" w:hAnsi="Arial" w:cs="Arial"/>
          <w:color w:val="333333"/>
          <w:sz w:val="22"/>
          <w:szCs w:val="22"/>
          <w:shd w:val="clear" w:color="auto" w:fill="FFFFFF"/>
          <w:lang w:val="es-ES_tradnl"/>
        </w:rPr>
        <w:t xml:space="preserve"> (intercambio extranjero), con las abreviaturas de esa</w:t>
      </w:r>
      <w:r w:rsidR="002C2CC3" w:rsidRPr="00CF1B34">
        <w:rPr>
          <w:rFonts w:ascii="Arial" w:hAnsi="Arial" w:cs="Arial"/>
          <w:color w:val="333333"/>
          <w:sz w:val="22"/>
          <w:szCs w:val="22"/>
          <w:shd w:val="clear" w:color="auto" w:fill="FFFFFF"/>
          <w:lang w:val="es-ES_tradnl"/>
        </w:rPr>
        <w:t>s</w:t>
      </w:r>
      <w:r w:rsidRPr="00CF1B34">
        <w:rPr>
          <w:rFonts w:ascii="Arial" w:hAnsi="Arial" w:cs="Arial"/>
          <w:color w:val="333333"/>
          <w:sz w:val="22"/>
          <w:szCs w:val="22"/>
          <w:shd w:val="clear" w:color="auto" w:fill="FFFFFF"/>
          <w:lang w:val="es-ES_tradnl"/>
        </w:rPr>
        <w:t xml:space="preserve"> palabras se denomina el </w:t>
      </w:r>
      <w:r w:rsidRPr="00CF1B34">
        <w:rPr>
          <w:rStyle w:val="Textoennegrita"/>
          <w:rFonts w:ascii="Arial" w:hAnsi="Arial" w:cs="Arial"/>
          <w:color w:val="333333"/>
          <w:sz w:val="22"/>
          <w:szCs w:val="22"/>
          <w:shd w:val="clear" w:color="auto" w:fill="FFFFFF"/>
          <w:lang w:val="es-ES_tradnl"/>
        </w:rPr>
        <w:t>FOREX.</w:t>
      </w:r>
    </w:p>
    <w:p w14:paraId="67774A81" w14:textId="7A38D6D9" w:rsidR="00196E42" w:rsidRPr="00CF1B34" w:rsidRDefault="00196E42"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 xml:space="preserve">Si bien el </w:t>
      </w:r>
      <w:r w:rsidRPr="00CF1B34">
        <w:rPr>
          <w:rStyle w:val="Textoennegrita"/>
          <w:rFonts w:ascii="Arial" w:hAnsi="Arial" w:cs="Arial"/>
          <w:color w:val="333333"/>
          <w:sz w:val="22"/>
          <w:szCs w:val="22"/>
          <w:lang w:val="es-ES_tradnl"/>
        </w:rPr>
        <w:t>Mercado Forex</w:t>
      </w:r>
      <w:r w:rsidRPr="00CF1B34">
        <w:rPr>
          <w:rFonts w:ascii="Arial" w:hAnsi="Arial" w:cs="Arial"/>
          <w:sz w:val="22"/>
          <w:szCs w:val="22"/>
          <w:lang w:val="es-ES_tradnl"/>
        </w:rPr>
        <w:t xml:space="preserve"> participa en todos los bancos del mundo, sus centros más importantes son </w:t>
      </w:r>
      <w:r w:rsidRPr="00CF1B34">
        <w:rPr>
          <w:rStyle w:val="Textoennegrita"/>
          <w:rFonts w:ascii="Arial" w:hAnsi="Arial" w:cs="Arial"/>
          <w:color w:val="333333"/>
          <w:sz w:val="22"/>
          <w:szCs w:val="22"/>
          <w:lang w:val="es-ES_tradnl"/>
        </w:rPr>
        <w:t>Londres, Nueva York, Tokyo y Singapur</w:t>
      </w:r>
      <w:r w:rsidRPr="00CF1B34">
        <w:rPr>
          <w:rFonts w:ascii="Arial" w:hAnsi="Arial" w:cs="Arial"/>
          <w:sz w:val="22"/>
          <w:szCs w:val="22"/>
          <w:lang w:val="es-ES_tradnl"/>
        </w:rPr>
        <w:t>.</w:t>
      </w:r>
    </w:p>
    <w:p w14:paraId="109D41F1" w14:textId="77777777" w:rsidR="00196E42" w:rsidRPr="00CF1B34" w:rsidRDefault="00196E42"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Para poder operar en el Mercado Forex, se deben cumplir con algunos requisitos:</w:t>
      </w:r>
    </w:p>
    <w:p w14:paraId="7BF7712C" w14:textId="63306538" w:rsidR="00196E42" w:rsidRPr="00CF1B34" w:rsidRDefault="00196E42" w:rsidP="004F7A62">
      <w:pPr>
        <w:numPr>
          <w:ilvl w:val="0"/>
          <w:numId w:val="16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Abrir una cuenta en l</w:t>
      </w:r>
      <w:r w:rsidR="009B2B63" w:rsidRPr="00CF1B34">
        <w:rPr>
          <w:rFonts w:ascii="Arial" w:hAnsi="Arial" w:cs="Arial"/>
          <w:color w:val="333333"/>
          <w:sz w:val="22"/>
          <w:szCs w:val="22"/>
          <w:lang w:val="es-ES_tradnl"/>
        </w:rPr>
        <w:t>í</w:t>
      </w:r>
      <w:r w:rsidRPr="00CF1B34">
        <w:rPr>
          <w:rFonts w:ascii="Arial" w:hAnsi="Arial" w:cs="Arial"/>
          <w:color w:val="333333"/>
          <w:sz w:val="22"/>
          <w:szCs w:val="22"/>
          <w:lang w:val="es-ES_tradnl"/>
        </w:rPr>
        <w:t>nea con un proveedor que tenga acceso al Forex</w:t>
      </w:r>
    </w:p>
    <w:p w14:paraId="5EBD8EC8" w14:textId="4FD58A9B" w:rsidR="00196E42" w:rsidRPr="00CF1B34" w:rsidRDefault="00196E42" w:rsidP="004F7A62">
      <w:pPr>
        <w:numPr>
          <w:ilvl w:val="0"/>
          <w:numId w:val="16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Enviar fondos a la cuenta (generalmente transferencia electrónica)</w:t>
      </w:r>
    </w:p>
    <w:p w14:paraId="291B7AC8" w14:textId="5EB36C0A" w:rsidR="00196E42" w:rsidRPr="00CF1B34" w:rsidRDefault="00196E42" w:rsidP="004F7A62">
      <w:pPr>
        <w:numPr>
          <w:ilvl w:val="0"/>
          <w:numId w:val="16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interesado tiene acceso a </w:t>
      </w:r>
      <w:r w:rsidR="009B2B63" w:rsidRPr="00CF1B34">
        <w:rPr>
          <w:rFonts w:ascii="Arial" w:hAnsi="Arial" w:cs="Arial"/>
          <w:color w:val="333333"/>
          <w:sz w:val="22"/>
          <w:szCs w:val="22"/>
          <w:lang w:val="es-ES_tradnl"/>
        </w:rPr>
        <w:t>e</w:t>
      </w:r>
      <w:r w:rsidRPr="00CF1B34">
        <w:rPr>
          <w:rFonts w:ascii="Arial" w:hAnsi="Arial" w:cs="Arial"/>
          <w:color w:val="333333"/>
          <w:sz w:val="22"/>
          <w:szCs w:val="22"/>
          <w:lang w:val="es-ES_tradnl"/>
        </w:rPr>
        <w:t>sa l</w:t>
      </w:r>
      <w:r w:rsidR="009B2B63" w:rsidRPr="00CF1B34">
        <w:rPr>
          <w:rFonts w:ascii="Arial" w:hAnsi="Arial" w:cs="Arial"/>
          <w:color w:val="333333"/>
          <w:sz w:val="22"/>
          <w:szCs w:val="22"/>
          <w:lang w:val="es-ES_tradnl"/>
        </w:rPr>
        <w:t>í</w:t>
      </w:r>
      <w:r w:rsidRPr="00CF1B34">
        <w:rPr>
          <w:rFonts w:ascii="Arial" w:hAnsi="Arial" w:cs="Arial"/>
          <w:color w:val="333333"/>
          <w:sz w:val="22"/>
          <w:szCs w:val="22"/>
          <w:lang w:val="es-ES_tradnl"/>
        </w:rPr>
        <w:t>nea y coloca orden de compra de las divisas de sus intereses.</w:t>
      </w:r>
    </w:p>
    <w:p w14:paraId="1E420241" w14:textId="77777777" w:rsidR="00196E42" w:rsidRPr="00CF1B34" w:rsidRDefault="00196E42" w:rsidP="004F7A62">
      <w:pPr>
        <w:numPr>
          <w:ilvl w:val="0"/>
          <w:numId w:val="169"/>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La orden es confirmada en la plataforma del participante y es registrada en el acto en su reporte de actividad.</w:t>
      </w:r>
    </w:p>
    <w:p w14:paraId="7D771649" w14:textId="77777777" w:rsidR="009B2B63" w:rsidRPr="00CF1B34" w:rsidRDefault="00196E4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lastRenderedPageBreak/>
        <w:t xml:space="preserve">Para quien recién comienza a operar con </w:t>
      </w:r>
      <w:r w:rsidRPr="00CF1B34">
        <w:rPr>
          <w:rStyle w:val="Textoennegrita"/>
          <w:rFonts w:ascii="Arial" w:hAnsi="Arial" w:cs="Arial"/>
          <w:color w:val="333333"/>
          <w:sz w:val="22"/>
          <w:szCs w:val="22"/>
          <w:shd w:val="clear" w:color="auto" w:fill="FFFFFF"/>
          <w:lang w:val="es-ES_tradnl"/>
        </w:rPr>
        <w:t>Forex</w:t>
      </w:r>
      <w:r w:rsidRPr="00CF1B34">
        <w:rPr>
          <w:rFonts w:ascii="Arial" w:hAnsi="Arial" w:cs="Arial"/>
          <w:color w:val="333333"/>
          <w:sz w:val="22"/>
          <w:szCs w:val="22"/>
          <w:shd w:val="clear" w:color="auto" w:fill="FFFFFF"/>
          <w:lang w:val="es-ES_tradnl"/>
        </w:rPr>
        <w:t>, los corredores han creado en internet un juego o demostración de las operaciones, obteniendo una cuenta virtual, para comenzar a operar y aprende los conceptos básicos del mercado y como funciona el mismo.</w:t>
      </w:r>
    </w:p>
    <w:p w14:paraId="2117DCB0" w14:textId="77777777" w:rsidR="009B2B63" w:rsidRPr="00CF1B34" w:rsidRDefault="009B2B63"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Forfaiting</w:t>
      </w:r>
    </w:p>
    <w:p w14:paraId="7021DFC8" w14:textId="2E583FFE" w:rsidR="009B2B63" w:rsidRPr="00CF1B34" w:rsidRDefault="009B2B63" w:rsidP="0005621A">
      <w:pPr>
        <w:jc w:val="both"/>
        <w:rPr>
          <w:rFonts w:ascii="Arial" w:hAnsi="Arial" w:cs="Arial"/>
          <w:color w:val="2F5496" w:themeColor="accent1" w:themeShade="BF"/>
          <w:sz w:val="22"/>
          <w:szCs w:val="22"/>
          <w:lang w:val="es-ES_tradnl"/>
        </w:rPr>
      </w:pPr>
      <w:r w:rsidRPr="00CF1B34">
        <w:rPr>
          <w:rFonts w:ascii="Arial" w:hAnsi="Arial" w:cs="Arial"/>
          <w:color w:val="333333"/>
          <w:sz w:val="22"/>
          <w:szCs w:val="22"/>
          <w:lang w:val="es-ES_tradnl"/>
        </w:rPr>
        <w:t xml:space="preserve">También denominado “descuento sin recurso”, el forfaiting consiste en la venta de documentos financieros, con vencimientos de plazos medios, correspondientes al pago de bienes y/o servicios exportados, sin recurso alguno contra el exportador, luego veremos algunas diferencias con el </w:t>
      </w:r>
      <w:hyperlink r:id="rId241" w:history="1">
        <w:r w:rsidRPr="00CF1B34">
          <w:rPr>
            <w:rFonts w:ascii="Arial" w:hAnsi="Arial" w:cs="Arial"/>
            <w:color w:val="960E29"/>
            <w:sz w:val="22"/>
            <w:szCs w:val="22"/>
            <w:u w:val="single"/>
            <w:lang w:val="es-ES_tradnl"/>
          </w:rPr>
          <w:t>factoring</w:t>
        </w:r>
      </w:hyperlink>
    </w:p>
    <w:p w14:paraId="4FD86B01" w14:textId="77777777" w:rsidR="009B2B63" w:rsidRPr="00CF1B34" w:rsidRDefault="009B2B63" w:rsidP="0005621A">
      <w:pPr>
        <w:pStyle w:val="Sinespaciado"/>
        <w:jc w:val="both"/>
        <w:rPr>
          <w:rFonts w:ascii="Arial" w:hAnsi="Arial" w:cs="Arial"/>
          <w:sz w:val="22"/>
          <w:szCs w:val="22"/>
          <w:lang w:val="es-ES_tradnl"/>
        </w:rPr>
      </w:pPr>
      <w:r w:rsidRPr="00CF1B34">
        <w:rPr>
          <w:rStyle w:val="Textoennegrita"/>
          <w:rFonts w:ascii="Arial" w:hAnsi="Arial" w:cs="Arial"/>
          <w:b w:val="0"/>
          <w:bCs w:val="0"/>
          <w:color w:val="333333"/>
          <w:sz w:val="22"/>
          <w:szCs w:val="22"/>
          <w:lang w:val="es-ES_tradnl"/>
        </w:rPr>
        <w:t>características:</w:t>
      </w:r>
    </w:p>
    <w:p w14:paraId="3C8DF143" w14:textId="511FA3F9" w:rsidR="009B2B63" w:rsidRPr="00CF1B34" w:rsidRDefault="009B2B63" w:rsidP="004F7A62">
      <w:pPr>
        <w:numPr>
          <w:ilvl w:val="0"/>
          <w:numId w:val="170"/>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Abstraíble</w:t>
      </w:r>
      <w:r w:rsidRPr="00CF1B34">
        <w:rPr>
          <w:rFonts w:ascii="Arial" w:hAnsi="Arial" w:cs="Arial"/>
          <w:color w:val="333333"/>
          <w:sz w:val="22"/>
          <w:szCs w:val="22"/>
          <w:lang w:val="es-ES_tradnl"/>
        </w:rPr>
        <w:t>: Ni el deudor ni</w:t>
      </w:r>
      <w:r w:rsidR="002C2CC3" w:rsidRPr="00CF1B34">
        <w:rPr>
          <w:rFonts w:ascii="Arial" w:hAnsi="Arial" w:cs="Arial"/>
          <w:color w:val="333333"/>
          <w:sz w:val="22"/>
          <w:szCs w:val="22"/>
          <w:lang w:val="es-ES_tradnl"/>
        </w:rPr>
        <w:t xml:space="preserve"> el banco </w:t>
      </w:r>
      <w:r w:rsidRPr="00CF1B34">
        <w:rPr>
          <w:rFonts w:ascii="Arial" w:hAnsi="Arial" w:cs="Arial"/>
          <w:color w:val="333333"/>
          <w:sz w:val="22"/>
          <w:szCs w:val="22"/>
          <w:lang w:val="es-ES_tradnl"/>
        </w:rPr>
        <w:t>garante pueden utilizar los incumplimientos, disputas comerciales u otras incidencias como excusa para recusar el pago de la deuda.</w:t>
      </w:r>
    </w:p>
    <w:p w14:paraId="2C6D6065" w14:textId="021AA110" w:rsidR="009B2B63" w:rsidRPr="00CF1B34" w:rsidRDefault="009B2B63" w:rsidP="004F7A62">
      <w:pPr>
        <w:numPr>
          <w:ilvl w:val="0"/>
          <w:numId w:val="170"/>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Negociable</w:t>
      </w:r>
      <w:r w:rsidRPr="00CF1B34">
        <w:rPr>
          <w:rFonts w:ascii="Arial" w:hAnsi="Arial" w:cs="Arial"/>
          <w:color w:val="333333"/>
          <w:sz w:val="22"/>
          <w:szCs w:val="22"/>
          <w:lang w:val="es-ES_tradnl"/>
        </w:rPr>
        <w:t>: los</w:t>
      </w:r>
      <w:r w:rsidR="002C2CC3" w:rsidRPr="00CF1B34">
        <w:rPr>
          <w:rFonts w:ascii="Arial" w:hAnsi="Arial" w:cs="Arial"/>
          <w:color w:val="333333"/>
          <w:sz w:val="22"/>
          <w:szCs w:val="22"/>
          <w:lang w:val="es-ES_tradnl"/>
        </w:rPr>
        <w:t xml:space="preserve"> créditos </w:t>
      </w:r>
      <w:r w:rsidRPr="00CF1B34">
        <w:rPr>
          <w:rFonts w:ascii="Arial" w:hAnsi="Arial" w:cs="Arial"/>
          <w:color w:val="333333"/>
          <w:sz w:val="22"/>
          <w:szCs w:val="22"/>
          <w:lang w:val="es-ES_tradnl"/>
        </w:rPr>
        <w:t>deben ser libremente transferibles.</w:t>
      </w:r>
    </w:p>
    <w:p w14:paraId="7B17E059" w14:textId="601E51EC" w:rsidR="009B2B63" w:rsidRPr="00CF1B34" w:rsidRDefault="009B2B63" w:rsidP="004F7A62">
      <w:pPr>
        <w:numPr>
          <w:ilvl w:val="0"/>
          <w:numId w:val="170"/>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Comercial</w:t>
      </w:r>
      <w:r w:rsidRPr="00CF1B34">
        <w:rPr>
          <w:rFonts w:ascii="Arial" w:hAnsi="Arial" w:cs="Arial"/>
          <w:color w:val="333333"/>
          <w:sz w:val="22"/>
          <w:szCs w:val="22"/>
          <w:lang w:val="es-ES_tradnl"/>
        </w:rPr>
        <w:t>: normalmente el forfaiting surge como consecuencia de un contrato de compraventa de bienes y por tanto es un crédito comercial.</w:t>
      </w:r>
    </w:p>
    <w:p w14:paraId="0639BC2E" w14:textId="4B85D304" w:rsidR="002A2390" w:rsidRPr="00CF1B34" w:rsidRDefault="002A2390" w:rsidP="004F7A62">
      <w:pPr>
        <w:numPr>
          <w:ilvl w:val="0"/>
          <w:numId w:val="170"/>
        </w:numPr>
        <w:shd w:val="clear" w:color="auto" w:fill="FFFFFF"/>
        <w:spacing w:before="100" w:beforeAutospacing="1" w:after="100" w:afterAutospacing="1"/>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Sin recurso</w:t>
      </w:r>
      <w:r w:rsidRPr="00CF1B34">
        <w:rPr>
          <w:rFonts w:ascii="Arial" w:hAnsi="Arial" w:cs="Arial"/>
          <w:color w:val="333333"/>
          <w:sz w:val="22"/>
          <w:szCs w:val="22"/>
          <w:lang w:val="es-ES_tradnl"/>
        </w:rPr>
        <w:t xml:space="preserve">: Una vez finalizada la operación, el vendedor puede desinteresarse del crédito cedido, mientras que el comprador no puede devolver </w:t>
      </w:r>
      <w:r w:rsidRPr="00CF1B34">
        <w:rPr>
          <w:rFonts w:ascii="Arial" w:hAnsi="Arial" w:cs="Arial"/>
          <w:color w:val="333333"/>
          <w:sz w:val="22"/>
          <w:szCs w:val="22"/>
          <w:shd w:val="clear" w:color="auto" w:fill="FFFFFF"/>
          <w:lang w:val="es-ES_tradnl"/>
        </w:rPr>
        <w:t>el crédito al vendedor en caso que el deudor no pague, salvo en el caso de fraude.</w:t>
      </w:r>
    </w:p>
    <w:p w14:paraId="741FFE54" w14:textId="77777777" w:rsidR="002A2390" w:rsidRPr="00CF1B34" w:rsidRDefault="002A2390" w:rsidP="0005621A">
      <w:pPr>
        <w:pStyle w:val="Prrafodelista"/>
        <w:pBdr>
          <w:bottom w:val="dotted" w:sz="12" w:space="12" w:color="666666"/>
        </w:pBdr>
        <w:spacing w:after="240"/>
        <w:jc w:val="both"/>
        <w:rPr>
          <w:rFonts w:ascii="Arial" w:hAnsi="Arial" w:cs="Arial"/>
          <w:color w:val="212529"/>
          <w:sz w:val="22"/>
          <w:szCs w:val="22"/>
          <w:lang w:val="es-ES_tradnl"/>
        </w:rPr>
      </w:pPr>
    </w:p>
    <w:p w14:paraId="1D6638CC" w14:textId="62E9FEBF" w:rsidR="00EE7071" w:rsidRPr="00CF1B34" w:rsidRDefault="00EE707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Forward</w:t>
      </w:r>
    </w:p>
    <w:p w14:paraId="77744DC4" w14:textId="329CFB3C" w:rsidR="00D03103" w:rsidRPr="00CF1B34" w:rsidRDefault="00D0310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Se trata de un contrato de compraventa a plazo, es decir, un compromiso entre dos partes para realizar una </w:t>
      </w:r>
      <w:r w:rsidR="007C0670" w:rsidRPr="00CF1B34">
        <w:rPr>
          <w:rFonts w:ascii="Arial" w:hAnsi="Arial" w:cs="Arial"/>
          <w:color w:val="000000" w:themeColor="text1"/>
          <w:sz w:val="22"/>
          <w:szCs w:val="22"/>
          <w:lang w:val="es-ES_tradnl"/>
        </w:rPr>
        <w:t>operación</w:t>
      </w:r>
      <w:r w:rsidRPr="00CF1B34">
        <w:rPr>
          <w:rFonts w:ascii="Arial" w:hAnsi="Arial" w:cs="Arial"/>
          <w:color w:val="000000" w:themeColor="text1"/>
          <w:sz w:val="22"/>
          <w:szCs w:val="22"/>
          <w:lang w:val="es-ES_tradnl"/>
        </w:rPr>
        <w:t xml:space="preserve"> en fecha futura. El precio se pacta en el momento de la firma del </w:t>
      </w:r>
      <w:proofErr w:type="gramStart"/>
      <w:r w:rsidRPr="00CF1B34">
        <w:rPr>
          <w:rFonts w:ascii="Arial" w:hAnsi="Arial" w:cs="Arial"/>
          <w:color w:val="000000" w:themeColor="text1"/>
          <w:sz w:val="22"/>
          <w:szCs w:val="22"/>
          <w:lang w:val="es-ES_tradnl"/>
        </w:rPr>
        <w:t>contrato</w:t>
      </w:r>
      <w:proofErr w:type="gramEnd"/>
      <w:r w:rsidRPr="00CF1B34">
        <w:rPr>
          <w:rFonts w:ascii="Arial" w:hAnsi="Arial" w:cs="Arial"/>
          <w:color w:val="000000" w:themeColor="text1"/>
          <w:sz w:val="22"/>
          <w:szCs w:val="22"/>
          <w:lang w:val="es-ES_tradnl"/>
        </w:rPr>
        <w:t xml:space="preserve"> pero la </w:t>
      </w:r>
      <w:r w:rsidR="007C0670" w:rsidRPr="00CF1B34">
        <w:rPr>
          <w:rFonts w:ascii="Arial" w:hAnsi="Arial" w:cs="Arial"/>
          <w:color w:val="000000" w:themeColor="text1"/>
          <w:sz w:val="22"/>
          <w:szCs w:val="22"/>
          <w:lang w:val="es-ES_tradnl"/>
        </w:rPr>
        <w:t>operación</w:t>
      </w:r>
      <w:r w:rsidRPr="00CF1B34">
        <w:rPr>
          <w:rFonts w:ascii="Arial" w:hAnsi="Arial" w:cs="Arial"/>
          <w:color w:val="000000" w:themeColor="text1"/>
          <w:sz w:val="22"/>
          <w:szCs w:val="22"/>
          <w:lang w:val="es-ES_tradnl"/>
        </w:rPr>
        <w:t xml:space="preserve"> se efect</w:t>
      </w:r>
      <w:r w:rsidR="002C2CC3" w:rsidRPr="00CF1B34">
        <w:rPr>
          <w:rFonts w:ascii="Arial" w:hAnsi="Arial" w:cs="Arial"/>
          <w:color w:val="000000" w:themeColor="text1"/>
          <w:sz w:val="22"/>
          <w:szCs w:val="22"/>
          <w:lang w:val="es-ES_tradnl"/>
        </w:rPr>
        <w:t>ú</w:t>
      </w:r>
      <w:r w:rsidRPr="00CF1B34">
        <w:rPr>
          <w:rFonts w:ascii="Arial" w:hAnsi="Arial" w:cs="Arial"/>
          <w:color w:val="000000" w:themeColor="text1"/>
          <w:sz w:val="22"/>
          <w:szCs w:val="22"/>
          <w:lang w:val="es-ES_tradnl"/>
        </w:rPr>
        <w:t>a en una fecha posterior. La diferencia principal entre un contrato a plazo y un futuro es que el primero es un contrato a medida mientras que el segundo es estandarizado, es decir, igual para cualquier participante.</w:t>
      </w:r>
    </w:p>
    <w:p w14:paraId="259C7717" w14:textId="40192260" w:rsidR="00EE7071" w:rsidRPr="00CF1B34" w:rsidRDefault="00EE707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FRA</w:t>
      </w:r>
    </w:p>
    <w:p w14:paraId="71E7DDCD" w14:textId="4B5F0596" w:rsidR="003C0CD2" w:rsidRPr="00CF1B34" w:rsidRDefault="002924B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Producto derivado cuyo nombre responde a las siglas Forward Rate Agreement. El FRA es un contrato a plazo a medida sobre tipos de interés. Mediante este contrato las partes acuerdan el tipo de interés de un deposito teorico, a un plazo e importe determin</w:t>
      </w:r>
      <w:r w:rsidR="002A2390"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dos y, para se constituido transcurrido</w:t>
      </w:r>
      <w:r w:rsidR="003C0CD2" w:rsidRPr="00CF1B34">
        <w:rPr>
          <w:rFonts w:ascii="Arial" w:hAnsi="Arial" w:cs="Arial"/>
          <w:color w:val="000000" w:themeColor="text1"/>
          <w:sz w:val="22"/>
          <w:szCs w:val="22"/>
          <w:lang w:val="es-ES_tradnl"/>
        </w:rPr>
        <w:t xml:space="preserve"> un periodo de tiempo especificado.</w:t>
      </w:r>
    </w:p>
    <w:p w14:paraId="37743973" w14:textId="0AC6E75C" w:rsidR="002A2390" w:rsidRPr="00CF1B34" w:rsidRDefault="002A239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Franquicia corner</w:t>
      </w:r>
    </w:p>
    <w:p w14:paraId="7ABA8403" w14:textId="77777777" w:rsidR="00661AD8" w:rsidRPr="00CF1B34" w:rsidRDefault="00661AD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Se consideran franquicias </w:t>
      </w:r>
      <w:r w:rsidRPr="00CF1B34">
        <w:rPr>
          <w:rFonts w:ascii="Arial" w:hAnsi="Arial" w:cs="Arial"/>
          <w:i/>
          <w:iCs/>
          <w:color w:val="333333"/>
          <w:sz w:val="22"/>
          <w:szCs w:val="22"/>
          <w:shd w:val="clear" w:color="auto" w:fill="FFFFFF"/>
          <w:lang w:val="es-ES_tradnl"/>
        </w:rPr>
        <w:t>corner</w:t>
      </w:r>
      <w:r w:rsidRPr="00CF1B34">
        <w:rPr>
          <w:rFonts w:ascii="Arial" w:hAnsi="Arial" w:cs="Arial"/>
          <w:color w:val="333333"/>
          <w:sz w:val="22"/>
          <w:szCs w:val="22"/>
          <w:shd w:val="clear" w:color="auto" w:fill="FFFFFF"/>
          <w:lang w:val="es-ES_tradnl"/>
        </w:rPr>
        <w:t xml:space="preserve"> (o preferiblemente en castellano, </w:t>
      </w:r>
      <w:r w:rsidRPr="00CF1B34">
        <w:rPr>
          <w:rFonts w:ascii="Arial" w:hAnsi="Arial" w:cs="Arial"/>
          <w:b/>
          <w:bCs/>
          <w:color w:val="333333"/>
          <w:sz w:val="22"/>
          <w:szCs w:val="22"/>
          <w:shd w:val="clear" w:color="auto" w:fill="FFFFFF"/>
          <w:lang w:val="es-ES_tradnl"/>
        </w:rPr>
        <w:t>franquicias-rincón</w:t>
      </w:r>
      <w:r w:rsidRPr="00CF1B34">
        <w:rPr>
          <w:rFonts w:ascii="Arial" w:hAnsi="Arial" w:cs="Arial"/>
          <w:color w:val="333333"/>
          <w:sz w:val="22"/>
          <w:szCs w:val="22"/>
          <w:shd w:val="clear" w:color="auto" w:fill="FFFFFF"/>
          <w:lang w:val="es-ES_tradnl"/>
        </w:rPr>
        <w:t xml:space="preserve">) aquellas unidades cuyo funcionamiento diario se desarrolla en el interior de otro establecimiento comercial, de algún modo relacionado con la actividad objeto de dicha franquicia-rincón (ej: un expositor de tarjetas de felicitación dentro de una librería, papelería o tienda de regalos y decoración, así como los llamados </w:t>
      </w:r>
      <w:r w:rsidRPr="00CF1B34">
        <w:rPr>
          <w:rFonts w:ascii="Arial" w:hAnsi="Arial" w:cs="Arial"/>
          <w:sz w:val="22"/>
          <w:szCs w:val="22"/>
          <w:lang w:val="es-ES_tradnl"/>
        </w:rPr>
        <w:t>shop in shop).</w:t>
      </w:r>
    </w:p>
    <w:p w14:paraId="4BD80C93" w14:textId="71A28DF2" w:rsidR="002A2390" w:rsidRPr="00CF1B34" w:rsidRDefault="002A239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w:t>
      </w:r>
      <w:r w:rsidR="00BC15A4" w:rsidRPr="00CF1B34">
        <w:rPr>
          <w:rFonts w:ascii="Arial" w:hAnsi="Arial" w:cs="Arial"/>
          <w:b/>
          <w:bCs/>
          <w:color w:val="004773"/>
          <w:sz w:val="22"/>
          <w:szCs w:val="22"/>
          <w:lang w:val="es-ES_tradnl"/>
        </w:rPr>
        <w:t>r</w:t>
      </w:r>
      <w:r w:rsidRPr="00CF1B34">
        <w:rPr>
          <w:rFonts w:ascii="Arial" w:hAnsi="Arial" w:cs="Arial"/>
          <w:b/>
          <w:bCs/>
          <w:color w:val="004773"/>
          <w:sz w:val="22"/>
          <w:szCs w:val="22"/>
          <w:lang w:val="es-ES_tradnl"/>
        </w:rPr>
        <w:t>anquicia maestra</w:t>
      </w:r>
    </w:p>
    <w:p w14:paraId="04797D01" w14:textId="17662EB3" w:rsidR="00BC15A4" w:rsidRPr="00CF1B34" w:rsidRDefault="00661AD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La</w:t>
      </w:r>
      <w:r w:rsidR="00BC15A4" w:rsidRPr="00CF1B34">
        <w:rPr>
          <w:rFonts w:ascii="Arial" w:hAnsi="Arial" w:cs="Arial"/>
          <w:b/>
          <w:bCs/>
          <w:color w:val="333333"/>
          <w:sz w:val="22"/>
          <w:szCs w:val="22"/>
          <w:shd w:val="clear" w:color="auto" w:fill="FFFFFF"/>
          <w:lang w:val="es-ES_tradnl"/>
        </w:rPr>
        <w:t xml:space="preserve"> </w:t>
      </w:r>
      <w:r w:rsidR="002C2CC3" w:rsidRPr="00CF1B34">
        <w:rPr>
          <w:rFonts w:ascii="Arial" w:hAnsi="Arial" w:cs="Arial"/>
          <w:b/>
          <w:bCs/>
          <w:color w:val="333333"/>
          <w:sz w:val="22"/>
          <w:szCs w:val="22"/>
          <w:shd w:val="clear" w:color="auto" w:fill="FFFFFF"/>
          <w:lang w:val="es-ES_tradnl"/>
        </w:rPr>
        <w:t>f</w:t>
      </w:r>
      <w:r w:rsidRPr="00CF1B34">
        <w:rPr>
          <w:rFonts w:ascii="Arial" w:hAnsi="Arial" w:cs="Arial"/>
          <w:b/>
          <w:bCs/>
          <w:color w:val="333333"/>
          <w:sz w:val="22"/>
          <w:szCs w:val="22"/>
          <w:shd w:val="clear" w:color="auto" w:fill="FFFFFF"/>
          <w:lang w:val="es-ES_tradnl"/>
        </w:rPr>
        <w:t>ranquicia maestra</w:t>
      </w:r>
      <w:r w:rsidRPr="00CF1B34">
        <w:rPr>
          <w:rFonts w:ascii="Arial" w:hAnsi="Arial" w:cs="Arial"/>
          <w:color w:val="333333"/>
          <w:sz w:val="22"/>
          <w:szCs w:val="22"/>
          <w:shd w:val="clear" w:color="auto" w:fill="FFFFFF"/>
          <w:lang w:val="es-ES_tradnl"/>
        </w:rPr>
        <w:t xml:space="preserve"> o </w:t>
      </w:r>
      <w:r w:rsidRPr="00CF1B34">
        <w:rPr>
          <w:rFonts w:ascii="Arial" w:hAnsi="Arial" w:cs="Arial"/>
          <w:i/>
          <w:iCs/>
          <w:color w:val="333333"/>
          <w:sz w:val="22"/>
          <w:szCs w:val="22"/>
          <w:shd w:val="clear" w:color="auto" w:fill="FFFFFF"/>
          <w:lang w:val="es-ES_tradnl"/>
        </w:rPr>
        <w:t>masterfranquicia</w:t>
      </w:r>
      <w:r w:rsidRPr="00CF1B34">
        <w:rPr>
          <w:rFonts w:ascii="Arial" w:hAnsi="Arial" w:cs="Arial"/>
          <w:color w:val="333333"/>
          <w:sz w:val="22"/>
          <w:szCs w:val="22"/>
          <w:shd w:val="clear" w:color="auto" w:fill="FFFFFF"/>
          <w:lang w:val="es-ES_tradnl"/>
        </w:rPr>
        <w:t xml:space="preserve"> es un sistema que permite al</w:t>
      </w:r>
      <w:r w:rsidR="00BC15A4" w:rsidRPr="00CF1B34">
        <w:rPr>
          <w:rFonts w:ascii="Arial" w:hAnsi="Arial" w:cs="Arial"/>
          <w:color w:val="333333"/>
          <w:sz w:val="22"/>
          <w:szCs w:val="22"/>
          <w:shd w:val="clear" w:color="auto" w:fill="FFFFFF"/>
          <w:lang w:val="es-ES_tradnl"/>
        </w:rPr>
        <w:t xml:space="preserve"> </w:t>
      </w:r>
      <w:r w:rsidRPr="00CF1B34">
        <w:rPr>
          <w:rFonts w:ascii="Arial" w:hAnsi="Arial" w:cs="Arial"/>
          <w:i/>
          <w:iCs/>
          <w:color w:val="333333"/>
          <w:sz w:val="22"/>
          <w:szCs w:val="22"/>
          <w:shd w:val="clear" w:color="auto" w:fill="FFFFFF"/>
          <w:lang w:val="es-ES_tradnl"/>
        </w:rPr>
        <w:t>master franquiciado</w:t>
      </w:r>
      <w:r w:rsidR="00BC15A4"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la posibilidad de desarrollar y explotar el concepto de negocio de una franquicia, en un país diferente al del origen de ésta. Él será el responsable del desarrollo de la marca en dicho lugar, de</w:t>
      </w:r>
      <w:r w:rsidR="00BC15A4" w:rsidRPr="00CF1B34">
        <w:rPr>
          <w:rFonts w:ascii="Arial" w:hAnsi="Arial" w:cs="Arial"/>
          <w:color w:val="333333"/>
          <w:sz w:val="22"/>
          <w:szCs w:val="22"/>
          <w:shd w:val="clear" w:color="auto" w:fill="FFFFFF"/>
          <w:lang w:val="es-ES_tradnl"/>
        </w:rPr>
        <w:t xml:space="preserve"> </w:t>
      </w:r>
      <w:r w:rsidRPr="00CF1B34">
        <w:rPr>
          <w:rFonts w:ascii="Arial" w:hAnsi="Arial" w:cs="Arial"/>
          <w:sz w:val="22"/>
          <w:szCs w:val="22"/>
          <w:lang w:val="es-ES_tradnl"/>
        </w:rPr>
        <w:t>seleccionar a los franquiciados</w:t>
      </w:r>
      <w:r w:rsidRPr="00CF1B34">
        <w:rPr>
          <w:rFonts w:ascii="Arial" w:hAnsi="Arial" w:cs="Arial"/>
          <w:color w:val="333333"/>
          <w:sz w:val="22"/>
          <w:szCs w:val="22"/>
          <w:shd w:val="clear" w:color="auto" w:fill="FFFFFF"/>
          <w:lang w:val="es-ES_tradnl"/>
        </w:rPr>
        <w:t xml:space="preserve">–ya que tiene todo el </w:t>
      </w:r>
      <w:r w:rsidRPr="00CF1B34">
        <w:rPr>
          <w:rFonts w:ascii="Arial" w:hAnsi="Arial" w:cs="Arial"/>
          <w:color w:val="333333"/>
          <w:sz w:val="22"/>
          <w:szCs w:val="22"/>
          <w:shd w:val="clear" w:color="auto" w:fill="FFFFFF"/>
          <w:lang w:val="es-ES_tradnl"/>
        </w:rPr>
        <w:lastRenderedPageBreak/>
        <w:t>derecho a subfranquiciar–, y de adaptar dicho concepto a las características específicas de su mercado.</w:t>
      </w:r>
    </w:p>
    <w:p w14:paraId="5D3AA8DF" w14:textId="2C470AE3" w:rsidR="00BC3D05" w:rsidRPr="00CF1B34" w:rsidRDefault="002A239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Franquiciado piloto</w:t>
      </w:r>
      <w:r w:rsidR="00BC3D05" w:rsidRPr="00CF1B34">
        <w:rPr>
          <w:rFonts w:ascii="Arial" w:hAnsi="Arial" w:cs="Arial"/>
          <w:b/>
          <w:bCs/>
          <w:color w:val="004773"/>
          <w:sz w:val="22"/>
          <w:szCs w:val="22"/>
          <w:lang w:val="es-ES_tradnl"/>
        </w:rPr>
        <w:t xml:space="preserve"> </w:t>
      </w:r>
    </w:p>
    <w:p w14:paraId="5C62FC64" w14:textId="600924C8" w:rsidR="002A2390" w:rsidRPr="00CF1B34" w:rsidRDefault="00BC3D05" w:rsidP="0005621A">
      <w:pPr>
        <w:ind w:left="708"/>
        <w:jc w:val="both"/>
        <w:rPr>
          <w:rFonts w:ascii="Arial" w:hAnsi="Arial" w:cs="Arial"/>
          <w:b/>
          <w:bCs/>
          <w:color w:val="004773"/>
          <w:sz w:val="22"/>
          <w:szCs w:val="22"/>
          <w:lang w:val="es-ES_tradnl"/>
        </w:rPr>
      </w:pPr>
      <w:r w:rsidRPr="00CF1B34">
        <w:rPr>
          <w:rFonts w:ascii="Arial" w:hAnsi="Arial" w:cs="Arial"/>
          <w:color w:val="000000" w:themeColor="text1"/>
          <w:sz w:val="22"/>
          <w:szCs w:val="22"/>
          <w:lang w:val="es-ES_tradnl"/>
        </w:rPr>
        <w:t>Negocio</w:t>
      </w:r>
      <w:r w:rsidR="008213BD" w:rsidRPr="00CF1B34">
        <w:rPr>
          <w:rFonts w:ascii="Arial" w:hAnsi="Arial" w:cs="Arial"/>
          <w:color w:val="000000" w:themeColor="text1"/>
          <w:sz w:val="22"/>
          <w:szCs w:val="22"/>
          <w:lang w:val="es-ES_tradnl"/>
        </w:rPr>
        <w:t xml:space="preserve"> con </w:t>
      </w:r>
      <w:r w:rsidRPr="00CF1B34">
        <w:rPr>
          <w:rFonts w:ascii="Arial" w:hAnsi="Arial" w:cs="Arial"/>
          <w:color w:val="000000" w:themeColor="text1"/>
          <w:sz w:val="22"/>
          <w:szCs w:val="22"/>
          <w:lang w:val="es-ES_tradnl"/>
        </w:rPr>
        <w:t>el</w:t>
      </w:r>
      <w:r w:rsidR="008213BD" w:rsidRPr="00CF1B34">
        <w:rPr>
          <w:rFonts w:ascii="Arial" w:hAnsi="Arial" w:cs="Arial"/>
          <w:color w:val="000000" w:themeColor="text1"/>
          <w:sz w:val="22"/>
          <w:szCs w:val="22"/>
          <w:lang w:val="es-ES_tradnl"/>
        </w:rPr>
        <w:t xml:space="preserve"> cual se desea iniciar un proyecto y</w:t>
      </w:r>
      <w:r w:rsidRPr="00CF1B34">
        <w:rPr>
          <w:rFonts w:ascii="Arial" w:hAnsi="Arial" w:cs="Arial"/>
          <w:color w:val="000000" w:themeColor="text1"/>
          <w:sz w:val="22"/>
          <w:szCs w:val="22"/>
          <w:lang w:val="es-ES_tradnl"/>
        </w:rPr>
        <w:t>,</w:t>
      </w:r>
      <w:r w:rsidR="008213BD" w:rsidRPr="00CF1B34">
        <w:rPr>
          <w:rFonts w:ascii="Arial" w:hAnsi="Arial" w:cs="Arial"/>
          <w:color w:val="000000" w:themeColor="text1"/>
          <w:sz w:val="22"/>
          <w:szCs w:val="22"/>
          <w:lang w:val="es-ES_tradnl"/>
        </w:rPr>
        <w:t xml:space="preserve"> como tal se instala en un determinado lugar para desarrollar</w:t>
      </w:r>
      <w:r w:rsidRPr="00CF1B34">
        <w:rPr>
          <w:rFonts w:ascii="Arial" w:hAnsi="Arial" w:cs="Arial"/>
          <w:color w:val="000000" w:themeColor="text1"/>
          <w:sz w:val="22"/>
          <w:szCs w:val="22"/>
          <w:lang w:val="es-ES_tradnl"/>
        </w:rPr>
        <w:t xml:space="preserve"> su actividad comercial o de servicios y así mantener </w:t>
      </w:r>
      <w:r w:rsidR="008213BD" w:rsidRPr="00CF1B34">
        <w:rPr>
          <w:rFonts w:ascii="Arial" w:hAnsi="Arial" w:cs="Arial"/>
          <w:color w:val="000000" w:themeColor="text1"/>
          <w:sz w:val="22"/>
          <w:szCs w:val="22"/>
          <w:lang w:val="es-ES_tradnl"/>
        </w:rPr>
        <w:t>el contacto con los posibles clientes y</w:t>
      </w:r>
      <w:r w:rsidRPr="00CF1B34">
        <w:rPr>
          <w:rFonts w:ascii="Arial" w:hAnsi="Arial" w:cs="Arial"/>
          <w:color w:val="000000" w:themeColor="text1"/>
          <w:sz w:val="22"/>
          <w:szCs w:val="22"/>
          <w:lang w:val="es-ES_tradnl"/>
        </w:rPr>
        <w:t>/o usuarios. A</w:t>
      </w:r>
      <w:r w:rsidR="008213BD" w:rsidRPr="00CF1B34">
        <w:rPr>
          <w:rFonts w:ascii="Arial" w:hAnsi="Arial" w:cs="Arial"/>
          <w:color w:val="000000" w:themeColor="text1"/>
          <w:sz w:val="22"/>
          <w:szCs w:val="22"/>
          <w:lang w:val="es-ES_tradnl"/>
        </w:rPr>
        <w:t xml:space="preserve"> través d</w:t>
      </w:r>
      <w:r w:rsidRPr="00CF1B34">
        <w:rPr>
          <w:rFonts w:ascii="Arial" w:hAnsi="Arial" w:cs="Arial"/>
          <w:color w:val="000000" w:themeColor="text1"/>
          <w:sz w:val="22"/>
          <w:szCs w:val="22"/>
          <w:lang w:val="es-ES_tradnl"/>
        </w:rPr>
        <w:t>el</w:t>
      </w:r>
      <w:r w:rsidR="008213BD" w:rsidRPr="00CF1B34">
        <w:rPr>
          <w:rFonts w:ascii="Arial" w:hAnsi="Arial" w:cs="Arial"/>
          <w:color w:val="000000" w:themeColor="text1"/>
          <w:sz w:val="22"/>
          <w:szCs w:val="22"/>
          <w:lang w:val="es-ES_tradnl"/>
        </w:rPr>
        <w:t xml:space="preserve"> estudio </w:t>
      </w:r>
      <w:r w:rsidRPr="00CF1B34">
        <w:rPr>
          <w:rFonts w:ascii="Arial" w:hAnsi="Arial" w:cs="Arial"/>
          <w:color w:val="000000" w:themeColor="text1"/>
          <w:sz w:val="22"/>
          <w:szCs w:val="22"/>
          <w:lang w:val="es-ES_tradnl"/>
        </w:rPr>
        <w:t xml:space="preserve">practico de afluencia, beneplácito y uso del servicio </w:t>
      </w:r>
      <w:r w:rsidR="007D3B3C" w:rsidRPr="00CF1B34">
        <w:rPr>
          <w:rFonts w:ascii="Arial" w:hAnsi="Arial" w:cs="Arial"/>
          <w:color w:val="000000" w:themeColor="text1"/>
          <w:sz w:val="22"/>
          <w:szCs w:val="22"/>
          <w:lang w:val="es-ES_tradnl"/>
        </w:rPr>
        <w:t xml:space="preserve">por parte del publico éste </w:t>
      </w:r>
      <w:r w:rsidRPr="00CF1B34">
        <w:rPr>
          <w:rFonts w:ascii="Arial" w:hAnsi="Arial" w:cs="Arial"/>
          <w:color w:val="000000" w:themeColor="text1"/>
          <w:sz w:val="22"/>
          <w:szCs w:val="22"/>
          <w:lang w:val="es-ES_tradnl"/>
        </w:rPr>
        <w:t>se pueda mantener</w:t>
      </w:r>
      <w:r w:rsidR="007D3B3C" w:rsidRPr="00CF1B34">
        <w:rPr>
          <w:rFonts w:ascii="Arial" w:hAnsi="Arial" w:cs="Arial"/>
          <w:color w:val="000000" w:themeColor="text1"/>
          <w:sz w:val="22"/>
          <w:szCs w:val="22"/>
          <w:lang w:val="es-ES_tradnl"/>
        </w:rPr>
        <w:t xml:space="preserve"> como tal o en su defecto, por la falta continuada de publico cese en su actividad.</w:t>
      </w:r>
    </w:p>
    <w:p w14:paraId="0BB89F8A" w14:textId="44CD1CF7" w:rsidR="002A2390" w:rsidRPr="00CF1B34" w:rsidRDefault="002A2390" w:rsidP="0005621A">
      <w:pPr>
        <w:jc w:val="both"/>
        <w:rPr>
          <w:rFonts w:ascii="Arial" w:hAnsi="Arial" w:cs="Arial"/>
          <w:b/>
          <w:bCs/>
          <w:color w:val="004773"/>
          <w:sz w:val="22"/>
          <w:szCs w:val="22"/>
          <w:lang w:val="es-ES_tradnl"/>
        </w:rPr>
      </w:pPr>
    </w:p>
    <w:p w14:paraId="2715D02C" w14:textId="3AB5ED36" w:rsidR="00EE7071" w:rsidRPr="00CF1B34" w:rsidRDefault="00EE707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Fraude fiscal</w:t>
      </w:r>
    </w:p>
    <w:p w14:paraId="1B405FC5" w14:textId="25E29AF4" w:rsidR="003C0CD2" w:rsidRPr="00CF1B34" w:rsidRDefault="003C0CD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Supone eludir las obligaciones con la Hacienda Publica. En este caso va referido al impago de las ganancias obtenidas con la inversión.</w:t>
      </w:r>
    </w:p>
    <w:p w14:paraId="3410CE75" w14:textId="57C9EFF0"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Frecuencia de contratación</w:t>
      </w:r>
    </w:p>
    <w:p w14:paraId="03CD1B46"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uno de los indicadores que se utilizan para medir la liquidez de un valor. Es el número de días que cotiza un determinado valor en el mercado, en relación con el número total de días hábiles del mismo. Se expresa en tanto por ciento. A mayor frecuencia, más liquidez.</w:t>
      </w:r>
    </w:p>
    <w:p w14:paraId="6E9C0BD1" w14:textId="77777777"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Free float</w:t>
      </w:r>
    </w:p>
    <w:p w14:paraId="737E4463" w14:textId="461A4F63" w:rsidR="00637D33" w:rsidRPr="00CF1B34" w:rsidRDefault="00F867AA"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000000" w:themeColor="text1"/>
          <w:sz w:val="22"/>
          <w:szCs w:val="22"/>
          <w:lang w:val="es-ES_tradnl"/>
        </w:rPr>
        <w:t>Valor de la capitalización bursátil de una compañía que esta en manos de accionistas</w:t>
      </w:r>
      <w:r w:rsidRPr="00CF1B34">
        <w:rPr>
          <w:rFonts w:ascii="Arial" w:hAnsi="Arial" w:cs="Arial"/>
          <w:color w:val="000000" w:themeColor="text1"/>
          <w:lang w:val="es-ES_tradnl"/>
        </w:rPr>
        <w:t xml:space="preserve">     </w:t>
      </w:r>
      <w:hyperlink r:id="rId242" w:tgtFrame="_self" w:history="1">
        <w:r w:rsidR="00637D33" w:rsidRPr="00CF1B34">
          <w:rPr>
            <w:rFonts w:ascii="Arial" w:hAnsi="Arial" w:cs="Arial"/>
            <w:b/>
            <w:bCs/>
            <w:color w:val="2F5496" w:themeColor="accent1" w:themeShade="BF"/>
            <w:sz w:val="22"/>
            <w:szCs w:val="22"/>
            <w:u w:val="single"/>
            <w:lang w:val="es-ES_tradnl"/>
          </w:rPr>
          <w:t>Ver capital flotante</w:t>
        </w:r>
      </w:hyperlink>
      <w:r w:rsidR="00637D33" w:rsidRPr="00CF1B34">
        <w:rPr>
          <w:rFonts w:ascii="Arial" w:hAnsi="Arial" w:cs="Arial"/>
          <w:color w:val="2F5496" w:themeColor="accent1" w:themeShade="BF"/>
          <w:sz w:val="22"/>
          <w:szCs w:val="22"/>
          <w:lang w:val="es-ES_tradnl"/>
        </w:rPr>
        <w:t>.</w:t>
      </w:r>
    </w:p>
    <w:p w14:paraId="1915DB28" w14:textId="35CE42ED" w:rsidR="00F906A7" w:rsidRPr="00CF1B34" w:rsidRDefault="00F867A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Front office</w:t>
      </w:r>
    </w:p>
    <w:p w14:paraId="6DA13546" w14:textId="7A6451F1" w:rsidR="00F867AA" w:rsidRPr="00CF1B34" w:rsidRDefault="00F867A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Conjunto de actividades negociadoras en los mercados financieros.</w:t>
      </w:r>
    </w:p>
    <w:p w14:paraId="53807114" w14:textId="3B9E9E93" w:rsidR="00F867AA" w:rsidRPr="00CF1B34" w:rsidRDefault="00F867A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Front running</w:t>
      </w:r>
    </w:p>
    <w:p w14:paraId="30DB69D2" w14:textId="77777777" w:rsidR="00E3365A" w:rsidRPr="00CF1B34" w:rsidRDefault="00E3365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w:t>
      </w:r>
      <w:r w:rsidR="00F867AA" w:rsidRPr="00CF1B34">
        <w:rPr>
          <w:rFonts w:ascii="Arial" w:hAnsi="Arial" w:cs="Arial"/>
          <w:color w:val="000000" w:themeColor="text1"/>
          <w:sz w:val="22"/>
          <w:szCs w:val="22"/>
          <w:lang w:val="es-ES_tradnl"/>
        </w:rPr>
        <w:t xml:space="preserve">onsiste en utilizar información sobre un cliente en tu propio beneficio comprando antes de que se le ejecute su orden de compra de gran volumen, o vendiendo antes de ejecutar su venta. Se trata de una practica </w:t>
      </w:r>
      <w:r w:rsidRPr="00CF1B34">
        <w:rPr>
          <w:rFonts w:ascii="Arial" w:hAnsi="Arial" w:cs="Arial"/>
          <w:color w:val="000000" w:themeColor="text1"/>
          <w:sz w:val="22"/>
          <w:szCs w:val="22"/>
          <w:lang w:val="es-ES_tradnl"/>
        </w:rPr>
        <w:t>ilegal perseguida por la CNMV.</w:t>
      </w:r>
    </w:p>
    <w:p w14:paraId="7AED9EE6" w14:textId="24F0FB9B" w:rsidR="002A2390" w:rsidRPr="00CF1B34" w:rsidRDefault="00F61F8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w:t>
      </w:r>
      <w:r w:rsidR="002A2390" w:rsidRPr="00CF1B34">
        <w:rPr>
          <w:rFonts w:ascii="Arial" w:hAnsi="Arial" w:cs="Arial"/>
          <w:b/>
          <w:bCs/>
          <w:color w:val="004773"/>
          <w:sz w:val="22"/>
          <w:szCs w:val="22"/>
          <w:lang w:val="es-ES_tradnl"/>
        </w:rPr>
        <w:t>uncionarios p</w:t>
      </w:r>
      <w:r w:rsidRPr="00CF1B34">
        <w:rPr>
          <w:rFonts w:ascii="Arial" w:hAnsi="Arial" w:cs="Arial"/>
          <w:b/>
          <w:bCs/>
          <w:color w:val="004773"/>
          <w:sz w:val="22"/>
          <w:szCs w:val="22"/>
          <w:lang w:val="es-ES_tradnl"/>
        </w:rPr>
        <w:t>ú</w:t>
      </w:r>
      <w:r w:rsidR="002A2390" w:rsidRPr="00CF1B34">
        <w:rPr>
          <w:rFonts w:ascii="Arial" w:hAnsi="Arial" w:cs="Arial"/>
          <w:b/>
          <w:bCs/>
          <w:color w:val="004773"/>
          <w:sz w:val="22"/>
          <w:szCs w:val="22"/>
          <w:lang w:val="es-ES_tradnl"/>
        </w:rPr>
        <w:t>blicos</w:t>
      </w:r>
    </w:p>
    <w:p w14:paraId="2FEA5DBF" w14:textId="75A8879A" w:rsidR="001B1E9B" w:rsidRPr="00CF1B34" w:rsidRDefault="006C2F5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En el caso del </w:t>
      </w:r>
      <w:hyperlink r:id="rId243" w:history="1">
        <w:r w:rsidRPr="00CF1B34">
          <w:rPr>
            <w:rFonts w:ascii="Arial" w:hAnsi="Arial" w:cs="Arial"/>
            <w:b/>
            <w:bCs/>
            <w:color w:val="000000"/>
            <w:sz w:val="22"/>
            <w:szCs w:val="22"/>
            <w:u w:val="single"/>
            <w:lang w:val="es-ES_tradnl"/>
          </w:rPr>
          <w:t>Estado Español</w:t>
        </w:r>
      </w:hyperlink>
      <w:r w:rsidRPr="00CF1B34">
        <w:rPr>
          <w:rFonts w:ascii="Arial" w:hAnsi="Arial" w:cs="Arial"/>
          <w:color w:val="333333"/>
          <w:sz w:val="22"/>
          <w:szCs w:val="22"/>
          <w:lang w:val="es-ES_tradnl"/>
        </w:rPr>
        <w:t xml:space="preserve"> es conocido también como</w:t>
      </w:r>
      <w:r w:rsidRPr="00CF1B34">
        <w:rPr>
          <w:rFonts w:ascii="Arial" w:hAnsi="Arial" w:cs="Arial"/>
          <w:b/>
          <w:bCs/>
          <w:color w:val="333333"/>
          <w:sz w:val="22"/>
          <w:szCs w:val="22"/>
          <w:lang w:val="es-ES_tradnl"/>
        </w:rPr>
        <w:t xml:space="preserve"> funcionario de carrera. </w:t>
      </w:r>
      <w:r w:rsidRPr="00CF1B34">
        <w:rPr>
          <w:rFonts w:ascii="Arial" w:hAnsi="Arial" w:cs="Arial"/>
          <w:color w:val="333333"/>
          <w:sz w:val="22"/>
          <w:szCs w:val="22"/>
          <w:lang w:val="es-ES_tradnl"/>
        </w:rPr>
        <w:t>Su característica principal es que</w:t>
      </w:r>
      <w:r w:rsidRPr="00CF1B34">
        <w:rPr>
          <w:rFonts w:ascii="Arial" w:hAnsi="Arial" w:cs="Arial"/>
          <w:b/>
          <w:bCs/>
          <w:color w:val="333333"/>
          <w:sz w:val="22"/>
          <w:szCs w:val="22"/>
          <w:lang w:val="es-ES_tradnl"/>
        </w:rPr>
        <w:t xml:space="preserve"> desempeñan su labor en áreas que no competen a la </w:t>
      </w:r>
      <w:hyperlink r:id="rId244" w:history="1">
        <w:r w:rsidRPr="00CF1B34">
          <w:rPr>
            <w:rFonts w:ascii="Arial" w:hAnsi="Arial" w:cs="Arial"/>
            <w:b/>
            <w:bCs/>
            <w:color w:val="000000"/>
            <w:sz w:val="22"/>
            <w:szCs w:val="22"/>
            <w:u w:val="single"/>
            <w:lang w:val="es-ES_tradnl"/>
          </w:rPr>
          <w:t>Administración Pública</w:t>
        </w:r>
      </w:hyperlink>
      <w:r w:rsidRPr="00CF1B34">
        <w:rPr>
          <w:rFonts w:ascii="Arial" w:hAnsi="Arial" w:cs="Arial"/>
          <w:b/>
          <w:bCs/>
          <w:color w:val="333333"/>
          <w:sz w:val="22"/>
          <w:szCs w:val="22"/>
          <w:lang w:val="es-ES_tradnl"/>
        </w:rPr>
        <w:t>,</w:t>
      </w:r>
      <w:r w:rsidRPr="00CF1B34">
        <w:rPr>
          <w:rFonts w:ascii="Arial" w:hAnsi="Arial" w:cs="Arial"/>
          <w:color w:val="333333"/>
          <w:sz w:val="22"/>
          <w:szCs w:val="22"/>
          <w:lang w:val="es-ES_tradnl"/>
        </w:rPr>
        <w:t xml:space="preserve"> pero vinculada por una relación estatutaria</w:t>
      </w:r>
      <w:r w:rsidRPr="00CF1B34">
        <w:rPr>
          <w:rFonts w:ascii="Arial" w:hAnsi="Arial" w:cs="Arial"/>
          <w:b/>
          <w:bCs/>
          <w:color w:val="333333"/>
          <w:sz w:val="22"/>
          <w:szCs w:val="22"/>
          <w:lang w:val="es-ES_tradnl"/>
        </w:rPr>
        <w:t>. A cambio recibe una</w:t>
      </w:r>
      <w:r w:rsidRPr="00CF1B34">
        <w:rPr>
          <w:rFonts w:ascii="Arial" w:hAnsi="Arial" w:cs="Arial"/>
          <w:color w:val="333333"/>
          <w:sz w:val="22"/>
          <w:szCs w:val="22"/>
          <w:lang w:val="es-ES_tradnl"/>
        </w:rPr>
        <w:t xml:space="preserve"> </w:t>
      </w:r>
      <w:hyperlink r:id="rId245" w:history="1">
        <w:r w:rsidRPr="00CF1B34">
          <w:rPr>
            <w:rFonts w:ascii="Arial" w:hAnsi="Arial" w:cs="Arial"/>
            <w:color w:val="000000"/>
            <w:sz w:val="22"/>
            <w:szCs w:val="22"/>
            <w:u w:val="single"/>
            <w:lang w:val="es-ES_tradnl"/>
          </w:rPr>
          <w:t>contraprestación</w:t>
        </w:r>
      </w:hyperlink>
      <w:r w:rsidRPr="00CF1B34">
        <w:rPr>
          <w:rFonts w:ascii="Arial" w:hAnsi="Arial" w:cs="Arial"/>
          <w:color w:val="333333"/>
          <w:sz w:val="22"/>
          <w:szCs w:val="22"/>
          <w:lang w:val="es-ES_tradnl"/>
        </w:rPr>
        <w:t xml:space="preserve"> </w:t>
      </w:r>
      <w:r w:rsidRPr="00CF1B34">
        <w:rPr>
          <w:rFonts w:ascii="Arial" w:hAnsi="Arial" w:cs="Arial"/>
          <w:b/>
          <w:bCs/>
          <w:color w:val="333333"/>
          <w:sz w:val="22"/>
          <w:szCs w:val="22"/>
          <w:lang w:val="es-ES_tradnl"/>
        </w:rPr>
        <w:t>con</w:t>
      </w:r>
      <w:r w:rsidRPr="00CF1B34">
        <w:rPr>
          <w:rFonts w:ascii="Arial" w:hAnsi="Arial" w:cs="Arial"/>
          <w:color w:val="333333"/>
          <w:sz w:val="22"/>
          <w:szCs w:val="22"/>
          <w:lang w:val="es-ES_tradnl"/>
        </w:rPr>
        <w:t xml:space="preserve"> </w:t>
      </w:r>
      <w:hyperlink r:id="rId246" w:history="1">
        <w:r w:rsidRPr="00CF1B34">
          <w:rPr>
            <w:rFonts w:ascii="Arial" w:hAnsi="Arial" w:cs="Arial"/>
            <w:color w:val="000000"/>
            <w:sz w:val="22"/>
            <w:szCs w:val="22"/>
            <w:u w:val="single"/>
            <w:lang w:val="es-ES_tradnl"/>
          </w:rPr>
          <w:t>fondos provenientes del Presupuesto nacional.</w:t>
        </w:r>
      </w:hyperlink>
      <w:r w:rsidRPr="00CF1B34">
        <w:rPr>
          <w:rFonts w:ascii="Arial" w:hAnsi="Arial" w:cs="Arial"/>
          <w:color w:val="333333"/>
          <w:sz w:val="22"/>
          <w:szCs w:val="22"/>
          <w:lang w:val="es-ES_tradnl"/>
        </w:rPr>
        <w:t xml:space="preserve"> Acceden</w:t>
      </w:r>
      <w:r w:rsidR="001B1E9B"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a la función pública mediante métodos diametralmente opuestos a los del personal eventual</w:t>
      </w:r>
    </w:p>
    <w:p w14:paraId="2648C096" w14:textId="3507E4ED" w:rsidR="00F867AA" w:rsidRPr="00CF1B34" w:rsidRDefault="00F867A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Fungibilidad</w:t>
      </w:r>
    </w:p>
    <w:p w14:paraId="44DD60FF" w14:textId="77777777" w:rsidR="00E3365A" w:rsidRPr="00CF1B34" w:rsidRDefault="00E3365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dice que dos instrumentos financieros son fungibles cuando son plenamente intercambiables por incorporar idénticas características.</w:t>
      </w:r>
    </w:p>
    <w:p w14:paraId="2EC2260F" w14:textId="492A0409" w:rsidR="00F906A7" w:rsidRPr="00CF1B34" w:rsidRDefault="00F906A7" w:rsidP="0005621A">
      <w:pPr>
        <w:pStyle w:val="Ttulo2"/>
        <w:shd w:val="clear" w:color="auto" w:fill="FFFFFF"/>
        <w:spacing w:before="0" w:beforeAutospacing="0" w:after="0" w:afterAutospacing="0"/>
        <w:jc w:val="both"/>
        <w:rPr>
          <w:rFonts w:ascii="Arial" w:hAnsi="Arial" w:cs="Arial"/>
          <w:color w:val="1F3864" w:themeColor="accent1" w:themeShade="80"/>
          <w:sz w:val="22"/>
          <w:szCs w:val="22"/>
          <w:lang w:val="es-ES_tradnl"/>
        </w:rPr>
      </w:pPr>
      <w:r w:rsidRPr="00CF1B34">
        <w:rPr>
          <w:rFonts w:ascii="Arial" w:hAnsi="Arial" w:cs="Arial"/>
          <w:color w:val="1F3864" w:themeColor="accent1" w:themeShade="80"/>
          <w:sz w:val="22"/>
          <w:szCs w:val="22"/>
          <w:lang w:val="es-ES_tradnl"/>
        </w:rPr>
        <w:t>FTSE </w:t>
      </w:r>
    </w:p>
    <w:p w14:paraId="693ADD52" w14:textId="77777777" w:rsidR="00F906A7" w:rsidRPr="00CF1B34" w:rsidRDefault="00F906A7"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 xml:space="preserve">El FTSE 100 o Financial Times Stock Exchange es el índice bursátil que integra las cien mayores empresas cotizadas en la London Stock Exchange (LSE), y por lo tanto </w:t>
      </w:r>
      <w:r w:rsidRPr="00CF1B34">
        <w:rPr>
          <w:rFonts w:ascii="Arial" w:hAnsi="Arial" w:cs="Arial"/>
          <w:color w:val="191B1C"/>
          <w:sz w:val="22"/>
          <w:szCs w:val="22"/>
          <w:lang w:val="es-ES_tradnl"/>
        </w:rPr>
        <w:lastRenderedPageBreak/>
        <w:t>representa el rendimiento financiero de las 100 mayores empresas por capitalización bursátil de Reino Unido.</w:t>
      </w:r>
    </w:p>
    <w:p w14:paraId="290025B5" w14:textId="77777777" w:rsidR="00F906A7" w:rsidRPr="00CF1B34" w:rsidRDefault="00F906A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Este índice se creó en 1984 con 1.000 puntos de base. A día de hoy, este indicador agrupa a empresas como HSBC, Astra Zeneca, BP, GlaxoSmithkline, Barclays, Rolls Royce o Vodafone, y las 100 empresas que lo componen suponen más de un 70% del valor total de mercado de los valores que cotizan en la Bolsa de Londres</w:t>
      </w:r>
      <w:r w:rsidRPr="00CF1B34">
        <w:rPr>
          <w:rFonts w:ascii="Arial" w:hAnsi="Arial" w:cs="Arial"/>
          <w:color w:val="191B1C"/>
          <w:lang w:val="es-ES_tradnl"/>
        </w:rPr>
        <w:t>.</w:t>
      </w:r>
    </w:p>
    <w:p w14:paraId="4E1286B8" w14:textId="4AB1A251"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Fusión</w:t>
      </w:r>
    </w:p>
    <w:p w14:paraId="37C72B51"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mediante la cual una sociedad absorbe a otra, o dos o más sociedades deciden crear una nueva. Es muy utilizada para la concentración de empresas. Cuenta con una serie de mecanismos de protección de los accionistas: proyecto e informe de fusión elaborados por los administradores, informe de uno o varios expertos independientes, un balance de fusión... Estos documentos deben ponerse a disposición de los accionistas antes de la celebración de la Junta General en la que se pronunciarán sobre la operación.</w:t>
      </w:r>
    </w:p>
    <w:p w14:paraId="7757F00D" w14:textId="0A0D8A1B" w:rsidR="00F906A7" w:rsidRPr="00CF1B34" w:rsidRDefault="00E3365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Fusiones y adquisiciones</w:t>
      </w:r>
    </w:p>
    <w:p w14:paraId="3EFF9D7C" w14:textId="77777777" w:rsidR="00E3365A" w:rsidRPr="00CF1B34" w:rsidRDefault="00E3365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Departamento de los bancos de negocios que se dedica a la prestación de servicios de intermediación en la compraventa de empresas.</w:t>
      </w:r>
    </w:p>
    <w:p w14:paraId="6F4976AF" w14:textId="0A1E5C0C" w:rsidR="00E3365A" w:rsidRPr="00CF1B34" w:rsidRDefault="00E3365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Futuros</w:t>
      </w:r>
    </w:p>
    <w:p w14:paraId="5FD27177" w14:textId="77777777" w:rsidR="00E3365A" w:rsidRPr="00CF1B34" w:rsidRDefault="00E3365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futuro es un contrato por el que me comprometo dentro de un plazo previsto a comprar o vender un activo financiero o una materia prima a un precio ya prefijado.</w:t>
      </w:r>
    </w:p>
    <w:p w14:paraId="2B21B32D" w14:textId="77777777" w:rsidR="00F906A7" w:rsidRPr="00CF1B34" w:rsidRDefault="00F906A7"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Futuros del Ibex</w:t>
      </w:r>
    </w:p>
    <w:p w14:paraId="46E398AB" w14:textId="3FFDC287" w:rsidR="00F906A7" w:rsidRPr="00CF1B34" w:rsidRDefault="00F906A7"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En primer lugar, conviene familiarizarse con el concepto de</w:t>
      </w:r>
      <w:r w:rsidR="003C0CD2" w:rsidRPr="00CF1B34">
        <w:rPr>
          <w:rFonts w:ascii="Arial" w:hAnsi="Arial" w:cs="Arial"/>
          <w:color w:val="000000" w:themeColor="text1"/>
          <w:sz w:val="22"/>
          <w:szCs w:val="22"/>
          <w:lang w:val="es-ES_tradnl"/>
        </w:rPr>
        <w:t xml:space="preserve"> </w:t>
      </w:r>
      <w:hyperlink r:id="rId247" w:tooltip="derivados financieros o futuros" w:history="1">
        <w:r w:rsidRPr="00CF1B34">
          <w:rPr>
            <w:rFonts w:ascii="Arial" w:hAnsi="Arial" w:cs="Arial"/>
            <w:b/>
            <w:bCs/>
            <w:color w:val="000000" w:themeColor="text1"/>
            <w:sz w:val="22"/>
            <w:szCs w:val="22"/>
            <w:lang w:val="es-ES_tradnl"/>
          </w:rPr>
          <w:t>derivados financieros o futuros</w:t>
        </w:r>
      </w:hyperlink>
      <w:r w:rsidRPr="00CF1B34">
        <w:rPr>
          <w:rFonts w:ascii="Arial" w:hAnsi="Arial" w:cs="Arial"/>
          <w:color w:val="000000" w:themeColor="text1"/>
          <w:sz w:val="22"/>
          <w:szCs w:val="22"/>
          <w:lang w:val="es-ES_tradnl"/>
        </w:rPr>
        <w:t>.</w:t>
      </w:r>
    </w:p>
    <w:p w14:paraId="2464B15D" w14:textId="3534B3AB" w:rsidR="00F906A7" w:rsidRPr="00CF1B34" w:rsidRDefault="00F906A7"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Una vez que conocemos</w:t>
      </w:r>
      <w:r w:rsidR="009E19E9" w:rsidRPr="00CF1B34">
        <w:rPr>
          <w:rFonts w:ascii="Arial" w:hAnsi="Arial" w:cs="Arial"/>
          <w:color w:val="000000" w:themeColor="text1"/>
          <w:sz w:val="22"/>
          <w:szCs w:val="22"/>
          <w:lang w:val="es-ES_tradnl"/>
        </w:rPr>
        <w:t xml:space="preserve"> </w:t>
      </w:r>
      <w:hyperlink r:id="rId248" w:tooltip="que es un futuro o derivado financiero" w:history="1">
        <w:r w:rsidRPr="00CF1B34">
          <w:rPr>
            <w:rFonts w:ascii="Arial" w:hAnsi="Arial" w:cs="Arial"/>
            <w:b/>
            <w:bCs/>
            <w:color w:val="000000" w:themeColor="text1"/>
            <w:sz w:val="22"/>
            <w:szCs w:val="22"/>
            <w:u w:val="single"/>
            <w:lang w:val="es-ES_tradnl"/>
          </w:rPr>
          <w:t>Qué es un futuro o derivado financiero</w:t>
        </w:r>
      </w:hyperlink>
      <w:r w:rsidRPr="00CF1B34">
        <w:rPr>
          <w:rFonts w:ascii="Arial" w:hAnsi="Arial" w:cs="Arial"/>
          <w:color w:val="000000" w:themeColor="text1"/>
          <w:sz w:val="22"/>
          <w:szCs w:val="22"/>
          <w:lang w:val="es-ES_tradnl"/>
        </w:rPr>
        <w:t>, podemos profundizar en las características de cada uno de los contratos.</w:t>
      </w:r>
    </w:p>
    <w:p w14:paraId="45F4FD13" w14:textId="77777777" w:rsidR="00F906A7" w:rsidRPr="00CF1B34" w:rsidRDefault="00F906A7"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Por supuesto, existen futuros sobre diferentes activos e índices, entre ellos el IBEX 35. Como sabemos, este índice promedia las cotizaciones y la rentabilidad de las 35 empresas más importantes de nuestro mercado bursátil (la bolsa española).</w:t>
      </w:r>
    </w:p>
    <w:p w14:paraId="6EDCD794" w14:textId="0277B1F2" w:rsidR="00F906A7" w:rsidRPr="00CF1B34" w:rsidRDefault="00F906A7"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Si quisiéramos “comprar el IBEX”, tendríamos tendríamos que comprarnos todas y cada una de las 35 empresas que lo componen, y</w:t>
      </w:r>
      <w:r w:rsidR="009E19E9" w:rsidRPr="00CF1B34">
        <w:rPr>
          <w:rFonts w:ascii="Arial" w:hAnsi="Arial" w:cs="Arial"/>
          <w:color w:val="000000" w:themeColor="text1"/>
          <w:sz w:val="22"/>
          <w:szCs w:val="22"/>
          <w:lang w:val="es-ES_tradnl"/>
        </w:rPr>
        <w:t>,</w:t>
      </w:r>
      <w:r w:rsidRPr="00CF1B34">
        <w:rPr>
          <w:rFonts w:ascii="Arial" w:hAnsi="Arial" w:cs="Arial"/>
          <w:color w:val="000000" w:themeColor="text1"/>
          <w:sz w:val="22"/>
          <w:szCs w:val="22"/>
          <w:lang w:val="es-ES_tradnl"/>
        </w:rPr>
        <w:t xml:space="preserve"> además, ajustar el peso que cada una tiene en el índice. Sin embargo, existen maneras más sencillas y directas de hacerlo. Podemos hacerlo a través de un</w:t>
      </w:r>
      <w:r w:rsidR="009E19E9" w:rsidRPr="00CF1B34">
        <w:rPr>
          <w:rFonts w:ascii="Arial" w:hAnsi="Arial" w:cs="Arial"/>
          <w:color w:val="000000" w:themeColor="text1"/>
          <w:sz w:val="22"/>
          <w:szCs w:val="22"/>
          <w:lang w:val="es-ES_tradnl"/>
        </w:rPr>
        <w:t xml:space="preserve"> </w:t>
      </w:r>
      <w:hyperlink r:id="rId249" w:tooltip="etf" w:history="1">
        <w:r w:rsidRPr="00CF1B34">
          <w:rPr>
            <w:rFonts w:ascii="Arial" w:hAnsi="Arial" w:cs="Arial"/>
            <w:b/>
            <w:bCs/>
            <w:color w:val="000000" w:themeColor="text1"/>
            <w:sz w:val="22"/>
            <w:szCs w:val="22"/>
            <w:u w:val="single"/>
            <w:lang w:val="es-ES_tradnl"/>
          </w:rPr>
          <w:t>ETF</w:t>
        </w:r>
      </w:hyperlink>
      <w:r w:rsidR="009E19E9"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que replique al índice, o de un futuro cuyo activo subyacente sea el IBEX.</w:t>
      </w:r>
    </w:p>
    <w:p w14:paraId="2947467F" w14:textId="77777777" w:rsidR="00F906A7" w:rsidRPr="00CF1B34" w:rsidRDefault="00F906A7"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Como un contrato de futuro del Íbex 35 equivale a 10 €/punto (multiplicador), ese contrato costará 10.500€, pero en realidad estaremos tomando una posición por 105.000€. Sin embargo, no será necesario depositar esos 105.000€ para tomar la posición, sino únicamente la garantía requerida en ese momento (apalancamiento).</w:t>
      </w:r>
    </w:p>
    <w:p w14:paraId="2E68482F" w14:textId="77777777" w:rsidR="00F906A7" w:rsidRPr="00CF1B34" w:rsidRDefault="00F906A7"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 partir del momento en que tengamos nuestra posición, por ejemplo, comprada de un futuro del IBEX 35, estaremos expuestos a los movimientos del mercado.</w:t>
      </w:r>
    </w:p>
    <w:p w14:paraId="71A608F0" w14:textId="77777777" w:rsidR="00F906A7" w:rsidRPr="00CF1B34" w:rsidRDefault="00F906A7"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lastRenderedPageBreak/>
        <w:t>Supongamos que el primer día, el contrato cierra a 10.650€. Se producirá la liquidación de pérdidas y ganancias del día, y se nos abonarían 1.500€ (150 puntos por 10€ de multiplicador por punto).</w:t>
      </w:r>
    </w:p>
    <w:p w14:paraId="09B1E58A" w14:textId="77777777" w:rsidR="00F906A7" w:rsidRPr="00CF1B34" w:rsidRDefault="00F906A7"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Al día siguiente, el contrato cierra en 10.550€, y por ese motivo, a cierre del día, se nos deduce la pérdida correspondiente (10.650 – 10.550) de 1.000€.</w:t>
      </w:r>
    </w:p>
    <w:p w14:paraId="08BF8679" w14:textId="77777777" w:rsidR="00F906A7" w:rsidRPr="00CF1B34" w:rsidRDefault="00F906A7"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Y al tercer día, que coincide con el vencimiento se produce una gran subida, y el futuro liquida a 11.000 puntos. Ese día se nos abonaría el beneficio correspondiente a ese día, de (11.000 – 10.550) 4.500€. sin embargo, nuestro beneficio acumulado sería de 5.000€, ya que abrimos la posición cuando el contrato se negociaba a 10.500.</w:t>
      </w:r>
    </w:p>
    <w:p w14:paraId="686F7A47" w14:textId="77777777" w:rsidR="00F906A7" w:rsidRPr="00CF1B34" w:rsidRDefault="00F906A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decir, cuando negociamos un contrato de futuro, nos aseguramos el precio al que queremos tenerlo en el futuro, y el resultado (beneficio o pérdida), será el precio de liquidación o cierre de la posición contra el precio al que abrimos la posición.</w:t>
      </w:r>
    </w:p>
    <w:p w14:paraId="6ED5A088" w14:textId="58950F2A"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Futuro financiero</w:t>
      </w:r>
    </w:p>
    <w:p w14:paraId="147C8702" w14:textId="115B824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Contrato negociado en un mercado organizado, por el que las partes acuerdan la compraventa de una cantidad concreta de un valor (activo subyacente) en una fecha futura predeterminada, y a un precio convenido de antemano. Estos instrumentos se describen con más detalle en el apartado de</w:t>
      </w:r>
      <w:r w:rsidR="003C0CD2" w:rsidRPr="00CF1B34">
        <w:rPr>
          <w:rFonts w:ascii="Arial" w:hAnsi="Arial" w:cs="Arial"/>
          <w:color w:val="212529"/>
          <w:sz w:val="22"/>
          <w:szCs w:val="22"/>
          <w:lang w:val="es-ES_tradnl"/>
        </w:rPr>
        <w:t xml:space="preserve"> </w:t>
      </w:r>
      <w:r w:rsidR="009E19E9" w:rsidRPr="00CF1B34">
        <w:rPr>
          <w:rFonts w:ascii="Arial" w:hAnsi="Arial" w:cs="Arial"/>
          <w:sz w:val="22"/>
          <w:szCs w:val="22"/>
          <w:lang w:val="es-ES_tradnl"/>
        </w:rPr>
        <w:t>Productos Deirvados</w:t>
      </w:r>
      <w:r w:rsidR="009E19E9" w:rsidRPr="00CF1B34">
        <w:rPr>
          <w:rFonts w:ascii="Arial" w:hAnsi="Arial" w:cs="Arial"/>
          <w:lang w:val="es-ES_tradnl"/>
        </w:rPr>
        <w:t xml:space="preserve"> </w:t>
      </w:r>
      <w:r w:rsidRPr="00CF1B34">
        <w:rPr>
          <w:rFonts w:ascii="Arial" w:hAnsi="Arial" w:cs="Arial"/>
          <w:color w:val="212529"/>
          <w:sz w:val="22"/>
          <w:szCs w:val="22"/>
          <w:lang w:val="es-ES_tradnl"/>
        </w:rPr>
        <w:t>de la Sección del inversor.</w:t>
      </w:r>
    </w:p>
    <w:p w14:paraId="422C86DA" w14:textId="3442BB1D" w:rsidR="00B75E6A" w:rsidRPr="00CF1B34" w:rsidRDefault="00B75E6A" w:rsidP="0005621A">
      <w:pPr>
        <w:jc w:val="both"/>
        <w:rPr>
          <w:rFonts w:ascii="Arial" w:hAnsi="Arial" w:cs="Arial"/>
          <w:sz w:val="22"/>
          <w:szCs w:val="22"/>
          <w:lang w:val="es-ES_tradnl"/>
        </w:rPr>
      </w:pPr>
    </w:p>
    <w:p w14:paraId="7F1116E1" w14:textId="77777777" w:rsidR="00E3365A" w:rsidRPr="00CF1B34" w:rsidRDefault="00E3365A" w:rsidP="0005621A">
      <w:pPr>
        <w:jc w:val="both"/>
        <w:rPr>
          <w:rFonts w:ascii="Arial" w:hAnsi="Arial" w:cs="Arial"/>
          <w:color w:val="2F5496" w:themeColor="accent1" w:themeShade="BF"/>
          <w:sz w:val="22"/>
          <w:szCs w:val="22"/>
          <w:lang w:val="es-ES_tradnl"/>
        </w:rPr>
      </w:pPr>
    </w:p>
    <w:p w14:paraId="0CB12C7F" w14:textId="0854061C" w:rsidR="00B75E6A" w:rsidRPr="00CF1B34" w:rsidRDefault="00637D33" w:rsidP="0005621A">
      <w:pPr>
        <w:jc w:val="both"/>
        <w:rPr>
          <w:rFonts w:ascii="Arial" w:hAnsi="Arial" w:cs="Arial"/>
          <w:b/>
          <w:bCs/>
          <w:color w:val="2F5496" w:themeColor="accent1" w:themeShade="BF"/>
          <w:sz w:val="32"/>
          <w:szCs w:val="32"/>
          <w:lang w:val="es-ES_tradnl"/>
        </w:rPr>
      </w:pPr>
      <w:r w:rsidRPr="00CF1B34">
        <w:rPr>
          <w:rFonts w:ascii="Arial" w:hAnsi="Arial" w:cs="Arial"/>
          <w:b/>
          <w:bCs/>
          <w:color w:val="2F5496" w:themeColor="accent1" w:themeShade="BF"/>
          <w:sz w:val="32"/>
          <w:szCs w:val="32"/>
          <w:lang w:val="es-ES_tradnl"/>
        </w:rPr>
        <w:t>G</w:t>
      </w:r>
    </w:p>
    <w:p w14:paraId="44B42BD1" w14:textId="4DA7C3A7" w:rsidR="00B75E6A" w:rsidRPr="00CF1B34" w:rsidRDefault="00B75E6A" w:rsidP="0005621A">
      <w:pPr>
        <w:jc w:val="both"/>
        <w:rPr>
          <w:rFonts w:ascii="Arial" w:hAnsi="Arial" w:cs="Arial"/>
          <w:sz w:val="22"/>
          <w:szCs w:val="22"/>
          <w:lang w:val="es-ES_tradnl"/>
        </w:rPr>
      </w:pPr>
    </w:p>
    <w:p w14:paraId="3809B8B5" w14:textId="77777777" w:rsidR="00E3365A" w:rsidRPr="00CF1B34" w:rsidRDefault="00E3365A" w:rsidP="0005621A">
      <w:pPr>
        <w:jc w:val="both"/>
        <w:rPr>
          <w:rFonts w:ascii="Arial" w:hAnsi="Arial" w:cs="Arial"/>
          <w:sz w:val="22"/>
          <w:szCs w:val="22"/>
          <w:lang w:val="es-ES_tradnl"/>
        </w:rPr>
      </w:pPr>
    </w:p>
    <w:p w14:paraId="3A49E93A" w14:textId="77777777" w:rsidR="005B28E7" w:rsidRPr="00CF1B34" w:rsidRDefault="005B28E7" w:rsidP="0005621A">
      <w:pPr>
        <w:pStyle w:val="Ttulo2"/>
        <w:shd w:val="clear" w:color="auto" w:fill="FFFFFF"/>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Gap</w:t>
      </w:r>
    </w:p>
    <w:p w14:paraId="192523C3" w14:textId="522D99BE" w:rsidR="005B28E7" w:rsidRPr="00CF1B34" w:rsidRDefault="005B28E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Un </w:t>
      </w:r>
      <w:r w:rsidRPr="00CF1B34">
        <w:rPr>
          <w:rStyle w:val="Textoennegrita"/>
          <w:rFonts w:ascii="Arial" w:hAnsi="Arial" w:cs="Arial"/>
          <w:color w:val="191B1C"/>
          <w:sz w:val="22"/>
          <w:szCs w:val="22"/>
          <w:lang w:val="es-ES_tradnl"/>
        </w:rPr>
        <w:t>“gap” en bolsa</w:t>
      </w:r>
      <w:r w:rsidR="001B1E9B" w:rsidRPr="00CF1B34">
        <w:rPr>
          <w:rFonts w:ascii="Arial" w:hAnsi="Arial" w:cs="Arial"/>
          <w:color w:val="191B1C"/>
          <w:sz w:val="22"/>
          <w:szCs w:val="22"/>
          <w:lang w:val="es-ES_tradnl"/>
        </w:rPr>
        <w:t xml:space="preserve"> </w:t>
      </w:r>
      <w:r w:rsidRPr="00CF1B34">
        <w:rPr>
          <w:rFonts w:ascii="Arial" w:hAnsi="Arial" w:cs="Arial"/>
          <w:color w:val="191B1C"/>
          <w:sz w:val="22"/>
          <w:szCs w:val="22"/>
          <w:lang w:val="es-ES_tradnl"/>
        </w:rPr>
        <w:t>Hace referencia a una brecha o salto (hueco) entre el precio de oferta y de demanda, producida por la falta de liquidez en un valoren un determinado momento periodo, o a un desequilibrio entre los compradores y los vendedores, queriendo unos vender mucho más barato del precio al que quieren vender los otros</w:t>
      </w:r>
    </w:p>
    <w:p w14:paraId="3B439B4A" w14:textId="53571528" w:rsidR="00A46834" w:rsidRPr="00CF1B34" w:rsidRDefault="00A4683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Ganancia</w:t>
      </w:r>
    </w:p>
    <w:p w14:paraId="7049764D" w14:textId="77777777" w:rsidR="00737303" w:rsidRPr="00CF1B34" w:rsidRDefault="007B147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aumento de valor de un activo financiero respecto al precio de compra. Para hacer efectiva la ganancia h</w:t>
      </w:r>
      <w:r w:rsidR="00737303"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y que vender el activo financiero, de lo contrario la ganancia es solo latente.</w:t>
      </w:r>
    </w:p>
    <w:p w14:paraId="5E9C16E9" w14:textId="65CF64A9" w:rsidR="00A46834" w:rsidRPr="00CF1B34" w:rsidRDefault="007B147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Garantías</w:t>
      </w:r>
    </w:p>
    <w:p w14:paraId="0C241B35" w14:textId="77777777" w:rsidR="00737303" w:rsidRPr="00CF1B34" w:rsidRDefault="0073730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Para el inversor en productos derivados se exigen garantías y no la totalidad del valor de los distintos contratos. En los futuros cuando se desea comprar se exige una garantía del 16% del valor del contrato y cuando se desea vender del 10% del contrato.</w:t>
      </w:r>
    </w:p>
    <w:p w14:paraId="2256E566" w14:textId="68A601F5" w:rsidR="006A71DA" w:rsidRPr="00CF1B34" w:rsidRDefault="006A7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Gasto Publico</w:t>
      </w:r>
    </w:p>
    <w:p w14:paraId="5446BE59" w14:textId="77777777" w:rsidR="00485E1D" w:rsidRPr="00CF1B34" w:rsidRDefault="006A7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Compras de bienes, servicios y transferencias realizadas por los organis</w:t>
      </w:r>
      <w:r w:rsidR="00485E1D" w:rsidRPr="00CF1B34">
        <w:rPr>
          <w:rFonts w:ascii="Arial" w:hAnsi="Arial" w:cs="Arial"/>
          <w:color w:val="000000" w:themeColor="text1"/>
          <w:sz w:val="22"/>
          <w:szCs w:val="22"/>
          <w:lang w:val="es-ES_tradnl"/>
        </w:rPr>
        <w:t>mos públicos o el Estado.</w:t>
      </w:r>
    </w:p>
    <w:p w14:paraId="1295650A" w14:textId="6E9A40EF" w:rsidR="007B1477" w:rsidRPr="00CF1B34" w:rsidRDefault="007B147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Ga</w:t>
      </w:r>
      <w:r w:rsidR="00987BA2" w:rsidRPr="00CF1B34">
        <w:rPr>
          <w:rFonts w:ascii="Arial" w:hAnsi="Arial" w:cs="Arial"/>
          <w:b/>
          <w:bCs/>
          <w:color w:val="004773"/>
          <w:sz w:val="22"/>
          <w:szCs w:val="22"/>
          <w:lang w:val="es-ES_tradnl"/>
        </w:rPr>
        <w:t>s</w:t>
      </w:r>
      <w:r w:rsidRPr="00CF1B34">
        <w:rPr>
          <w:rFonts w:ascii="Arial" w:hAnsi="Arial" w:cs="Arial"/>
          <w:b/>
          <w:bCs/>
          <w:color w:val="004773"/>
          <w:sz w:val="22"/>
          <w:szCs w:val="22"/>
          <w:lang w:val="es-ES_tradnl"/>
        </w:rPr>
        <w:t>tos de explotaci</w:t>
      </w:r>
      <w:r w:rsidR="000A4F69"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n</w:t>
      </w:r>
    </w:p>
    <w:p w14:paraId="3C78F759" w14:textId="77777777" w:rsidR="00737303" w:rsidRPr="00CF1B34" w:rsidRDefault="0073730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Gastos de personal mas gastos de infraestructura y administración.</w:t>
      </w:r>
    </w:p>
    <w:p w14:paraId="7877744E" w14:textId="30500A7A"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Gastos del fondo (TER, Total Expenses Ratio)</w:t>
      </w:r>
    </w:p>
    <w:p w14:paraId="19B5C734" w14:textId="77777777" w:rsidR="00637D33"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Ratio que relaciona los gastos totales soportados por un fondo de inversión en un periodo con la cifra de patrimonio medio. Los gastos totales incluyen las comisiones de gestión y depositario, los servicios exteriores y otros gastos de explotación. Este dato, expresado en porcentaje, es importante para el inversor porque permite conocer el nivel de gastos que soporta un fondo de inversión y compararlo con otros fondos similares. Se publica en un anexo del folleto simplificado y en los informes periódicos que se envían a socios y partícipes.</w:t>
      </w:r>
    </w:p>
    <w:p w14:paraId="63FF428A" w14:textId="3D9DA4A0" w:rsidR="005B28E7" w:rsidRPr="00CF1B34" w:rsidRDefault="005B28E7"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 xml:space="preserve">Gastos de </w:t>
      </w:r>
      <w:r w:rsidR="00987BA2" w:rsidRPr="00CF1B34">
        <w:rPr>
          <w:rFonts w:ascii="Arial" w:hAnsi="Arial" w:cs="Arial"/>
          <w:b/>
          <w:bCs/>
          <w:color w:val="2F5496" w:themeColor="accent1" w:themeShade="BF"/>
          <w:sz w:val="22"/>
          <w:szCs w:val="22"/>
          <w:lang w:val="es-ES_tradnl"/>
        </w:rPr>
        <w:t xml:space="preserve">gestoría </w:t>
      </w:r>
      <w:r w:rsidRPr="00CF1B34">
        <w:rPr>
          <w:rFonts w:ascii="Arial" w:hAnsi="Arial" w:cs="Arial"/>
          <w:b/>
          <w:bCs/>
          <w:color w:val="2F5496" w:themeColor="accent1" w:themeShade="BF"/>
          <w:sz w:val="22"/>
          <w:szCs w:val="22"/>
          <w:lang w:val="es-ES_tradnl"/>
        </w:rPr>
        <w:t>de una hipoteca</w:t>
      </w:r>
    </w:p>
    <w:p w14:paraId="52A8A6C3" w14:textId="7031207C" w:rsidR="005B28E7" w:rsidRPr="00CF1B34" w:rsidRDefault="005B28E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Los</w:t>
      </w:r>
      <w:r w:rsidRPr="00CF1B34">
        <w:rPr>
          <w:rFonts w:ascii="Arial" w:hAnsi="Arial" w:cs="Arial"/>
          <w:b/>
          <w:bCs/>
          <w:sz w:val="22"/>
          <w:szCs w:val="22"/>
          <w:lang w:val="es-ES_tradnl"/>
        </w:rPr>
        <w:t> gastos de gestoría de una hipoteca</w:t>
      </w:r>
      <w:r w:rsidRPr="00CF1B34">
        <w:rPr>
          <w:rFonts w:ascii="Arial" w:hAnsi="Arial" w:cs="Arial"/>
          <w:sz w:val="22"/>
          <w:szCs w:val="22"/>
          <w:lang w:val="es-ES_tradnl"/>
        </w:rPr>
        <w:t> son aquellos pagos que realizaremos a cambio de que nos tramiten las escrituras y la liquidación de impuestos, tanto a la hora de</w:t>
      </w:r>
      <w:r w:rsidR="000A4F69" w:rsidRPr="00CF1B34">
        <w:rPr>
          <w:rFonts w:ascii="Arial" w:hAnsi="Arial" w:cs="Arial"/>
          <w:sz w:val="22"/>
          <w:szCs w:val="22"/>
          <w:lang w:val="es-ES_tradnl"/>
        </w:rPr>
        <w:t xml:space="preserve"> </w:t>
      </w:r>
      <w:hyperlink r:id="rId250" w:history="1">
        <w:r w:rsidRPr="00CF1B34">
          <w:rPr>
            <w:rFonts w:ascii="Arial" w:hAnsi="Arial" w:cs="Arial"/>
            <w:b/>
            <w:bCs/>
            <w:color w:val="BD4313"/>
            <w:sz w:val="22"/>
            <w:szCs w:val="22"/>
            <w:lang w:val="es-ES_tradnl"/>
          </w:rPr>
          <w:t>comprar una vivienda</w:t>
        </w:r>
      </w:hyperlink>
      <w:r w:rsidRPr="00CF1B34">
        <w:rPr>
          <w:rFonts w:ascii="Arial" w:hAnsi="Arial" w:cs="Arial"/>
          <w:sz w:val="22"/>
          <w:szCs w:val="22"/>
          <w:lang w:val="es-ES_tradnl"/>
        </w:rPr>
        <w:t>, como de firmar nuestra hipoteca, o bien subrogarla, cancelarla o refinanciarla.</w:t>
      </w:r>
    </w:p>
    <w:p w14:paraId="389B2106" w14:textId="77777777" w:rsidR="005B28E7" w:rsidRPr="00CF1B34" w:rsidRDefault="005B28E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 diferencia de los gastos del notario o los gastos del registro, los gastos de gestoría no están estipulados por ley por lo que cada gestoría tiene sus propias tasas. Aunque dependerá de la zona y de la empresa en sí, lo habitual es que nos cobren de entre 150€ a 300€. Estos gastos también incluirán trámites como la retirada de las copias de la notaría, la liquidación de los impuestos y la inscripción de la escritura en el registro.</w:t>
      </w:r>
    </w:p>
    <w:p w14:paraId="324EAC3C" w14:textId="613AEF98" w:rsidR="005B28E7" w:rsidRPr="00CF1B34" w:rsidRDefault="005B28E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Como ya hemos dicho algunas veces, antes de la Ley Hipotecaria, la mayoría de los gastos de contratar un</w:t>
      </w:r>
      <w:r w:rsidR="000A4F69" w:rsidRPr="00CF1B34">
        <w:rPr>
          <w:rFonts w:ascii="Arial" w:hAnsi="Arial" w:cs="Arial"/>
          <w:sz w:val="22"/>
          <w:szCs w:val="22"/>
          <w:lang w:val="es-ES_tradnl"/>
        </w:rPr>
        <w:t xml:space="preserve"> </w:t>
      </w:r>
      <w:hyperlink r:id="rId251" w:history="1">
        <w:r w:rsidRPr="00CF1B34">
          <w:rPr>
            <w:rFonts w:ascii="Arial" w:hAnsi="Arial" w:cs="Arial"/>
            <w:b/>
            <w:bCs/>
            <w:color w:val="BD4313"/>
            <w:sz w:val="22"/>
            <w:szCs w:val="22"/>
            <w:lang w:val="es-ES_tradnl"/>
          </w:rPr>
          <w:t>préstamo hipotecario</w:t>
        </w:r>
      </w:hyperlink>
      <w:r w:rsidR="000A4F69" w:rsidRPr="00CF1B34">
        <w:rPr>
          <w:rFonts w:ascii="Arial" w:hAnsi="Arial" w:cs="Arial"/>
          <w:sz w:val="22"/>
          <w:szCs w:val="22"/>
          <w:lang w:val="es-ES_tradnl"/>
        </w:rPr>
        <w:t xml:space="preserve"> </w:t>
      </w:r>
      <w:r w:rsidRPr="00CF1B34">
        <w:rPr>
          <w:rFonts w:ascii="Arial" w:hAnsi="Arial" w:cs="Arial"/>
          <w:sz w:val="22"/>
          <w:szCs w:val="22"/>
          <w:lang w:val="es-ES_tradnl"/>
        </w:rPr>
        <w:t xml:space="preserve">recaían del lado del cliente. Pero a raíz de su entrada en vigor en junio de 2019, los gastos se repartieron de una forma más equitativa. Ahora es la entidad crediticia quien abona estos gastos junto con los gastos de registro (que son los que se originan al inscribir nuestro préstamo hipotecario en el Registro de la propiedad), el notario (que son los aranceles que cobre este funcionario público y, por tanto, están regulados. El gasto de notaría que supone de un 0,3 a un 0,5% de la </w:t>
      </w:r>
      <w:proofErr w:type="gramStart"/>
      <w:r w:rsidRPr="00CF1B34">
        <w:rPr>
          <w:rFonts w:ascii="Arial" w:hAnsi="Arial" w:cs="Arial"/>
          <w:sz w:val="22"/>
          <w:szCs w:val="22"/>
          <w:lang w:val="es-ES_tradnl"/>
        </w:rPr>
        <w:t>hipoteca)y</w:t>
      </w:r>
      <w:proofErr w:type="gramEnd"/>
      <w:r w:rsidRPr="00CF1B34">
        <w:rPr>
          <w:rFonts w:ascii="Arial" w:hAnsi="Arial" w:cs="Arial"/>
          <w:sz w:val="22"/>
          <w:szCs w:val="22"/>
          <w:lang w:val="es-ES_tradnl"/>
        </w:rPr>
        <w:t xml:space="preserve"> por último el Impuesto de Actos Jurídicos Documentados (IAJD), una tasa que supone entre un 0,5 a un 1,5% del precio de la vivienda.</w:t>
      </w:r>
    </w:p>
    <w:p w14:paraId="0F325776" w14:textId="77777777" w:rsidR="005B28E7" w:rsidRPr="00CF1B34" w:rsidRDefault="005B28E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su parte, la Ley Hipotecaria estipula que será el consumidor el que abone los gastos de la tasación (es decir, ese peritaje que se realiza para estimar el precio de compraventa del inmueble, y que condicionará directamente el préstamo hipotecario) y su copia de la escritura.</w:t>
      </w:r>
    </w:p>
    <w:p w14:paraId="2E3FB580" w14:textId="5CA9BA6B" w:rsidR="005B28E7" w:rsidRPr="00CF1B34" w:rsidRDefault="005B28E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 Ley Hipo</w:t>
      </w:r>
      <w:r w:rsidR="000A4F69" w:rsidRPr="00CF1B34">
        <w:rPr>
          <w:rFonts w:ascii="Arial" w:hAnsi="Arial" w:cs="Arial"/>
          <w:sz w:val="22"/>
          <w:szCs w:val="22"/>
          <w:lang w:val="es-ES_tradnl"/>
        </w:rPr>
        <w:t>t</w:t>
      </w:r>
      <w:r w:rsidRPr="00CF1B34">
        <w:rPr>
          <w:rFonts w:ascii="Arial" w:hAnsi="Arial" w:cs="Arial"/>
          <w:sz w:val="22"/>
          <w:szCs w:val="22"/>
          <w:lang w:val="es-ES_tradnl"/>
        </w:rPr>
        <w:t>ecaria no tiene carácter retroactivo, y por tanto se aplica a todas aquellas hipotecas constituidas a partir del 16 de junio de 2019.</w:t>
      </w:r>
    </w:p>
    <w:p w14:paraId="7D176DA3" w14:textId="77777777" w:rsidR="005B28E7" w:rsidRPr="00CF1B34" w:rsidRDefault="005B28E7"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Gastos de la hipoteca</w:t>
      </w:r>
    </w:p>
    <w:p w14:paraId="06D5F497" w14:textId="1B178A28" w:rsidR="005B28E7" w:rsidRPr="00CF1B34" w:rsidRDefault="005B28E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 la hora de comprar una casa es importante que hagamos números antes, ya que incurriremos en más gastos de los que implica la vivienda en sí. Básicamente hay dos bloques: los gastos generados por la compra, y los</w:t>
      </w:r>
      <w:r w:rsidR="009E19E9" w:rsidRPr="00CF1B34">
        <w:rPr>
          <w:rFonts w:ascii="Arial" w:hAnsi="Arial" w:cs="Arial"/>
          <w:sz w:val="22"/>
          <w:szCs w:val="22"/>
          <w:lang w:val="es-ES_tradnl"/>
        </w:rPr>
        <w:t xml:space="preserve"> </w:t>
      </w:r>
      <w:r w:rsidRPr="00CF1B34">
        <w:rPr>
          <w:rFonts w:ascii="Arial" w:hAnsi="Arial" w:cs="Arial"/>
          <w:b/>
          <w:bCs/>
          <w:sz w:val="22"/>
          <w:szCs w:val="22"/>
          <w:lang w:val="es-ES_tradnl"/>
        </w:rPr>
        <w:t>gastos de la hipoteca</w:t>
      </w:r>
      <w:r w:rsidRPr="00CF1B34">
        <w:rPr>
          <w:rFonts w:ascii="Arial" w:hAnsi="Arial" w:cs="Arial"/>
          <w:sz w:val="22"/>
          <w:szCs w:val="22"/>
          <w:lang w:val="es-ES_tradnl"/>
        </w:rPr>
        <w:t>. En total, pueden representar un 10% del valor de la casa, así que es conveniente disponer de suficientes ahorros para hacerles frente. Además, a ese 10% tendremos que añadir otro 20% que supondrá la parte del precio de la casa que no nos va a prestar la entidad, ya que lo normal es que nos concedan un máximo del 80%.</w:t>
      </w:r>
    </w:p>
    <w:p w14:paraId="3648AF70" w14:textId="77777777" w:rsidR="005B28E7" w:rsidRPr="00CF1B34" w:rsidRDefault="005B28E7"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lastRenderedPageBreak/>
        <w:t>Gastos de formalización de una hipoteca:</w:t>
      </w:r>
    </w:p>
    <w:p w14:paraId="1D7F1DB4" w14:textId="77777777" w:rsidR="005B28E7" w:rsidRPr="00CF1B34" w:rsidRDefault="005B28E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de las novedades de la Ley Hipotecaria de 2019 es la especial protección del consumidor, y el reparto más equitativo de los gastos hipotecarios, que son bastantes:</w:t>
      </w:r>
    </w:p>
    <w:p w14:paraId="30A336D7" w14:textId="77777777" w:rsidR="005B28E7" w:rsidRPr="00CF1B34" w:rsidRDefault="005B28E7" w:rsidP="0005621A">
      <w:pPr>
        <w:numPr>
          <w:ilvl w:val="0"/>
          <w:numId w:val="17"/>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Gastos de tasación</w:t>
      </w:r>
      <w:r w:rsidRPr="00CF1B34">
        <w:rPr>
          <w:rFonts w:ascii="Arial" w:hAnsi="Arial" w:cs="Arial"/>
          <w:sz w:val="22"/>
          <w:szCs w:val="22"/>
          <w:lang w:val="es-ES_tradnl"/>
        </w:rPr>
        <w:t>, comprendidos entre los 200 y los 500 €. Con la tasación, el banco puede conocer el valor de la vivienda para determinar la cantidad de dinero que te va a prestar. Es obligatorio, aunque será el comprador quien elija el tasador.</w:t>
      </w:r>
    </w:p>
    <w:p w14:paraId="007BB5A5" w14:textId="77777777" w:rsidR="005B28E7" w:rsidRPr="00CF1B34" w:rsidRDefault="005B28E7" w:rsidP="0005621A">
      <w:pPr>
        <w:numPr>
          <w:ilvl w:val="0"/>
          <w:numId w:val="17"/>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Gastos de notaría</w:t>
      </w:r>
      <w:r w:rsidRPr="00CF1B34">
        <w:rPr>
          <w:rFonts w:ascii="Arial" w:hAnsi="Arial" w:cs="Arial"/>
          <w:sz w:val="22"/>
          <w:szCs w:val="22"/>
          <w:lang w:val="es-ES_tradnl"/>
        </w:rPr>
        <w:t>, para dar fe de las escrituras del préstamo y del prestamista. El importe de estos gastos se establece por ley, y podrán rondar los 650 € para un préstamo de 100.000€.</w:t>
      </w:r>
    </w:p>
    <w:p w14:paraId="24F41EC2" w14:textId="77777777" w:rsidR="005B28E7" w:rsidRPr="00CF1B34" w:rsidRDefault="005B28E7" w:rsidP="0005621A">
      <w:pPr>
        <w:numPr>
          <w:ilvl w:val="0"/>
          <w:numId w:val="17"/>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Gastos de registro</w:t>
      </w:r>
      <w:r w:rsidRPr="00CF1B34">
        <w:rPr>
          <w:rFonts w:ascii="Arial" w:hAnsi="Arial" w:cs="Arial"/>
          <w:sz w:val="22"/>
          <w:szCs w:val="22"/>
          <w:lang w:val="es-ES_tradnl"/>
        </w:rPr>
        <w:t>, que es la inscripción de la escritura de la hipoteca en el Registro de la Propiedad. También los determina el estado. Por ejemplo, pueden suponer 170€ para una hipoteca de 100.000.</w:t>
      </w:r>
    </w:p>
    <w:p w14:paraId="444CCB93" w14:textId="77777777" w:rsidR="005B28E7" w:rsidRPr="00CF1B34" w:rsidRDefault="005B28E7" w:rsidP="0005621A">
      <w:pPr>
        <w:numPr>
          <w:ilvl w:val="0"/>
          <w:numId w:val="17"/>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Gastos de gestoría</w:t>
      </w:r>
      <w:r w:rsidRPr="00CF1B34">
        <w:rPr>
          <w:rFonts w:ascii="Arial" w:hAnsi="Arial" w:cs="Arial"/>
          <w:sz w:val="22"/>
          <w:szCs w:val="22"/>
          <w:lang w:val="es-ES_tradnl"/>
        </w:rPr>
        <w:t>, constituidos por los honorarios de los gestores en concepto de liquidación de impuestos, por ejemplo. Aunque dependen de cada gestoría, suelen andar entre los 150 y los 300€.</w:t>
      </w:r>
    </w:p>
    <w:p w14:paraId="512A963D" w14:textId="77777777" w:rsidR="005B28E7" w:rsidRPr="00CF1B34" w:rsidRDefault="005B28E7" w:rsidP="0005621A">
      <w:pPr>
        <w:numPr>
          <w:ilvl w:val="0"/>
          <w:numId w:val="17"/>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Impuesto de hipotecas</w:t>
      </w:r>
      <w:r w:rsidRPr="00CF1B34">
        <w:rPr>
          <w:rFonts w:ascii="Arial" w:hAnsi="Arial" w:cs="Arial"/>
          <w:sz w:val="22"/>
          <w:szCs w:val="22"/>
          <w:lang w:val="es-ES_tradnl"/>
        </w:rPr>
        <w:t>, o Impuesto de Actos Jurídicos Documentados (IAJD), fijado por las administraciones autonómicas, y comprendidos entre el 0,5% y el 1,.5% de la suma del capital prestado, los intereses y otros gastos.</w:t>
      </w:r>
    </w:p>
    <w:p w14:paraId="69D27D6C" w14:textId="77777777" w:rsidR="005B28E7" w:rsidRPr="00CF1B34" w:rsidRDefault="005B28E7"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Hay que tener en cuenta </w:t>
      </w:r>
      <w:r w:rsidRPr="00CF1B34">
        <w:rPr>
          <w:rFonts w:ascii="Arial" w:hAnsi="Arial" w:cs="Arial"/>
          <w:b/>
          <w:bCs/>
          <w:sz w:val="22"/>
          <w:szCs w:val="22"/>
          <w:lang w:val="es-ES_tradnl"/>
        </w:rPr>
        <w:t>otros gastos de la hipoteca</w:t>
      </w:r>
      <w:r w:rsidRPr="00CF1B34">
        <w:rPr>
          <w:rFonts w:ascii="Arial" w:hAnsi="Arial" w:cs="Arial"/>
          <w:sz w:val="22"/>
          <w:szCs w:val="22"/>
          <w:lang w:val="es-ES_tradnl"/>
        </w:rPr>
        <w:t xml:space="preserve">, tales como la comisión de apertura (aunque no está regulada, no suele sobrepasar el 1%; de hecho, muchas de ellas no lo aplican). Los gastos de cancelación (o comisiones de amortización anticipada) dependen de cada hipoteca, aunque tienen un tope legal. En las variables es un máximo del 0,15% los cinco primeros años, o del 0,25%los tres primeros. En las fijas, el tope es del 2% los diez primeros años, y de 1,5% a partir del onceavo; los gastos de subrogación se producen cuando se traslada una hipoteca de una entidad a otra, o cuando cambia el propietario de la hipoteca. El primer caso es más común, e implica una comisión de subrogación y otra de apertura, más los costes de tasación que cobraría la nueva entidad. De todas formas, estos gastos dependen de la finalidad de la subrogación, de la fecha de firma de la hipoteca y la normativa vigente en ese momento y de las comisiones por subrogación propias de cada banco. Los gastos de ampliación de hipoteca (de plazo, de importe o de ambos),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aunque variarán, siempre serán menores que los que implica pedir una nueva. Y los gastos de novación, que son los que se generan cuando cambiamos alguna cláusula de nuestra hipoteca.</w:t>
      </w:r>
    </w:p>
    <w:p w14:paraId="4B227B37" w14:textId="77777777" w:rsidR="005B28E7" w:rsidRPr="00CF1B34" w:rsidRDefault="005B28E7"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Aparte de los gastos que supone pedir una hipoteca, también hay formas de reducirlos. Por ejemplo, contratando productos y servicios extra (o productos vinculados o combinados), que, aunque no son obligatorios, sirven para reducir el interés del préstamo a cambio de vinculación al banco.</w:t>
      </w:r>
    </w:p>
    <w:p w14:paraId="04DDC4CD" w14:textId="77777777" w:rsidR="005B28E7" w:rsidRPr="00CF1B34" w:rsidRDefault="005B28E7"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¿Cómo se distribuyen los gastos de la hipoteca?</w:t>
      </w:r>
    </w:p>
    <w:p w14:paraId="4AD39B74" w14:textId="74249F0D" w:rsidR="005B28E7" w:rsidRPr="00CF1B34" w:rsidRDefault="005B28E7" w:rsidP="0005621A">
      <w:pPr>
        <w:pStyle w:val="Sinespaciado"/>
        <w:jc w:val="both"/>
        <w:rPr>
          <w:rFonts w:ascii="Arial" w:hAnsi="Arial" w:cs="Arial"/>
          <w:lang w:val="es-ES_tradnl"/>
        </w:rPr>
      </w:pPr>
      <w:r w:rsidRPr="00CF1B34">
        <w:rPr>
          <w:rFonts w:ascii="Arial" w:hAnsi="Arial" w:cs="Arial"/>
          <w:lang w:val="es-ES_tradnl"/>
        </w:rPr>
        <w:t>Ya hemos visto que la Ley Hipotecaria promovió en reparto más equitativo. Así, el</w:t>
      </w:r>
      <w:r w:rsidR="009E19E9" w:rsidRPr="00CF1B34">
        <w:rPr>
          <w:rFonts w:ascii="Arial" w:hAnsi="Arial" w:cs="Arial"/>
          <w:lang w:val="es-ES_tradnl"/>
        </w:rPr>
        <w:t xml:space="preserve"> </w:t>
      </w:r>
      <w:r w:rsidRPr="00CF1B34">
        <w:rPr>
          <w:rFonts w:ascii="Arial" w:hAnsi="Arial" w:cs="Arial"/>
          <w:b/>
          <w:bCs/>
          <w:lang w:val="es-ES_tradnl"/>
        </w:rPr>
        <w:t>banco</w:t>
      </w:r>
      <w:r w:rsidR="009E19E9" w:rsidRPr="00CF1B34">
        <w:rPr>
          <w:rFonts w:ascii="Arial" w:hAnsi="Arial" w:cs="Arial"/>
          <w:lang w:val="es-ES_tradnl"/>
        </w:rPr>
        <w:t xml:space="preserve"> </w:t>
      </w:r>
      <w:r w:rsidRPr="00CF1B34">
        <w:rPr>
          <w:rFonts w:ascii="Arial" w:hAnsi="Arial" w:cs="Arial"/>
          <w:lang w:val="es-ES_tradnl"/>
        </w:rPr>
        <w:t>abonará los gastos de:</w:t>
      </w:r>
    </w:p>
    <w:p w14:paraId="32FF86B6" w14:textId="445F87D6" w:rsidR="005B28E7" w:rsidRPr="00CF1B34" w:rsidRDefault="005B28E7" w:rsidP="004F7A62">
      <w:pPr>
        <w:pStyle w:val="Sinespaciado"/>
        <w:numPr>
          <w:ilvl w:val="0"/>
          <w:numId w:val="181"/>
        </w:numPr>
        <w:jc w:val="both"/>
        <w:rPr>
          <w:rFonts w:ascii="Arial" w:hAnsi="Arial" w:cs="Arial"/>
          <w:lang w:val="es-ES_tradnl"/>
        </w:rPr>
      </w:pPr>
      <w:r w:rsidRPr="00CF1B34">
        <w:rPr>
          <w:rFonts w:ascii="Arial" w:hAnsi="Arial" w:cs="Arial"/>
          <w:lang w:val="es-ES_tradnl"/>
        </w:rPr>
        <w:t>Gestoría</w:t>
      </w:r>
    </w:p>
    <w:p w14:paraId="5D25AAF4" w14:textId="77777777" w:rsidR="009E19E9" w:rsidRPr="00CF1B34" w:rsidRDefault="009E19E9" w:rsidP="004F7A62">
      <w:pPr>
        <w:pStyle w:val="Sinespaciado"/>
        <w:numPr>
          <w:ilvl w:val="0"/>
          <w:numId w:val="181"/>
        </w:numPr>
        <w:jc w:val="both"/>
        <w:rPr>
          <w:rFonts w:ascii="Arial" w:hAnsi="Arial" w:cs="Arial"/>
          <w:lang w:val="es-ES_tradnl"/>
        </w:rPr>
      </w:pPr>
      <w:r w:rsidRPr="00CF1B34">
        <w:rPr>
          <w:rFonts w:ascii="Arial" w:hAnsi="Arial" w:cs="Arial"/>
          <w:lang w:val="es-ES_tradnl"/>
        </w:rPr>
        <w:t>Registro</w:t>
      </w:r>
    </w:p>
    <w:p w14:paraId="48231DCA" w14:textId="063AADEC" w:rsidR="009E19E9" w:rsidRPr="00CF1B34" w:rsidRDefault="009E19E9" w:rsidP="004F7A62">
      <w:pPr>
        <w:pStyle w:val="Sinespaciado"/>
        <w:numPr>
          <w:ilvl w:val="0"/>
          <w:numId w:val="181"/>
        </w:numPr>
        <w:jc w:val="both"/>
        <w:rPr>
          <w:rFonts w:ascii="Arial" w:hAnsi="Arial" w:cs="Arial"/>
          <w:lang w:val="es-ES_tradnl"/>
        </w:rPr>
      </w:pPr>
      <w:r w:rsidRPr="00CF1B34">
        <w:rPr>
          <w:rFonts w:ascii="Arial" w:hAnsi="Arial" w:cs="Arial"/>
          <w:lang w:val="es-ES_tradnl"/>
        </w:rPr>
        <w:t>Notaría</w:t>
      </w:r>
    </w:p>
    <w:p w14:paraId="1FEAF011" w14:textId="6666605F" w:rsidR="009E19E9" w:rsidRPr="00CF1B34" w:rsidRDefault="009E19E9" w:rsidP="004F7A62">
      <w:pPr>
        <w:pStyle w:val="Sinespaciado"/>
        <w:numPr>
          <w:ilvl w:val="0"/>
          <w:numId w:val="181"/>
        </w:numPr>
        <w:jc w:val="both"/>
        <w:rPr>
          <w:rFonts w:ascii="Arial" w:hAnsi="Arial" w:cs="Arial"/>
          <w:lang w:val="es-ES_tradnl"/>
        </w:rPr>
      </w:pPr>
      <w:r w:rsidRPr="00CF1B34">
        <w:rPr>
          <w:rFonts w:ascii="Arial" w:hAnsi="Arial" w:cs="Arial"/>
          <w:lang w:val="es-ES_tradnl"/>
        </w:rPr>
        <w:t>Impuesto de Actos Jurídicos Documentados (</w:t>
      </w:r>
      <w:r w:rsidRPr="00CF1B34">
        <w:rPr>
          <w:rFonts w:ascii="Arial" w:hAnsi="Arial" w:cs="Arial"/>
          <w:b/>
          <w:bCs/>
          <w:lang w:val="es-ES_tradnl"/>
        </w:rPr>
        <w:t>IAJD</w:t>
      </w:r>
      <w:r w:rsidRPr="00CF1B34">
        <w:rPr>
          <w:rFonts w:ascii="Arial" w:hAnsi="Arial" w:cs="Arial"/>
          <w:lang w:val="es-ES_tradnl"/>
        </w:rPr>
        <w:t>) y su copia de la escritura.</w:t>
      </w:r>
    </w:p>
    <w:p w14:paraId="7EEFCE94" w14:textId="5374414C" w:rsidR="005B28E7" w:rsidRPr="00CF1B34" w:rsidRDefault="005B28E7" w:rsidP="0005621A">
      <w:pPr>
        <w:pStyle w:val="Sinespaciado"/>
        <w:jc w:val="both"/>
        <w:rPr>
          <w:rFonts w:ascii="Arial" w:hAnsi="Arial" w:cs="Arial"/>
          <w:lang w:val="es-ES_tradnl"/>
        </w:rPr>
      </w:pPr>
      <w:r w:rsidRPr="00CF1B34">
        <w:rPr>
          <w:rFonts w:ascii="Arial" w:hAnsi="Arial" w:cs="Arial"/>
          <w:lang w:val="es-ES_tradnl"/>
        </w:rPr>
        <w:lastRenderedPageBreak/>
        <w:t>Y el</w:t>
      </w:r>
      <w:r w:rsidR="009E19E9" w:rsidRPr="00CF1B34">
        <w:rPr>
          <w:rFonts w:ascii="Arial" w:hAnsi="Arial" w:cs="Arial"/>
          <w:lang w:val="es-ES_tradnl"/>
        </w:rPr>
        <w:t xml:space="preserve"> </w:t>
      </w:r>
      <w:r w:rsidRPr="00CF1B34">
        <w:rPr>
          <w:rFonts w:ascii="Arial" w:hAnsi="Arial" w:cs="Arial"/>
          <w:b/>
          <w:bCs/>
          <w:lang w:val="es-ES_tradnl"/>
        </w:rPr>
        <w:t>consumidor</w:t>
      </w:r>
      <w:r w:rsidR="009E19E9" w:rsidRPr="00CF1B34">
        <w:rPr>
          <w:rFonts w:ascii="Arial" w:hAnsi="Arial" w:cs="Arial"/>
          <w:lang w:val="es-ES_tradnl"/>
        </w:rPr>
        <w:t xml:space="preserve"> </w:t>
      </w:r>
      <w:r w:rsidRPr="00CF1B34">
        <w:rPr>
          <w:rFonts w:ascii="Arial" w:hAnsi="Arial" w:cs="Arial"/>
          <w:lang w:val="es-ES_tradnl"/>
        </w:rPr>
        <w:t>cargará con:</w:t>
      </w:r>
    </w:p>
    <w:p w14:paraId="50D50DB5" w14:textId="278F988F" w:rsidR="005B28E7" w:rsidRPr="00CF1B34" w:rsidRDefault="005B28E7" w:rsidP="004F7A62">
      <w:pPr>
        <w:pStyle w:val="Sinespaciado"/>
        <w:numPr>
          <w:ilvl w:val="0"/>
          <w:numId w:val="182"/>
        </w:numPr>
        <w:jc w:val="both"/>
        <w:rPr>
          <w:rFonts w:ascii="Arial" w:hAnsi="Arial" w:cs="Arial"/>
          <w:lang w:val="es-ES_tradnl"/>
        </w:rPr>
      </w:pPr>
      <w:r w:rsidRPr="00CF1B34">
        <w:rPr>
          <w:rFonts w:ascii="Arial" w:hAnsi="Arial" w:cs="Arial"/>
          <w:lang w:val="es-ES_tradnl"/>
        </w:rPr>
        <w:t>La tasación</w:t>
      </w:r>
    </w:p>
    <w:p w14:paraId="302A194C" w14:textId="77777777" w:rsidR="009E19E9" w:rsidRPr="00CF1B34" w:rsidRDefault="009E19E9" w:rsidP="004F7A62">
      <w:pPr>
        <w:pStyle w:val="Sinespaciado"/>
        <w:numPr>
          <w:ilvl w:val="0"/>
          <w:numId w:val="182"/>
        </w:numPr>
        <w:jc w:val="both"/>
        <w:rPr>
          <w:rFonts w:ascii="Arial" w:hAnsi="Arial" w:cs="Arial"/>
          <w:lang w:val="es-ES_tradnl"/>
        </w:rPr>
      </w:pPr>
      <w:r w:rsidRPr="00CF1B34">
        <w:rPr>
          <w:rFonts w:ascii="Arial" w:hAnsi="Arial" w:cs="Arial"/>
          <w:lang w:val="es-ES_tradnl"/>
        </w:rPr>
        <w:t>Su copia de la escritura.</w:t>
      </w:r>
    </w:p>
    <w:p w14:paraId="5A1933E0" w14:textId="77777777" w:rsidR="009E19E9" w:rsidRPr="00CF1B34" w:rsidRDefault="009E19E9" w:rsidP="0005621A">
      <w:pPr>
        <w:pBdr>
          <w:bottom w:val="dotted" w:sz="12" w:space="12" w:color="666666"/>
        </w:pBdr>
        <w:spacing w:after="240"/>
        <w:ind w:left="360"/>
        <w:jc w:val="both"/>
        <w:rPr>
          <w:rFonts w:ascii="Arial" w:hAnsi="Arial" w:cs="Arial"/>
          <w:color w:val="212529"/>
          <w:sz w:val="22"/>
          <w:szCs w:val="22"/>
          <w:lang w:val="es-ES_tradnl"/>
        </w:rPr>
      </w:pPr>
    </w:p>
    <w:p w14:paraId="79090582" w14:textId="10149288" w:rsidR="006A71DA" w:rsidRPr="00CF1B34" w:rsidRDefault="006A71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Gastos financieros</w:t>
      </w:r>
    </w:p>
    <w:p w14:paraId="4D8C1B20" w14:textId="77777777" w:rsidR="006A71DA" w:rsidRPr="00CF1B34" w:rsidRDefault="006A71D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Gastos incurridos por la empresa en la obtención de recursos financieros y que están representados por los intereses y primas sobre pagarés, bonos, etc. emitidos por la empresa.</w:t>
      </w:r>
    </w:p>
    <w:p w14:paraId="326AFED6" w14:textId="59BEDFE0" w:rsidR="00FF7341" w:rsidRPr="00CF1B34" w:rsidRDefault="00FF734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Gestión alternativa </w:t>
      </w:r>
    </w:p>
    <w:p w14:paraId="2EBA148D" w14:textId="732E24D9" w:rsidR="000A4F69" w:rsidRPr="00CF1B34" w:rsidRDefault="00813E7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w:t>
      </w:r>
      <w:r w:rsidR="00FF7341" w:rsidRPr="00CF1B34">
        <w:rPr>
          <w:rFonts w:ascii="Arial" w:hAnsi="Arial" w:cs="Arial"/>
          <w:color w:val="000000" w:themeColor="text1"/>
          <w:sz w:val="22"/>
          <w:szCs w:val="22"/>
          <w:lang w:val="es-ES_tradnl"/>
        </w:rPr>
        <w:t xml:space="preserve">s la que se realiza debido a los vaivenes de </w:t>
      </w:r>
      <w:r w:rsidRPr="00CF1B34">
        <w:rPr>
          <w:rFonts w:ascii="Arial" w:hAnsi="Arial" w:cs="Arial"/>
          <w:color w:val="000000" w:themeColor="text1"/>
          <w:sz w:val="22"/>
          <w:szCs w:val="22"/>
          <w:lang w:val="es-ES_tradnl"/>
        </w:rPr>
        <w:t>la actividad financiera. Tanto los inversores mas arriesgados y experimentados como los expertos, empiezan a buscar productos financieros estables donde asegurar su dinero. para ello existen multitud de opciones desde depósitos bancarios a fondos de inversión de todo tipo. Luego lo importante es adaptarse a mercado y poder realizar una gestión alternativa del patrimonio del que se dispone</w:t>
      </w:r>
      <w:r w:rsidR="000A4F69" w:rsidRPr="00CF1B34">
        <w:rPr>
          <w:rFonts w:ascii="Arial" w:hAnsi="Arial" w:cs="Arial"/>
          <w:color w:val="000000" w:themeColor="text1"/>
          <w:sz w:val="22"/>
          <w:szCs w:val="22"/>
          <w:lang w:val="es-ES_tradnl"/>
        </w:rPr>
        <w:t xml:space="preserve"> con lo cual hay que definir una estrategia de inversión para encontrar el deposito que mejor se adapta a nuestro perfil inversor.</w:t>
      </w:r>
    </w:p>
    <w:p w14:paraId="6DA7DAE6" w14:textId="5A5D2219"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Gestión activa</w:t>
      </w:r>
    </w:p>
    <w:p w14:paraId="4E915C49" w14:textId="22CA729F" w:rsidR="003C715B" w:rsidRPr="00CF1B34" w:rsidRDefault="00637D33" w:rsidP="0005621A">
      <w:pPr>
        <w:pStyle w:val="NormalWeb"/>
        <w:shd w:val="clear" w:color="auto" w:fill="FFFFFF"/>
        <w:spacing w:before="0" w:beforeAutospacing="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Estilo</w:t>
      </w:r>
      <w:r w:rsidR="003C715B" w:rsidRPr="00CF1B34">
        <w:rPr>
          <w:rFonts w:ascii="Arial" w:hAnsi="Arial" w:cs="Arial"/>
          <w:color w:val="212529"/>
          <w:sz w:val="22"/>
          <w:szCs w:val="22"/>
          <w:lang w:val="es-ES_tradnl"/>
        </w:rPr>
        <w:t xml:space="preserve"> o sistema</w:t>
      </w:r>
      <w:r w:rsidRPr="00CF1B34">
        <w:rPr>
          <w:rFonts w:ascii="Arial" w:hAnsi="Arial" w:cs="Arial"/>
          <w:color w:val="212529"/>
          <w:sz w:val="22"/>
          <w:szCs w:val="22"/>
          <w:lang w:val="es-ES_tradnl"/>
        </w:rPr>
        <w:t xml:space="preserve"> de gestión de carteras que pretende superar el rendimiento de un índice o activo de referencia aprovechando las ineficiencias de los mercados; para ello se recurre a la selección de activos infravalorados y a la identificación del mejor momento para comprar o vender.</w:t>
      </w:r>
    </w:p>
    <w:p w14:paraId="0015AD1E" w14:textId="1556C9D1" w:rsidR="003C715B" w:rsidRPr="00CF1B34" w:rsidRDefault="003C715B"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Para cumplir el objetivo de superar la rentabilidad de su índice de referencia, el fondo de gestión activa centra sus esfuerzos en seleccionar os mejores activos y emplea la táctica conocida como</w:t>
      </w:r>
      <w:r w:rsidR="000A4F69" w:rsidRPr="00CF1B34">
        <w:rPr>
          <w:rFonts w:ascii="Arial" w:hAnsi="Arial" w:cs="Arial"/>
          <w:color w:val="191B1C"/>
          <w:sz w:val="22"/>
          <w:szCs w:val="22"/>
          <w:lang w:val="es-ES_tradnl"/>
        </w:rPr>
        <w:t xml:space="preserve"> </w:t>
      </w:r>
      <w:r w:rsidRPr="00CF1B34">
        <w:rPr>
          <w:rStyle w:val="nfasis"/>
          <w:rFonts w:ascii="Arial" w:hAnsi="Arial" w:cs="Arial"/>
          <w:color w:val="191B1C"/>
          <w:sz w:val="22"/>
          <w:szCs w:val="22"/>
          <w:lang w:val="es-ES_tradnl"/>
        </w:rPr>
        <w:t>market timing</w:t>
      </w:r>
      <w:r w:rsidRPr="00CF1B34">
        <w:rPr>
          <w:rFonts w:ascii="Arial" w:hAnsi="Arial" w:cs="Arial"/>
          <w:color w:val="191B1C"/>
          <w:sz w:val="22"/>
          <w:szCs w:val="22"/>
          <w:lang w:val="es-ES_tradnl"/>
        </w:rPr>
        <w:t>, que consiste en comprar a precios bajos y vender a precios altos.</w:t>
      </w:r>
    </w:p>
    <w:p w14:paraId="5A9F0262" w14:textId="77777777" w:rsidR="003C715B" w:rsidRPr="00CF1B34" w:rsidRDefault="003C715B"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gestión activa requiere un equipo gestor con gran capacidad de análisis, un elevado conocimiento del mercado y gran experiencia. Identificar las mejores oportunidades de inversión que sean capaces de lograr rentabilidades superiores a las del mercado, implica mayor tiempo y dedicación por parte de sus gestores.</w:t>
      </w:r>
    </w:p>
    <w:p w14:paraId="212B4312" w14:textId="77777777" w:rsidR="003C715B" w:rsidRPr="00CF1B34" w:rsidRDefault="003C715B"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Aunque el objetivo de la gestión activa no es replicar un índice, como ocurre en la gestión pasiva, si se emplea un índice como referencia para poder medir su rendimiento e intentar superarlo.</w:t>
      </w:r>
    </w:p>
    <w:p w14:paraId="13B8C602" w14:textId="77777777" w:rsidR="003C715B" w:rsidRPr="00CF1B34" w:rsidRDefault="003C715B"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Estas son las principales características de la gestión activa:</w:t>
      </w:r>
    </w:p>
    <w:p w14:paraId="3291049B" w14:textId="77777777" w:rsidR="003C715B" w:rsidRPr="00CF1B34" w:rsidRDefault="003C715B" w:rsidP="004F7A62">
      <w:pPr>
        <w:pStyle w:val="listitem"/>
        <w:numPr>
          <w:ilvl w:val="0"/>
          <w:numId w:val="1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El equipo gestor realiza un seguimiento constante y tiene un elevado control de las inversiones, algo que permite una alta capacidad de reacción ante cualquier evento inesperado.</w:t>
      </w:r>
    </w:p>
    <w:p w14:paraId="006A8BE6" w14:textId="77777777" w:rsidR="003C715B" w:rsidRPr="00CF1B34" w:rsidRDefault="003C715B" w:rsidP="004F7A62">
      <w:pPr>
        <w:pStyle w:val="listitem"/>
        <w:numPr>
          <w:ilvl w:val="0"/>
          <w:numId w:val="1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Los gestores intentan constantemente lograr mayores rentabilidades para satisfacer los intereses de sus inversores. Si le gestión es adecuada, esto podría ayudar a minimizar pérdidas en momentos críticos.</w:t>
      </w:r>
    </w:p>
    <w:p w14:paraId="1285A503" w14:textId="77777777" w:rsidR="003C715B" w:rsidRPr="00CF1B34" w:rsidRDefault="003C715B" w:rsidP="004F7A62">
      <w:pPr>
        <w:pStyle w:val="listitem"/>
        <w:numPr>
          <w:ilvl w:val="0"/>
          <w:numId w:val="1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Debido a la exigencia que tienen los equipos gestores, este tipo de gestión tiene comisiones más elevadas que la gestión pasiva.</w:t>
      </w:r>
    </w:p>
    <w:p w14:paraId="2C182F3F" w14:textId="4DB71F36" w:rsidR="003C715B" w:rsidRPr="00CF1B34" w:rsidRDefault="003C715B" w:rsidP="004F7A62">
      <w:pPr>
        <w:pStyle w:val="listitem"/>
        <w:numPr>
          <w:ilvl w:val="0"/>
          <w:numId w:val="1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En caso de que la gestión no sea adecuada pueden producirse pérdidas mayores a las del</w:t>
      </w:r>
      <w:r w:rsidR="000A4F69" w:rsidRPr="00CF1B34">
        <w:rPr>
          <w:rFonts w:ascii="Arial" w:hAnsi="Arial" w:cs="Arial"/>
          <w:color w:val="191B1C"/>
          <w:sz w:val="22"/>
          <w:szCs w:val="22"/>
          <w:lang w:val="es-ES_tradnl"/>
        </w:rPr>
        <w:t xml:space="preserve"> </w:t>
      </w:r>
      <w:r w:rsidRPr="00CF1B34">
        <w:rPr>
          <w:rStyle w:val="nfasis"/>
          <w:rFonts w:ascii="Arial" w:hAnsi="Arial" w:cs="Arial"/>
          <w:color w:val="191B1C"/>
          <w:sz w:val="22"/>
          <w:szCs w:val="22"/>
          <w:lang w:val="es-ES_tradnl"/>
        </w:rPr>
        <w:t>benchmark</w:t>
      </w:r>
      <w:r w:rsidRPr="00CF1B34">
        <w:rPr>
          <w:rFonts w:ascii="Arial" w:hAnsi="Arial" w:cs="Arial"/>
          <w:color w:val="191B1C"/>
          <w:sz w:val="22"/>
          <w:szCs w:val="22"/>
          <w:lang w:val="es-ES_tradnl"/>
        </w:rPr>
        <w:t>.</w:t>
      </w:r>
    </w:p>
    <w:p w14:paraId="36D949FC" w14:textId="77777777" w:rsidR="003C715B" w:rsidRPr="00CF1B34" w:rsidRDefault="003C715B"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Existen un gran número de fondos de gestión activa. Estos fondos resultan atractivos para los inversores porque intentan generar más rentabilidad de la que se obtendría en caso de invertir en un índice de referencia.</w:t>
      </w:r>
    </w:p>
    <w:p w14:paraId="48F80C52" w14:textId="77777777" w:rsidR="003C715B" w:rsidRPr="00CF1B34" w:rsidRDefault="003C715B"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 la hora de elegir entre la gestión activa y la gestión pasiva es importante tener en cuenta el perfil y las necesidades de inversión para seleccionar aquella que se adapte mejor a dichas preferencias.</w:t>
      </w:r>
    </w:p>
    <w:p w14:paraId="66A876D3" w14:textId="77777777" w:rsidR="005356A7" w:rsidRPr="00CF1B34" w:rsidRDefault="003C715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Detrás de la gestión pasiva y la gestión activa existen dos corrientes de pensamiento que tienen una visión diferente sobre los movimientos bursátiles. Por un lado, están aquellos que consideran que los mercados ya son eficientes y por ese motivo no es posible predecir el comportamiento de la bolsa. Por otro lado, están aquellos que consideran que los mercados no son eficientes y que, si es posible predecir lo que va a ocurrir en bolsa empleando todo tipo de técnicas y análisis para, de esta forma, lograr una mayor rentabilidad.</w:t>
      </w:r>
    </w:p>
    <w:p w14:paraId="2DBAD818" w14:textId="1DAE2F2E"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Gestión de carteras</w:t>
      </w:r>
    </w:p>
    <w:p w14:paraId="283DFB5A" w14:textId="77777777" w:rsidR="009A638B" w:rsidRPr="00CF1B34" w:rsidRDefault="00637D33" w:rsidP="0005621A">
      <w:pPr>
        <w:pStyle w:val="NormalWeb"/>
        <w:shd w:val="clear" w:color="auto" w:fill="FFFFFF"/>
        <w:spacing w:before="0" w:beforeAutospacing="0"/>
        <w:ind w:left="708"/>
        <w:jc w:val="both"/>
        <w:rPr>
          <w:rFonts w:ascii="Arial" w:hAnsi="Arial" w:cs="Arial"/>
          <w:color w:val="191B1C"/>
          <w:lang w:val="es-ES_tradnl"/>
        </w:rPr>
      </w:pPr>
      <w:r w:rsidRPr="00CF1B34">
        <w:rPr>
          <w:rFonts w:ascii="Arial" w:hAnsi="Arial" w:cs="Arial"/>
          <w:color w:val="212529"/>
          <w:sz w:val="22"/>
          <w:szCs w:val="22"/>
          <w:lang w:val="es-ES_tradnl"/>
        </w:rPr>
        <w:t>Servicio de inversión por el cual una entidad adopta de forma discrecional e individualizada todas las decisiones relativas a la composición y administración de una cartera de valores, de acuerdo con las instrucciones expresas del titular de los mismos. La discrecionalidad implica que en el ámbito de las instrucciones recibidas la entidad gestora puede adoptar en cada momento las decisiones que estime más convenientes; por tanto, cuando firma un contrato de gestión de carteras el inversor está delegando la adopción de decisiones de inversión.</w:t>
      </w:r>
      <w:r w:rsidR="009A638B" w:rsidRPr="00CF1B34">
        <w:rPr>
          <w:rFonts w:ascii="Arial" w:hAnsi="Arial" w:cs="Arial"/>
          <w:color w:val="191B1C"/>
          <w:lang w:val="es-ES_tradnl"/>
        </w:rPr>
        <w:t xml:space="preserve"> </w:t>
      </w:r>
    </w:p>
    <w:p w14:paraId="7D78CDFA" w14:textId="7716295E" w:rsidR="009A638B" w:rsidRPr="00CF1B34" w:rsidRDefault="009A638B"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 través de este servicio de gestión de carteras, el inversor delega la toma de decisiones a la entidad y por tanto son las entidades financieras las encargadas de decidir qué es lo más adecuado en cuanto a productos, decisiones de inversión y ejecución de operaciones.</w:t>
      </w:r>
    </w:p>
    <w:p w14:paraId="1E82D9B2" w14:textId="77777777" w:rsidR="009A638B" w:rsidRPr="00CF1B34" w:rsidRDefault="009A638B"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entidad financiera debe remitir al cliente información periódica sobre la composición de sus inversiones, la valoración, el rendimiento y su comparación con respecto al indicador de referencia.</w:t>
      </w:r>
    </w:p>
    <w:p w14:paraId="1CE64E78" w14:textId="77777777" w:rsidR="009A638B" w:rsidRPr="00CF1B34" w:rsidRDefault="009A638B"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servicio de gestión de carteras implica una comisión propia a la que se sumarán adicionalmente otras comisiones resultantes de los gastos asociados con las operaciones realizadas sobre la cartera. La entidad deberá informar periódicamente sobre todos estos gastos y comisiones, del mismo modo el inversor tiene la posibilidad de solicitar el detalle de estos en cualquier momento.</w:t>
      </w:r>
    </w:p>
    <w:p w14:paraId="4A5D0C0A" w14:textId="77777777" w:rsidR="009A638B" w:rsidRPr="00CF1B34" w:rsidRDefault="009A638B"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gestión de carteras en España puede ser realizada tanto por aquellos inversores particulares que realicen la gestión por cuenta propia como por las sociedades autorizadas para ello; estas son:</w:t>
      </w:r>
    </w:p>
    <w:p w14:paraId="6EA3A92E" w14:textId="77777777" w:rsidR="009A638B" w:rsidRPr="00CF1B34" w:rsidRDefault="009A638B" w:rsidP="004F7A62">
      <w:pPr>
        <w:pStyle w:val="listitem"/>
        <w:numPr>
          <w:ilvl w:val="0"/>
          <w:numId w:val="19"/>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Sociedades gestoras de instituciones de inversión colectiva (SGIIC). Aquellas que pueden gestionar instituciones de inversión colectiva.</w:t>
      </w:r>
    </w:p>
    <w:p w14:paraId="179E49D7" w14:textId="77777777" w:rsidR="009A638B" w:rsidRPr="00CF1B34" w:rsidRDefault="009A638B" w:rsidP="004F7A62">
      <w:pPr>
        <w:pStyle w:val="listitem"/>
        <w:numPr>
          <w:ilvl w:val="0"/>
          <w:numId w:val="19"/>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Sociedades gestoras de carteras (SGC). Aquellas que pueden gestionar únicamente carteras ajenas. No pueden crear carteras con patrimonio propio, pero si pueden tener clientes que deleguen en ellos la gestión de sus carteras.</w:t>
      </w:r>
    </w:p>
    <w:p w14:paraId="2E8387F6" w14:textId="77777777" w:rsidR="009A638B" w:rsidRPr="00CF1B34" w:rsidRDefault="009A638B" w:rsidP="004F7A62">
      <w:pPr>
        <w:pStyle w:val="listitem"/>
        <w:numPr>
          <w:ilvl w:val="0"/>
          <w:numId w:val="19"/>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Sociedades de valores (SV). Aquellas sociedades que pueden gestionar tanto carteras propias como carteas ajenas.</w:t>
      </w:r>
    </w:p>
    <w:p w14:paraId="0703AD74" w14:textId="77777777" w:rsidR="009A638B" w:rsidRPr="00CF1B34" w:rsidRDefault="009A638B" w:rsidP="0005621A">
      <w:pPr>
        <w:pStyle w:val="Ttulo2"/>
        <w:shd w:val="clear" w:color="auto" w:fill="FFFFFF"/>
        <w:spacing w:before="0" w:beforeAutospacing="0"/>
        <w:ind w:left="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A la hora de gestionar carteras, podríamos diferenciar entre dos estrategias:</w:t>
      </w:r>
    </w:p>
    <w:p w14:paraId="332200C0" w14:textId="77777777" w:rsidR="009A638B" w:rsidRPr="00CF1B34" w:rsidRDefault="009A638B" w:rsidP="004F7A62">
      <w:pPr>
        <w:pStyle w:val="listitem"/>
        <w:numPr>
          <w:ilvl w:val="0"/>
          <w:numId w:val="20"/>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La gestión activa, cuyo principal objetivo se basa en conseguir una rentabilidad superior a la del mercado. La gestión activa requiere un gestor con una gran capacidad de análisis, un elevado conocimiento del mercado y gran experiencia.</w:t>
      </w:r>
    </w:p>
    <w:p w14:paraId="3A8395C6" w14:textId="77777777" w:rsidR="009A638B" w:rsidRPr="00CF1B34" w:rsidRDefault="009A638B" w:rsidP="004F7A62">
      <w:pPr>
        <w:pStyle w:val="listitem"/>
        <w:numPr>
          <w:ilvl w:val="0"/>
          <w:numId w:val="20"/>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La gestión pasiva, basada en conseguir que el patrimonio gestionado evolucione exactamente de la misma forma que lo hace el mercado, para ello se construye una cartera que replique al índice. Por este motivo, es también conocida como gestión indexada.</w:t>
      </w:r>
    </w:p>
    <w:p w14:paraId="6515A678" w14:textId="77777777" w:rsidR="009A638B" w:rsidRPr="00CF1B34" w:rsidRDefault="009A638B"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Los principales factores que influyen en la gestión de carteras son:</w:t>
      </w:r>
    </w:p>
    <w:p w14:paraId="0AA025C2" w14:textId="77777777" w:rsidR="009A638B" w:rsidRPr="00CF1B34" w:rsidRDefault="009A638B" w:rsidP="004F7A62">
      <w:pPr>
        <w:pStyle w:val="listitem"/>
        <w:numPr>
          <w:ilvl w:val="0"/>
          <w:numId w:val="21"/>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La asignación de activos, fundamental, ya que una adecuada combinación de activos podría ayudar maximizar la rentabilidad.</w:t>
      </w:r>
    </w:p>
    <w:p w14:paraId="3CD546FD" w14:textId="77777777" w:rsidR="009A638B" w:rsidRPr="00CF1B34" w:rsidRDefault="009A638B" w:rsidP="004F7A62">
      <w:pPr>
        <w:pStyle w:val="listitem"/>
        <w:numPr>
          <w:ilvl w:val="0"/>
          <w:numId w:val="21"/>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Minimizar el riesgo.</w:t>
      </w:r>
    </w:p>
    <w:p w14:paraId="5D1124A3" w14:textId="77777777" w:rsidR="009A638B" w:rsidRPr="00CF1B34" w:rsidRDefault="009A638B" w:rsidP="0005621A">
      <w:pPr>
        <w:pStyle w:val="NormalWeb"/>
        <w:shd w:val="clear" w:color="auto" w:fill="FFFFFF"/>
        <w:spacing w:before="0" w:beforeAutospacing="0"/>
        <w:ind w:left="360"/>
        <w:jc w:val="both"/>
        <w:rPr>
          <w:rFonts w:ascii="Arial" w:hAnsi="Arial" w:cs="Arial"/>
          <w:color w:val="191B1C"/>
          <w:sz w:val="22"/>
          <w:szCs w:val="22"/>
          <w:lang w:val="es-ES_tradnl"/>
        </w:rPr>
      </w:pPr>
      <w:r w:rsidRPr="00CF1B34">
        <w:rPr>
          <w:rFonts w:ascii="Arial" w:hAnsi="Arial" w:cs="Arial"/>
          <w:color w:val="191B1C"/>
          <w:sz w:val="22"/>
          <w:szCs w:val="22"/>
          <w:lang w:val="es-ES_tradnl"/>
        </w:rPr>
        <w:t>Es importante tener en cuenta la tolerancia al riesgo del inversor para lograr que la cartera alcance un equilibrio de riesgo tomando siempre como base esta tolerancia.</w:t>
      </w:r>
    </w:p>
    <w:p w14:paraId="75B75B0D" w14:textId="77777777" w:rsidR="009A638B" w:rsidRPr="00CF1B34" w:rsidRDefault="009A638B" w:rsidP="0005621A">
      <w:pPr>
        <w:pStyle w:val="NormalWeb"/>
        <w:shd w:val="clear" w:color="auto" w:fill="FFFFFF"/>
        <w:spacing w:before="0" w:beforeAutospacing="0"/>
        <w:ind w:left="360"/>
        <w:jc w:val="both"/>
        <w:rPr>
          <w:rFonts w:ascii="Arial" w:hAnsi="Arial" w:cs="Arial"/>
          <w:color w:val="191B1C"/>
          <w:sz w:val="22"/>
          <w:szCs w:val="22"/>
          <w:lang w:val="es-ES_tradnl"/>
        </w:rPr>
      </w:pPr>
      <w:r w:rsidRPr="00CF1B34">
        <w:rPr>
          <w:rFonts w:ascii="Arial" w:hAnsi="Arial" w:cs="Arial"/>
          <w:color w:val="191B1C"/>
          <w:sz w:val="22"/>
          <w:szCs w:val="22"/>
          <w:lang w:val="es-ES_tradnl"/>
        </w:rPr>
        <w:t>Diversificar la inversión entre diferentes mercados, valores y sectores podría también contribuir a reducir el riesgo.</w:t>
      </w:r>
    </w:p>
    <w:p w14:paraId="162CF9C3" w14:textId="77777777" w:rsidR="009A638B" w:rsidRPr="00CF1B34" w:rsidRDefault="009A638B" w:rsidP="0005621A">
      <w:pPr>
        <w:pStyle w:val="NormalWeb"/>
        <w:shd w:val="clear" w:color="auto" w:fill="FFFFFF"/>
        <w:spacing w:before="0" w:beforeAutospacing="0"/>
        <w:ind w:left="360"/>
        <w:jc w:val="both"/>
        <w:rPr>
          <w:rFonts w:ascii="Arial" w:hAnsi="Arial" w:cs="Arial"/>
          <w:color w:val="191B1C"/>
          <w:sz w:val="22"/>
          <w:szCs w:val="22"/>
          <w:lang w:val="es-ES_tradnl"/>
        </w:rPr>
      </w:pPr>
      <w:r w:rsidRPr="00CF1B34">
        <w:rPr>
          <w:rFonts w:ascii="Arial" w:hAnsi="Arial" w:cs="Arial"/>
          <w:color w:val="191B1C"/>
          <w:sz w:val="22"/>
          <w:szCs w:val="22"/>
          <w:lang w:val="es-ES_tradnl"/>
        </w:rPr>
        <w:t>Deben existir referencias que permitan conocer la ratio riesgo/rentabilidad, realizar un seguimiento de posibles errores y en definitiva poder realizar una medición del rendimiento adecuada.</w:t>
      </w:r>
    </w:p>
    <w:p w14:paraId="10EF72E6" w14:textId="77777777" w:rsidR="009A638B" w:rsidRPr="00CF1B34" w:rsidRDefault="009A638B" w:rsidP="0005621A">
      <w:pPr>
        <w:pBdr>
          <w:bottom w:val="dotted" w:sz="12" w:space="12" w:color="666666"/>
        </w:pBdr>
        <w:spacing w:after="240"/>
        <w:ind w:left="360"/>
        <w:jc w:val="both"/>
        <w:rPr>
          <w:rFonts w:ascii="Arial" w:hAnsi="Arial" w:cs="Arial"/>
          <w:color w:val="212529"/>
          <w:sz w:val="22"/>
          <w:szCs w:val="22"/>
          <w:lang w:val="es-ES_tradnl"/>
        </w:rPr>
      </w:pPr>
      <w:r w:rsidRPr="00CF1B34">
        <w:rPr>
          <w:rFonts w:ascii="Arial" w:hAnsi="Arial" w:cs="Arial"/>
          <w:lang w:val="es-ES_tradnl"/>
        </w:rPr>
        <w:t>Realizar de manera habitual una reestructuración de la cartera contribuirá a mantener un equilibrio entre el riesgo y la rentabilidad.</w:t>
      </w:r>
    </w:p>
    <w:p w14:paraId="1DC01D42" w14:textId="1FCDF1E6" w:rsidR="005B6C90" w:rsidRPr="00CF1B34" w:rsidRDefault="005B6C90" w:rsidP="0005621A">
      <w:pPr>
        <w:pStyle w:val="Sinespaciado"/>
        <w:jc w:val="both"/>
        <w:rPr>
          <w:rFonts w:ascii="Arial" w:eastAsia="Times New Roman" w:hAnsi="Arial" w:cs="Arial"/>
          <w:b/>
          <w:bCs/>
          <w:color w:val="2F5496" w:themeColor="accent1" w:themeShade="BF"/>
          <w:lang w:val="es-ES_tradnl" w:eastAsia="es-ES_tradnl"/>
        </w:rPr>
      </w:pPr>
      <w:r w:rsidRPr="00CF1B34">
        <w:rPr>
          <w:rFonts w:ascii="Arial" w:eastAsia="Times New Roman" w:hAnsi="Arial" w:cs="Arial"/>
          <w:b/>
          <w:bCs/>
          <w:color w:val="2F5496" w:themeColor="accent1" w:themeShade="BF"/>
          <w:lang w:val="es-ES_tradnl" w:eastAsia="es-ES_tradnl"/>
        </w:rPr>
        <w:t>Gestión de impagos</w:t>
      </w:r>
    </w:p>
    <w:p w14:paraId="6D2F793B" w14:textId="746C5464" w:rsidR="005B6C90" w:rsidRPr="00CF1B34" w:rsidRDefault="005B6C90" w:rsidP="0005621A">
      <w:pPr>
        <w:jc w:val="both"/>
        <w:rPr>
          <w:rFonts w:ascii="Arial" w:hAnsi="Arial" w:cs="Arial"/>
          <w:sz w:val="22"/>
          <w:szCs w:val="22"/>
          <w:lang w:val="es-ES_tradnl"/>
        </w:rPr>
      </w:pPr>
      <w:r w:rsidRPr="00CF1B34">
        <w:rPr>
          <w:rFonts w:ascii="Arial" w:hAnsi="Arial" w:cs="Arial"/>
          <w:b/>
          <w:bCs/>
          <w:color w:val="333333"/>
          <w:sz w:val="22"/>
          <w:szCs w:val="22"/>
          <w:shd w:val="clear" w:color="auto" w:fill="FFFFFF"/>
          <w:lang w:val="es-ES_tradnl"/>
        </w:rPr>
        <w:t>Si la actividad financiera es cada vez mayor también lo son las deudas morosas que son una constante en el sector empresarial</w:t>
      </w:r>
      <w:r w:rsidRPr="00CF1B34">
        <w:rPr>
          <w:rFonts w:ascii="Arial" w:hAnsi="Arial" w:cs="Arial"/>
          <w:color w:val="333333"/>
          <w:sz w:val="22"/>
          <w:szCs w:val="22"/>
          <w:shd w:val="clear" w:color="auto" w:fill="FFFFFF"/>
          <w:lang w:val="es-ES_tradnl"/>
        </w:rPr>
        <w:t>.</w:t>
      </w:r>
    </w:p>
    <w:p w14:paraId="771C3D54" w14:textId="4C488B52" w:rsidR="005B6C90" w:rsidRPr="00CF1B34" w:rsidRDefault="005B6C90" w:rsidP="0005621A">
      <w:pPr>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Para hacer frete a esta problemática, hoy el empresariado puede contar con el servicio de compañías dedicadas </w:t>
      </w:r>
      <w:r w:rsidR="007B04D5" w:rsidRPr="00CF1B34">
        <w:rPr>
          <w:rFonts w:ascii="Arial" w:hAnsi="Arial" w:cs="Arial"/>
          <w:color w:val="333333"/>
          <w:sz w:val="22"/>
          <w:szCs w:val="22"/>
          <w:shd w:val="clear" w:color="auto" w:fill="FFFFFF"/>
          <w:lang w:val="es-ES_tradnl"/>
        </w:rPr>
        <w:t>al cobro de  impagos</w:t>
      </w:r>
      <w:r w:rsidRPr="00CF1B34">
        <w:rPr>
          <w:rFonts w:ascii="Arial" w:hAnsi="Arial" w:cs="Arial"/>
          <w:color w:val="333333"/>
          <w:sz w:val="22"/>
          <w:szCs w:val="22"/>
          <w:shd w:val="clear" w:color="auto" w:fill="FFFFFF"/>
          <w:lang w:val="es-ES_tradnl"/>
        </w:rPr>
        <w:t>, que traen de la mano una metodología innovadora y con resultados muy favorables. Estas compañías de cobro aplican formas renovadas para realizar estos servicios, con personal adecuado para hacer frente a dificultades que eventualmente puedan originarse, con un trato individualizado para cada cliente y la confidencialidad de toda la información recibida por parte de cada uno de ellos.</w:t>
      </w:r>
    </w:p>
    <w:p w14:paraId="602060BE" w14:textId="1A67A7B8" w:rsidR="007B04D5" w:rsidRPr="00CF1B34" w:rsidRDefault="007B04D5" w:rsidP="0005621A">
      <w:pPr>
        <w:shd w:val="clear" w:color="auto" w:fill="FFFFFF"/>
        <w:spacing w:after="165"/>
        <w:jc w:val="both"/>
        <w:rPr>
          <w:rFonts w:ascii="Arial" w:hAnsi="Arial" w:cs="Arial"/>
          <w:color w:val="333333"/>
          <w:sz w:val="22"/>
          <w:szCs w:val="22"/>
          <w:lang w:val="es-ES_tradnl"/>
        </w:rPr>
      </w:pPr>
      <w:r w:rsidRPr="00CF1B34">
        <w:rPr>
          <w:rFonts w:ascii="Arial" w:hAnsi="Arial" w:cs="Arial"/>
          <w:color w:val="333333"/>
          <w:sz w:val="22"/>
          <w:szCs w:val="22"/>
          <w:lang w:val="es-ES_tradnl"/>
        </w:rPr>
        <w:t>Etapas:</w:t>
      </w:r>
    </w:p>
    <w:p w14:paraId="552C551B" w14:textId="77777777" w:rsidR="007B04D5" w:rsidRPr="00CF1B34" w:rsidRDefault="007B04D5" w:rsidP="004F7A62">
      <w:pPr>
        <w:numPr>
          <w:ilvl w:val="0"/>
          <w:numId w:val="17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Vía amistosa</w:t>
      </w:r>
      <w:r w:rsidRPr="00CF1B34">
        <w:rPr>
          <w:rFonts w:ascii="Arial" w:hAnsi="Arial" w:cs="Arial"/>
          <w:color w:val="333333"/>
          <w:sz w:val="22"/>
          <w:szCs w:val="22"/>
          <w:lang w:val="es-ES_tradnl"/>
        </w:rPr>
        <w:t>: priorizan esta para evitar ir a la etapa judicial. Tratan de acordar con el deudor alguna forma de pago y buscan una solución. Explicando a aquel la excesiva onerosidad que trae aparejada la vía judicial.</w:t>
      </w:r>
    </w:p>
    <w:p w14:paraId="20C9BEDB" w14:textId="77777777" w:rsidR="007B04D5" w:rsidRPr="00CF1B34" w:rsidRDefault="007B04D5" w:rsidP="004F7A62">
      <w:pPr>
        <w:numPr>
          <w:ilvl w:val="0"/>
          <w:numId w:val="17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t>Vía judicial</w:t>
      </w:r>
      <w:r w:rsidRPr="00CF1B34">
        <w:rPr>
          <w:rFonts w:ascii="Arial" w:hAnsi="Arial" w:cs="Arial"/>
          <w:color w:val="333333"/>
          <w:sz w:val="22"/>
          <w:szCs w:val="22"/>
          <w:lang w:val="es-ES_tradnl"/>
        </w:rPr>
        <w:t>: si a 20 días desde el comienzo de la vía amistosa no se realiza el pago se remite el expediente al departamento jurídico por el que se realiza por última vez un requerimiento de pago al deudor y proponiendo al cliente una solución adecuada al caso en particular.</w:t>
      </w:r>
    </w:p>
    <w:p w14:paraId="76ABAD6C" w14:textId="77777777" w:rsidR="007B04D5" w:rsidRPr="00CF1B34" w:rsidRDefault="007B04D5" w:rsidP="004F7A62">
      <w:pPr>
        <w:numPr>
          <w:ilvl w:val="0"/>
          <w:numId w:val="171"/>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b/>
          <w:bCs/>
          <w:color w:val="333333"/>
          <w:sz w:val="22"/>
          <w:szCs w:val="22"/>
          <w:lang w:val="es-ES_tradnl"/>
        </w:rPr>
        <w:lastRenderedPageBreak/>
        <w:t>Reclamación judicial</w:t>
      </w:r>
      <w:r w:rsidRPr="00CF1B34">
        <w:rPr>
          <w:rFonts w:ascii="Arial" w:hAnsi="Arial" w:cs="Arial"/>
          <w:color w:val="333333"/>
          <w:sz w:val="22"/>
          <w:szCs w:val="22"/>
          <w:lang w:val="es-ES_tradnl"/>
        </w:rPr>
        <w:t>: el cliente estudia la propuesta realizada y puede optar por llevar a cabo un reclamo judicial para percibir el pago.</w:t>
      </w:r>
    </w:p>
    <w:p w14:paraId="30C57A52" w14:textId="77777777" w:rsidR="007B04D5" w:rsidRPr="00CF1B34" w:rsidRDefault="007B04D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i/>
          <w:iCs/>
          <w:color w:val="333333"/>
          <w:sz w:val="22"/>
          <w:szCs w:val="22"/>
          <w:lang w:val="es-ES_tradnl"/>
        </w:rPr>
        <w:t>La novedad de muchas de estas compañías es que sus tarifas se desprenden de un porcentaje de la deuda cobrada, que varía de acuerdo a la etapa en la que se obtuvo el pago.</w:t>
      </w:r>
    </w:p>
    <w:p w14:paraId="79F394A6" w14:textId="01604541" w:rsidR="003C715B" w:rsidRPr="00CF1B34" w:rsidRDefault="005356A7" w:rsidP="0005621A">
      <w:pPr>
        <w:pStyle w:val="Sinespaciado"/>
        <w:jc w:val="both"/>
        <w:rPr>
          <w:rFonts w:ascii="Arial" w:eastAsia="Times New Roman" w:hAnsi="Arial" w:cs="Arial"/>
          <w:b/>
          <w:bCs/>
          <w:color w:val="2F5496" w:themeColor="accent1" w:themeShade="BF"/>
          <w:lang w:val="es-ES_tradnl" w:eastAsia="es-ES_tradnl"/>
        </w:rPr>
      </w:pPr>
      <w:r w:rsidRPr="00CF1B34">
        <w:rPr>
          <w:rFonts w:ascii="Arial" w:eastAsia="Times New Roman" w:hAnsi="Arial" w:cs="Arial"/>
          <w:b/>
          <w:bCs/>
          <w:color w:val="2F5496" w:themeColor="accent1" w:themeShade="BF"/>
          <w:lang w:val="es-ES_tradnl" w:eastAsia="es-ES_tradnl"/>
        </w:rPr>
        <w:t>Gestión de tesorería (cash management)</w:t>
      </w:r>
    </w:p>
    <w:p w14:paraId="75666F53" w14:textId="1615B79C" w:rsidR="005356A7" w:rsidRPr="00CF1B34" w:rsidRDefault="005356A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lang w:val="es-ES_tradnl"/>
        </w:rPr>
        <w:t>Gestión de la liquidez, por parte de las entidades bancarias, que puede tener un doble alcance: cubrir sus necesidades residuales de financiación o gestionar sus excedentes de liquidez corto plazo (funding); o bien realizar, además, tomas de posición en el mercado del dinero con el objeto, estricto, de generar beneficios (trading).</w:t>
      </w:r>
    </w:p>
    <w:p w14:paraId="621962C9" w14:textId="77777777" w:rsidR="00637D33" w:rsidRPr="00CF1B34" w:rsidRDefault="00637D33"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Gestión pasiva</w:t>
      </w:r>
    </w:p>
    <w:p w14:paraId="0333AFBE" w14:textId="006A2434" w:rsidR="00A60473" w:rsidRPr="00CF1B34" w:rsidRDefault="00637D33" w:rsidP="0005621A">
      <w:pPr>
        <w:pStyle w:val="NormalWeb"/>
        <w:shd w:val="clear" w:color="auto" w:fill="FFFFFF"/>
        <w:spacing w:before="0" w:beforeAutospacing="0"/>
        <w:ind w:left="708"/>
        <w:jc w:val="both"/>
        <w:rPr>
          <w:rFonts w:ascii="Arial" w:hAnsi="Arial" w:cs="Arial"/>
          <w:color w:val="191B1C"/>
          <w:lang w:val="es-ES_tradnl"/>
        </w:rPr>
      </w:pPr>
      <w:r w:rsidRPr="00CF1B34">
        <w:rPr>
          <w:rFonts w:ascii="Arial" w:hAnsi="Arial" w:cs="Arial"/>
          <w:color w:val="212529"/>
          <w:sz w:val="22"/>
          <w:szCs w:val="22"/>
          <w:lang w:val="es-ES_tradnl"/>
        </w:rPr>
        <w:t>Modalidad de gestión de carteras con la que se pretende obtener una rentabilidad equivalente a la del índice o índices de referencia, mediante una elección de títulos que replique su evolución.</w:t>
      </w:r>
      <w:r w:rsidR="005E605A" w:rsidRPr="00CF1B34">
        <w:rPr>
          <w:rFonts w:ascii="Arial" w:hAnsi="Arial" w:cs="Arial"/>
          <w:color w:val="212529"/>
          <w:sz w:val="22"/>
          <w:szCs w:val="22"/>
          <w:lang w:val="es-ES_tradnl"/>
        </w:rPr>
        <w:t xml:space="preserve"> </w:t>
      </w:r>
      <w:hyperlink r:id="rId252" w:tgtFrame="_self" w:history="1">
        <w:r w:rsidRPr="00CF1B34">
          <w:rPr>
            <w:rFonts w:ascii="Arial" w:hAnsi="Arial" w:cs="Arial"/>
            <w:b/>
            <w:bCs/>
            <w:color w:val="2F5496" w:themeColor="accent1" w:themeShade="BF"/>
            <w:sz w:val="22"/>
            <w:szCs w:val="22"/>
            <w:u w:val="single"/>
            <w:lang w:val="es-ES_tradnl"/>
          </w:rPr>
          <w:t>Ver gestión activa</w:t>
        </w:r>
      </w:hyperlink>
      <w:r w:rsidRPr="00CF1B34">
        <w:rPr>
          <w:rFonts w:ascii="Arial" w:hAnsi="Arial" w:cs="Arial"/>
          <w:color w:val="2F5496" w:themeColor="accent1" w:themeShade="BF"/>
          <w:sz w:val="22"/>
          <w:szCs w:val="22"/>
          <w:lang w:val="es-ES_tradnl"/>
        </w:rPr>
        <w:t>.</w:t>
      </w:r>
      <w:r w:rsidR="00A60473" w:rsidRPr="00CF1B34">
        <w:rPr>
          <w:rFonts w:ascii="Arial" w:hAnsi="Arial" w:cs="Arial"/>
          <w:color w:val="2F5496" w:themeColor="accent1" w:themeShade="BF"/>
          <w:lang w:val="es-ES_tradnl"/>
        </w:rPr>
        <w:t xml:space="preserve"> </w:t>
      </w:r>
    </w:p>
    <w:p w14:paraId="3F97AAE9" w14:textId="15268E74" w:rsidR="00A60473" w:rsidRPr="00CF1B34" w:rsidRDefault="00A60473"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Los fondos índice, o fondos indexados, se refieren a todos aquellos fondos de inversión que emplean este tipo de gestión. El fondo indexado o ETF (fondo indexado cotizado) se encarga de seleccionar un grupo de títulos cumpliendo las especificaciones de riesgo del inversor. Estos títulos se mantendrán en la cartera durante un periodo bastante prolongado y de esta forma se minimizarán los costes de transacción.</w:t>
      </w:r>
    </w:p>
    <w:p w14:paraId="388472C7" w14:textId="77777777" w:rsidR="00A60473" w:rsidRPr="00CF1B34" w:rsidRDefault="00A60473"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uso de los fondos índice no supone la eliminación del riesgo de mercado, pero evita toda la incertidumbre que se genera en la gestión activa en torno a si los gestores de cartera serán capaces de superar el mercado.</w:t>
      </w:r>
    </w:p>
    <w:p w14:paraId="4C3416BB" w14:textId="77777777" w:rsidR="00A60473" w:rsidRPr="00CF1B34" w:rsidRDefault="00A60473" w:rsidP="0005621A">
      <w:pPr>
        <w:shd w:val="clear" w:color="auto" w:fill="FFFFFF"/>
        <w:spacing w:after="100" w:afterAutospacing="1"/>
        <w:ind w:firstLine="708"/>
        <w:jc w:val="both"/>
        <w:outlineLvl w:val="1"/>
        <w:rPr>
          <w:rFonts w:ascii="Arial" w:hAnsi="Arial" w:cs="Arial"/>
          <w:color w:val="191B1C"/>
          <w:sz w:val="22"/>
          <w:szCs w:val="22"/>
          <w:lang w:val="es-ES_tradnl"/>
        </w:rPr>
      </w:pPr>
      <w:r w:rsidRPr="00CF1B34">
        <w:rPr>
          <w:rFonts w:ascii="Arial" w:hAnsi="Arial" w:cs="Arial"/>
          <w:b/>
          <w:bCs/>
          <w:color w:val="191B1C"/>
          <w:sz w:val="22"/>
          <w:szCs w:val="22"/>
          <w:lang w:val="es-ES_tradnl"/>
        </w:rPr>
        <w:t>Estas son las principales características de un fondo índice:</w:t>
      </w:r>
    </w:p>
    <w:p w14:paraId="0558E6FE" w14:textId="77777777" w:rsidR="00A60473" w:rsidRPr="00CF1B34" w:rsidRDefault="00A60473" w:rsidP="004F7A62">
      <w:pPr>
        <w:numPr>
          <w:ilvl w:val="0"/>
          <w:numId w:val="2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t>Su gestión es simple ya que no necesitan gestores altamente remunerados y en consecuencia son más baratos.</w:t>
      </w:r>
    </w:p>
    <w:p w14:paraId="3EA256B2" w14:textId="77777777" w:rsidR="00A60473" w:rsidRPr="00CF1B34" w:rsidRDefault="00A60473" w:rsidP="004F7A62">
      <w:pPr>
        <w:numPr>
          <w:ilvl w:val="0"/>
          <w:numId w:val="2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t>Tienen una rotación de cartera baja y por este motivo retardan los impuestos en concepto de ganancias de capital.</w:t>
      </w:r>
    </w:p>
    <w:p w14:paraId="74E4BBE2" w14:textId="77777777" w:rsidR="00A60473" w:rsidRPr="00CF1B34" w:rsidRDefault="00A60473" w:rsidP="004F7A62">
      <w:pPr>
        <w:numPr>
          <w:ilvl w:val="0"/>
          <w:numId w:val="2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t>Siguen muy de cerca a los mercados en lugar de intentar superarlos.</w:t>
      </w:r>
    </w:p>
    <w:p w14:paraId="0608C969" w14:textId="77777777" w:rsidR="00A60473" w:rsidRPr="00CF1B34" w:rsidRDefault="00A60473"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gestión basada en replicar un índice o mercado permite una mayor diversificación en la cartera de inversión. Esta diversificación se traduce en una reducción del riesgo del fondo de inversión.</w:t>
      </w:r>
    </w:p>
    <w:p w14:paraId="1A2381CF" w14:textId="77777777" w:rsidR="00A60473" w:rsidRPr="00CF1B34" w:rsidRDefault="00A60473"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gestión pasiva es especialmente popular entre los pequeños inversores que tienen conocimientos financieros limitados. Aquí no existe la figura del gestor que decide cuales son las acciones en las que invertir, ya que simplemente sigue de forma pasiva al índice seleccionado.</w:t>
      </w:r>
    </w:p>
    <w:p w14:paraId="0BCD93D3" w14:textId="77777777" w:rsidR="00163A46" w:rsidRPr="00CF1B34" w:rsidRDefault="00A6047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lastRenderedPageBreak/>
        <w:t>Dentro del concepto de gestión pasiva podríamos incluir también todos aquellos fondos o carteras de fondos que se han creado con el objetivo de lograr una rentabilidad fija en un periodo determinado o una participación en la rentabilidad de un índice.</w:t>
      </w:r>
    </w:p>
    <w:p w14:paraId="4A735095" w14:textId="47BA7549" w:rsidR="00737303" w:rsidRPr="00CF1B34" w:rsidRDefault="007373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Gestoras</w:t>
      </w:r>
    </w:p>
    <w:p w14:paraId="2C7273C0" w14:textId="5069E537" w:rsidR="00163A46" w:rsidRPr="00CF1B34" w:rsidRDefault="00163A46"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Son sociedades anónimas que tienen por objeto exclusivo la administración y representación de Instituciones de Inversi</w:t>
      </w:r>
      <w:r w:rsidR="009E19E9" w:rsidRPr="00CF1B34">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 Colectiva. Sus funciones son, entre otras, determinar el valor liquidativo de las participaciones, seleccionar las inversiones o efectuar el reembolso de las participaciones.</w:t>
      </w:r>
    </w:p>
    <w:p w14:paraId="29ABE98F" w14:textId="3D4E9B9C" w:rsidR="00737303" w:rsidRPr="00CF1B34" w:rsidRDefault="007373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Gestores</w:t>
      </w:r>
    </w:p>
    <w:p w14:paraId="3953C6F0" w14:textId="77777777" w:rsidR="001151C2" w:rsidRPr="00CF1B34" w:rsidRDefault="001151C2"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Son los profesionales encargados de gestionar el dinero, toman las decisiones de comprar este o aquel producto financiero por cuenta de su cliente.</w:t>
      </w:r>
    </w:p>
    <w:p w14:paraId="0BBF3D4E" w14:textId="77777777" w:rsidR="00C05640" w:rsidRPr="00CF1B34" w:rsidRDefault="00C0564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Globalización</w:t>
      </w:r>
    </w:p>
    <w:p w14:paraId="23F1340C" w14:textId="098B5616" w:rsidR="00A85F6D" w:rsidRPr="00CF1B34" w:rsidRDefault="00A85F6D"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333333"/>
          <w:sz w:val="22"/>
          <w:szCs w:val="22"/>
          <w:shd w:val="clear" w:color="auto" w:fill="FFFFFF"/>
          <w:lang w:val="es-ES_tradnl"/>
        </w:rPr>
        <w:t xml:space="preserve">La </w:t>
      </w:r>
      <w:r w:rsidRPr="00CF1B34">
        <w:rPr>
          <w:rStyle w:val="Textoennegrita"/>
          <w:rFonts w:ascii="Arial" w:hAnsi="Arial" w:cs="Arial"/>
          <w:color w:val="333333"/>
          <w:sz w:val="22"/>
          <w:szCs w:val="22"/>
          <w:shd w:val="clear" w:color="auto" w:fill="FFFFFF"/>
          <w:lang w:val="es-ES_tradnl"/>
        </w:rPr>
        <w:t xml:space="preserve">globalización </w:t>
      </w:r>
      <w:r w:rsidRPr="00CF1B34">
        <w:rPr>
          <w:rFonts w:ascii="Arial" w:hAnsi="Arial" w:cs="Arial"/>
          <w:color w:val="333333"/>
          <w:sz w:val="22"/>
          <w:szCs w:val="22"/>
          <w:shd w:val="clear" w:color="auto" w:fill="FFFFFF"/>
          <w:lang w:val="es-ES_tradnl"/>
        </w:rPr>
        <w:t xml:space="preserve">puede entenderse de forma general como la creciente interdependencia entre países, culturas y sociedades y, actualmente, como la «tendencia de los mercados y de las empresas a extenderse, alcanzando una dimensión mundial que sobrepasa las fronteras nacionales»; </w:t>
      </w:r>
      <w:r w:rsidRPr="00CF1B34">
        <w:rPr>
          <w:rStyle w:val="Textoennegrita"/>
          <w:rFonts w:ascii="Arial" w:hAnsi="Arial" w:cs="Arial"/>
          <w:color w:val="333333"/>
          <w:sz w:val="22"/>
          <w:szCs w:val="22"/>
          <w:shd w:val="clear" w:color="auto" w:fill="FFFFFF"/>
          <w:lang w:val="es-ES_tradnl"/>
        </w:rPr>
        <w:t xml:space="preserve">se trata en realidad de un proceso principalmente económico </w:t>
      </w:r>
      <w:r w:rsidRPr="00CF1B34">
        <w:rPr>
          <w:rFonts w:ascii="Arial" w:hAnsi="Arial" w:cs="Arial"/>
          <w:color w:val="333333"/>
          <w:sz w:val="22"/>
          <w:szCs w:val="22"/>
          <w:shd w:val="clear" w:color="auto" w:fill="FFFFFF"/>
          <w:lang w:val="es-ES_tradnl"/>
        </w:rPr>
        <w:t>definido por la integración de las distintas economías nacionales. De hecho</w:t>
      </w:r>
      <w:r w:rsidR="009E19E9" w:rsidRPr="00CF1B34">
        <w:rPr>
          <w:rFonts w:ascii="Arial" w:hAnsi="Arial" w:cs="Arial"/>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el FMI lo considera «una interdependencia económica creciente del conjunto de países del mundo, provocada por el aumento del volumen y la variedad de las transacciones transfronterizas de bienes y servicios, así como de los flujos internacionales de capitales, al tiempo que la difusión acelerada de generalizada de tecnología».</w:t>
      </w:r>
    </w:p>
    <w:p w14:paraId="44C36CFE" w14:textId="5C8A0AD5" w:rsidR="006E5C2A" w:rsidRPr="00CF1B34" w:rsidRDefault="006E5C2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Gold American Eagle</w:t>
      </w:r>
    </w:p>
    <w:p w14:paraId="77A75B14" w14:textId="77777777" w:rsidR="00A85F6D" w:rsidRPr="00CF1B34" w:rsidRDefault="00A85F6D"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333333"/>
          <w:sz w:val="22"/>
          <w:szCs w:val="22"/>
          <w:shd w:val="clear" w:color="auto" w:fill="FFFFFF"/>
          <w:lang w:val="es-ES_tradnl"/>
        </w:rPr>
        <w:t xml:space="preserve">Moneda Estadounidense de na onza de oro. </w:t>
      </w:r>
      <w:r w:rsidR="00D17922" w:rsidRPr="00CF1B34">
        <w:rPr>
          <w:rFonts w:ascii="Arial" w:hAnsi="Arial" w:cs="Arial"/>
          <w:color w:val="333333"/>
          <w:sz w:val="22"/>
          <w:szCs w:val="22"/>
          <w:shd w:val="clear" w:color="auto" w:fill="FFFFFF"/>
          <w:lang w:val="es-ES_tradnl"/>
        </w:rPr>
        <w:t xml:space="preserve">En lo que parece ser </w:t>
      </w:r>
      <w:r w:rsidR="00D17922" w:rsidRPr="00CF1B34">
        <w:rPr>
          <w:rFonts w:ascii="Arial" w:hAnsi="Arial" w:cs="Arial"/>
          <w:b/>
          <w:bCs/>
          <w:color w:val="333333"/>
          <w:sz w:val="22"/>
          <w:szCs w:val="22"/>
          <w:shd w:val="clear" w:color="auto" w:fill="FFFFFF"/>
          <w:lang w:val="es-ES_tradnl"/>
        </w:rPr>
        <w:t>una nueva forma de la fiebre del oro, la casa de la moneda de Estados Unidos soporta una avalancha de inversores.</w:t>
      </w:r>
      <w:r w:rsidR="00D17922" w:rsidRPr="00CF1B34">
        <w:rPr>
          <w:rFonts w:ascii="Arial" w:hAnsi="Arial" w:cs="Arial"/>
          <w:color w:val="333333"/>
          <w:sz w:val="22"/>
          <w:szCs w:val="22"/>
          <w:shd w:val="clear" w:color="auto" w:fill="FFFFFF"/>
          <w:lang w:val="es-ES_tradnl"/>
        </w:rPr>
        <w:t xml:space="preserve"> Esta fiebre del oro </w:t>
      </w:r>
      <w:r w:rsidR="00D17922" w:rsidRPr="00CF1B34">
        <w:rPr>
          <w:rFonts w:ascii="Arial" w:hAnsi="Arial" w:cs="Arial"/>
          <w:b/>
          <w:bCs/>
          <w:color w:val="333333"/>
          <w:sz w:val="22"/>
          <w:szCs w:val="22"/>
          <w:shd w:val="clear" w:color="auto" w:fill="FFFFFF"/>
          <w:lang w:val="es-ES_tradnl"/>
        </w:rPr>
        <w:t>ha acabado con las existencias de las populares American Eagle de una onza</w:t>
      </w:r>
      <w:r w:rsidR="00D17922" w:rsidRPr="00CF1B34">
        <w:rPr>
          <w:rFonts w:ascii="Arial" w:hAnsi="Arial" w:cs="Arial"/>
          <w:color w:val="333333"/>
          <w:sz w:val="22"/>
          <w:szCs w:val="22"/>
          <w:shd w:val="clear" w:color="auto" w:fill="FFFFFF"/>
          <w:lang w:val="es-ES_tradnl"/>
        </w:rPr>
        <w:t>, llegando a tener que suspender de forma temporal su venta. Y por lo que dicen esta demanda no tiene precedentes</w:t>
      </w:r>
      <w:r w:rsidR="00D17922" w:rsidRPr="00CF1B34">
        <w:rPr>
          <w:rFonts w:ascii="Arial" w:hAnsi="Arial" w:cs="Arial"/>
          <w:color w:val="333333"/>
          <w:shd w:val="clear" w:color="auto" w:fill="FFFFFF"/>
          <w:lang w:val="es-ES_tradnl"/>
        </w:rPr>
        <w:t>.</w:t>
      </w:r>
    </w:p>
    <w:p w14:paraId="72E8F450" w14:textId="15E4E73C" w:rsidR="00737303" w:rsidRPr="00CF1B34" w:rsidRDefault="00163A4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Golden share</w:t>
      </w:r>
    </w:p>
    <w:p w14:paraId="6A4BDBE5" w14:textId="3DCC2875" w:rsidR="001151C2" w:rsidRPr="00CF1B34" w:rsidRDefault="001151C2"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Derecho que se reserva el Estado a vetar decisiones transcendentales en empresas que han sido publicas y ahora están en manos privadas. Un ejemplo ser</w:t>
      </w:r>
      <w:r w:rsidR="009E19E9"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a el caso de Telefónica.</w:t>
      </w:r>
    </w:p>
    <w:p w14:paraId="14115149" w14:textId="5A33F9E8" w:rsidR="00737303" w:rsidRPr="00CF1B34" w:rsidRDefault="00163A4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Grafico de barras</w:t>
      </w:r>
    </w:p>
    <w:p w14:paraId="3C20E581" w14:textId="77777777" w:rsidR="001151C2" w:rsidRPr="00CF1B34" w:rsidRDefault="001151C2"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Representación grafica del volumen y precio máximo, mínimo, de apertura y de cierre de un valor en un día, semana o es. El plazo elegido dependerá del tipo de análisis del valor que queramos hacer (a corto plazo o a largo plazo)</w:t>
      </w:r>
    </w:p>
    <w:p w14:paraId="2A5FDE3B" w14:textId="2915BBC9" w:rsidR="006E5C2A" w:rsidRPr="00CF1B34" w:rsidRDefault="006E5C2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Gráficos FOREX</w:t>
      </w:r>
    </w:p>
    <w:p w14:paraId="550F7011" w14:textId="5BC67E2D" w:rsidR="006F769C" w:rsidRPr="00CF1B34" w:rsidRDefault="006F769C"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En el </w:t>
      </w:r>
      <w:r w:rsidRPr="00CF1B34">
        <w:rPr>
          <w:rStyle w:val="Textoennegrita"/>
          <w:rFonts w:ascii="Arial" w:hAnsi="Arial" w:cs="Arial"/>
          <w:color w:val="333333"/>
          <w:sz w:val="22"/>
          <w:szCs w:val="22"/>
          <w:shd w:val="clear" w:color="auto" w:fill="FFFFFF"/>
          <w:lang w:val="es-ES_tradnl"/>
        </w:rPr>
        <w:t>Mercado Forex</w:t>
      </w:r>
      <w:r w:rsidRPr="00CF1B34">
        <w:rPr>
          <w:rFonts w:ascii="Arial" w:hAnsi="Arial" w:cs="Arial"/>
          <w:color w:val="333333"/>
          <w:sz w:val="22"/>
          <w:szCs w:val="22"/>
          <w:shd w:val="clear" w:color="auto" w:fill="FFFFFF"/>
          <w:lang w:val="es-ES_tradnl"/>
        </w:rPr>
        <w:t xml:space="preserve"> la utilización de los gráficos es fundamental para poder negociar en el merado de divisas.</w:t>
      </w:r>
    </w:p>
    <w:p w14:paraId="1D3A2484" w14:textId="77777777" w:rsidR="006462FD" w:rsidRPr="00CF1B34" w:rsidRDefault="006462FD"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333333"/>
          <w:sz w:val="22"/>
          <w:szCs w:val="22"/>
          <w:shd w:val="clear" w:color="auto" w:fill="FFFFFF"/>
          <w:lang w:val="es-ES_tradnl"/>
        </w:rPr>
        <w:lastRenderedPageBreak/>
        <w:t xml:space="preserve">Lo más aconsejable es utilizar los </w:t>
      </w:r>
      <w:r w:rsidRPr="00CF1B34">
        <w:rPr>
          <w:rStyle w:val="Textoennegrita"/>
          <w:rFonts w:ascii="Arial" w:hAnsi="Arial" w:cs="Arial"/>
          <w:color w:val="333333"/>
          <w:sz w:val="22"/>
          <w:szCs w:val="22"/>
          <w:shd w:val="clear" w:color="auto" w:fill="FFFFFF"/>
          <w:lang w:val="es-ES_tradnl"/>
        </w:rPr>
        <w:t>gráficos de largo plazo</w:t>
      </w:r>
      <w:r w:rsidRPr="00CF1B34">
        <w:rPr>
          <w:rFonts w:ascii="Arial" w:hAnsi="Arial" w:cs="Arial"/>
          <w:color w:val="333333"/>
          <w:sz w:val="22"/>
          <w:szCs w:val="22"/>
          <w:shd w:val="clear" w:color="auto" w:fill="FFFFFF"/>
          <w:lang w:val="es-ES_tradnl"/>
        </w:rPr>
        <w:t xml:space="preserve"> para decidir tendencias o definir las fronteras del mercado. Debemos comenzar por analizar con gráficos de parámetros diarios, semanales e incluso mensuales atravesando varios años si es posible.</w:t>
      </w:r>
    </w:p>
    <w:p w14:paraId="6CE56961" w14:textId="4EBE8643" w:rsidR="00737303" w:rsidRPr="00CF1B34" w:rsidRDefault="00163A4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Gran figura</w:t>
      </w:r>
    </w:p>
    <w:p w14:paraId="30B49619" w14:textId="77777777" w:rsidR="000B7611" w:rsidRPr="00CF1B34" w:rsidRDefault="000B7611"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En un cambio SPOT es la unidad decimal que cambia no tan a menudo de la cotización. Ejemplo: en la siguiente cotización EURUSD 1.02 22-27 (1 seria la gran figura).</w:t>
      </w:r>
    </w:p>
    <w:p w14:paraId="3BA29671" w14:textId="2B62A3FC" w:rsidR="00637D33" w:rsidRPr="00CF1B34" w:rsidRDefault="00637D3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Green </w:t>
      </w:r>
      <w:r w:rsidR="006E5C2A" w:rsidRPr="00CF1B34">
        <w:rPr>
          <w:rFonts w:ascii="Arial" w:hAnsi="Arial" w:cs="Arial"/>
          <w:b/>
          <w:bCs/>
          <w:color w:val="004773"/>
          <w:sz w:val="22"/>
          <w:szCs w:val="22"/>
          <w:lang w:val="es-ES_tradnl"/>
        </w:rPr>
        <w:t>S</w:t>
      </w:r>
      <w:r w:rsidRPr="00CF1B34">
        <w:rPr>
          <w:rFonts w:ascii="Arial" w:hAnsi="Arial" w:cs="Arial"/>
          <w:b/>
          <w:bCs/>
          <w:color w:val="004773"/>
          <w:sz w:val="22"/>
          <w:szCs w:val="22"/>
          <w:lang w:val="es-ES_tradnl"/>
        </w:rPr>
        <w:t>hoe</w:t>
      </w:r>
    </w:p>
    <w:p w14:paraId="154D960A" w14:textId="04A5CC43" w:rsidR="00B75E6A" w:rsidRPr="00CF1B34" w:rsidRDefault="00637D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Opción de compra que los emisores u oferentes conceden a las entidades coordinadoras en una oferta pública de venta o de suscripción (OPV / OPS). El ejercicio de esta opción permite a los coordinadores ampliar el número de acciones asignado a los inversores cualificados (al mismo precio de la oferta) cuando se produce un exceso de demanda en este tramo. Suele ir acompañado de un préstamo de acciones otorgado a los coordinadores por la propia sociedad, un accionista o un tercero, para que puedan atender el exceso de demanda</w:t>
      </w:r>
      <w:r w:rsidR="000B7611" w:rsidRPr="00CF1B34">
        <w:rPr>
          <w:rFonts w:ascii="Arial" w:hAnsi="Arial" w:cs="Arial"/>
          <w:color w:val="212529"/>
          <w:sz w:val="22"/>
          <w:szCs w:val="22"/>
          <w:lang w:val="es-ES_tradnl"/>
        </w:rPr>
        <w:t>.</w:t>
      </w:r>
    </w:p>
    <w:p w14:paraId="11D074EC" w14:textId="6C1C4CEA" w:rsidR="000B7611" w:rsidRPr="00CF1B34" w:rsidRDefault="000B7611" w:rsidP="0005621A">
      <w:pPr>
        <w:jc w:val="both"/>
        <w:rPr>
          <w:rFonts w:ascii="Arial" w:hAnsi="Arial" w:cs="Arial"/>
          <w:b/>
          <w:bCs/>
          <w:color w:val="1F3864" w:themeColor="accent1" w:themeShade="80"/>
          <w:sz w:val="22"/>
          <w:szCs w:val="22"/>
          <w:lang w:val="es-ES_tradnl"/>
        </w:rPr>
      </w:pPr>
      <w:r w:rsidRPr="00CF1B34">
        <w:rPr>
          <w:rFonts w:ascii="Arial" w:hAnsi="Arial" w:cs="Arial"/>
          <w:b/>
          <w:bCs/>
          <w:color w:val="1F3864" w:themeColor="accent1" w:themeShade="80"/>
          <w:sz w:val="22"/>
          <w:szCs w:val="22"/>
          <w:lang w:val="es-ES_tradnl"/>
        </w:rPr>
        <w:t>Grupos empresariales bancarios</w:t>
      </w:r>
    </w:p>
    <w:p w14:paraId="09D93E5D" w14:textId="77777777" w:rsidR="000B7611" w:rsidRPr="00CF1B34" w:rsidRDefault="000B761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Están constituidos por el conjunto de empresas que se encuentran, potencial o efectivamente, bajo el control de una entidad bancaria.</w:t>
      </w:r>
    </w:p>
    <w:p w14:paraId="77D9F398" w14:textId="77777777" w:rsidR="000B7611" w:rsidRPr="00CF1B34" w:rsidRDefault="000B7611" w:rsidP="0005621A">
      <w:pPr>
        <w:jc w:val="both"/>
        <w:rPr>
          <w:rFonts w:ascii="Arial" w:hAnsi="Arial" w:cs="Arial"/>
          <w:b/>
          <w:bCs/>
          <w:color w:val="1F3864" w:themeColor="accent1" w:themeShade="80"/>
          <w:sz w:val="22"/>
          <w:szCs w:val="22"/>
          <w:lang w:val="es-ES_tradnl"/>
        </w:rPr>
      </w:pPr>
    </w:p>
    <w:p w14:paraId="12A39FA6" w14:textId="77777777" w:rsidR="000B7611" w:rsidRPr="00CF1B34" w:rsidRDefault="000B7611" w:rsidP="0005621A">
      <w:pPr>
        <w:jc w:val="both"/>
        <w:rPr>
          <w:rFonts w:ascii="Arial" w:hAnsi="Arial" w:cs="Arial"/>
          <w:b/>
          <w:bCs/>
          <w:color w:val="1F3864" w:themeColor="accent1" w:themeShade="80"/>
          <w:sz w:val="22"/>
          <w:szCs w:val="22"/>
          <w:lang w:val="es-ES_tradnl"/>
        </w:rPr>
      </w:pPr>
    </w:p>
    <w:p w14:paraId="012E9C24" w14:textId="7F62F6D1" w:rsidR="00637D33" w:rsidRPr="00CF1B34" w:rsidRDefault="00637D33"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H</w:t>
      </w:r>
    </w:p>
    <w:p w14:paraId="5B3A2B0F" w14:textId="2D493401" w:rsidR="00637D33" w:rsidRPr="00CF1B34" w:rsidRDefault="00637D33" w:rsidP="0005621A">
      <w:pPr>
        <w:jc w:val="both"/>
        <w:rPr>
          <w:rFonts w:ascii="Arial" w:hAnsi="Arial" w:cs="Arial"/>
          <w:sz w:val="22"/>
          <w:szCs w:val="22"/>
          <w:lang w:val="es-ES_tradnl"/>
        </w:rPr>
      </w:pPr>
    </w:p>
    <w:p w14:paraId="6C5CD823" w14:textId="74E7A74E" w:rsidR="000B7611" w:rsidRPr="00CF1B34" w:rsidRDefault="000B7611" w:rsidP="0005621A">
      <w:pPr>
        <w:jc w:val="both"/>
        <w:rPr>
          <w:rFonts w:ascii="Arial" w:hAnsi="Arial" w:cs="Arial"/>
          <w:sz w:val="22"/>
          <w:szCs w:val="22"/>
          <w:lang w:val="es-ES_tradnl"/>
        </w:rPr>
      </w:pPr>
    </w:p>
    <w:p w14:paraId="760A4415" w14:textId="52229121" w:rsidR="003A5AD2" w:rsidRPr="00CF1B34" w:rsidRDefault="003A5AD2"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Haber fiscal</w:t>
      </w:r>
    </w:p>
    <w:p w14:paraId="536F9643" w14:textId="0C0AA019" w:rsidR="003A5AD2" w:rsidRPr="00CF1B34" w:rsidRDefault="009E19E9" w:rsidP="0005621A">
      <w:pPr>
        <w:ind w:left="1080"/>
        <w:jc w:val="both"/>
        <w:rPr>
          <w:rFonts w:ascii="Arial" w:hAnsi="Arial" w:cs="Arial"/>
          <w:sz w:val="22"/>
          <w:szCs w:val="22"/>
          <w:lang w:val="es-ES_tradnl"/>
        </w:rPr>
      </w:pPr>
      <w:r w:rsidRPr="00CF1B34">
        <w:rPr>
          <w:rFonts w:ascii="Arial" w:hAnsi="Arial" w:cs="Arial"/>
          <w:sz w:val="22"/>
          <w:szCs w:val="22"/>
          <w:lang w:val="es-ES_tradnl"/>
        </w:rPr>
        <w:t>D</w:t>
      </w:r>
      <w:r w:rsidR="00FF741C" w:rsidRPr="00CF1B34">
        <w:rPr>
          <w:rFonts w:ascii="Arial" w:hAnsi="Arial" w:cs="Arial"/>
          <w:sz w:val="22"/>
          <w:szCs w:val="22"/>
          <w:lang w:val="es-ES_tradnl"/>
        </w:rPr>
        <w:t>entro del mercado eficiente se distinguen tres  hipótesis, en función de lo que se entienda por la información disponible.</w:t>
      </w:r>
    </w:p>
    <w:p w14:paraId="0FB630F4" w14:textId="14A82D56" w:rsidR="00FF741C" w:rsidRPr="00CF1B34" w:rsidRDefault="00FF741C" w:rsidP="004F7A62">
      <w:pPr>
        <w:pStyle w:val="Prrafodelista"/>
        <w:numPr>
          <w:ilvl w:val="1"/>
          <w:numId w:val="20"/>
        </w:numPr>
        <w:jc w:val="both"/>
        <w:rPr>
          <w:rFonts w:ascii="Arial" w:hAnsi="Arial" w:cs="Arial"/>
          <w:sz w:val="22"/>
          <w:szCs w:val="22"/>
          <w:lang w:val="es-ES_tradnl"/>
        </w:rPr>
      </w:pPr>
      <w:r w:rsidRPr="00CF1B34">
        <w:rPr>
          <w:rFonts w:ascii="Arial" w:hAnsi="Arial" w:cs="Arial"/>
          <w:sz w:val="22"/>
          <w:szCs w:val="22"/>
          <w:lang w:val="es-ES_tradnl"/>
        </w:rPr>
        <w:t xml:space="preserve">Débil: </w:t>
      </w:r>
      <w:r w:rsidR="00525AB6" w:rsidRPr="00CF1B34">
        <w:rPr>
          <w:rFonts w:ascii="Arial" w:hAnsi="Arial" w:cs="Arial"/>
          <w:sz w:val="22"/>
          <w:szCs w:val="22"/>
          <w:lang w:val="es-ES_tradnl"/>
        </w:rPr>
        <w:t>los precios incorporan la información que se deriva de la evolución histórica de las cotizaciones y volúmenes</w:t>
      </w:r>
    </w:p>
    <w:p w14:paraId="12E00BE5" w14:textId="5BF93A93" w:rsidR="00525AB6" w:rsidRPr="00CF1B34" w:rsidRDefault="00525AB6" w:rsidP="004F7A62">
      <w:pPr>
        <w:pStyle w:val="Prrafodelista"/>
        <w:numPr>
          <w:ilvl w:val="1"/>
          <w:numId w:val="20"/>
        </w:numPr>
        <w:jc w:val="both"/>
        <w:rPr>
          <w:rFonts w:ascii="Arial" w:hAnsi="Arial" w:cs="Arial"/>
          <w:sz w:val="22"/>
          <w:szCs w:val="22"/>
          <w:lang w:val="es-ES_tradnl"/>
        </w:rPr>
      </w:pPr>
      <w:r w:rsidRPr="00CF1B34">
        <w:rPr>
          <w:rFonts w:ascii="Arial" w:hAnsi="Arial" w:cs="Arial"/>
          <w:sz w:val="22"/>
          <w:szCs w:val="22"/>
          <w:lang w:val="es-ES_tradnl"/>
        </w:rPr>
        <w:t>Semifuerte: los precios incorporan la información pública disponible. es decir, además, se hace referencia a los fundamentos.</w:t>
      </w:r>
    </w:p>
    <w:p w14:paraId="03490DD8" w14:textId="506D6578" w:rsidR="00525AB6" w:rsidRPr="00CF1B34" w:rsidRDefault="00525AB6" w:rsidP="004F7A62">
      <w:pPr>
        <w:pStyle w:val="Prrafodelista"/>
        <w:numPr>
          <w:ilvl w:val="1"/>
          <w:numId w:val="20"/>
        </w:numPr>
        <w:jc w:val="both"/>
        <w:rPr>
          <w:rFonts w:ascii="Arial" w:hAnsi="Arial" w:cs="Arial"/>
          <w:sz w:val="22"/>
          <w:szCs w:val="22"/>
          <w:lang w:val="es-ES_tradnl"/>
        </w:rPr>
      </w:pPr>
      <w:r w:rsidRPr="00CF1B34">
        <w:rPr>
          <w:rFonts w:ascii="Arial" w:hAnsi="Arial" w:cs="Arial"/>
          <w:sz w:val="22"/>
          <w:szCs w:val="22"/>
          <w:lang w:val="es-ES_tradnl"/>
        </w:rPr>
        <w:t>Fuerte: los precios incorporan toda la información referente a una empresa incluso la no pública o privilegiada</w:t>
      </w:r>
    </w:p>
    <w:p w14:paraId="0FDA9E6A" w14:textId="77777777" w:rsidR="00525AB6" w:rsidRPr="00CF1B34" w:rsidRDefault="00525AB6" w:rsidP="0005621A">
      <w:pPr>
        <w:pStyle w:val="Prrafodelista"/>
        <w:pBdr>
          <w:bottom w:val="dotted" w:sz="12" w:space="12" w:color="666666"/>
        </w:pBdr>
        <w:spacing w:after="240"/>
        <w:jc w:val="both"/>
        <w:rPr>
          <w:rFonts w:ascii="Arial" w:hAnsi="Arial" w:cs="Arial"/>
          <w:color w:val="000000" w:themeColor="text1"/>
          <w:sz w:val="22"/>
          <w:szCs w:val="22"/>
          <w:lang w:val="es-ES_tradnl"/>
        </w:rPr>
      </w:pPr>
    </w:p>
    <w:p w14:paraId="3E671341" w14:textId="77777777" w:rsidR="00C151BD" w:rsidRPr="00CF1B34" w:rsidRDefault="00C151B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Hedge funds</w:t>
      </w:r>
    </w:p>
    <w:p w14:paraId="135A6A60" w14:textId="57EA6FB2" w:rsidR="00C151BD" w:rsidRPr="00CF1B34" w:rsidRDefault="00D83530"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hyperlink r:id="rId253" w:tgtFrame="_self" w:history="1">
        <w:r w:rsidR="00C151BD" w:rsidRPr="00CF1B34">
          <w:rPr>
            <w:rFonts w:ascii="Arial" w:hAnsi="Arial" w:cs="Arial"/>
            <w:b/>
            <w:bCs/>
            <w:color w:val="2F5496" w:themeColor="accent1" w:themeShade="BF"/>
            <w:sz w:val="22"/>
            <w:szCs w:val="22"/>
            <w:u w:val="single"/>
            <w:lang w:val="es-ES_tradnl"/>
          </w:rPr>
          <w:t>Ver fondos de inversión libre</w:t>
        </w:r>
      </w:hyperlink>
      <w:r w:rsidR="000B7611" w:rsidRPr="00CF1B34">
        <w:rPr>
          <w:rFonts w:ascii="Arial" w:hAnsi="Arial" w:cs="Arial"/>
          <w:color w:val="212529"/>
          <w:sz w:val="22"/>
          <w:szCs w:val="22"/>
          <w:lang w:val="es-ES_tradnl"/>
        </w:rPr>
        <w:t xml:space="preserve"> </w:t>
      </w:r>
      <w:r w:rsidR="00C151BD" w:rsidRPr="00CF1B34">
        <w:rPr>
          <w:rFonts w:ascii="Arial" w:hAnsi="Arial" w:cs="Arial"/>
          <w:color w:val="212529"/>
          <w:sz w:val="22"/>
          <w:szCs w:val="22"/>
          <w:lang w:val="es-ES_tradnl"/>
        </w:rPr>
        <w:t>y</w:t>
      </w:r>
      <w:r w:rsidR="000B7611" w:rsidRPr="00CF1B34">
        <w:rPr>
          <w:rFonts w:ascii="Arial" w:hAnsi="Arial" w:cs="Arial"/>
          <w:color w:val="212529"/>
          <w:sz w:val="22"/>
          <w:szCs w:val="22"/>
          <w:lang w:val="es-ES_tradnl"/>
        </w:rPr>
        <w:t xml:space="preserve"> </w:t>
      </w:r>
      <w:hyperlink r:id="rId254" w:tgtFrame="_self" w:history="1">
        <w:r w:rsidR="00C151BD" w:rsidRPr="00CF1B34">
          <w:rPr>
            <w:rFonts w:ascii="Arial" w:hAnsi="Arial" w:cs="Arial"/>
            <w:b/>
            <w:bCs/>
            <w:color w:val="2F5496" w:themeColor="accent1" w:themeShade="BF"/>
            <w:sz w:val="22"/>
            <w:szCs w:val="22"/>
            <w:u w:val="single"/>
            <w:lang w:val="es-ES_tradnl"/>
          </w:rPr>
          <w:t>fondos de fondos de inversión libre</w:t>
        </w:r>
      </w:hyperlink>
      <w:r w:rsidR="00C151BD" w:rsidRPr="00CF1B34">
        <w:rPr>
          <w:rFonts w:ascii="Arial" w:hAnsi="Arial" w:cs="Arial"/>
          <w:color w:val="2F5496" w:themeColor="accent1" w:themeShade="BF"/>
          <w:sz w:val="22"/>
          <w:szCs w:val="22"/>
          <w:lang w:val="es-ES_tradnl"/>
        </w:rPr>
        <w:t>.</w:t>
      </w:r>
      <w:r w:rsidR="000B7611" w:rsidRPr="00CF1B34">
        <w:rPr>
          <w:rFonts w:ascii="Arial" w:hAnsi="Arial" w:cs="Arial"/>
          <w:color w:val="2F5496" w:themeColor="accent1" w:themeShade="BF"/>
          <w:sz w:val="22"/>
          <w:szCs w:val="22"/>
          <w:lang w:val="es-ES_tradnl"/>
        </w:rPr>
        <w:t xml:space="preserve"> </w:t>
      </w:r>
    </w:p>
    <w:p w14:paraId="6188702E" w14:textId="37BAD89B" w:rsidR="006A7452" w:rsidRPr="00CF1B34" w:rsidRDefault="006A7452"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Hecho imponible Impuesto a las sociedades)</w:t>
      </w:r>
    </w:p>
    <w:p w14:paraId="0F1B599C" w14:textId="74E6C2C2" w:rsidR="006A7452" w:rsidRPr="00CF1B34" w:rsidRDefault="006A7452"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w:t>
      </w:r>
      <w:r w:rsidRPr="00CF1B34">
        <w:rPr>
          <w:rFonts w:ascii="Arial" w:hAnsi="Arial" w:cs="Arial"/>
          <w:b/>
          <w:bCs/>
          <w:color w:val="333333"/>
          <w:sz w:val="22"/>
          <w:szCs w:val="22"/>
          <w:lang w:val="es-ES_tradnl"/>
        </w:rPr>
        <w:t xml:space="preserve"> hecho imponible</w:t>
      </w:r>
      <w:r w:rsidRPr="00CF1B34">
        <w:rPr>
          <w:rFonts w:ascii="Arial" w:hAnsi="Arial" w:cs="Arial"/>
          <w:color w:val="333333"/>
          <w:sz w:val="22"/>
          <w:szCs w:val="22"/>
          <w:lang w:val="es-ES_tradnl"/>
        </w:rPr>
        <w:t xml:space="preserve"> en el impuesto sobre sociedades es la </w:t>
      </w:r>
      <w:r w:rsidRPr="00CF1B34">
        <w:rPr>
          <w:rFonts w:ascii="Arial" w:hAnsi="Arial" w:cs="Arial"/>
          <w:b/>
          <w:bCs/>
          <w:color w:val="333333"/>
          <w:sz w:val="22"/>
          <w:szCs w:val="22"/>
          <w:lang w:val="es-ES_tradnl"/>
        </w:rPr>
        <w:t>obtención de renta</w:t>
      </w:r>
      <w:r w:rsidRPr="00CF1B34">
        <w:rPr>
          <w:rFonts w:ascii="Arial" w:hAnsi="Arial" w:cs="Arial"/>
          <w:color w:val="333333"/>
          <w:sz w:val="22"/>
          <w:szCs w:val="22"/>
          <w:lang w:val="es-ES_tradnl"/>
        </w:rPr>
        <w:t>, cualquiera que fuese su fuente u origen, por el sujeto pasivo. A su vez, existe la</w:t>
      </w:r>
      <w:r w:rsidRPr="00CF1B34">
        <w:rPr>
          <w:rFonts w:ascii="Arial" w:hAnsi="Arial" w:cs="Arial"/>
          <w:b/>
          <w:bCs/>
          <w:color w:val="333333"/>
          <w:sz w:val="22"/>
          <w:szCs w:val="22"/>
          <w:lang w:val="es-ES_tradnl"/>
        </w:rPr>
        <w:t xml:space="preserve"> presunción de onerosidad</w:t>
      </w:r>
      <w:r w:rsidRPr="00CF1B34">
        <w:rPr>
          <w:rFonts w:ascii="Arial" w:hAnsi="Arial" w:cs="Arial"/>
          <w:color w:val="333333"/>
          <w:sz w:val="22"/>
          <w:szCs w:val="22"/>
          <w:lang w:val="es-ES_tradnl"/>
        </w:rPr>
        <w:t xml:space="preserve">, que determina que las cesiones de bienes y derechos </w:t>
      </w:r>
      <w:r w:rsidRPr="00CF1B34">
        <w:rPr>
          <w:rFonts w:ascii="Arial" w:hAnsi="Arial" w:cs="Arial"/>
          <w:i/>
          <w:iCs/>
          <w:color w:val="333333"/>
          <w:sz w:val="22"/>
          <w:szCs w:val="22"/>
          <w:lang w:val="es-ES_tradnl"/>
        </w:rPr>
        <w:t>-las que se hagan a título gratuito- s</w:t>
      </w:r>
      <w:r w:rsidRPr="00CF1B34">
        <w:rPr>
          <w:rFonts w:ascii="Arial" w:hAnsi="Arial" w:cs="Arial"/>
          <w:color w:val="333333"/>
          <w:sz w:val="22"/>
          <w:szCs w:val="22"/>
          <w:lang w:val="es-ES_tradnl"/>
        </w:rPr>
        <w:t>e presumirán retribuidas por su valor normal de mercado, salvo prueba en contrario.</w:t>
      </w:r>
    </w:p>
    <w:p w14:paraId="2749713E" w14:textId="68012716" w:rsidR="006A7452" w:rsidRPr="00CF1B34" w:rsidRDefault="006A7452"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 xml:space="preserve">En este sentido, la Ley determina </w:t>
      </w:r>
      <w:r w:rsidRPr="00CF1B34">
        <w:rPr>
          <w:rFonts w:ascii="Arial" w:hAnsi="Arial" w:cs="Arial"/>
          <w:b/>
          <w:bCs/>
          <w:color w:val="333333"/>
          <w:sz w:val="22"/>
          <w:szCs w:val="22"/>
          <w:lang w:val="es-ES_tradnl"/>
        </w:rPr>
        <w:t>algunos supuestos que no constituyen renta</w:t>
      </w:r>
      <w:r w:rsidRPr="00CF1B34">
        <w:rPr>
          <w:rFonts w:ascii="Arial" w:hAnsi="Arial" w:cs="Arial"/>
          <w:color w:val="333333"/>
          <w:sz w:val="22"/>
          <w:szCs w:val="22"/>
          <w:lang w:val="es-ES_tradnl"/>
        </w:rPr>
        <w:t xml:space="preserve">, como por ejemplo las </w:t>
      </w:r>
      <w:r w:rsidRPr="00CF1B34">
        <w:rPr>
          <w:rFonts w:ascii="Arial" w:hAnsi="Arial" w:cs="Arial"/>
          <w:b/>
          <w:bCs/>
          <w:color w:val="333333"/>
          <w:sz w:val="22"/>
          <w:szCs w:val="22"/>
          <w:lang w:val="es-ES_tradnl"/>
        </w:rPr>
        <w:t xml:space="preserve">reducciones de capital </w:t>
      </w:r>
      <w:r w:rsidRPr="00CF1B34">
        <w:rPr>
          <w:rFonts w:ascii="Arial" w:hAnsi="Arial" w:cs="Arial"/>
          <w:color w:val="333333"/>
          <w:sz w:val="22"/>
          <w:szCs w:val="22"/>
          <w:lang w:val="es-ES_tradnl"/>
        </w:rPr>
        <w:t>cuya finalidad no sea la de devolver aportaciones, que no determinan rentas a integrar en la base imponible del socio.</w:t>
      </w:r>
    </w:p>
    <w:p w14:paraId="0286964A" w14:textId="77777777" w:rsidR="006A7452" w:rsidRPr="00CF1B34" w:rsidRDefault="006A745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La </w:t>
      </w:r>
      <w:r w:rsidRPr="00CF1B34">
        <w:rPr>
          <w:rFonts w:ascii="Arial" w:hAnsi="Arial" w:cs="Arial"/>
          <w:b/>
          <w:bCs/>
          <w:color w:val="333333"/>
          <w:sz w:val="22"/>
          <w:szCs w:val="22"/>
          <w:lang w:val="es-ES_tradnl"/>
        </w:rPr>
        <w:t xml:space="preserve">base imponible </w:t>
      </w:r>
      <w:r w:rsidRPr="00CF1B34">
        <w:rPr>
          <w:rFonts w:ascii="Arial" w:hAnsi="Arial" w:cs="Arial"/>
          <w:color w:val="333333"/>
          <w:sz w:val="22"/>
          <w:szCs w:val="22"/>
          <w:lang w:val="es-ES_tradnl"/>
        </w:rPr>
        <w:t xml:space="preserve">del  Impuesto a las sociedades se determinará, con carácter general, en </w:t>
      </w:r>
      <w:r w:rsidRPr="00CF1B34">
        <w:rPr>
          <w:rFonts w:ascii="Arial" w:hAnsi="Arial" w:cs="Arial"/>
          <w:b/>
          <w:bCs/>
          <w:color w:val="333333"/>
          <w:sz w:val="22"/>
          <w:szCs w:val="22"/>
          <w:lang w:val="es-ES_tradnl"/>
        </w:rPr>
        <w:t>régimen de estimación directa</w:t>
      </w:r>
      <w:r w:rsidRPr="00CF1B34">
        <w:rPr>
          <w:rFonts w:ascii="Arial" w:hAnsi="Arial" w:cs="Arial"/>
          <w:color w:val="333333"/>
          <w:sz w:val="22"/>
          <w:szCs w:val="22"/>
          <w:lang w:val="es-ES_tradnl"/>
        </w:rPr>
        <w:t xml:space="preserve">, previendo que pueda utilizarse el </w:t>
      </w:r>
      <w:r w:rsidRPr="00CF1B34">
        <w:rPr>
          <w:rFonts w:ascii="Arial" w:hAnsi="Arial" w:cs="Arial"/>
          <w:b/>
          <w:bCs/>
          <w:color w:val="333333"/>
          <w:sz w:val="22"/>
          <w:szCs w:val="22"/>
          <w:lang w:val="es-ES_tradnl"/>
        </w:rPr>
        <w:t>régimen de estimación objetiva</w:t>
      </w:r>
      <w:r w:rsidRPr="00CF1B34">
        <w:rPr>
          <w:rFonts w:ascii="Arial" w:hAnsi="Arial" w:cs="Arial"/>
          <w:color w:val="333333"/>
          <w:sz w:val="22"/>
          <w:szCs w:val="22"/>
          <w:lang w:val="es-ES_tradnl"/>
        </w:rPr>
        <w:t xml:space="preserve"> en aquellos casos en que se precise, así como de forma subsidiaria el</w:t>
      </w:r>
      <w:r w:rsidRPr="00CF1B34">
        <w:rPr>
          <w:rFonts w:ascii="Arial" w:hAnsi="Arial" w:cs="Arial"/>
          <w:b/>
          <w:bCs/>
          <w:color w:val="333333"/>
          <w:sz w:val="22"/>
          <w:szCs w:val="22"/>
          <w:lang w:val="es-ES_tradnl"/>
        </w:rPr>
        <w:t xml:space="preserve"> régimen de estimación indirecta </w:t>
      </w:r>
      <w:r w:rsidRPr="00CF1B34">
        <w:rPr>
          <w:rFonts w:ascii="Arial" w:hAnsi="Arial" w:cs="Arial"/>
          <w:color w:val="333333"/>
          <w:sz w:val="22"/>
          <w:szCs w:val="22"/>
          <w:lang w:val="es-ES_tradnl"/>
        </w:rPr>
        <w:t xml:space="preserve">conforme a lo dispuesto en la </w:t>
      </w:r>
      <w:r w:rsidRPr="00CF1B34">
        <w:rPr>
          <w:rFonts w:ascii="Arial" w:hAnsi="Arial" w:cs="Arial"/>
          <w:b/>
          <w:bCs/>
          <w:color w:val="333333"/>
          <w:sz w:val="22"/>
          <w:szCs w:val="22"/>
          <w:lang w:val="es-ES_tradnl"/>
        </w:rPr>
        <w:t>Ley General Tributaria.</w:t>
      </w:r>
    </w:p>
    <w:p w14:paraId="0F60C08E" w14:textId="747232FF" w:rsidR="00A60473" w:rsidRPr="00CF1B34" w:rsidRDefault="00A60473"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High Yield (Bonos basura)</w:t>
      </w:r>
    </w:p>
    <w:p w14:paraId="0DC7CB53" w14:textId="56B806CB" w:rsidR="00A60473" w:rsidRPr="00CF1B34" w:rsidRDefault="00A60473"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Los</w:t>
      </w:r>
      <w:r w:rsidR="00525AB6" w:rsidRPr="00CF1B34">
        <w:rPr>
          <w:rFonts w:ascii="Arial" w:hAnsi="Arial" w:cs="Arial"/>
          <w:sz w:val="22"/>
          <w:szCs w:val="22"/>
          <w:lang w:val="es-ES_tradnl"/>
        </w:rPr>
        <w:t xml:space="preserve"> </w:t>
      </w:r>
      <w:r w:rsidRPr="00CF1B34">
        <w:rPr>
          <w:rStyle w:val="nfasis"/>
          <w:rFonts w:ascii="Arial" w:hAnsi="Arial" w:cs="Arial"/>
          <w:sz w:val="22"/>
          <w:szCs w:val="22"/>
          <w:lang w:val="es-ES_tradnl"/>
        </w:rPr>
        <w:t>high yield</w:t>
      </w:r>
      <w:r w:rsidRPr="00CF1B34">
        <w:rPr>
          <w:rFonts w:ascii="Arial" w:hAnsi="Arial" w:cs="Arial"/>
          <w:sz w:val="22"/>
          <w:szCs w:val="22"/>
          <w:lang w:val="es-ES_tradnl"/>
        </w:rPr>
        <w:t>, también denominados bonos basura o bonos de alto rendimiento, son títulos de renta fija emitidos por una empresa o estado que tienen baja calificación crediticia, generalmente están calificados por debajo del denominado grado de inversión. Este tipo de bonos se caracterizan por un alto riesgo de impago tanto de los intereses como del capital, en contraposición ofrecen una elevada rentabilidad.</w:t>
      </w:r>
    </w:p>
    <w:p w14:paraId="5F185EE9" w14:textId="77777777" w:rsidR="00A60473" w:rsidRPr="00CF1B34" w:rsidRDefault="00A60473"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clasificación de bono basura puede venir determinada principalmente por dos casuísticas:</w:t>
      </w:r>
    </w:p>
    <w:p w14:paraId="44FE05E8" w14:textId="77777777" w:rsidR="00A60473" w:rsidRPr="00CF1B34" w:rsidRDefault="00A60473" w:rsidP="004F7A62">
      <w:pPr>
        <w:pStyle w:val="listitem"/>
        <w:numPr>
          <w:ilvl w:val="0"/>
          <w:numId w:val="23"/>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El emisor de los bonos tenga un rating situado en el grado especulativo.</w:t>
      </w:r>
    </w:p>
    <w:p w14:paraId="60357962" w14:textId="77777777" w:rsidR="00A60473" w:rsidRPr="00CF1B34" w:rsidRDefault="00A60473" w:rsidP="004F7A62">
      <w:pPr>
        <w:pStyle w:val="listitem"/>
        <w:numPr>
          <w:ilvl w:val="0"/>
          <w:numId w:val="23"/>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La propia estructura de los bonos.</w:t>
      </w:r>
    </w:p>
    <w:p w14:paraId="7E7E9836" w14:textId="77777777" w:rsidR="00A60473" w:rsidRPr="00CF1B34" w:rsidRDefault="00A60473"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 la hora de calificar a un emisor con un rating </w:t>
      </w:r>
      <w:r w:rsidRPr="00CF1B34">
        <w:rPr>
          <w:rStyle w:val="nfasis"/>
          <w:rFonts w:ascii="Arial" w:hAnsi="Arial" w:cs="Arial"/>
          <w:sz w:val="22"/>
          <w:szCs w:val="22"/>
          <w:lang w:val="es-ES_tradnl"/>
        </w:rPr>
        <w:t>high yield</w:t>
      </w:r>
      <w:r w:rsidRPr="00CF1B34">
        <w:rPr>
          <w:rFonts w:ascii="Arial" w:hAnsi="Arial" w:cs="Arial"/>
          <w:sz w:val="22"/>
          <w:szCs w:val="22"/>
          <w:lang w:val="es-ES_tradnl"/>
        </w:rPr>
        <w:t>, las agencias de rating tienen en cuenta si cuentan con necesidades especiales de financiación elevados niveles de endeudamiento, si son pertenecientes a un determinado sector que implique un mayor riesgo o si es un emisor conocido en el mercado.</w:t>
      </w:r>
    </w:p>
    <w:p w14:paraId="59A25A3C" w14:textId="77777777" w:rsidR="00A60473" w:rsidRPr="00CF1B34" w:rsidRDefault="00A60473"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Además de los emisores calificados dentro del grado especulativo, los bonos basura o </w:t>
      </w:r>
      <w:r w:rsidRPr="00CF1B34">
        <w:rPr>
          <w:rStyle w:val="nfasis"/>
          <w:rFonts w:ascii="Arial" w:hAnsi="Arial" w:cs="Arial"/>
          <w:sz w:val="22"/>
          <w:szCs w:val="22"/>
          <w:lang w:val="es-ES_tradnl"/>
        </w:rPr>
        <w:t>high yield</w:t>
      </w:r>
      <w:r w:rsidRPr="00CF1B34">
        <w:rPr>
          <w:rFonts w:ascii="Arial" w:hAnsi="Arial" w:cs="Arial"/>
          <w:sz w:val="22"/>
          <w:szCs w:val="22"/>
          <w:lang w:val="es-ES_tradnl"/>
        </w:rPr>
        <w:t> también pueden ser emitidos por empresas con rating de grado de inversión. Las compañías que acuden al mercado con emisiones de este tipo buscan principalmente obtener fondos con un vencimiento más amplio y al mismo tiempo, diversificar sus fuentes de financiación</w:t>
      </w:r>
    </w:p>
    <w:p w14:paraId="446C8B22" w14:textId="77777777" w:rsidR="00A60473" w:rsidRPr="00CF1B34" w:rsidRDefault="00A60473"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mercado de bonos basura suele contar con inversores especializados que están dispuestos a asumir un riesgo mayor en busca de un mayor rendimiento. La mayor parte de los inversores considerados “inversores tradicionales” no tienen permitido invertir en este tipo de bonos.</w:t>
      </w:r>
    </w:p>
    <w:p w14:paraId="7AC21526" w14:textId="77777777" w:rsidR="00A60473" w:rsidRPr="00CF1B34" w:rsidRDefault="00A6047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Estas deudas calificadas como muy bajas ofrecen unos rendimientos mucho mayores convirtiéndolas en instrumentos atractivos para determinadas estrategias financieras. El valor de estos bonos basura se verá afectado en mayor medida que aquellos bonos de grado de inversión debido a que existe la posibilidad de la suspensión de pagos.</w:t>
      </w:r>
    </w:p>
    <w:p w14:paraId="67D353A1" w14:textId="1F243737" w:rsidR="006A71DA" w:rsidRPr="00CF1B34" w:rsidRDefault="006A71D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Hiperinflación</w:t>
      </w:r>
    </w:p>
    <w:p w14:paraId="6AED11AB" w14:textId="77777777" w:rsidR="0011501E" w:rsidRPr="00CF1B34" w:rsidRDefault="00485E1D"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000000"/>
          <w:sz w:val="22"/>
          <w:szCs w:val="22"/>
          <w:shd w:val="clear" w:color="auto" w:fill="FFFFFF"/>
          <w:lang w:val="es-ES_tradnl"/>
        </w:rPr>
        <w:t xml:space="preserve">Inflación tan rápida que el dinero pierde su valor, el público pierde la confianza en el mismo y en el sistema monetario, pudiendo llegarse, finalmente, a la forma de trueque. Inflaciones de este tipo se dieron en Centroeuropa en los años veinte (por ejemplo, en Alemania tras las dos grandes guerras) y aún se dan con cierta frecuencia en países </w:t>
      </w:r>
      <w:r w:rsidRPr="00CF1B34">
        <w:rPr>
          <w:rFonts w:ascii="Arial" w:hAnsi="Arial" w:cs="Arial"/>
          <w:color w:val="000000"/>
          <w:sz w:val="22"/>
          <w:szCs w:val="22"/>
          <w:shd w:val="clear" w:color="auto" w:fill="FFFFFF"/>
          <w:lang w:val="es-ES_tradnl"/>
        </w:rPr>
        <w:lastRenderedPageBreak/>
        <w:t>latinoamericanos.</w:t>
      </w:r>
      <w:r w:rsidR="0011501E" w:rsidRPr="00CF1B34">
        <w:rPr>
          <w:rFonts w:ascii="Arial" w:hAnsi="Arial" w:cs="Arial"/>
          <w:color w:val="000000"/>
          <w:sz w:val="22"/>
          <w:szCs w:val="22"/>
          <w:shd w:val="clear" w:color="auto" w:fill="FFFFFF"/>
          <w:lang w:val="es-ES_tradnl"/>
        </w:rPr>
        <w:t xml:space="preserve"> </w:t>
      </w:r>
      <w:r w:rsidR="0011501E" w:rsidRPr="00CF1B34">
        <w:rPr>
          <w:rFonts w:ascii="Arial" w:hAnsi="Arial" w:cs="Arial"/>
          <w:color w:val="333333"/>
          <w:sz w:val="22"/>
          <w:szCs w:val="22"/>
          <w:shd w:val="clear" w:color="auto" w:fill="FFFFFF"/>
          <w:lang w:val="es-ES_tradnl"/>
        </w:rPr>
        <w:t>En cualquier caso, se entenderá por hiperinflación un brutal ascenso de precios de forma descontrolada.</w:t>
      </w:r>
    </w:p>
    <w:p w14:paraId="38B1321E" w14:textId="579235E4" w:rsidR="00A60473" w:rsidRPr="00CF1B34" w:rsidRDefault="00A60473"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Hipoteca</w:t>
      </w:r>
    </w:p>
    <w:p w14:paraId="00DC7CBF" w14:textId="58807D47" w:rsidR="00A60473" w:rsidRPr="00CF1B34" w:rsidRDefault="00A60473"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hipoteca es un</w:t>
      </w:r>
      <w:r w:rsidR="00CF242C" w:rsidRPr="00CF1B34">
        <w:rPr>
          <w:rFonts w:ascii="Arial" w:hAnsi="Arial" w:cs="Arial"/>
          <w:sz w:val="22"/>
          <w:szCs w:val="22"/>
          <w:lang w:val="es-ES_tradnl"/>
        </w:rPr>
        <w:t xml:space="preserve"> </w:t>
      </w:r>
      <w:r w:rsidRPr="00CF1B34">
        <w:rPr>
          <w:rFonts w:ascii="Arial" w:hAnsi="Arial" w:cs="Arial"/>
          <w:b/>
          <w:bCs/>
          <w:sz w:val="22"/>
          <w:szCs w:val="22"/>
          <w:lang w:val="es-ES_tradnl"/>
        </w:rPr>
        <w:t>derecho real de garantía</w:t>
      </w:r>
      <w:r w:rsidR="00CF242C" w:rsidRPr="00CF1B34">
        <w:rPr>
          <w:rFonts w:ascii="Arial" w:hAnsi="Arial" w:cs="Arial"/>
          <w:sz w:val="22"/>
          <w:szCs w:val="22"/>
          <w:lang w:val="es-ES_tradnl"/>
        </w:rPr>
        <w:t xml:space="preserve"> </w:t>
      </w:r>
      <w:r w:rsidRPr="00CF1B34">
        <w:rPr>
          <w:rFonts w:ascii="Arial" w:hAnsi="Arial" w:cs="Arial"/>
          <w:sz w:val="22"/>
          <w:szCs w:val="22"/>
          <w:lang w:val="es-ES_tradnl"/>
        </w:rPr>
        <w:t>que permite al comprador recibir una cantidad de dinero determinada por parte de una entidad financiera a cambio de su compromiso de devolver la cantidad prestada más los intereses correspondientes mediante pagos periódicos.</w:t>
      </w:r>
    </w:p>
    <w:p w14:paraId="25AA68AE" w14:textId="77777777" w:rsidR="00A60473" w:rsidRPr="00CF1B34" w:rsidRDefault="00A60473"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Es importante señalar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aunque comúnmente lo denominemos hipoteca nos referimos en realidad a un </w:t>
      </w:r>
      <w:r w:rsidRPr="00CF1B34">
        <w:rPr>
          <w:rFonts w:ascii="Arial" w:hAnsi="Arial" w:cs="Arial"/>
          <w:b/>
          <w:bCs/>
          <w:sz w:val="22"/>
          <w:szCs w:val="22"/>
          <w:lang w:val="es-ES_tradnl"/>
        </w:rPr>
        <w:t>préstamo hipotecario</w:t>
      </w:r>
      <w:r w:rsidRPr="00CF1B34">
        <w:rPr>
          <w:rFonts w:ascii="Arial" w:hAnsi="Arial" w:cs="Arial"/>
          <w:sz w:val="22"/>
          <w:szCs w:val="22"/>
          <w:lang w:val="es-ES_tradnl"/>
        </w:rPr>
        <w:t>. El préstamo hipotecario es la deuda que se establece con la entidad financiera mientras que la </w:t>
      </w:r>
      <w:r w:rsidRPr="00CF1B34">
        <w:rPr>
          <w:rFonts w:ascii="Arial" w:hAnsi="Arial" w:cs="Arial"/>
          <w:b/>
          <w:bCs/>
          <w:sz w:val="22"/>
          <w:szCs w:val="22"/>
          <w:lang w:val="es-ES_tradnl"/>
        </w:rPr>
        <w:t>hipoteca</w:t>
      </w:r>
      <w:r w:rsidRPr="00CF1B34">
        <w:rPr>
          <w:rFonts w:ascii="Arial" w:hAnsi="Arial" w:cs="Arial"/>
          <w:sz w:val="22"/>
          <w:szCs w:val="22"/>
          <w:lang w:val="es-ES_tradnl"/>
        </w:rPr>
        <w:t> es la garantía de que esa deuda será devuelta y recae directamente sobre la propiedad que se adquiere.</w:t>
      </w:r>
    </w:p>
    <w:p w14:paraId="157EA505" w14:textId="77777777" w:rsidR="00A60473" w:rsidRPr="00CF1B34" w:rsidRDefault="00A60473"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En todo préstamo hipotecario existen varios </w:t>
      </w:r>
      <w:r w:rsidRPr="00CF1B34">
        <w:rPr>
          <w:rFonts w:ascii="Arial" w:hAnsi="Arial" w:cs="Arial"/>
          <w:b/>
          <w:bCs/>
          <w:sz w:val="22"/>
          <w:szCs w:val="22"/>
          <w:lang w:val="es-ES_tradnl"/>
        </w:rPr>
        <w:t>conceptos fundamentales</w:t>
      </w:r>
      <w:r w:rsidRPr="00CF1B34">
        <w:rPr>
          <w:rFonts w:ascii="Arial" w:hAnsi="Arial" w:cs="Arial"/>
          <w:sz w:val="22"/>
          <w:szCs w:val="22"/>
          <w:lang w:val="es-ES_tradnl"/>
        </w:rPr>
        <w:t>:</w:t>
      </w:r>
    </w:p>
    <w:p w14:paraId="368D6C93" w14:textId="77777777" w:rsidR="00A60473" w:rsidRPr="00CF1B34" w:rsidRDefault="00A60473" w:rsidP="004F7A62">
      <w:pPr>
        <w:numPr>
          <w:ilvl w:val="0"/>
          <w:numId w:val="2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capital</w:t>
      </w:r>
      <w:r w:rsidRPr="00CF1B34">
        <w:rPr>
          <w:rFonts w:ascii="Arial" w:hAnsi="Arial" w:cs="Arial"/>
          <w:sz w:val="22"/>
          <w:szCs w:val="22"/>
          <w:lang w:val="es-ES_tradnl"/>
        </w:rPr>
        <w:t>, que se refiere a la cantidad de dinero que el banco nos ha prestado y que en la mayoría de los casos es inferior al precio del inmueble.</w:t>
      </w:r>
    </w:p>
    <w:p w14:paraId="6A8B04A0" w14:textId="77777777" w:rsidR="00A60473" w:rsidRPr="00CF1B34" w:rsidRDefault="00A60473" w:rsidP="004F7A62">
      <w:pPr>
        <w:numPr>
          <w:ilvl w:val="0"/>
          <w:numId w:val="2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interés</w:t>
      </w:r>
      <w:r w:rsidRPr="00CF1B34">
        <w:rPr>
          <w:rFonts w:ascii="Arial" w:hAnsi="Arial" w:cs="Arial"/>
          <w:sz w:val="22"/>
          <w:szCs w:val="22"/>
          <w:lang w:val="es-ES_tradnl"/>
        </w:rPr>
        <w:t>, que indica la cantidad adicional que debemos pagar a la entidad que nos concedió el préstamo hipotecario. Esta cantidad puede ser fija o variable.</w:t>
      </w:r>
    </w:p>
    <w:p w14:paraId="723D5FB7" w14:textId="77777777" w:rsidR="00A60473" w:rsidRPr="00CF1B34" w:rsidRDefault="00A60473" w:rsidP="004F7A62">
      <w:pPr>
        <w:numPr>
          <w:ilvl w:val="0"/>
          <w:numId w:val="2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plazo de devolución</w:t>
      </w:r>
      <w:r w:rsidRPr="00CF1B34">
        <w:rPr>
          <w:rFonts w:ascii="Arial" w:hAnsi="Arial" w:cs="Arial"/>
          <w:sz w:val="22"/>
          <w:szCs w:val="22"/>
          <w:lang w:val="es-ES_tradnl"/>
        </w:rPr>
        <w:t>, que es el tiempo máximo en el que debemos devolver la cantidad prestada por el banco. ¿</w:t>
      </w:r>
    </w:p>
    <w:p w14:paraId="378DD768" w14:textId="77777777" w:rsidR="00A60473" w:rsidRPr="00CF1B34" w:rsidRDefault="00A60473"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¿Para qué se utilizan los préstamos hipotecarios?</w:t>
      </w:r>
    </w:p>
    <w:p w14:paraId="578D8839" w14:textId="77777777" w:rsidR="00A60473" w:rsidRPr="00CF1B34" w:rsidRDefault="00A60473"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Los préstamos hipotecarios se emplean habitualmente para poder conseguir una cantidad elevada de dinero empleando un bien como garantía. En la mayoría de los casos este tipo de préstamos se utilizan para la compra de viviendas.</w:t>
      </w:r>
    </w:p>
    <w:p w14:paraId="7C529FC6" w14:textId="77777777" w:rsidR="00A60473" w:rsidRPr="00CF1B34" w:rsidRDefault="00A60473"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¿Qué tipos de hipoteca existen?</w:t>
      </w:r>
    </w:p>
    <w:p w14:paraId="52218A36" w14:textId="4B399D41" w:rsidR="00A60473" w:rsidRPr="00CF1B34" w:rsidRDefault="00A60473" w:rsidP="0005621A">
      <w:pPr>
        <w:spacing w:after="100" w:afterAutospacing="1"/>
        <w:ind w:left="495"/>
        <w:jc w:val="both"/>
        <w:outlineLvl w:val="1"/>
        <w:rPr>
          <w:rFonts w:ascii="Arial" w:hAnsi="Arial" w:cs="Arial"/>
          <w:sz w:val="22"/>
          <w:szCs w:val="22"/>
          <w:lang w:val="es-ES_tradnl"/>
        </w:rPr>
      </w:pPr>
      <w:r w:rsidRPr="00CF1B34">
        <w:rPr>
          <w:rFonts w:ascii="Arial" w:hAnsi="Arial" w:cs="Arial"/>
          <w:sz w:val="22"/>
          <w:szCs w:val="22"/>
          <w:lang w:val="es-ES_tradnl"/>
        </w:rPr>
        <w:t>En función de los tipos de interés existen tres modalidades de hipoteca diferentes:</w:t>
      </w:r>
    </w:p>
    <w:p w14:paraId="6BC0224A" w14:textId="77777777" w:rsidR="00A60473" w:rsidRPr="00CF1B34" w:rsidRDefault="00A60473" w:rsidP="004F7A62">
      <w:pPr>
        <w:numPr>
          <w:ilvl w:val="0"/>
          <w:numId w:val="2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Préstamos hipotecarios a </w:t>
      </w:r>
      <w:r w:rsidRPr="00CF1B34">
        <w:rPr>
          <w:rFonts w:ascii="Arial" w:hAnsi="Arial" w:cs="Arial"/>
          <w:b/>
          <w:bCs/>
          <w:sz w:val="22"/>
          <w:szCs w:val="22"/>
          <w:lang w:val="es-ES_tradnl"/>
        </w:rPr>
        <w:t>interés fijo</w:t>
      </w:r>
      <w:r w:rsidRPr="00CF1B34">
        <w:rPr>
          <w:rFonts w:ascii="Arial" w:hAnsi="Arial" w:cs="Arial"/>
          <w:sz w:val="22"/>
          <w:szCs w:val="22"/>
          <w:lang w:val="es-ES_tradnl"/>
        </w:rPr>
        <w:t>: son aquellos prestamos en los que la cuota mensual es la misma durante todo el tiempo que dura el préstamo. Independientemente de que los tipos suban o bajen, la cantidad no variará.</w:t>
      </w:r>
    </w:p>
    <w:p w14:paraId="44F06792" w14:textId="77777777" w:rsidR="00A60473" w:rsidRPr="00CF1B34" w:rsidRDefault="00A60473"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Este tipo de préstamos nunca se verán afectados por las subidas y bajas del euríbor. Suelen tener unas comisiones de amortización más elevadas que en las otras modalidades, por lo que la cancelación anticipada de la hipoteca será más cara.</w:t>
      </w:r>
    </w:p>
    <w:p w14:paraId="55C21B16" w14:textId="77777777" w:rsidR="00A60473" w:rsidRPr="00CF1B34" w:rsidRDefault="00A60473" w:rsidP="004F7A62">
      <w:pPr>
        <w:numPr>
          <w:ilvl w:val="0"/>
          <w:numId w:val="2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Préstamos hipotecarios a </w:t>
      </w:r>
      <w:r w:rsidRPr="00CF1B34">
        <w:rPr>
          <w:rFonts w:ascii="Arial" w:hAnsi="Arial" w:cs="Arial"/>
          <w:b/>
          <w:bCs/>
          <w:sz w:val="22"/>
          <w:szCs w:val="22"/>
          <w:lang w:val="es-ES_tradnl"/>
        </w:rPr>
        <w:t>interés variable</w:t>
      </w:r>
      <w:r w:rsidRPr="00CF1B34">
        <w:rPr>
          <w:rFonts w:ascii="Arial" w:hAnsi="Arial" w:cs="Arial"/>
          <w:sz w:val="22"/>
          <w:szCs w:val="22"/>
          <w:lang w:val="es-ES_tradnl"/>
        </w:rPr>
        <w:t>: estos préstamos están compuestos por el valor del índice de referencia, el euríbor en la mayoría de los casos, y otro diferencial fijo. Habitualmente la cuota tiene una revisión anual o semestral. En este caso las cuotas variarán en función de las subidas o bajadas de los tipos de interés cuando se produce la revisión. Las hipotecas variables suelen tener comisiones más bajas y periodos de amortización más amplios.</w:t>
      </w:r>
    </w:p>
    <w:p w14:paraId="12960D09" w14:textId="77777777" w:rsidR="00A60473" w:rsidRPr="00CF1B34" w:rsidRDefault="00A60473" w:rsidP="004F7A62">
      <w:pPr>
        <w:numPr>
          <w:ilvl w:val="0"/>
          <w:numId w:val="2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Préstamos </w:t>
      </w:r>
      <w:r w:rsidRPr="00CF1B34">
        <w:rPr>
          <w:rFonts w:ascii="Arial" w:hAnsi="Arial" w:cs="Arial"/>
          <w:b/>
          <w:bCs/>
          <w:sz w:val="22"/>
          <w:szCs w:val="22"/>
          <w:lang w:val="es-ES_tradnl"/>
        </w:rPr>
        <w:t>hipotecarios mixtos</w:t>
      </w:r>
      <w:r w:rsidRPr="00CF1B34">
        <w:rPr>
          <w:rFonts w:ascii="Arial" w:hAnsi="Arial" w:cs="Arial"/>
          <w:sz w:val="22"/>
          <w:szCs w:val="22"/>
          <w:lang w:val="es-ES_tradnl"/>
        </w:rPr>
        <w:t>: es la modalidad menos habitual, en ella se combina la aplicación de un tipo fijo durante una parte del plazo y un tipo de interés variable en el periodo restante.</w:t>
      </w:r>
    </w:p>
    <w:p w14:paraId="189074C3" w14:textId="77777777" w:rsidR="003B716C" w:rsidRPr="00CF1B34" w:rsidRDefault="00A6047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lastRenderedPageBreak/>
        <w:t>Lo habitual es que los primeros años del plazo las cuotas de amortización no varíen, y a partir de ahí las cuotas empezarán a varias en función de los tipos de interés.</w:t>
      </w:r>
    </w:p>
    <w:p w14:paraId="4A0501BB" w14:textId="77777777" w:rsidR="003B716C" w:rsidRPr="00CF1B34" w:rsidRDefault="003B716C"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Hipoteca a tipo fijo</w:t>
      </w:r>
    </w:p>
    <w:p w14:paraId="3D203C79" w14:textId="77777777" w:rsidR="003B716C" w:rsidRPr="00CF1B34" w:rsidRDefault="003B716C" w:rsidP="0005621A">
      <w:pPr>
        <w:ind w:left="708"/>
        <w:jc w:val="both"/>
        <w:rPr>
          <w:rFonts w:ascii="Arial" w:hAnsi="Arial" w:cs="Arial"/>
          <w:sz w:val="22"/>
          <w:szCs w:val="22"/>
          <w:lang w:val="es-ES_tradnl"/>
        </w:rPr>
      </w:pPr>
      <w:r w:rsidRPr="00CF1B34">
        <w:rPr>
          <w:rFonts w:ascii="Arial" w:hAnsi="Arial" w:cs="Arial"/>
          <w:sz w:val="22"/>
          <w:szCs w:val="22"/>
          <w:lang w:val="es-ES_tradnl"/>
        </w:rPr>
        <w:t>Un </w:t>
      </w:r>
      <w:r w:rsidRPr="00CF1B34">
        <w:rPr>
          <w:rStyle w:val="Textoennegrita"/>
          <w:rFonts w:ascii="Arial" w:hAnsi="Arial" w:cs="Arial"/>
          <w:sz w:val="22"/>
          <w:szCs w:val="22"/>
          <w:lang w:val="es-ES_tradnl"/>
        </w:rPr>
        <w:t>préstamo hipotecario de tipo fijo</w:t>
      </w:r>
      <w:r w:rsidRPr="00CF1B34">
        <w:rPr>
          <w:rFonts w:ascii="Arial" w:hAnsi="Arial" w:cs="Arial"/>
          <w:sz w:val="22"/>
          <w:szCs w:val="22"/>
          <w:lang w:val="es-ES_tradnl"/>
        </w:rPr>
        <w:t> es aquel en el que el tipo de interés que la entidad bancaria aplica no depende de ningún índice y se mantiene fijo durante toda la vida del préstamo esto hace que la cuota mensual no varía y se mantenga fija. Por tanto, las subidas y bajadas del euríbor no afectarán a la cuota mensual que nunca variará.</w:t>
      </w:r>
    </w:p>
    <w:p w14:paraId="18BCCA1F" w14:textId="77777777" w:rsidR="003B716C" w:rsidRPr="00CF1B34" w:rsidRDefault="003B716C"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¿Cómo se establece el tipo de interés en una hipoteca a tipo fijo?</w:t>
      </w:r>
    </w:p>
    <w:p w14:paraId="1DA2CAC6"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tipo de interés se fijará en función del plazo de devolución, cuanto más amplio sea el plazo, mayores serán los tipos de interés del préstamo hipotecario.</w:t>
      </w:r>
    </w:p>
    <w:p w14:paraId="0949DAA9"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 la hora de fijar el interés a pagar, las entidades bancarias también tienen en cuenta otros factores relacionados con los productos de la entidad que se tengan contratados. Es habitual que los bancos ofrezcan unos tipos de interés más bajos en aquellos casos en los que el cliente contrate algún seguro, domicilie su nómina o vincule su plan de pensiones, por ejemplo.</w:t>
      </w:r>
    </w:p>
    <w:p w14:paraId="715638DE" w14:textId="77777777" w:rsidR="003B716C" w:rsidRPr="00CF1B34" w:rsidRDefault="003B716C"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¿Cuál es el plazo de devolución del préstamo hipotecario de tipo fijo?</w:t>
      </w:r>
    </w:p>
    <w:p w14:paraId="13D094B0"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Lo habitual es que los plazos máximos establecidos para las hipotecas de tipo fijo sean inferiores a los plazos existentes en el caso de las hipotecas variables.</w:t>
      </w:r>
    </w:p>
    <w:p w14:paraId="43E4D71D" w14:textId="77777777" w:rsidR="003B716C" w:rsidRPr="00CF1B34" w:rsidRDefault="003B716C" w:rsidP="0005621A">
      <w:pPr>
        <w:pStyle w:val="Ttulo2"/>
        <w:spacing w:before="0" w:beforeAutospacing="0"/>
        <w:ind w:left="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¿Se produce alguna variación en la cuota mensual de un préstamo hipotecario de tipo fijo?</w:t>
      </w:r>
    </w:p>
    <w:p w14:paraId="5CA4C207" w14:textId="77777777" w:rsidR="003B716C" w:rsidRPr="00CF1B34" w:rsidRDefault="003B716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La cuota mensual, como hemos mencionado, se mantiene sin variación a lo largo de toda la vida del préstamo hipotecario. Debido a que el plazo de amortización es inferior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en el caso de las hipotecas variables, la cuota mensual suele ser más elevada. En este punto, es importante señalar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aunque debemos tener en cuenta que el precio de las hipotecas variables fluctúa, cabe la posibilidad de que las cuotas mensuales lleguen a superar a las de una hipoteca fija.</w:t>
      </w:r>
    </w:p>
    <w:p w14:paraId="5F60E411" w14:textId="77777777" w:rsidR="003B716C" w:rsidRPr="00CF1B34" w:rsidRDefault="003B716C"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Hipoteca a tipo variable</w:t>
      </w:r>
    </w:p>
    <w:p w14:paraId="231A56B7" w14:textId="7AC4E7E0" w:rsidR="003B716C" w:rsidRPr="00CF1B34" w:rsidRDefault="003B716C" w:rsidP="0005621A">
      <w:pPr>
        <w:ind w:left="708"/>
        <w:jc w:val="both"/>
        <w:rPr>
          <w:rFonts w:ascii="Arial" w:hAnsi="Arial" w:cs="Arial"/>
          <w:sz w:val="22"/>
          <w:szCs w:val="22"/>
          <w:lang w:val="es-ES_tradnl"/>
        </w:rPr>
      </w:pPr>
      <w:r w:rsidRPr="00CF1B34">
        <w:rPr>
          <w:rFonts w:ascii="Arial" w:hAnsi="Arial" w:cs="Arial"/>
          <w:sz w:val="22"/>
          <w:szCs w:val="22"/>
          <w:lang w:val="es-ES_tradnl"/>
        </w:rPr>
        <w:t>Un</w:t>
      </w:r>
      <w:r w:rsidR="00BB20AF"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préstamo hipotecario de tipo variable</w:t>
      </w:r>
      <w:r w:rsidR="00BB20AF" w:rsidRPr="00CF1B34">
        <w:rPr>
          <w:rFonts w:ascii="Arial" w:hAnsi="Arial" w:cs="Arial"/>
          <w:sz w:val="22"/>
          <w:szCs w:val="22"/>
          <w:lang w:val="es-ES_tradnl"/>
        </w:rPr>
        <w:t xml:space="preserve"> </w:t>
      </w:r>
      <w:r w:rsidRPr="00CF1B34">
        <w:rPr>
          <w:rFonts w:ascii="Arial" w:hAnsi="Arial" w:cs="Arial"/>
          <w:sz w:val="22"/>
          <w:szCs w:val="22"/>
          <w:lang w:val="es-ES_tradnl"/>
        </w:rPr>
        <w:t>es aquel cuyo tipo de interés está formado por un diferencial fijo que es sumado a un índice de referencia que habitualmente es el euríbor.</w:t>
      </w:r>
    </w:p>
    <w:p w14:paraId="447D6B98" w14:textId="77777777" w:rsidR="003B716C" w:rsidRPr="00CF1B34" w:rsidRDefault="003B716C"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¿Cómo se establece el tipo de interés en una hipoteca a tipo variable?</w:t>
      </w:r>
    </w:p>
    <w:p w14:paraId="1A957A24"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los préstamos hipotecarios a tipo variable, el tipo de interés se calcula en base al euríbor, que actúa como índice de referencia y hace que la cuota mensual pueda variar en función de sus fluctuaciones y del valor que tenga en el momento en el que se realiza la revisión.</w:t>
      </w:r>
    </w:p>
    <w:p w14:paraId="737B7B56"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Lo habitual es que la revisión del interés se realice cada seis meses o cada doce meses. El periodo de revisión está contemplado en el contrato del préstamo hipotecario.</w:t>
      </w:r>
    </w:p>
    <w:p w14:paraId="63377E49"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tipo de interés de las hipotecas a tipo variable suele ser menor al que se ofrece en las hipotecas a tipo fijo.</w:t>
      </w:r>
    </w:p>
    <w:p w14:paraId="62F4B406" w14:textId="77777777" w:rsidR="003B716C" w:rsidRPr="00CF1B34" w:rsidRDefault="003B716C" w:rsidP="0005621A">
      <w:pPr>
        <w:pStyle w:val="Ttulo2"/>
        <w:spacing w:before="0" w:beforeAutospacing="0"/>
        <w:ind w:left="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¿Cuál es el plazo de devolución de los préstamos hipotecarios a tipo variable?</w:t>
      </w:r>
    </w:p>
    <w:p w14:paraId="60AB2D88"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 xml:space="preserve">El plazo de devolución máximo que se establece para la devolución de las hipotecas a tipo variables suele ser más alto en comparación al que se ofrece en las hipotecas a tipo fijo. Al aumentar el plazo de devolución del préstamo, la cuantía que se paga en cada mensualidad suele ser menor si la comparamos con una hipoteca </w:t>
      </w:r>
      <w:proofErr w:type="gramStart"/>
      <w:r w:rsidRPr="00CF1B34">
        <w:rPr>
          <w:rFonts w:ascii="Arial" w:hAnsi="Arial" w:cs="Arial"/>
          <w:sz w:val="22"/>
          <w:szCs w:val="22"/>
          <w:lang w:val="es-ES_tradnl"/>
        </w:rPr>
        <w:t>fija</w:t>
      </w:r>
      <w:proofErr w:type="gramEnd"/>
      <w:r w:rsidRPr="00CF1B34">
        <w:rPr>
          <w:rFonts w:ascii="Arial" w:hAnsi="Arial" w:cs="Arial"/>
          <w:sz w:val="22"/>
          <w:szCs w:val="22"/>
          <w:lang w:val="es-ES_tradnl"/>
        </w:rPr>
        <w:t xml:space="preserve"> pero en este punto, es importante tener en cuenta que en función del valor del euríbor en el momento de revisión de la hipoteca, esta cuantía puede variar e incluso superar a la establecida en las hipotecas de tipo fijo.</w:t>
      </w:r>
    </w:p>
    <w:p w14:paraId="21FEB511" w14:textId="77777777" w:rsidR="003B716C" w:rsidRPr="00CF1B34" w:rsidRDefault="003B716C" w:rsidP="0005621A">
      <w:pPr>
        <w:pStyle w:val="Ttulo2"/>
        <w:spacing w:before="0" w:beforeAutospacing="0"/>
        <w:ind w:left="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¿Se produce alguna variación en la cuota mensual de una hipoteca a tipo fijo?</w:t>
      </w:r>
    </w:p>
    <w:p w14:paraId="43750DEA"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los préstamos hipotecarios de tipo fijo la cuota mensual variará en los momentos en los que se realice la revisión de la hipoteca. Esta información debe constar en el contrato del préstamo y lo habitual es que se realice cada 6 o 12 meses. La cuantía mensual subirá o bajará en función del valor que tenga el euríbor en el momento en el que se realice la revisión.</w:t>
      </w:r>
    </w:p>
    <w:p w14:paraId="4F742E0E" w14:textId="77777777" w:rsidR="003B716C" w:rsidRPr="00CF1B34" w:rsidRDefault="003B716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Si el euríbor sube, la cuantía mensual será más elevada y en caso de que el euríbor baje, la cantidad mensual a pagar también será menor.</w:t>
      </w:r>
    </w:p>
    <w:p w14:paraId="4E3A4C0B" w14:textId="77777777" w:rsidR="003B716C" w:rsidRPr="00CF1B34" w:rsidRDefault="003B716C"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Hipoteca autopromotor</w:t>
      </w:r>
    </w:p>
    <w:p w14:paraId="446AB67B" w14:textId="7214090E"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w:t>
      </w:r>
      <w:r w:rsidR="009E19E9"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hipoteca autopromotor</w:t>
      </w:r>
      <w:r w:rsidR="009E19E9" w:rsidRPr="00CF1B34">
        <w:rPr>
          <w:rFonts w:ascii="Arial" w:hAnsi="Arial" w:cs="Arial"/>
          <w:sz w:val="22"/>
          <w:szCs w:val="22"/>
          <w:lang w:val="es-ES_tradnl"/>
        </w:rPr>
        <w:t xml:space="preserve"> </w:t>
      </w:r>
      <w:r w:rsidRPr="00CF1B34">
        <w:rPr>
          <w:rFonts w:ascii="Arial" w:hAnsi="Arial" w:cs="Arial"/>
          <w:sz w:val="22"/>
          <w:szCs w:val="22"/>
          <w:lang w:val="es-ES_tradnl"/>
        </w:rPr>
        <w:t>es aquella que financia la construcción de una vivienda, y no su compra. Es decir, es un préstamo para edificar una vivienda de uso propio. Inicialmente, estas hipotecas se crearon para promotoras inmobiliarias, que llevan a cabo la edificación de las viviendas y, conforme las venden, van solventando su deuda con el banco</w:t>
      </w:r>
    </w:p>
    <w:p w14:paraId="4CE75EA8" w14:textId="3D73F39E"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Cuando hablamos de</w:t>
      </w:r>
      <w:r w:rsidR="003A5AD2" w:rsidRPr="00CF1B34">
        <w:rPr>
          <w:rFonts w:ascii="Arial" w:hAnsi="Arial" w:cs="Arial"/>
          <w:sz w:val="22"/>
          <w:szCs w:val="22"/>
          <w:lang w:val="es-ES_tradnl"/>
        </w:rPr>
        <w:t xml:space="preserve"> </w:t>
      </w:r>
      <w:hyperlink r:id="rId255" w:history="1">
        <w:r w:rsidRPr="00CF1B34">
          <w:rPr>
            <w:rStyle w:val="Hipervnculo"/>
            <w:rFonts w:ascii="Arial" w:hAnsi="Arial" w:cs="Arial"/>
            <w:b/>
            <w:bCs/>
            <w:color w:val="2F5496" w:themeColor="accent1" w:themeShade="BF"/>
            <w:sz w:val="22"/>
            <w:szCs w:val="22"/>
            <w:lang w:val="es-ES_tradnl"/>
          </w:rPr>
          <w:t>hipotecas autopromotor</w:t>
        </w:r>
      </w:hyperlink>
      <w:r w:rsidR="003A5AD2" w:rsidRPr="00CF1B34">
        <w:rPr>
          <w:rStyle w:val="Textoennegrita"/>
          <w:rFonts w:ascii="Arial" w:hAnsi="Arial" w:cs="Arial"/>
          <w:color w:val="2F5496" w:themeColor="accent1" w:themeShade="BF"/>
          <w:sz w:val="22"/>
          <w:szCs w:val="22"/>
          <w:lang w:val="es-ES_tradnl"/>
        </w:rPr>
        <w:t xml:space="preserve"> </w:t>
      </w:r>
      <w:r w:rsidRPr="00CF1B34">
        <w:rPr>
          <w:rFonts w:ascii="Arial" w:hAnsi="Arial" w:cs="Arial"/>
          <w:sz w:val="22"/>
          <w:szCs w:val="22"/>
          <w:lang w:val="es-ES_tradnl"/>
        </w:rPr>
        <w:t>para particulares, la entidad nos prestará el dinero</w:t>
      </w:r>
      <w:r w:rsidR="009E19E9" w:rsidRPr="00CF1B34">
        <w:rPr>
          <w:rFonts w:ascii="Arial" w:hAnsi="Arial" w:cs="Arial"/>
          <w:sz w:val="22"/>
          <w:szCs w:val="22"/>
          <w:lang w:val="es-ES_tradnl"/>
        </w:rPr>
        <w:t xml:space="preserve"> </w:t>
      </w:r>
      <w:r w:rsidRPr="00CF1B34">
        <w:rPr>
          <w:rFonts w:ascii="Arial" w:hAnsi="Arial" w:cs="Arial"/>
          <w:sz w:val="22"/>
          <w:szCs w:val="22"/>
          <w:lang w:val="es-ES_tradnl"/>
        </w:rPr>
        <w:t>para financiar una vivienda a nuestra medida.</w:t>
      </w:r>
    </w:p>
    <w:p w14:paraId="632721EE" w14:textId="203B0731"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hecho de ser nosotros quienes construyamos la casa, supondrá un ahorro en los costes del promotor y nos dará total independencia para distribuirla a nuestro gusto y adaptar las dimensiones y los materiales. Es importante tener en cuenta que el préstamo autopromotor tendrá un máximo establecido y es importante que nos ajustemos a esa cantidad para evitar</w:t>
      </w:r>
      <w:r w:rsidR="003A5AD2" w:rsidRPr="00CF1B34">
        <w:rPr>
          <w:rFonts w:ascii="Arial" w:hAnsi="Arial" w:cs="Arial"/>
          <w:sz w:val="22"/>
          <w:szCs w:val="22"/>
          <w:lang w:val="es-ES_tradnl"/>
        </w:rPr>
        <w:t xml:space="preserve"> </w:t>
      </w:r>
      <w:r w:rsidRPr="00CF1B34">
        <w:rPr>
          <w:rFonts w:ascii="Arial" w:hAnsi="Arial" w:cs="Arial"/>
          <w:sz w:val="22"/>
          <w:szCs w:val="22"/>
          <w:lang w:val="es-ES_tradnl"/>
        </w:rPr>
        <w:t>que pueda agotarse antes de haber finalizado la obra. En ese caso, además deberíamos correr con los intereses.</w:t>
      </w:r>
    </w:p>
    <w:p w14:paraId="6F4D8B90" w14:textId="77777777" w:rsidR="003B716C" w:rsidRPr="00CF1B34" w:rsidRDefault="003B716C"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¿Cómo conseguir una hipoteca autopromotor?</w:t>
      </w:r>
    </w:p>
    <w:p w14:paraId="0CF006EE"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Estos préstamos autopromotor tienen particularidades que los diferencian de una hipoteca normal: la entrega del dinero es distinta, el precio es algo superior y también son necesarios algunos permisos.</w:t>
      </w:r>
    </w:p>
    <w:p w14:paraId="6F46966D"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En primer lugar, tendremos que tener una parcela o terreno en propiedad, e inscrita en el Registro de la propiedad. Después, deberemos solicitar el proyecto a un arquitecto, y solicitar su visado al Colegio de Arquitectos. Además, tendremos que pedir una licencia de obras en el ayuntamiento donde se inscriba el proyecto.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por último, deberemos contar con un certificado de eficiencia energética que nos emitirán a lo largo del proyecto de ejecución.</w:t>
      </w:r>
    </w:p>
    <w:p w14:paraId="0205B5C2" w14:textId="77777777"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Con todos estos datos (licencia de obras, visado y certificado energético), el banco nos hará una valoración del dinero que necesitamos (normalmente nos concederá hasta un 85% de esta cantidad), y calculará le interés y los plazos de la hipoteca (hasta 30 años, aunque dependerá del banco en cuestión). Aparte de todos estos certificados, estaremos </w:t>
      </w:r>
      <w:r w:rsidRPr="00CF1B34">
        <w:rPr>
          <w:rFonts w:ascii="Arial" w:hAnsi="Arial" w:cs="Arial"/>
          <w:sz w:val="22"/>
          <w:szCs w:val="22"/>
          <w:lang w:val="es-ES_tradnl"/>
        </w:rPr>
        <w:lastRenderedPageBreak/>
        <w:t>igualmente supeditados a un estudio de solvencia (buenos ingresos, estabilidad laboral, capacidad de ahorro, etc.).</w:t>
      </w:r>
    </w:p>
    <w:p w14:paraId="301A8528" w14:textId="0822E0D8" w:rsidR="003B716C" w:rsidRPr="00CF1B34" w:rsidRDefault="003B716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Una vez que nos conceda el préstamo, el banco nos irá dando el dinero conforme avance la obra y en un plazo total máximo de dos años, aunque dividido en varios plazos: en la fase suelo, nos entregará una parte del crédito (normalmente la mitad), tras la aprobación para que comiencen las obras. En la fase de certificaciones, el banco nos seguirá haciendo entregas a medida que avance la construcción y previa presentación de las certificaciones de avance por parte del arquitecto. En la fase del fin de obra la entidad procederá a la última entrega, que constará del 10 al 20% del importe de la</w:t>
      </w:r>
      <w:r w:rsidR="003A5AD2" w:rsidRPr="00CF1B34">
        <w:rPr>
          <w:rFonts w:ascii="Arial" w:hAnsi="Arial" w:cs="Arial"/>
          <w:sz w:val="22"/>
          <w:szCs w:val="22"/>
          <w:lang w:val="es-ES_tradnl"/>
        </w:rPr>
        <w:t xml:space="preserve"> </w:t>
      </w:r>
      <w:hyperlink r:id="rId256" w:history="1">
        <w:r w:rsidRPr="00CF1B34">
          <w:rPr>
            <w:rStyle w:val="Hipervnculo"/>
            <w:rFonts w:ascii="Arial" w:hAnsi="Arial" w:cs="Arial"/>
            <w:color w:val="BD4313"/>
            <w:sz w:val="22"/>
            <w:szCs w:val="22"/>
            <w:lang w:val="es-ES_tradnl"/>
          </w:rPr>
          <w:t>hipoteca</w:t>
        </w:r>
      </w:hyperlink>
      <w:r w:rsidRPr="00CF1B34">
        <w:rPr>
          <w:rFonts w:ascii="Arial" w:hAnsi="Arial" w:cs="Arial"/>
          <w:sz w:val="22"/>
          <w:szCs w:val="22"/>
          <w:lang w:val="es-ES_tradnl"/>
        </w:rPr>
        <w:t>.</w:t>
      </w:r>
    </w:p>
    <w:p w14:paraId="0473136C" w14:textId="77777777" w:rsidR="003B716C" w:rsidRPr="00CF1B34" w:rsidRDefault="003B716C"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¿Esta hipoteca vale para viviendas prefabricadas?</w:t>
      </w:r>
    </w:p>
    <w:p w14:paraId="08EB4C3A" w14:textId="77777777" w:rsidR="00136343" w:rsidRPr="00CF1B34" w:rsidRDefault="003B716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Sí, y también para viviendas modulares. En ese caso, la vivienda deberá estar anclada al suelo consistentemente (es decir, no deberá ser móvil), e igualmente necesitará un proyecto, un visado y una licencia de obra.</w:t>
      </w:r>
    </w:p>
    <w:p w14:paraId="030DC6F9" w14:textId="77777777" w:rsidR="00136343" w:rsidRPr="00CF1B34" w:rsidRDefault="00136343"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Hipoteca inversa</w:t>
      </w:r>
    </w:p>
    <w:p w14:paraId="4296E053" w14:textId="77777777" w:rsidR="00136343" w:rsidRPr="00CF1B34" w:rsidRDefault="00136343" w:rsidP="0005621A">
      <w:pPr>
        <w:ind w:left="708"/>
        <w:jc w:val="both"/>
        <w:rPr>
          <w:rFonts w:ascii="Arial" w:hAnsi="Arial" w:cs="Arial"/>
          <w:sz w:val="22"/>
          <w:szCs w:val="22"/>
          <w:lang w:val="es-ES_tradnl"/>
        </w:rPr>
      </w:pPr>
      <w:r w:rsidRPr="00CF1B34">
        <w:rPr>
          <w:rFonts w:ascii="Arial" w:hAnsi="Arial" w:cs="Arial"/>
          <w:sz w:val="22"/>
          <w:szCs w:val="22"/>
          <w:lang w:val="es-ES_tradnl"/>
        </w:rPr>
        <w:t>La hipoteca inversa o hipoteca revertida es un producto financiero a través del cual la entidad bancaria abona a su cliente una renta mensual a cambio de ofrecer su vivienda como garantía. Es una forma de complementar los ingresos en la jubilación.</w:t>
      </w:r>
    </w:p>
    <w:p w14:paraId="3128ADE4" w14:textId="77777777" w:rsidR="00136343" w:rsidRPr="00CF1B34" w:rsidRDefault="00136343"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principal diferencia con las hipotecas tradicionales es que el cliente que solicita la hipoteca inversa no tiene que devolver la cantidad prestada, los herederos serán los que devolverán el importe correspondiente. Los herederos deberán decidir si venden el inmueble para saldar la deuda, pueden hacer frente al pago de la deuda o en caso contrario, necesitan contratar una hipoteca para saldar la deuda.</w:t>
      </w:r>
    </w:p>
    <w:p w14:paraId="00A3D73A" w14:textId="77777777" w:rsidR="00136343" w:rsidRPr="00CF1B34" w:rsidRDefault="00136343"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¿Cuáles son los requisitos?</w:t>
      </w:r>
    </w:p>
    <w:p w14:paraId="288485EB" w14:textId="77777777" w:rsidR="00136343" w:rsidRPr="00CF1B34" w:rsidRDefault="00136343" w:rsidP="004F7A62">
      <w:pPr>
        <w:numPr>
          <w:ilvl w:val="0"/>
          <w:numId w:val="26"/>
        </w:numPr>
        <w:spacing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Edad</w:t>
      </w:r>
    </w:p>
    <w:p w14:paraId="7F124489" w14:textId="77777777" w:rsidR="00136343" w:rsidRPr="00CF1B34" w:rsidRDefault="00136343" w:rsidP="0005621A">
      <w:pPr>
        <w:spacing w:beforeAutospacing="1" w:afterAutospacing="1"/>
        <w:ind w:left="495"/>
        <w:jc w:val="both"/>
        <w:rPr>
          <w:rFonts w:ascii="Arial" w:hAnsi="Arial" w:cs="Arial"/>
          <w:sz w:val="22"/>
          <w:szCs w:val="22"/>
          <w:lang w:val="es-ES_tradnl"/>
        </w:rPr>
      </w:pPr>
      <w:r w:rsidRPr="00CF1B34">
        <w:rPr>
          <w:rFonts w:ascii="Arial" w:hAnsi="Arial" w:cs="Arial"/>
          <w:sz w:val="22"/>
          <w:szCs w:val="22"/>
          <w:lang w:val="es-ES_tradnl"/>
        </w:rPr>
        <w:t>Aunque depende de la entidad bancaria que ofrece el producto, en general está destinado a personas mayores de 65 años y hasta un límite que habitualmente se sitúa en torno a los 70 años. En caso de dependencia estos límites de edad pueden sufrir variaciones.</w:t>
      </w:r>
    </w:p>
    <w:p w14:paraId="7ADC4200" w14:textId="77777777" w:rsidR="00136343" w:rsidRPr="00CF1B34" w:rsidRDefault="00136343" w:rsidP="004F7A62">
      <w:pPr>
        <w:numPr>
          <w:ilvl w:val="0"/>
          <w:numId w:val="26"/>
        </w:numPr>
        <w:spacing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Vivienda en propiedad</w:t>
      </w:r>
    </w:p>
    <w:p w14:paraId="6EDCF6C1" w14:textId="77777777" w:rsidR="00136343" w:rsidRPr="00CF1B34" w:rsidRDefault="00136343" w:rsidP="0005621A">
      <w:pPr>
        <w:spacing w:beforeAutospacing="1" w:afterAutospacing="1"/>
        <w:ind w:left="495"/>
        <w:jc w:val="both"/>
        <w:rPr>
          <w:rFonts w:ascii="Arial" w:hAnsi="Arial" w:cs="Arial"/>
          <w:sz w:val="22"/>
          <w:szCs w:val="22"/>
          <w:lang w:val="es-ES_tradnl"/>
        </w:rPr>
      </w:pPr>
      <w:r w:rsidRPr="00CF1B34">
        <w:rPr>
          <w:rFonts w:ascii="Arial" w:hAnsi="Arial" w:cs="Arial"/>
          <w:sz w:val="22"/>
          <w:szCs w:val="22"/>
          <w:lang w:val="es-ES_tradnl"/>
        </w:rPr>
        <w:t>Es necesario ser el titular de la vivienda en propiedad que va a ofrecerse como garantía, si además se trata de la vivienda habitual resultará exenta del Impuesto de Actos Jurídicos Documentados.</w:t>
      </w:r>
    </w:p>
    <w:p w14:paraId="2DF33496" w14:textId="77777777" w:rsidR="00136343" w:rsidRPr="00CF1B34" w:rsidRDefault="00136343" w:rsidP="004F7A62">
      <w:pPr>
        <w:numPr>
          <w:ilvl w:val="0"/>
          <w:numId w:val="26"/>
        </w:numPr>
        <w:spacing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No es compatible con tener un préstamo hipotecario</w:t>
      </w:r>
    </w:p>
    <w:p w14:paraId="66353CAD" w14:textId="77777777" w:rsidR="00136343" w:rsidRPr="00CF1B34" w:rsidRDefault="00136343" w:rsidP="0005621A">
      <w:pPr>
        <w:spacing w:beforeAutospacing="1" w:afterAutospacing="1"/>
        <w:ind w:left="495"/>
        <w:jc w:val="both"/>
        <w:rPr>
          <w:rFonts w:ascii="Arial" w:hAnsi="Arial" w:cs="Arial"/>
          <w:sz w:val="22"/>
          <w:szCs w:val="22"/>
          <w:lang w:val="es-ES_tradnl"/>
        </w:rPr>
      </w:pPr>
      <w:r w:rsidRPr="00CF1B34">
        <w:rPr>
          <w:rFonts w:ascii="Arial" w:hAnsi="Arial" w:cs="Arial"/>
          <w:sz w:val="22"/>
          <w:szCs w:val="22"/>
          <w:lang w:val="es-ES_tradnl"/>
        </w:rPr>
        <w:t>Para poder suscribir una hipoteca inversa es necesario cancelar el préstamo hipotecario, en caso de que lo tengamos. En caso de que esto ocurra, es una práctica habitual de las entidades financieras adelantar el capital para poder cancelar la hipoteca existente antes de suscribir la hipoteca invertida.</w:t>
      </w:r>
    </w:p>
    <w:p w14:paraId="23659F0D" w14:textId="77777777" w:rsidR="00136343" w:rsidRPr="00CF1B34" w:rsidRDefault="00136343" w:rsidP="004F7A62">
      <w:pPr>
        <w:numPr>
          <w:ilvl w:val="0"/>
          <w:numId w:val="26"/>
        </w:numPr>
        <w:spacing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Varios titulares</w:t>
      </w:r>
    </w:p>
    <w:p w14:paraId="0C938646" w14:textId="77777777" w:rsidR="00136343" w:rsidRPr="00CF1B34" w:rsidRDefault="00136343" w:rsidP="0005621A">
      <w:pPr>
        <w:spacing w:beforeAutospacing="1" w:afterAutospacing="1"/>
        <w:ind w:left="495"/>
        <w:jc w:val="both"/>
        <w:rPr>
          <w:rFonts w:ascii="Arial" w:hAnsi="Arial" w:cs="Arial"/>
          <w:sz w:val="22"/>
          <w:szCs w:val="22"/>
          <w:lang w:val="es-ES_tradnl"/>
        </w:rPr>
      </w:pPr>
      <w:r w:rsidRPr="00CF1B34">
        <w:rPr>
          <w:rFonts w:ascii="Arial" w:hAnsi="Arial" w:cs="Arial"/>
          <w:sz w:val="22"/>
          <w:szCs w:val="22"/>
          <w:lang w:val="es-ES_tradnl"/>
        </w:rPr>
        <w:t>La hipoteca inversa puede ser suscrita por más de un titular, es habitual en el caso de los matrimonios.</w:t>
      </w:r>
    </w:p>
    <w:p w14:paraId="1292E906" w14:textId="77777777" w:rsidR="00136343" w:rsidRPr="00CF1B34" w:rsidRDefault="00136343"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lastRenderedPageBreak/>
        <w:t>¿Cuánto es la renta percibida?</w:t>
      </w:r>
    </w:p>
    <w:p w14:paraId="29024A7F" w14:textId="77777777" w:rsidR="00136343" w:rsidRPr="00CF1B34" w:rsidRDefault="00136343"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La cantidad percibida variará en función de los siguientes factores:</w:t>
      </w:r>
    </w:p>
    <w:p w14:paraId="57F0B045" w14:textId="77777777" w:rsidR="00136343" w:rsidRPr="00CF1B34" w:rsidRDefault="00136343" w:rsidP="004F7A62">
      <w:pPr>
        <w:numPr>
          <w:ilvl w:val="0"/>
          <w:numId w:val="27"/>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edad del suscriptor de la hipoteca</w:t>
      </w:r>
    </w:p>
    <w:p w14:paraId="47A72181" w14:textId="77777777" w:rsidR="00136343" w:rsidRPr="00CF1B34" w:rsidRDefault="00136343" w:rsidP="004F7A62">
      <w:pPr>
        <w:numPr>
          <w:ilvl w:val="0"/>
          <w:numId w:val="27"/>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valor de la vivienda</w:t>
      </w:r>
    </w:p>
    <w:p w14:paraId="71BD34EA" w14:textId="77777777" w:rsidR="00136343" w:rsidRPr="00CF1B34" w:rsidRDefault="00136343" w:rsidP="004F7A62">
      <w:pPr>
        <w:numPr>
          <w:ilvl w:val="0"/>
          <w:numId w:val="27"/>
        </w:num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modalidad de hipoteca inversa suscrita:</w:t>
      </w:r>
    </w:p>
    <w:p w14:paraId="02A3FA29" w14:textId="77777777" w:rsidR="00136343" w:rsidRPr="00CF1B34" w:rsidRDefault="00136343" w:rsidP="004F7A62">
      <w:pPr>
        <w:numPr>
          <w:ilvl w:val="1"/>
          <w:numId w:val="27"/>
        </w:numPr>
        <w:spacing w:before="100" w:beforeAutospacing="1" w:after="100" w:afterAutospacing="1"/>
        <w:ind w:left="1215"/>
        <w:jc w:val="both"/>
        <w:rPr>
          <w:rFonts w:ascii="Arial" w:hAnsi="Arial" w:cs="Arial"/>
          <w:sz w:val="22"/>
          <w:szCs w:val="22"/>
          <w:lang w:val="es-ES_tradnl"/>
        </w:rPr>
      </w:pPr>
      <w:r w:rsidRPr="00CF1B34">
        <w:rPr>
          <w:rFonts w:ascii="Arial" w:hAnsi="Arial" w:cs="Arial"/>
          <w:sz w:val="22"/>
          <w:szCs w:val="22"/>
          <w:lang w:val="es-ES_tradnl"/>
        </w:rPr>
        <w:t>Hipoteca inversa temporal: esta modalidad abona una renta al suscriptor, equivalente al valor total de la vivienda, durante el periodo negociado. Esta modalidad es la más habitual para aquellos suscriptores en edad más avanzada.</w:t>
      </w:r>
    </w:p>
    <w:p w14:paraId="67C0A1D4" w14:textId="77777777" w:rsidR="00136343" w:rsidRPr="00CF1B34" w:rsidRDefault="00136343" w:rsidP="004F7A62">
      <w:pPr>
        <w:numPr>
          <w:ilvl w:val="1"/>
          <w:numId w:val="27"/>
        </w:numPr>
        <w:spacing w:before="100" w:beforeAutospacing="1" w:after="100" w:afterAutospacing="1"/>
        <w:ind w:left="1215"/>
        <w:jc w:val="both"/>
        <w:rPr>
          <w:rFonts w:ascii="Arial" w:hAnsi="Arial" w:cs="Arial"/>
          <w:sz w:val="22"/>
          <w:szCs w:val="22"/>
          <w:lang w:val="es-ES_tradnl"/>
        </w:rPr>
      </w:pPr>
      <w:r w:rsidRPr="00CF1B34">
        <w:rPr>
          <w:rFonts w:ascii="Arial" w:hAnsi="Arial" w:cs="Arial"/>
          <w:sz w:val="22"/>
          <w:szCs w:val="22"/>
          <w:lang w:val="es-ES_tradnl"/>
        </w:rPr>
        <w:t>Hipoteca inversa vitalicia: en esta modalidad el suscriptor recibirá una renta mensual de carácter vitalicio. Esta cantidad siempre será inferior a la renta temporal.</w:t>
      </w:r>
    </w:p>
    <w:p w14:paraId="640D1EED" w14:textId="77777777" w:rsidR="00136343" w:rsidRPr="00CF1B34" w:rsidRDefault="00136343" w:rsidP="004F7A62">
      <w:pPr>
        <w:numPr>
          <w:ilvl w:val="1"/>
          <w:numId w:val="27"/>
        </w:numPr>
        <w:spacing w:before="100" w:beforeAutospacing="1" w:after="100" w:afterAutospacing="1"/>
        <w:ind w:left="1215"/>
        <w:jc w:val="both"/>
        <w:rPr>
          <w:rFonts w:ascii="Arial" w:hAnsi="Arial" w:cs="Arial"/>
          <w:sz w:val="22"/>
          <w:szCs w:val="22"/>
          <w:lang w:val="es-ES_tradnl"/>
        </w:rPr>
      </w:pPr>
      <w:r w:rsidRPr="00CF1B34">
        <w:rPr>
          <w:rFonts w:ascii="Arial" w:hAnsi="Arial" w:cs="Arial"/>
          <w:sz w:val="22"/>
          <w:szCs w:val="22"/>
          <w:lang w:val="es-ES_tradnl"/>
        </w:rPr>
        <w:t>Hipoteca inversa de cancelación única: en este caso, el suscriptor percibirá la cantidad basada en la tasación de la vivienda a través de un único pago.</w:t>
      </w:r>
    </w:p>
    <w:p w14:paraId="666863EE" w14:textId="77777777" w:rsidR="00136343" w:rsidRPr="00CF1B34" w:rsidRDefault="00136343"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puedo cancelar una hipoteca inversa?</w:t>
      </w:r>
    </w:p>
    <w:p w14:paraId="33109033" w14:textId="77777777" w:rsidR="00136343" w:rsidRPr="00CF1B34" w:rsidRDefault="0013634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Una hipoteca inversa puede ser cancelada en el momento que el suscriptor lo desee. Para cancelar la hipoteca inversa es necesario devolver la cantidad íntegra que se ha percibido hasta ese momento, los gastos iniciales abonados por la entidad financiera y los intereses que se han generado hasta el momento de la cancelación.</w:t>
      </w:r>
    </w:p>
    <w:p w14:paraId="1EA55516" w14:textId="5244396E" w:rsidR="0011501E" w:rsidRPr="00CF1B34" w:rsidRDefault="0011501E"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 xml:space="preserve">Hipoteca low cost </w:t>
      </w:r>
    </w:p>
    <w:p w14:paraId="79AF3062" w14:textId="01EDF435" w:rsidR="00C11E77" w:rsidRPr="00CF1B34" w:rsidRDefault="00C11E77" w:rsidP="0005621A">
      <w:pPr>
        <w:shd w:val="clear" w:color="auto" w:fill="FFFFFF"/>
        <w:spacing w:after="165"/>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La banca y las cajas de ahorro necesitan reducir drásticamente su stock de inmuebles. Para ello han creado sus portales donde comercializan las viviendas en su poder con</w:t>
      </w:r>
      <w:r w:rsidR="009E19E9" w:rsidRPr="00CF1B34">
        <w:rPr>
          <w:rFonts w:ascii="Arial" w:hAnsi="Arial" w:cs="Arial"/>
          <w:color w:val="000000" w:themeColor="text1"/>
          <w:sz w:val="22"/>
          <w:szCs w:val="22"/>
          <w:lang w:val="es-ES_tradnl"/>
        </w:rPr>
        <w:t xml:space="preserve"> </w:t>
      </w:r>
      <w:r w:rsidRPr="00CF1B34">
        <w:rPr>
          <w:rFonts w:ascii="Arial" w:hAnsi="Arial" w:cs="Arial"/>
          <w:b/>
          <w:bCs/>
          <w:color w:val="000000" w:themeColor="text1"/>
          <w:sz w:val="22"/>
          <w:szCs w:val="22"/>
          <w:lang w:val="es-ES_tradnl"/>
        </w:rPr>
        <w:t>descuentos que van desde el 20% al 50%</w:t>
      </w:r>
      <w:r w:rsidRPr="00CF1B34">
        <w:rPr>
          <w:rFonts w:ascii="Arial" w:hAnsi="Arial" w:cs="Arial"/>
          <w:color w:val="000000" w:themeColor="text1"/>
          <w:sz w:val="22"/>
          <w:szCs w:val="22"/>
          <w:lang w:val="es-ES_tradnl"/>
        </w:rPr>
        <w:t xml:space="preserve"> y que </w:t>
      </w:r>
      <w:hyperlink r:id="rId257" w:history="1">
        <w:r w:rsidRPr="00CF1B34">
          <w:rPr>
            <w:rFonts w:ascii="Arial" w:hAnsi="Arial" w:cs="Arial"/>
            <w:b/>
            <w:bCs/>
            <w:color w:val="000000" w:themeColor="text1"/>
            <w:sz w:val="22"/>
            <w:szCs w:val="22"/>
            <w:u w:val="single"/>
            <w:lang w:val="es-ES_tradnl"/>
          </w:rPr>
          <w:t>financian hasta el 100%</w:t>
        </w:r>
      </w:hyperlink>
      <w:r w:rsidRPr="00CF1B34">
        <w:rPr>
          <w:rFonts w:ascii="Arial" w:hAnsi="Arial" w:cs="Arial"/>
          <w:color w:val="000000" w:themeColor="text1"/>
          <w:sz w:val="22"/>
          <w:szCs w:val="22"/>
          <w:lang w:val="es-ES_tradnl"/>
        </w:rPr>
        <w:t>.</w:t>
      </w:r>
    </w:p>
    <w:p w14:paraId="50E02B7E" w14:textId="20BE4FA0" w:rsidR="00C11E77" w:rsidRPr="00CF1B34" w:rsidRDefault="00C11E77" w:rsidP="0005621A">
      <w:pPr>
        <w:shd w:val="clear" w:color="auto" w:fill="FFFFFF"/>
        <w:spacing w:after="165"/>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Este tipo de ofertas puede enmarcarse dentro de las </w:t>
      </w:r>
      <w:r w:rsidRPr="00CF1B34">
        <w:rPr>
          <w:rFonts w:ascii="Arial" w:hAnsi="Arial" w:cs="Arial"/>
          <w:b/>
          <w:bCs/>
          <w:color w:val="000000" w:themeColor="text1"/>
          <w:sz w:val="22"/>
          <w:szCs w:val="22"/>
          <w:lang w:val="es-ES_tradnl"/>
        </w:rPr>
        <w:t>Hipotecas Low Cost</w:t>
      </w:r>
      <w:r w:rsidRPr="00CF1B34">
        <w:rPr>
          <w:rFonts w:ascii="Arial" w:hAnsi="Arial" w:cs="Arial"/>
          <w:color w:val="000000" w:themeColor="text1"/>
          <w:sz w:val="22"/>
          <w:szCs w:val="22"/>
          <w:lang w:val="es-ES_tradnl"/>
        </w:rPr>
        <w:t>. Veamos de que se trata, porque este título tiene sus trampas, ya que las entidades le</w:t>
      </w:r>
      <w:r w:rsidR="009E19E9" w:rsidRPr="00CF1B34">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 xml:space="preserve"> ponen este cartel a las</w:t>
      </w:r>
      <w:r w:rsidR="009E19E9" w:rsidRPr="00CF1B34">
        <w:rPr>
          <w:rFonts w:ascii="Arial" w:hAnsi="Arial" w:cs="Arial"/>
          <w:color w:val="000000" w:themeColor="text1"/>
          <w:sz w:val="22"/>
          <w:szCs w:val="22"/>
          <w:lang w:val="es-ES_tradnl"/>
        </w:rPr>
        <w:t xml:space="preserve"> </w:t>
      </w:r>
      <w:r w:rsidRPr="00CF1B34">
        <w:rPr>
          <w:rFonts w:ascii="Arial" w:hAnsi="Arial" w:cs="Arial"/>
          <w:b/>
          <w:bCs/>
          <w:color w:val="000000" w:themeColor="text1"/>
          <w:sz w:val="22"/>
          <w:szCs w:val="22"/>
          <w:lang w:val="es-ES_tradnl"/>
        </w:rPr>
        <w:t>ofertas con un tipo de interés bajo</w:t>
      </w:r>
    </w:p>
    <w:p w14:paraId="0A1E4A5E" w14:textId="49126427" w:rsidR="00C11E77" w:rsidRPr="00CF1B34" w:rsidRDefault="00C11E7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shd w:val="clear" w:color="auto" w:fill="FFFFFF"/>
          <w:lang w:val="es-ES_tradnl"/>
        </w:rPr>
        <w:t xml:space="preserve">Sin embargo, aquí aparece el «engaño». Las </w:t>
      </w:r>
      <w:r w:rsidRPr="00CF1B34">
        <w:rPr>
          <w:rStyle w:val="Textoennegrita"/>
          <w:rFonts w:ascii="Arial" w:hAnsi="Arial" w:cs="Arial"/>
          <w:color w:val="000000" w:themeColor="text1"/>
          <w:sz w:val="22"/>
          <w:szCs w:val="22"/>
          <w:shd w:val="clear" w:color="auto" w:fill="FFFFFF"/>
          <w:lang w:val="es-ES_tradnl"/>
        </w:rPr>
        <w:t>Hipotecas Low Cost</w:t>
      </w:r>
      <w:r w:rsidRPr="00CF1B34">
        <w:rPr>
          <w:rFonts w:ascii="Arial" w:hAnsi="Arial" w:cs="Arial"/>
          <w:color w:val="000000" w:themeColor="text1"/>
          <w:sz w:val="22"/>
          <w:szCs w:val="22"/>
          <w:shd w:val="clear" w:color="auto" w:fill="FFFFFF"/>
          <w:lang w:val="es-ES_tradnl"/>
        </w:rPr>
        <w:t xml:space="preserve"> suelen ofrecer</w:t>
      </w:r>
      <w:r w:rsidRPr="00CF1B34">
        <w:rPr>
          <w:rStyle w:val="Textoennegrita"/>
          <w:rFonts w:ascii="Arial" w:hAnsi="Arial" w:cs="Arial"/>
          <w:color w:val="000000" w:themeColor="text1"/>
          <w:sz w:val="22"/>
          <w:szCs w:val="22"/>
          <w:shd w:val="clear" w:color="auto" w:fill="FFFFFF"/>
          <w:lang w:val="es-ES_tradnl"/>
        </w:rPr>
        <w:t xml:space="preserve"> diferenciales sobre el Euribor muy bajos</w:t>
      </w:r>
      <w:r w:rsidRPr="00CF1B34">
        <w:rPr>
          <w:rFonts w:ascii="Arial" w:hAnsi="Arial" w:cs="Arial"/>
          <w:color w:val="000000" w:themeColor="text1"/>
          <w:sz w:val="22"/>
          <w:szCs w:val="22"/>
          <w:shd w:val="clear" w:color="auto" w:fill="FFFFFF"/>
          <w:lang w:val="es-ES_tradnl"/>
        </w:rPr>
        <w:t xml:space="preserve"> para lo que actualmente tienen la mayoría de las entidades. Sin embargo, para conseguir estos tipos de interés obligan a la contratación de muchos productos asociados, como seguros </w:t>
      </w:r>
      <w:hyperlink r:id="rId258" w:history="1">
        <w:r w:rsidRPr="00CF1B34">
          <w:rPr>
            <w:rStyle w:val="Hipervnculo"/>
            <w:rFonts w:ascii="Arial" w:hAnsi="Arial" w:cs="Arial"/>
            <w:color w:val="000000" w:themeColor="text1"/>
            <w:sz w:val="22"/>
            <w:szCs w:val="22"/>
            <w:u w:val="none"/>
            <w:shd w:val="clear" w:color="auto" w:fill="FFFFFF"/>
            <w:lang w:val="es-ES_tradnl"/>
          </w:rPr>
          <w:t>cuentas</w:t>
        </w:r>
      </w:hyperlink>
      <w:r w:rsidRPr="00CF1B34">
        <w:rPr>
          <w:rFonts w:ascii="Arial" w:hAnsi="Arial" w:cs="Arial"/>
          <w:color w:val="000000" w:themeColor="text1"/>
          <w:sz w:val="22"/>
          <w:szCs w:val="22"/>
          <w:shd w:val="clear" w:color="auto" w:fill="FFFFFF"/>
          <w:lang w:val="es-ES_tradnl"/>
        </w:rPr>
        <w:t>, domiciliación de nomina tarjetas de crédito, etc., que generan una fuerte vinculación.</w:t>
      </w:r>
    </w:p>
    <w:p w14:paraId="64F6B789" w14:textId="5D73C94A" w:rsidR="00136343" w:rsidRPr="00CF1B34" w:rsidRDefault="00136343"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Hipoteca mixta</w:t>
      </w:r>
    </w:p>
    <w:p w14:paraId="67EC0238" w14:textId="13B62420" w:rsidR="00136343" w:rsidRPr="00CF1B34" w:rsidRDefault="00136343" w:rsidP="0005621A">
      <w:pPr>
        <w:ind w:left="708"/>
        <w:jc w:val="both"/>
        <w:rPr>
          <w:rFonts w:ascii="Arial" w:hAnsi="Arial" w:cs="Arial"/>
          <w:sz w:val="22"/>
          <w:szCs w:val="22"/>
          <w:lang w:val="es-ES_tradnl"/>
        </w:rPr>
      </w:pPr>
      <w:r w:rsidRPr="00CF1B34">
        <w:rPr>
          <w:rFonts w:ascii="Arial" w:hAnsi="Arial" w:cs="Arial"/>
          <w:sz w:val="22"/>
          <w:szCs w:val="22"/>
          <w:lang w:val="es-ES_tradnl"/>
        </w:rPr>
        <w:t>Un</w:t>
      </w:r>
      <w:r w:rsidR="00BB20AF"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préstamo hipotecario mixto</w:t>
      </w:r>
      <w:r w:rsidR="00BB20AF" w:rsidRPr="00CF1B34">
        <w:rPr>
          <w:rFonts w:ascii="Arial" w:hAnsi="Arial" w:cs="Arial"/>
          <w:sz w:val="22"/>
          <w:szCs w:val="22"/>
          <w:lang w:val="es-ES_tradnl"/>
        </w:rPr>
        <w:t xml:space="preserve"> </w:t>
      </w:r>
      <w:r w:rsidRPr="00CF1B34">
        <w:rPr>
          <w:rFonts w:ascii="Arial" w:hAnsi="Arial" w:cs="Arial"/>
          <w:sz w:val="22"/>
          <w:szCs w:val="22"/>
          <w:lang w:val="es-ES_tradnl"/>
        </w:rPr>
        <w:t>establece durante los primeros años una cuota mensual a tipo fijo, el resto del periodo que dure la vida del préstamo estará determinado por un tipo de interés variable.</w:t>
      </w:r>
    </w:p>
    <w:p w14:paraId="641E1D6C" w14:textId="77777777" w:rsidR="00136343" w:rsidRPr="00CF1B34" w:rsidRDefault="00136343"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¿Cómo se establece el tipo de interés en una hipoteca mixta?</w:t>
      </w:r>
    </w:p>
    <w:p w14:paraId="725B9478" w14:textId="77777777" w:rsidR="00136343" w:rsidRPr="00CF1B34" w:rsidRDefault="00136343"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Este tipo de préstamos hipotecarios son una combinación de la hipoteca fija y la hipoteca variable. Esto quiere decir que durante los primeros años la cuantía mensual no varía y se mantiene, como ocurre en los préstamos hipotecarios a </w:t>
      </w:r>
      <w:r w:rsidRPr="00CF1B34">
        <w:rPr>
          <w:rStyle w:val="Textoennegrita"/>
          <w:rFonts w:ascii="Arial" w:hAnsi="Arial" w:cs="Arial"/>
          <w:sz w:val="22"/>
          <w:szCs w:val="22"/>
          <w:lang w:val="es-ES_tradnl"/>
        </w:rPr>
        <w:t>tipo fijo</w:t>
      </w:r>
      <w:r w:rsidRPr="00CF1B34">
        <w:rPr>
          <w:rFonts w:ascii="Arial" w:hAnsi="Arial" w:cs="Arial"/>
          <w:sz w:val="22"/>
          <w:szCs w:val="22"/>
          <w:lang w:val="es-ES_tradnl"/>
        </w:rPr>
        <w:t>. A partir del momento en el que se haya pactado que termina el periodo a tipo fijo comenzará a pagarse una cuantía a </w:t>
      </w:r>
      <w:r w:rsidRPr="00CF1B34">
        <w:rPr>
          <w:rStyle w:val="Textoennegrita"/>
          <w:rFonts w:ascii="Arial" w:hAnsi="Arial" w:cs="Arial"/>
          <w:sz w:val="22"/>
          <w:szCs w:val="22"/>
          <w:lang w:val="es-ES_tradnl"/>
        </w:rPr>
        <w:t>tipo variable</w:t>
      </w:r>
      <w:r w:rsidRPr="00CF1B34">
        <w:rPr>
          <w:rFonts w:ascii="Arial" w:hAnsi="Arial" w:cs="Arial"/>
          <w:sz w:val="22"/>
          <w:szCs w:val="22"/>
          <w:lang w:val="es-ES_tradnl"/>
        </w:rPr>
        <w:t>. Las cuotas mensuales irán variando y subirán o bajarán en función de su índice de referencia, el euríbor en la mayoría de los casos. Esta variación depende de los plazos establecidos para la revisión de los tipos de interés que habitualmente se realiza cada 6 o 12 meses.</w:t>
      </w:r>
    </w:p>
    <w:p w14:paraId="3E5BB070" w14:textId="77777777" w:rsidR="00136343" w:rsidRPr="00CF1B34" w:rsidRDefault="00136343"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Esta modalidad de préstamos hipotecarios se asemeja mucho a las hipotecas de tipo variable incluyendo algunas condiciones especiales.</w:t>
      </w:r>
    </w:p>
    <w:p w14:paraId="5E8C8171" w14:textId="77777777" w:rsidR="00136343" w:rsidRPr="00CF1B34" w:rsidRDefault="00136343"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¿Es lo mismo una hipoteca mixta que una hipoteca combinada?</w:t>
      </w:r>
    </w:p>
    <w:p w14:paraId="4F4EB433" w14:textId="400173B6" w:rsidR="00136343" w:rsidRPr="00CF1B34" w:rsidRDefault="00136343"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Una hipoteca mixta y una combinada son productos financieros diferentes. Cuando hablamos de hipoteca combinada nos referimos a un préstamo hipotecario que combina el interés fijo y variable y a diferencia de forma simultánea, a diferencia de las hipotecas mixtas que incorporan el interés fijo en el primer periodo y el interés variable en el segundo</w:t>
      </w:r>
      <w:r w:rsidR="009E19E9" w:rsidRPr="00CF1B34">
        <w:rPr>
          <w:rFonts w:ascii="Arial" w:hAnsi="Arial" w:cs="Arial"/>
          <w:sz w:val="22"/>
          <w:szCs w:val="22"/>
          <w:lang w:val="es-ES_tradnl"/>
        </w:rPr>
        <w:t>,</w:t>
      </w:r>
      <w:r w:rsidRPr="00CF1B34">
        <w:rPr>
          <w:rFonts w:ascii="Arial" w:hAnsi="Arial" w:cs="Arial"/>
          <w:sz w:val="22"/>
          <w:szCs w:val="22"/>
          <w:lang w:val="es-ES_tradnl"/>
        </w:rPr>
        <w:t xml:space="preserve"> pero nunca son aplicados de forma simultánea.</w:t>
      </w:r>
    </w:p>
    <w:p w14:paraId="04C92952" w14:textId="77777777" w:rsidR="00136343" w:rsidRPr="00CF1B34" w:rsidRDefault="0013634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las hipotecas combinadas se aplica la media de ambos tipos de intereses: fijo y variables, esto quiere decir que la variación del índice únicamente afecta al 50% del interés aplicado.</w:t>
      </w:r>
    </w:p>
    <w:p w14:paraId="05FC21BB" w14:textId="77777777" w:rsidR="00136343" w:rsidRPr="00CF1B34" w:rsidRDefault="00136343"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Hipoteca multidivisa</w:t>
      </w:r>
    </w:p>
    <w:p w14:paraId="34A6C7B8" w14:textId="0BB70A35" w:rsidR="00136343" w:rsidRPr="00CF1B34" w:rsidRDefault="00136343" w:rsidP="0005621A">
      <w:pPr>
        <w:ind w:left="708"/>
        <w:jc w:val="both"/>
        <w:rPr>
          <w:rFonts w:ascii="Arial" w:hAnsi="Arial" w:cs="Arial"/>
          <w:sz w:val="22"/>
          <w:szCs w:val="22"/>
          <w:lang w:val="es-ES_tradnl"/>
        </w:rPr>
      </w:pPr>
      <w:r w:rsidRPr="00CF1B34">
        <w:rPr>
          <w:rFonts w:ascii="Arial" w:hAnsi="Arial" w:cs="Arial"/>
          <w:sz w:val="22"/>
          <w:szCs w:val="22"/>
          <w:lang w:val="es-ES_tradnl"/>
        </w:rPr>
        <w:t>Un</w:t>
      </w:r>
      <w:r w:rsidR="009E19E9" w:rsidRPr="00CF1B34">
        <w:rPr>
          <w:rFonts w:ascii="Arial" w:hAnsi="Arial" w:cs="Arial"/>
          <w:sz w:val="22"/>
          <w:szCs w:val="22"/>
          <w:lang w:val="es-ES_tradnl"/>
        </w:rPr>
        <w:t xml:space="preserve"> </w:t>
      </w:r>
      <w:r w:rsidRPr="00CF1B34">
        <w:rPr>
          <w:rFonts w:ascii="Arial" w:hAnsi="Arial" w:cs="Arial"/>
          <w:b/>
          <w:bCs/>
          <w:sz w:val="22"/>
          <w:szCs w:val="22"/>
          <w:lang w:val="es-ES_tradnl"/>
        </w:rPr>
        <w:t>préstamo hipotecario multidivisa</w:t>
      </w:r>
      <w:r w:rsidRPr="00CF1B34">
        <w:rPr>
          <w:rFonts w:ascii="Arial" w:hAnsi="Arial" w:cs="Arial"/>
          <w:sz w:val="22"/>
          <w:szCs w:val="22"/>
          <w:lang w:val="es-ES_tradnl"/>
        </w:rPr>
        <w:t>, es un tipo de préstamo hipotecario que ofrece la posibilidad de pagar las cuotas correspondientes en una divisa diferente a la local.</w:t>
      </w:r>
    </w:p>
    <w:p w14:paraId="7D48ADF0" w14:textId="77777777" w:rsidR="00136343" w:rsidRPr="00CF1B34" w:rsidRDefault="00136343"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principal diferencia con respecto al préstamo hipotecario es que se emplea un índice de referencia extranjero diferente al euríbor. El índice de referencia habitual en estas hipotecas es el líbor que estará asociado a una divisa diferente al euro.</w:t>
      </w:r>
    </w:p>
    <w:p w14:paraId="6845D70E" w14:textId="77777777" w:rsidR="00136343" w:rsidRPr="00CF1B34" w:rsidRDefault="00136343"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¿Cuál es el coste del préstamo hipotecario multidivisa?</w:t>
      </w:r>
    </w:p>
    <w:p w14:paraId="5A58327D" w14:textId="77777777" w:rsidR="00136343" w:rsidRPr="00CF1B34" w:rsidRDefault="00136343"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caso de que la divisa tenga un valor inferior al del euro y el índice se mantenga bajo, se traducirá en que el préstamo será más barato en comparación con un préstamo en euros referenciado al euríbor.</w:t>
      </w:r>
    </w:p>
    <w:p w14:paraId="0495CFAA" w14:textId="77777777" w:rsidR="00136343" w:rsidRPr="00CF1B34" w:rsidRDefault="00136343"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coste del préstamo y el importe de las cuotas anuales, trimestrales y mensuales dependerá de este índice de referencia de la misma forma que ocurre con aquellos préstamos hipotecarios referenciados al euríbor. Este índice evolucionará y variará en el tiempo pudiendo provocar subidas y bajadas en las cuantías.</w:t>
      </w:r>
    </w:p>
    <w:p w14:paraId="024C4F9B" w14:textId="77777777" w:rsidR="00136343" w:rsidRPr="00CF1B34" w:rsidRDefault="00136343"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enormes variaciones que se producen en el mercado de divisas hacen de este tipo de productos, productos altamente variables. Es por tanto la fortaleza o debilidad de la divisa escogida, la que determinará el coste del préstamo hipotecario.</w:t>
      </w:r>
    </w:p>
    <w:p w14:paraId="44968C2E" w14:textId="77777777" w:rsidR="00136343" w:rsidRPr="00CF1B34" w:rsidRDefault="00136343"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¿A quién se dirige esta modalidad de préstamos hipotecario?</w:t>
      </w:r>
    </w:p>
    <w:p w14:paraId="5E8C9442" w14:textId="77777777" w:rsidR="00136343" w:rsidRPr="00CF1B34" w:rsidRDefault="00136343"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Debido a que su funcionamiento es más complejo que otro tipo de préstamos hipotecarios convencionales, este tipo de préstamos están dirigidos principalmente a aquellos usuarios que tengan un amplio conocimiento financiero.</w:t>
      </w:r>
    </w:p>
    <w:p w14:paraId="522086C3" w14:textId="77777777" w:rsidR="00136343" w:rsidRPr="00CF1B34" w:rsidRDefault="00136343"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todas aquellas hipotecas multidivisa firmadas después de junio de 2019, la última actualización de la ley hipotecaria establece que:</w:t>
      </w:r>
    </w:p>
    <w:p w14:paraId="44DEB810" w14:textId="77777777" w:rsidR="00136343" w:rsidRPr="00CF1B34" w:rsidRDefault="00136343" w:rsidP="004F7A62">
      <w:pPr>
        <w:numPr>
          <w:ilvl w:val="0"/>
          <w:numId w:val="28"/>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cliente puede convertir su hipoteca multidivisa al euro</w:t>
      </w:r>
    </w:p>
    <w:p w14:paraId="2F4813C2" w14:textId="77777777" w:rsidR="00136343" w:rsidRPr="00CF1B34" w:rsidRDefault="00136343" w:rsidP="004F7A62">
      <w:pPr>
        <w:numPr>
          <w:ilvl w:val="0"/>
          <w:numId w:val="28"/>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entidad bancaria tiene la obligación de informar de forma periódica sobre los incrementos que se produzcan en la deuda y que provoquen subidas en el valor de la divisa.</w:t>
      </w:r>
    </w:p>
    <w:p w14:paraId="3A2B4429" w14:textId="77777777" w:rsidR="00136343" w:rsidRPr="00CF1B34" w:rsidRDefault="0013634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lastRenderedPageBreak/>
        <w:t>La información precontractual del préstamo hipotecario deberá informar de la cantidad en que podría llegar a incrementarse el préstamo en caso de que el tipo de cambio entre la divisa y el euro aumentasen un 20%.</w:t>
      </w:r>
    </w:p>
    <w:p w14:paraId="7A51FF7E" w14:textId="77777777" w:rsidR="001E6532" w:rsidRPr="00CF1B34" w:rsidRDefault="001E6532"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Hipoteca puente</w:t>
      </w:r>
    </w:p>
    <w:p w14:paraId="36C38BCC" w14:textId="6CCEB518" w:rsidR="001E6532" w:rsidRPr="00CF1B34" w:rsidRDefault="001E6532" w:rsidP="0005621A">
      <w:pPr>
        <w:ind w:left="708"/>
        <w:jc w:val="both"/>
        <w:rPr>
          <w:rFonts w:ascii="Arial" w:hAnsi="Arial" w:cs="Arial"/>
          <w:sz w:val="22"/>
          <w:szCs w:val="22"/>
          <w:lang w:val="es-ES_tradnl"/>
        </w:rPr>
      </w:pPr>
      <w:r w:rsidRPr="00CF1B34">
        <w:rPr>
          <w:rFonts w:ascii="Arial" w:hAnsi="Arial" w:cs="Arial"/>
          <w:sz w:val="22"/>
          <w:szCs w:val="22"/>
          <w:lang w:val="es-ES_tradnl"/>
        </w:rPr>
        <w:t>Una</w:t>
      </w:r>
      <w:r w:rsidR="009A73BE" w:rsidRPr="00CF1B34">
        <w:rPr>
          <w:rFonts w:ascii="Arial" w:hAnsi="Arial" w:cs="Arial"/>
          <w:sz w:val="22"/>
          <w:szCs w:val="22"/>
          <w:lang w:val="es-ES_tradnl"/>
        </w:rPr>
        <w:t xml:space="preserve"> </w:t>
      </w:r>
      <w:r w:rsidRPr="00CF1B34">
        <w:rPr>
          <w:rFonts w:ascii="Arial" w:hAnsi="Arial" w:cs="Arial"/>
          <w:b/>
          <w:bCs/>
          <w:sz w:val="22"/>
          <w:szCs w:val="22"/>
          <w:lang w:val="es-ES_tradnl"/>
        </w:rPr>
        <w:t>hipoteca puente</w:t>
      </w:r>
      <w:r w:rsidRPr="00CF1B34">
        <w:rPr>
          <w:rFonts w:ascii="Arial" w:hAnsi="Arial" w:cs="Arial"/>
          <w:sz w:val="22"/>
          <w:szCs w:val="22"/>
          <w:lang w:val="es-ES_tradnl"/>
        </w:rPr>
        <w:t>, es un tipo de préstamo hipotecario que permite adquirir una vivienda mientras continuamos pagando la hipoteca actual. Este préstamo hipotecario permite unificar dos hipotecas distintas en una cuota única con la condición de vender la vivienda antigua en un periodo máximo de cinco años.</w:t>
      </w:r>
    </w:p>
    <w:p w14:paraId="06D6D0E1"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nuevo préstamo hipotecario permitirá cubrir la cuantía pendiente de pago de la vivienda actual y el coste de la nueva vivienda, consiguiendo hasta el 100% del valor de tasación.</w:t>
      </w:r>
    </w:p>
    <w:p w14:paraId="7A17EAF4"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vez que se consiga vender la vivienda, la hipoteca puente será cancelada y se sustituirá por una hipoteca convencional.</w:t>
      </w:r>
    </w:p>
    <w:p w14:paraId="029D7AB8" w14:textId="77777777" w:rsidR="001E6532" w:rsidRPr="00CF1B34" w:rsidRDefault="001E6532"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requisitos deben cumplirse para solicitar una hipoteca puente?</w:t>
      </w:r>
    </w:p>
    <w:p w14:paraId="6E79A3DB"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Los requisitos necesarios para obtener una hipoteca puente son similares a los de un préstamo hipotecario convencional y que implican un análisis de solvencia, la tasación de ambos inmuebles y los trámites fiscales, notariales y registrales habituales.</w:t>
      </w:r>
    </w:p>
    <w:p w14:paraId="4B8FFF8C"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valor de la hipoteca puente habitualmente no superan más del 80% del valor de tasación de las 2 viviendas. En función del importe que quede pendiente de la primera hipoteca, y siempre que este sea bajo, es posible obtener un 100% de financiación para la vivienda nueva.</w:t>
      </w:r>
    </w:p>
    <w:p w14:paraId="6E4B797F"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punto que sí difiere en relación a un préstamo hipotecario convencional son las garantías. En este caso las garantías exigidas suelen ser mayores ya que este producto implica un riesgo más elevado para la entidad financiera.</w:t>
      </w:r>
    </w:p>
    <w:p w14:paraId="6080DC98" w14:textId="77777777" w:rsidR="001E6532" w:rsidRPr="00CF1B34" w:rsidRDefault="001E6532"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Tipos de cuotas</w:t>
      </w:r>
    </w:p>
    <w:p w14:paraId="4A9B9CF1"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de las particularidades que ofrecen este tipo de préstamos hipotecarios es que existe la posibilidad de elegir entre tres modalidades de cuotas durante el tiempo que transcurra hasta que hasta que se venda la antigua vivienda:</w:t>
      </w:r>
    </w:p>
    <w:p w14:paraId="4EE0AEB4" w14:textId="77777777" w:rsidR="001E6532" w:rsidRPr="00CF1B34" w:rsidRDefault="001E6532" w:rsidP="004F7A62">
      <w:pPr>
        <w:numPr>
          <w:ilvl w:val="0"/>
          <w:numId w:val="29"/>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Cuota normal:</w:t>
      </w:r>
      <w:r w:rsidRPr="00CF1B34">
        <w:rPr>
          <w:rFonts w:ascii="Arial" w:hAnsi="Arial" w:cs="Arial"/>
          <w:sz w:val="22"/>
          <w:szCs w:val="22"/>
          <w:lang w:val="es-ES_tradnl"/>
        </w:rPr>
        <w:t> esta modalidad consiste en la amortización tanto del capital como de los intereses a un ritmo normal.</w:t>
      </w:r>
    </w:p>
    <w:p w14:paraId="1C9B1179" w14:textId="77777777" w:rsidR="001E6532" w:rsidRPr="00CF1B34" w:rsidRDefault="001E6532" w:rsidP="004F7A62">
      <w:pPr>
        <w:numPr>
          <w:ilvl w:val="0"/>
          <w:numId w:val="29"/>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Cuota especial reducida: </w:t>
      </w:r>
      <w:r w:rsidRPr="00CF1B34">
        <w:rPr>
          <w:rFonts w:ascii="Arial" w:hAnsi="Arial" w:cs="Arial"/>
          <w:sz w:val="22"/>
          <w:szCs w:val="22"/>
          <w:lang w:val="es-ES_tradnl"/>
        </w:rPr>
        <w:t>en este caso el importe será inferior al que se pagará tras haber vendido la vivienda original. En este caso, la mayor parte de la cuantía irá destinada al pago de los intereses generados.</w:t>
      </w:r>
    </w:p>
    <w:p w14:paraId="03FA1FE2" w14:textId="77777777" w:rsidR="001E6532" w:rsidRPr="00CF1B34" w:rsidRDefault="001E6532" w:rsidP="004F7A62">
      <w:pPr>
        <w:numPr>
          <w:ilvl w:val="0"/>
          <w:numId w:val="29"/>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Cuota con carencia de capital: </w:t>
      </w:r>
      <w:r w:rsidRPr="00CF1B34">
        <w:rPr>
          <w:rFonts w:ascii="Arial" w:hAnsi="Arial" w:cs="Arial"/>
          <w:sz w:val="22"/>
          <w:szCs w:val="22"/>
          <w:lang w:val="es-ES_tradnl"/>
        </w:rPr>
        <w:t>esta cuota implica el pago de la parte correspondiente al interés del préstamo, su coste es más bajo que el de una cuota normal pero no se amortiza el pago del capital pendiente de devolución.</w:t>
      </w:r>
    </w:p>
    <w:p w14:paraId="10B59456" w14:textId="77777777" w:rsidR="001E6532" w:rsidRPr="00CF1B34" w:rsidRDefault="001E653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Muchas entidades ofrecen una carencia de capital para lograr cuotas más bajas hasta que se venda la vivienda lo que se considera como uno de los principales atractivos de este tipo de préstamos hipotecarios. Es importante conocer también que existe un cierto riesgo de que el valor de la vivienda baje hasta el momento de su venta.</w:t>
      </w:r>
    </w:p>
    <w:p w14:paraId="11B44A9F" w14:textId="7C6FA834" w:rsidR="000334D9" w:rsidRPr="00CF1B34" w:rsidRDefault="000334D9"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Hipotecas solo intereses</w:t>
      </w:r>
    </w:p>
    <w:p w14:paraId="599983A2" w14:textId="77777777" w:rsidR="000334D9" w:rsidRPr="00CF1B34" w:rsidRDefault="000334D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lastRenderedPageBreak/>
        <w:t>Muchas veces optamos por contratar una hipoteca de solo intereses, porque vemos que la cuota mensual que pagamos es mucho menor, pero hay que tener cuidado, porque si no nos damos cuenta es posible que no paguemos nunca nuestra vivienda.</w:t>
      </w:r>
    </w:p>
    <w:p w14:paraId="5EF2C7FE" w14:textId="7ED175F0" w:rsidR="000334D9" w:rsidRPr="00CF1B34" w:rsidRDefault="000334D9"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Hipotecas subprime</w:t>
      </w:r>
    </w:p>
    <w:p w14:paraId="2B0E1FAB" w14:textId="5C5C4EEC" w:rsidR="00DF606B" w:rsidRPr="00CF1B34" w:rsidRDefault="00DF606B"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shd w:val="clear" w:color="auto" w:fill="FFFFFF"/>
          <w:lang w:val="es-ES_tradnl"/>
        </w:rPr>
        <w:t>Una hipoteca subprime es aquella hipoteca considerada de ‘riesgo’ por aquel a quien se concede</w:t>
      </w:r>
      <w:r w:rsidRPr="00CF1B34">
        <w:rPr>
          <w:rFonts w:ascii="Arial" w:hAnsi="Arial" w:cs="Arial"/>
          <w:color w:val="333333"/>
          <w:sz w:val="22"/>
          <w:szCs w:val="22"/>
          <w:shd w:val="clear" w:color="auto" w:fill="FFFFFF"/>
          <w:lang w:val="es-ES_tradnl"/>
        </w:rPr>
        <w:t xml:space="preserve">. El prestatario tiene unas condiciones fuera de lo que una entidad bancaria ‘normal’ aceptaría, bien porque no tiene un trabajo estable, bien porque empieza, bien porque sus ingresos no son recurrentes o porque no se pueden demostrar mediante nominas, recibos, etc…y con </w:t>
      </w:r>
      <w:r w:rsidR="009E19E9" w:rsidRPr="00CF1B34">
        <w:rPr>
          <w:rFonts w:ascii="Arial" w:hAnsi="Arial" w:cs="Arial"/>
          <w:color w:val="333333"/>
          <w:sz w:val="22"/>
          <w:szCs w:val="22"/>
          <w:shd w:val="clear" w:color="auto" w:fill="FFFFFF"/>
          <w:lang w:val="es-ES_tradnl"/>
        </w:rPr>
        <w:t>e</w:t>
      </w:r>
      <w:r w:rsidRPr="00CF1B34">
        <w:rPr>
          <w:rFonts w:ascii="Arial" w:hAnsi="Arial" w:cs="Arial"/>
          <w:color w:val="333333"/>
          <w:sz w:val="22"/>
          <w:szCs w:val="22"/>
          <w:shd w:val="clear" w:color="auto" w:fill="FFFFFF"/>
          <w:lang w:val="es-ES_tradnl"/>
        </w:rPr>
        <w:t xml:space="preserve">stas características </w:t>
      </w:r>
      <w:proofErr w:type="gramStart"/>
      <w:r w:rsidRPr="00CF1B34">
        <w:rPr>
          <w:rFonts w:ascii="Arial" w:hAnsi="Arial" w:cs="Arial"/>
          <w:color w:val="333333"/>
          <w:sz w:val="22"/>
          <w:szCs w:val="22"/>
          <w:shd w:val="clear" w:color="auto" w:fill="FFFFFF"/>
          <w:lang w:val="es-ES_tradnl"/>
        </w:rPr>
        <w:t>éstos</w:t>
      </w:r>
      <w:proofErr w:type="gramEnd"/>
      <w:r w:rsidRPr="00CF1B34">
        <w:rPr>
          <w:rFonts w:ascii="Arial" w:hAnsi="Arial" w:cs="Arial"/>
          <w:color w:val="333333"/>
          <w:sz w:val="22"/>
          <w:szCs w:val="22"/>
          <w:shd w:val="clear" w:color="auto" w:fill="FFFFFF"/>
          <w:lang w:val="es-ES_tradnl"/>
        </w:rPr>
        <w:t xml:space="preserve"> prestatarios no tienen acceso a avales bancarios.</w:t>
      </w:r>
    </w:p>
    <w:p w14:paraId="7EC6B45C" w14:textId="7B61BB0A" w:rsidR="001E6532" w:rsidRPr="00CF1B34" w:rsidRDefault="001E6532"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Hipoteca verde</w:t>
      </w:r>
    </w:p>
    <w:p w14:paraId="24C54F09" w14:textId="71654C96"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w:t>
      </w:r>
      <w:r w:rsidR="009A73BE" w:rsidRPr="00CF1B34">
        <w:rPr>
          <w:rFonts w:ascii="Arial" w:hAnsi="Arial" w:cs="Arial"/>
          <w:sz w:val="22"/>
          <w:szCs w:val="22"/>
          <w:lang w:val="es-ES_tradnl"/>
        </w:rPr>
        <w:t xml:space="preserve"> </w:t>
      </w:r>
      <w:r w:rsidRPr="00CF1B34">
        <w:rPr>
          <w:rFonts w:ascii="Arial" w:hAnsi="Arial" w:cs="Arial"/>
          <w:b/>
          <w:bCs/>
          <w:sz w:val="22"/>
          <w:szCs w:val="22"/>
          <w:lang w:val="es-ES_tradnl"/>
        </w:rPr>
        <w:t>hipoteca verde</w:t>
      </w:r>
      <w:r w:rsidR="009A73BE" w:rsidRPr="00CF1B34">
        <w:rPr>
          <w:rFonts w:ascii="Arial" w:hAnsi="Arial" w:cs="Arial"/>
          <w:sz w:val="22"/>
          <w:szCs w:val="22"/>
          <w:lang w:val="es-ES_tradnl"/>
        </w:rPr>
        <w:t xml:space="preserve"> </w:t>
      </w:r>
      <w:r w:rsidRPr="00CF1B34">
        <w:rPr>
          <w:rFonts w:ascii="Arial" w:hAnsi="Arial" w:cs="Arial"/>
          <w:sz w:val="22"/>
          <w:szCs w:val="22"/>
          <w:lang w:val="es-ES_tradnl"/>
        </w:rPr>
        <w:t>es una hipoteca sostenible. Es decir: un préstamo para la construcción, compra o rehabilitación que establece sus condiciones en función de la eficiencia energética de la vivienda que financie. En definitiva, es una forma de favorecer a aquellos inmuebles energéticamente eficientes, y de bonificar unas instalaciones sostenibles que puedan reducir el consumo energético. De hecho, pueden procurar un ahorro medio de 3.000€ anuales por hogar y año, además de reducir la contaminación y lograr un impacto ambiental más bajo.</w:t>
      </w:r>
    </w:p>
    <w:p w14:paraId="4075CF55"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cuanto a condiciones, cabe resaltar que la principal diferencia frente a una hipoteca no-eco es el tipo de interés: menor cuanta mayor eficiencia energética tenga el inmueble (es decir, una A+), mientras que las G tendrán el interés más alto. El resto de condiciones (comisiones, productos vinculados…) no difieren mucho del resto.</w:t>
      </w:r>
    </w:p>
    <w:p w14:paraId="029FB92A" w14:textId="77777777" w:rsidR="001E6532" w:rsidRPr="00CF1B34" w:rsidRDefault="001E6532"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¿Quién puede solicitarla?</w:t>
      </w:r>
    </w:p>
    <w:p w14:paraId="448F2619" w14:textId="70D4C02F"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principio, cualquier persona física o empresa que desee solicitar un</w:t>
      </w:r>
      <w:r w:rsidR="003A5AD2" w:rsidRPr="00CF1B34">
        <w:rPr>
          <w:rFonts w:ascii="Arial" w:hAnsi="Arial" w:cs="Arial"/>
          <w:sz w:val="22"/>
          <w:szCs w:val="22"/>
          <w:lang w:val="es-ES_tradnl"/>
        </w:rPr>
        <w:t xml:space="preserve"> </w:t>
      </w:r>
      <w:hyperlink r:id="rId259" w:history="1">
        <w:r w:rsidRPr="00CF1B34">
          <w:rPr>
            <w:rFonts w:ascii="Arial" w:hAnsi="Arial" w:cs="Arial"/>
            <w:color w:val="BD4313"/>
            <w:sz w:val="22"/>
            <w:szCs w:val="22"/>
            <w:u w:val="single"/>
            <w:lang w:val="es-ES_tradnl"/>
          </w:rPr>
          <w:t>préstamo para la construcción</w:t>
        </w:r>
      </w:hyperlink>
      <w:r w:rsidRPr="00CF1B34">
        <w:rPr>
          <w:rFonts w:ascii="Arial" w:hAnsi="Arial" w:cs="Arial"/>
          <w:sz w:val="22"/>
          <w:szCs w:val="22"/>
          <w:lang w:val="es-ES_tradnl"/>
        </w:rPr>
        <w:t>, la compra o la reforma. Para que el inmueble pueda considerarse verde, el certificado de eficiencia energética tendrá que obtener una calificación de A+, A o B.</w:t>
      </w:r>
    </w:p>
    <w:p w14:paraId="42B55C82"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Y por supuesto, cualquiera que tenga un buen perfil de riesgo y que garantice la solvencia necesaria para devolver el préstamo; igual que para contratar cualquier otra hipoteca.</w:t>
      </w:r>
    </w:p>
    <w:p w14:paraId="42AAC663" w14:textId="77777777" w:rsidR="001E6532" w:rsidRPr="00CF1B34" w:rsidRDefault="001E6532"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Compra y reforma de viviendas</w:t>
      </w:r>
    </w:p>
    <w:p w14:paraId="2C8991AB"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vivienda energéticamente eficiente debe cumplir con unas condiciones de construcción y materiales especiales, y especialmente costosos. Por este motivo, es normal que el propio promotor se acoja a una hipoteca verde que le cobre un interés menor, y que a su vez pueda subrogar a sus compradores.</w:t>
      </w:r>
    </w:p>
    <w:p w14:paraId="34A60E76"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Lo mismo ocurre cuando vamos a hacer frente a una o rehabilitación que incluya materiales y procedimientos sostenibles: aislantes termoacústicos, paneles solares, climatización… El hecho de estar reformado conforme a estas características incrementará el valor de tasación del inmueble, y además reducirá las facturas de agua, luz y gas.</w:t>
      </w:r>
    </w:p>
    <w:p w14:paraId="61858754" w14:textId="77777777" w:rsidR="001E6532" w:rsidRPr="00CF1B34" w:rsidRDefault="001E6532"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El Plan EeMap</w:t>
      </w:r>
    </w:p>
    <w:p w14:paraId="5AA57FC6"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Desde 2018 se viene desarrollando el Plan de Acción sobre Hipotecas Energéticamente Eficientes (EeMap), cuyos miembros ya trabajan para garantizar que estas hipotecas </w:t>
      </w:r>
      <w:r w:rsidRPr="00CF1B34">
        <w:rPr>
          <w:rFonts w:ascii="Arial" w:hAnsi="Arial" w:cs="Arial"/>
          <w:sz w:val="22"/>
          <w:szCs w:val="22"/>
          <w:lang w:val="es-ES_tradnl"/>
        </w:rPr>
        <w:lastRenderedPageBreak/>
        <w:t>verdes efectivamente respalden la política energética de la Unión Europea, se adapten a un estándar único para toda la UE y además puedan contribuir a la rehabilitación sostenible de los edificios.</w:t>
      </w:r>
    </w:p>
    <w:p w14:paraId="1A23BC1A"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este plan ya participan 23 organizaciones del mercado inmobiliario y más de 37 entidades financieras, y aunque este mercado tan solo acaba de arrancar, ya hay algunas entidades bancarias interesadas en promover esta iniciativa en nuestro país.</w:t>
      </w:r>
    </w:p>
    <w:p w14:paraId="65D19635" w14:textId="5C4C9AFC" w:rsidR="001E6532" w:rsidRPr="00CF1B34" w:rsidRDefault="001E653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Por el momento no existe una oferta demasiado competitiva, confiamos en que poco a poco se sumarán cada vez más bancos. Además, la devolución de estos créditos es más segura, ya que</w:t>
      </w:r>
      <w:r w:rsidR="009E19E9" w:rsidRPr="00CF1B34">
        <w:rPr>
          <w:rFonts w:ascii="Arial" w:hAnsi="Arial" w:cs="Arial"/>
          <w:sz w:val="22"/>
          <w:szCs w:val="22"/>
          <w:lang w:val="es-ES_tradnl"/>
        </w:rPr>
        <w:t>,</w:t>
      </w:r>
      <w:r w:rsidRPr="00CF1B34">
        <w:rPr>
          <w:rFonts w:ascii="Arial" w:hAnsi="Arial" w:cs="Arial"/>
          <w:sz w:val="22"/>
          <w:szCs w:val="22"/>
          <w:lang w:val="es-ES_tradnl"/>
        </w:rPr>
        <w:t xml:space="preserve"> al permitirnos ahorrar, nos dará mayor capacidad para hacer frente a los pagos.</w:t>
      </w:r>
    </w:p>
    <w:p w14:paraId="7E1127FC" w14:textId="77777777" w:rsidR="001E6532" w:rsidRPr="00CF1B34" w:rsidRDefault="001E6532"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Historial crediticio</w:t>
      </w:r>
    </w:p>
    <w:p w14:paraId="7337E395"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historial crediticio</w:t>
      </w:r>
      <w:r w:rsidRPr="00CF1B34">
        <w:rPr>
          <w:rFonts w:ascii="Arial" w:hAnsi="Arial" w:cs="Arial"/>
          <w:sz w:val="22"/>
          <w:szCs w:val="22"/>
          <w:lang w:val="es-ES_tradnl"/>
        </w:rPr>
        <w:t> es un documento que refleja los antecedentes financieros de alguien, con toda la información relativa a facturas pendientes, deudas, etc.</w:t>
      </w:r>
    </w:p>
    <w:p w14:paraId="022FEACB" w14:textId="191567FA"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elaborar este informe se realiza una consulta a las distintas compañías de luz, agua, gas, teléfono, aseguradoras, empresas automovilísticas, etc., y se analiza nuestro nivel de solvencia, de confianza y en definitiva nuestra capacidad para hacer frente a los pagos de cualquier deuda que contraigamos con la entidad crediticia. Obviamente, cuanto más limpio esté nuestro historial, mayor confianza inspiraremos al banco.</w:t>
      </w:r>
    </w:p>
    <w:p w14:paraId="034F29C5"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historial crediticio está al alcance de cualquiera, cualquier persona puede conocer su propio historial. De hecho, es muy aconsejable consultarlo antes de solicitar un préstamo ya que nos ayudará a la hora de hacernos una idea de nuestra capacidad crediticia. Basta con entrar en la página web del Banco de España y seguir lo pasos que indiquen, o solicitarlo a entidades como Equifax, que ofrecen un informe gratuito al año. También existen aplicaciones que miden nuestro grado de solvencia.</w:t>
      </w:r>
    </w:p>
    <w:p w14:paraId="0F020AA4"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otro lado, existen los sistemas de información crediticia (ASNEF, RAI), que únicamente incluyen a las personas físicas o jurídicas que hayan contraído alguna deuda y no la hayan saldado. Para entendernos, son listas de morosos.</w:t>
      </w:r>
    </w:p>
    <w:p w14:paraId="5C5EF629" w14:textId="77777777" w:rsidR="001E6532" w:rsidRPr="00CF1B34" w:rsidRDefault="001E6532"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ayuda a tener un buen historial?</w:t>
      </w:r>
    </w:p>
    <w:p w14:paraId="42166B24"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Normalmente para tener un buen historial crediticio bastará con llevar todos los pagos al día y tener liquidez en nuestras cuentas bancarias. </w:t>
      </w:r>
      <w:proofErr w:type="gramStart"/>
      <w:r w:rsidRPr="00CF1B34">
        <w:rPr>
          <w:rFonts w:ascii="Arial" w:hAnsi="Arial" w:cs="Arial"/>
          <w:sz w:val="22"/>
          <w:szCs w:val="22"/>
          <w:lang w:val="es-ES_tradnl"/>
        </w:rPr>
        <w:t>Pero</w:t>
      </w:r>
      <w:proofErr w:type="gramEnd"/>
      <w:r w:rsidRPr="00CF1B34">
        <w:rPr>
          <w:rFonts w:ascii="Arial" w:hAnsi="Arial" w:cs="Arial"/>
          <w:sz w:val="22"/>
          <w:szCs w:val="22"/>
          <w:lang w:val="es-ES_tradnl"/>
        </w:rPr>
        <w:t xml:space="preserve"> además, será bueno tener un trabajo estable y disponer de ingresos medios/altos, de una tarjeta de crédito, tener una cuenta con un balance positivo, contar con un colchón financiero y no contratar micropréstamos. Y obviamente, no ayuda figurar en listas de morosos, devolver recibos, tener impagos o endeudamientos, tener descubiertos en la cuenta, etc.</w:t>
      </w:r>
    </w:p>
    <w:p w14:paraId="71190916" w14:textId="77777777" w:rsidR="001E6532" w:rsidRPr="00CF1B34" w:rsidRDefault="001E653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Y si queremos limpiar nuestra imagen crediticia, bastará con saldar nuestras deudas. Cuando esto suceda, los gestores de estos informes deberán eliminar los datos en el plazo de un mes, no sin antes comprobar con las compañías afectadas que efectivamente se haya saldado la deuda.</w:t>
      </w:r>
    </w:p>
    <w:p w14:paraId="687E75FE" w14:textId="77777777" w:rsidR="001E6532" w:rsidRPr="00CF1B34" w:rsidRDefault="001E6532"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¿Por qué nuestros datos son públicos?</w:t>
      </w:r>
    </w:p>
    <w:p w14:paraId="45B3E651" w14:textId="77777777" w:rsidR="00CD461E" w:rsidRPr="00CF1B34" w:rsidRDefault="001E653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En nuestro país, este tipo de informes están regulados por la LOPD. En general, se considera que se pueden tratar nuestros datos personales relativos al impago de nuestras deudas, entre otros, cuando sea el acreedor quien facilite esos datos; o cuando estos </w:t>
      </w:r>
      <w:r w:rsidRPr="00CF1B34">
        <w:rPr>
          <w:rFonts w:ascii="Arial" w:hAnsi="Arial" w:cs="Arial"/>
          <w:sz w:val="22"/>
          <w:szCs w:val="22"/>
          <w:lang w:val="es-ES_tradnl"/>
        </w:rPr>
        <w:lastRenderedPageBreak/>
        <w:t>reflejan deudas ciertas, vencidas y exigibles; o cuando hayamos sido informados de la posibilidad de hacerlos públicos en el contrato.</w:t>
      </w:r>
    </w:p>
    <w:p w14:paraId="70CCA943" w14:textId="5E9E6667" w:rsidR="00A60473" w:rsidRPr="00CF1B34" w:rsidRDefault="005F280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Hipótesis de mercado eficiente</w:t>
      </w:r>
    </w:p>
    <w:p w14:paraId="7DCB54EE" w14:textId="7377169C" w:rsidR="005F2805" w:rsidRPr="00CF1B34" w:rsidRDefault="00E10E38" w:rsidP="0005621A">
      <w:pPr>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Dentro de la teoría del mercado eficiente, se distinguen tres hipótesis, en función de lo que se entienda por información disponible:</w:t>
      </w:r>
    </w:p>
    <w:p w14:paraId="3AAB46D3" w14:textId="4E7EAFC3" w:rsidR="00E10E38" w:rsidRPr="00CF1B34" w:rsidRDefault="00E10E38" w:rsidP="004F7A62">
      <w:pPr>
        <w:pStyle w:val="Prrafodelista"/>
        <w:numPr>
          <w:ilvl w:val="1"/>
          <w:numId w:val="20"/>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 xml:space="preserve">Debil. Los precios incorporan la información que se deriva de la evolución histórica de las cotizaciones y volúmenes. Por tanto, analizando las pautas seguidas </w:t>
      </w:r>
      <w:r w:rsidR="00434F6B" w:rsidRPr="00CF1B34">
        <w:rPr>
          <w:rFonts w:ascii="Arial" w:hAnsi="Arial" w:cs="Arial"/>
          <w:color w:val="000000" w:themeColor="text1"/>
          <w:sz w:val="22"/>
          <w:szCs w:val="22"/>
          <w:lang w:val="es-ES_tradnl"/>
        </w:rPr>
        <w:t>por las cotizaciones en el pasado, no se puede derivar ninguna regla que permita obtener beneficios exttraordinarios. Es un concepto cercano al utilizado por el análisis técnico.</w:t>
      </w:r>
    </w:p>
    <w:p w14:paraId="6D29A201" w14:textId="1516A275" w:rsidR="00434F6B" w:rsidRPr="00CF1B34" w:rsidRDefault="00434F6B" w:rsidP="004F7A62">
      <w:pPr>
        <w:pStyle w:val="Prrafodelista"/>
        <w:numPr>
          <w:ilvl w:val="1"/>
          <w:numId w:val="20"/>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Semifuerte. Los precios incorporan toda la información publica disponible. Es decir, los precios no incluyen solo la información que hace referencia a los volúmenes y precios, sino también la referente a sus fundamentos (crecimiento en resultados</w:t>
      </w:r>
      <w:r w:rsidR="00E30543" w:rsidRPr="00CF1B34">
        <w:rPr>
          <w:rFonts w:ascii="Arial" w:hAnsi="Arial" w:cs="Arial"/>
          <w:color w:val="000000" w:themeColor="text1"/>
          <w:sz w:val="22"/>
          <w:szCs w:val="22"/>
          <w:lang w:val="es-ES_tradnl"/>
        </w:rPr>
        <w:t>, situación financiera, situación competitiva…) Este es el concepto cercano al utilizado por el análisis fundamental.</w:t>
      </w:r>
    </w:p>
    <w:p w14:paraId="20631469" w14:textId="4672AC0F" w:rsidR="00E30543" w:rsidRPr="00CF1B34" w:rsidRDefault="00E30543" w:rsidP="004F7A62">
      <w:pPr>
        <w:pStyle w:val="Prrafodelista"/>
        <w:numPr>
          <w:ilvl w:val="1"/>
          <w:numId w:val="20"/>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Fuerte. Los precios incorporan toda la información referente a una empresa, incluso la no publica o privilegiada</w:t>
      </w:r>
    </w:p>
    <w:p w14:paraId="28C5F275" w14:textId="747223EE" w:rsidR="00E30543" w:rsidRPr="00CF1B34" w:rsidRDefault="00E30543" w:rsidP="0005621A">
      <w:pPr>
        <w:pBdr>
          <w:bottom w:val="dotted" w:sz="12" w:space="23" w:color="666666"/>
        </w:pBdr>
        <w:spacing w:after="240"/>
        <w:ind w:left="720"/>
        <w:jc w:val="both"/>
        <w:rPr>
          <w:rFonts w:ascii="Arial" w:hAnsi="Arial" w:cs="Arial"/>
          <w:color w:val="000000" w:themeColor="text1"/>
          <w:sz w:val="22"/>
          <w:szCs w:val="22"/>
          <w:lang w:val="es-ES_tradnl"/>
        </w:rPr>
      </w:pPr>
    </w:p>
    <w:p w14:paraId="5A8CC6F6" w14:textId="253FBFB5" w:rsidR="005F2805" w:rsidRPr="00CF1B34" w:rsidRDefault="00E10E3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H</w:t>
      </w:r>
      <w:r w:rsidR="005F2805" w:rsidRPr="00CF1B34">
        <w:rPr>
          <w:rFonts w:ascii="Arial" w:hAnsi="Arial" w:cs="Arial"/>
          <w:b/>
          <w:bCs/>
          <w:color w:val="004773"/>
          <w:sz w:val="22"/>
          <w:szCs w:val="22"/>
          <w:lang w:val="es-ES_tradnl"/>
        </w:rPr>
        <w:t>olding</w:t>
      </w:r>
      <w:r w:rsidRPr="00CF1B34">
        <w:rPr>
          <w:rFonts w:ascii="Arial" w:hAnsi="Arial" w:cs="Arial"/>
          <w:b/>
          <w:bCs/>
          <w:color w:val="004773"/>
          <w:sz w:val="22"/>
          <w:szCs w:val="22"/>
          <w:lang w:val="es-ES_tradnl"/>
        </w:rPr>
        <w:t xml:space="preserve"> </w:t>
      </w:r>
    </w:p>
    <w:p w14:paraId="732BB276" w14:textId="01E29AEE" w:rsidR="00C30204" w:rsidRPr="00CF1B34" w:rsidRDefault="00485E1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Nombre inglés con el que se designa a la </w:t>
      </w:r>
      <w:r w:rsidR="00C30204" w:rsidRPr="00CF1B34">
        <w:rPr>
          <w:rFonts w:ascii="Arial" w:hAnsi="Arial" w:cs="Arial"/>
          <w:color w:val="000000" w:themeColor="text1"/>
          <w:sz w:val="22"/>
          <w:szCs w:val="22"/>
          <w:lang w:val="es-ES_tradnl"/>
        </w:rPr>
        <w:t>Sociedad cuya única finalidad es la posesión de participaciones de otras sociedades.</w:t>
      </w:r>
      <w:r w:rsidRPr="00CF1B34">
        <w:rPr>
          <w:rFonts w:ascii="Arial" w:hAnsi="Arial" w:cs="Arial"/>
          <w:color w:val="000000" w:themeColor="text1"/>
          <w:sz w:val="22"/>
          <w:szCs w:val="22"/>
          <w:lang w:val="es-ES_tradnl"/>
        </w:rPr>
        <w:t xml:space="preserve"> Su traducción es: sociedad tenedora</w:t>
      </w:r>
    </w:p>
    <w:p w14:paraId="5A045B08" w14:textId="3FF0191D" w:rsidR="005F2805" w:rsidRPr="00CF1B34" w:rsidRDefault="00E10E3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H</w:t>
      </w:r>
      <w:r w:rsidR="005F2805" w:rsidRPr="00CF1B34">
        <w:rPr>
          <w:rFonts w:ascii="Arial" w:hAnsi="Arial" w:cs="Arial"/>
          <w:b/>
          <w:bCs/>
          <w:color w:val="004773"/>
          <w:sz w:val="22"/>
          <w:szCs w:val="22"/>
          <w:lang w:val="es-ES_tradnl"/>
        </w:rPr>
        <w:t>ombro cabeza hombro</w:t>
      </w:r>
      <w:r w:rsidRPr="00CF1B34">
        <w:rPr>
          <w:rFonts w:ascii="Arial" w:hAnsi="Arial" w:cs="Arial"/>
          <w:b/>
          <w:bCs/>
          <w:color w:val="004773"/>
          <w:sz w:val="22"/>
          <w:szCs w:val="22"/>
          <w:lang w:val="es-ES_tradnl"/>
        </w:rPr>
        <w:t xml:space="preserve"> </w:t>
      </w:r>
    </w:p>
    <w:p w14:paraId="53F9B39B" w14:textId="77777777" w:rsidR="00350603" w:rsidRPr="00CF1B34" w:rsidRDefault="00C3020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Figura típica del chartismo que viene a indicar un cambio de una tendencia alcista a una bajista. Su nombre se debe a la semejanza</w:t>
      </w:r>
      <w:r w:rsidR="00350603" w:rsidRPr="00CF1B34">
        <w:rPr>
          <w:rFonts w:ascii="Arial" w:hAnsi="Arial" w:cs="Arial"/>
          <w:color w:val="000000" w:themeColor="text1"/>
          <w:sz w:val="22"/>
          <w:szCs w:val="22"/>
          <w:lang w:val="es-ES_tradnl"/>
        </w:rPr>
        <w:t xml:space="preserve"> con la cabeza y hombros de una persona.</w:t>
      </w:r>
    </w:p>
    <w:p w14:paraId="50584C88" w14:textId="197A2E2A" w:rsidR="005F2805" w:rsidRPr="00CF1B34" w:rsidRDefault="00E10E3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H</w:t>
      </w:r>
      <w:r w:rsidR="005F2805" w:rsidRPr="00CF1B34">
        <w:rPr>
          <w:rFonts w:ascii="Arial" w:hAnsi="Arial" w:cs="Arial"/>
          <w:b/>
          <w:bCs/>
          <w:color w:val="004773"/>
          <w:sz w:val="22"/>
          <w:szCs w:val="22"/>
          <w:lang w:val="es-ES_tradnl"/>
        </w:rPr>
        <w:t>ombro cabeza hombro invertido</w:t>
      </w:r>
      <w:r w:rsidRPr="00CF1B34">
        <w:rPr>
          <w:rFonts w:ascii="Arial" w:hAnsi="Arial" w:cs="Arial"/>
          <w:b/>
          <w:bCs/>
          <w:color w:val="004773"/>
          <w:sz w:val="22"/>
          <w:szCs w:val="22"/>
          <w:lang w:val="es-ES_tradnl"/>
        </w:rPr>
        <w:t xml:space="preserve"> </w:t>
      </w:r>
    </w:p>
    <w:p w14:paraId="6D591A40" w14:textId="77777777" w:rsidR="00350603" w:rsidRPr="00CF1B34" w:rsidRDefault="0035060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Figura típica del chartismo que indica un cambio de una tendencia bajista a una alcista.</w:t>
      </w:r>
    </w:p>
    <w:p w14:paraId="0EAF9C7A" w14:textId="05ED045A" w:rsidR="00C151BD" w:rsidRPr="00CF1B34" w:rsidRDefault="00C151B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Horizonte temporal de la inversión</w:t>
      </w:r>
    </w:p>
    <w:p w14:paraId="02129F42" w14:textId="77777777" w:rsidR="00C151BD" w:rsidRPr="00CF1B34" w:rsidRDefault="00C151B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Periodo de tiempo durante el cual el inversor está dispuesto a mantener invertido su capital, sin que se prevea necesitarlo para otros fines. Algunos productos de inversión deben ser mantenidos durante un plazo determinado para que sus características más ventajosas desplieguen todos sus efectos (por ejemplo, los fondos garantizados tienen un horizonte recomendado de inversión que coincide con el plazo hasta el vencimiento de la garantía, ya que si se reembolsa antes de esa fecha la garantía no es efectiva y pueden registrarse pérdidas).</w:t>
      </w:r>
    </w:p>
    <w:p w14:paraId="5760E1C6" w14:textId="7E9DA6D2" w:rsidR="00637D33" w:rsidRPr="00CF1B34" w:rsidRDefault="00637D33" w:rsidP="0005621A">
      <w:pPr>
        <w:jc w:val="both"/>
        <w:rPr>
          <w:rFonts w:ascii="Arial" w:hAnsi="Arial" w:cs="Arial"/>
          <w:sz w:val="22"/>
          <w:szCs w:val="22"/>
          <w:lang w:val="es-ES_tradnl"/>
        </w:rPr>
      </w:pPr>
    </w:p>
    <w:p w14:paraId="0115BE54" w14:textId="77777777" w:rsidR="005F2805" w:rsidRPr="00CF1B34" w:rsidRDefault="005F2805" w:rsidP="0005621A">
      <w:pPr>
        <w:jc w:val="both"/>
        <w:rPr>
          <w:rFonts w:ascii="Arial" w:hAnsi="Arial" w:cs="Arial"/>
          <w:sz w:val="22"/>
          <w:szCs w:val="22"/>
          <w:lang w:val="es-ES_tradnl"/>
        </w:rPr>
      </w:pPr>
    </w:p>
    <w:p w14:paraId="4BF5354E" w14:textId="5F272A30" w:rsidR="00637D33" w:rsidRPr="00CF1B34" w:rsidRDefault="00696A3C"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I</w:t>
      </w:r>
    </w:p>
    <w:p w14:paraId="4CE51D3F" w14:textId="3A334FB1" w:rsidR="00637D33" w:rsidRPr="00CF1B34" w:rsidRDefault="00637D33" w:rsidP="0005621A">
      <w:pPr>
        <w:jc w:val="both"/>
        <w:rPr>
          <w:rFonts w:ascii="Arial" w:hAnsi="Arial" w:cs="Arial"/>
          <w:sz w:val="22"/>
          <w:szCs w:val="22"/>
          <w:lang w:val="es-ES_tradnl"/>
        </w:rPr>
      </w:pPr>
    </w:p>
    <w:p w14:paraId="5D851576" w14:textId="77777777" w:rsidR="005F2805" w:rsidRPr="00CF1B34" w:rsidRDefault="005F2805" w:rsidP="0005621A">
      <w:pPr>
        <w:jc w:val="both"/>
        <w:rPr>
          <w:rFonts w:ascii="Arial" w:hAnsi="Arial" w:cs="Arial"/>
          <w:sz w:val="22"/>
          <w:szCs w:val="22"/>
          <w:lang w:val="es-ES_tradnl"/>
        </w:rPr>
      </w:pPr>
    </w:p>
    <w:p w14:paraId="1845A44A" w14:textId="77777777" w:rsidR="00CD461E" w:rsidRPr="00CF1B34" w:rsidRDefault="00CD461E"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IBAN</w:t>
      </w:r>
    </w:p>
    <w:p w14:paraId="42BC6E9E" w14:textId="000D94F8" w:rsidR="00CD461E" w:rsidRPr="00CF1B34" w:rsidRDefault="00CD461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El </w:t>
      </w:r>
      <w:r w:rsidRPr="00CF1B34">
        <w:rPr>
          <w:rStyle w:val="Textoennegrita"/>
          <w:rFonts w:ascii="Arial" w:hAnsi="Arial" w:cs="Arial"/>
          <w:sz w:val="22"/>
          <w:szCs w:val="22"/>
          <w:lang w:val="es-ES_tradnl"/>
        </w:rPr>
        <w:t>IBAN</w:t>
      </w:r>
      <w:r w:rsidRPr="00CF1B34">
        <w:rPr>
          <w:rFonts w:ascii="Arial" w:hAnsi="Arial" w:cs="Arial"/>
          <w:sz w:val="22"/>
          <w:szCs w:val="22"/>
          <w:lang w:val="es-ES_tradnl"/>
        </w:rPr>
        <w:t> es el acrónimo de International Bank Account Number (número de cuenta bancaria internacional). Este código bancario sirve para poder identificar de forma única cada una de las</w:t>
      </w:r>
      <w:r w:rsidR="009E19E9" w:rsidRPr="00CF1B34">
        <w:rPr>
          <w:rFonts w:ascii="Arial" w:hAnsi="Arial" w:cs="Arial"/>
          <w:sz w:val="22"/>
          <w:szCs w:val="22"/>
          <w:lang w:val="es-ES_tradnl"/>
        </w:rPr>
        <w:t xml:space="preserve"> cuentas </w:t>
      </w:r>
      <w:r w:rsidRPr="00CF1B34">
        <w:rPr>
          <w:rFonts w:ascii="Arial" w:hAnsi="Arial" w:cs="Arial"/>
          <w:sz w:val="22"/>
          <w:szCs w:val="22"/>
          <w:lang w:val="es-ES_tradnl"/>
        </w:rPr>
        <w:t>corrientes en los 34 países que componen la zona única de pagos en euros (SEPA).</w:t>
      </w:r>
    </w:p>
    <w:p w14:paraId="2F16EF66" w14:textId="77777777" w:rsidR="00CD461E" w:rsidRPr="00CF1B34" w:rsidRDefault="00CD461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IBAN no puede ser empleado para realizar transferencias fuera de la </w:t>
      </w:r>
      <w:r w:rsidRPr="00CF1B34">
        <w:rPr>
          <w:rStyle w:val="Textoennegrita"/>
          <w:rFonts w:ascii="Arial" w:hAnsi="Arial" w:cs="Arial"/>
          <w:sz w:val="22"/>
          <w:szCs w:val="22"/>
          <w:lang w:val="es-ES_tradnl"/>
        </w:rPr>
        <w:t>zona SEPA</w:t>
      </w:r>
      <w:r w:rsidRPr="00CF1B34">
        <w:rPr>
          <w:rFonts w:ascii="Arial" w:hAnsi="Arial" w:cs="Arial"/>
          <w:sz w:val="22"/>
          <w:szCs w:val="22"/>
          <w:lang w:val="es-ES_tradnl"/>
        </w:rPr>
        <w:t>, para ello sería necesario conocer además el código BIC correspondiente con la entidad financiera destinataria.</w:t>
      </w:r>
    </w:p>
    <w:p w14:paraId="1DEAEAF5" w14:textId="77777777" w:rsidR="00CD461E" w:rsidRPr="00CF1B34" w:rsidRDefault="00CD461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código IBAN es un código alfanumérico a diferencia del CCC que se trata de un código numérico.</w:t>
      </w:r>
    </w:p>
    <w:p w14:paraId="584476BE" w14:textId="77777777" w:rsidR="00CD461E" w:rsidRPr="00CF1B34" w:rsidRDefault="00CD461E"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El código IBAN está compuesto por:</w:t>
      </w:r>
    </w:p>
    <w:p w14:paraId="558C4AA3" w14:textId="77777777" w:rsidR="00CD461E" w:rsidRPr="00CF1B34" w:rsidRDefault="00CD461E" w:rsidP="004F7A62">
      <w:pPr>
        <w:pStyle w:val="listitem"/>
        <w:numPr>
          <w:ilvl w:val="0"/>
          <w:numId w:val="3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Código del país (2 dígitos)</w:t>
      </w:r>
    </w:p>
    <w:p w14:paraId="02183379" w14:textId="77777777" w:rsidR="00CD461E" w:rsidRPr="00CF1B34" w:rsidRDefault="00CD461E" w:rsidP="004F7A62">
      <w:pPr>
        <w:pStyle w:val="listitem"/>
        <w:numPr>
          <w:ilvl w:val="0"/>
          <w:numId w:val="30"/>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Código de control (2 dígitos)</w:t>
      </w:r>
    </w:p>
    <w:p w14:paraId="757B5DC7" w14:textId="77777777" w:rsidR="00CD461E" w:rsidRPr="00CF1B34" w:rsidRDefault="00CD461E" w:rsidP="004F7A62">
      <w:pPr>
        <w:pStyle w:val="listitem"/>
        <w:numPr>
          <w:ilvl w:val="1"/>
          <w:numId w:val="3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Código del Banco (4 dígitos)</w:t>
      </w:r>
    </w:p>
    <w:p w14:paraId="18C99DAC" w14:textId="77777777" w:rsidR="00CD461E" w:rsidRPr="00CF1B34" w:rsidRDefault="00CD461E" w:rsidP="004F7A62">
      <w:pPr>
        <w:pStyle w:val="listitem"/>
        <w:numPr>
          <w:ilvl w:val="1"/>
          <w:numId w:val="3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Código de la sucursal (4 dígitos)</w:t>
      </w:r>
    </w:p>
    <w:p w14:paraId="09B29C24" w14:textId="77777777" w:rsidR="00CD461E" w:rsidRPr="00CF1B34" w:rsidRDefault="00CD461E" w:rsidP="004F7A62">
      <w:pPr>
        <w:pStyle w:val="listitem"/>
        <w:numPr>
          <w:ilvl w:val="1"/>
          <w:numId w:val="3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Código de control (2 dígitos)</w:t>
      </w:r>
    </w:p>
    <w:p w14:paraId="241CBD96" w14:textId="77777777" w:rsidR="00CD461E" w:rsidRPr="00CF1B34" w:rsidRDefault="00CD461E" w:rsidP="004F7A62">
      <w:pPr>
        <w:pStyle w:val="listitem"/>
        <w:numPr>
          <w:ilvl w:val="1"/>
          <w:numId w:val="30"/>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Código de la cuenta de cliente (10 dígitos)</w:t>
      </w:r>
    </w:p>
    <w:p w14:paraId="7DA1F948" w14:textId="08878D2B" w:rsidR="00CD461E" w:rsidRPr="00CF1B34" w:rsidRDefault="00CD461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Podemos encontrar el código IBAN en la aplicación de banca electrónica de las entidades, en el área personal de nuestro banco o en cualquier extracto bancario. Es posible encontrarlo</w:t>
      </w:r>
    </w:p>
    <w:p w14:paraId="75D15C3B" w14:textId="77777777" w:rsidR="00CD461E" w:rsidRPr="00CF1B34" w:rsidRDefault="00CD461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El código IBAN permite realizar pagos o transferencias dentro de cualquiera de los 34 países que actualmente forma parte de la zona SEPA del mismo modo que si se tratase de una transferencia nacional.</w:t>
      </w:r>
    </w:p>
    <w:p w14:paraId="19AFCF46" w14:textId="77777777" w:rsidR="00682568" w:rsidRPr="00CF1B34" w:rsidRDefault="0068256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Iberclear</w:t>
      </w:r>
    </w:p>
    <w:p w14:paraId="08AF7332" w14:textId="77777777" w:rsidR="00682568" w:rsidRPr="00CF1B34" w:rsidRDefault="0068256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depositario central de valores español, integrado en el holding BME (Bolsas y Mercados Españoles). Se encarga de la llevanza del libro registro de anotaciones en cuenta para los valores negociados en las Bolsas de Valores, en el Mercado de Deuda Pública en Anotaciones, así como los valores admitidos a negociación en otros mercados secundarios, cuando sus órganos rectores lo solicitan. También le corresponde la compensación y liquidación de las operaciones que se contratan en estos mercados.</w:t>
      </w:r>
    </w:p>
    <w:p w14:paraId="15F082CC" w14:textId="5AFCB0FF" w:rsidR="00CD461E" w:rsidRPr="00CF1B34" w:rsidRDefault="00350603"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IBEX</w:t>
      </w:r>
    </w:p>
    <w:p w14:paraId="4AF48205" w14:textId="77777777" w:rsidR="00682568" w:rsidRPr="00CF1B34" w:rsidRDefault="0068256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El índice IBEX 35 es el índice compuesto por los 35 valores más líquidos cotizados en el Sistema de Interconexión Bursátil de las cuatro Bolsas Españolas, usado como referente nacional e internacional y subyacente en la contratación de productos derivados. Técnicamente es un índice de precios, ponderado por capitalización y ajustado por el capital flotante de cada compañía integrante del índice.</w:t>
      </w:r>
    </w:p>
    <w:p w14:paraId="6BBB77B2" w14:textId="4EA35571" w:rsidR="00350603" w:rsidRPr="00CF1B34" w:rsidRDefault="00682568"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IBEX-ponderacion</w:t>
      </w:r>
    </w:p>
    <w:p w14:paraId="52DD9707" w14:textId="2418A4DE" w:rsidR="00FE22D0" w:rsidRPr="00CF1B34" w:rsidRDefault="00FD400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lastRenderedPageBreak/>
        <w:t>El peso</w:t>
      </w:r>
      <w:r w:rsidR="00FE22D0" w:rsidRPr="00CF1B34">
        <w:rPr>
          <w:rFonts w:ascii="Arial" w:hAnsi="Arial" w:cs="Arial"/>
          <w:sz w:val="22"/>
          <w:szCs w:val="22"/>
          <w:lang w:val="es-ES_tradnl"/>
        </w:rPr>
        <w:t xml:space="preserve"> de cada uno de los 35 valores en el índice se calcula en función de su capitalización, es decir, el numero de acciones por el valor de mercado, por lo tanto</w:t>
      </w:r>
      <w:r w:rsidR="009E19E9" w:rsidRPr="00CF1B34">
        <w:rPr>
          <w:rFonts w:ascii="Arial" w:hAnsi="Arial" w:cs="Arial"/>
          <w:sz w:val="22"/>
          <w:szCs w:val="22"/>
          <w:lang w:val="es-ES_tradnl"/>
        </w:rPr>
        <w:t>,</w:t>
      </w:r>
      <w:r w:rsidR="00FE22D0" w:rsidRPr="00CF1B34">
        <w:rPr>
          <w:rFonts w:ascii="Arial" w:hAnsi="Arial" w:cs="Arial"/>
          <w:sz w:val="22"/>
          <w:szCs w:val="22"/>
          <w:lang w:val="es-ES_tradnl"/>
        </w:rPr>
        <w:t xml:space="preserve"> variara con cada movimiento de precio de cualquiera de los 35 valores.</w:t>
      </w:r>
    </w:p>
    <w:p w14:paraId="718F3553" w14:textId="0332CDF2" w:rsidR="00682568" w:rsidRPr="00CF1B34" w:rsidRDefault="00682568"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IBEX- revision</w:t>
      </w:r>
    </w:p>
    <w:p w14:paraId="0C463C60" w14:textId="0633F36A" w:rsidR="00350603" w:rsidRPr="00CF1B34" w:rsidRDefault="00FE22D0" w:rsidP="0005621A">
      <w:pPr>
        <w:ind w:left="708"/>
        <w:jc w:val="both"/>
        <w:outlineLvl w:val="1"/>
        <w:rPr>
          <w:rFonts w:ascii="Arial" w:hAnsi="Arial" w:cs="Arial"/>
          <w:sz w:val="22"/>
          <w:szCs w:val="22"/>
          <w:lang w:val="es-ES_tradnl"/>
        </w:rPr>
      </w:pPr>
      <w:r w:rsidRPr="00CF1B34">
        <w:rPr>
          <w:rFonts w:ascii="Arial" w:hAnsi="Arial" w:cs="Arial"/>
          <w:sz w:val="22"/>
          <w:szCs w:val="22"/>
          <w:lang w:val="es-ES_tradnl"/>
        </w:rPr>
        <w:t xml:space="preserve">Los 35 valores que componen el índice serán revisados semestralmente (en junio y diciembre) por un Comité de expertos que decidirá que valores deben entrar a formarlo asi como que cantidad </w:t>
      </w:r>
      <w:r w:rsidR="00F040D8" w:rsidRPr="00CF1B34">
        <w:rPr>
          <w:rFonts w:ascii="Arial" w:hAnsi="Arial" w:cs="Arial"/>
          <w:sz w:val="22"/>
          <w:szCs w:val="22"/>
          <w:lang w:val="es-ES_tradnl"/>
        </w:rPr>
        <w:t>debe dejar de componerlo.</w:t>
      </w:r>
    </w:p>
    <w:p w14:paraId="3F7176D8" w14:textId="77777777" w:rsidR="00F040D8" w:rsidRPr="00CF1B34" w:rsidRDefault="00F040D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Excepcionalmente habrá cambios en la composición del IBEX fuera de esas fechas cuando haya fusiones entre empresas del IBEX.</w:t>
      </w:r>
    </w:p>
    <w:p w14:paraId="032F249B" w14:textId="0DD3EB24" w:rsidR="00CD461E" w:rsidRPr="00CF1B34" w:rsidRDefault="00CD461E" w:rsidP="0005621A">
      <w:pPr>
        <w:jc w:val="both"/>
        <w:outlineLvl w:val="1"/>
        <w:rPr>
          <w:rFonts w:ascii="Arial" w:hAnsi="Arial" w:cs="Arial"/>
          <w:b/>
          <w:bCs/>
          <w:color w:val="191B1C"/>
          <w:sz w:val="22"/>
          <w:szCs w:val="22"/>
          <w:lang w:val="es-ES_tradnl"/>
        </w:rPr>
      </w:pPr>
      <w:r w:rsidRPr="00CF1B34">
        <w:rPr>
          <w:rFonts w:ascii="Arial" w:hAnsi="Arial" w:cs="Arial"/>
          <w:b/>
          <w:bCs/>
          <w:color w:val="2F5496" w:themeColor="accent1" w:themeShade="BF"/>
          <w:sz w:val="22"/>
          <w:szCs w:val="22"/>
          <w:lang w:val="es-ES_tradnl"/>
        </w:rPr>
        <w:t>IBI</w:t>
      </w:r>
    </w:p>
    <w:p w14:paraId="3B3EBC88" w14:textId="785FED66" w:rsidR="00CD461E" w:rsidRPr="00CF1B34" w:rsidRDefault="00CD461E" w:rsidP="0005621A">
      <w:pPr>
        <w:ind w:left="708"/>
        <w:jc w:val="both"/>
        <w:rPr>
          <w:rFonts w:ascii="Arial" w:hAnsi="Arial" w:cs="Arial"/>
          <w:sz w:val="22"/>
          <w:szCs w:val="22"/>
          <w:lang w:val="es-ES_tradnl"/>
        </w:rPr>
      </w:pPr>
      <w:r w:rsidRPr="00CF1B34">
        <w:rPr>
          <w:rFonts w:ascii="Arial" w:hAnsi="Arial" w:cs="Arial"/>
          <w:sz w:val="22"/>
          <w:szCs w:val="22"/>
          <w:lang w:val="es-ES_tradnl"/>
        </w:rPr>
        <w:t>El</w:t>
      </w:r>
      <w:r w:rsidR="00266359" w:rsidRPr="00CF1B34">
        <w:rPr>
          <w:rFonts w:ascii="Arial" w:hAnsi="Arial" w:cs="Arial"/>
          <w:sz w:val="22"/>
          <w:szCs w:val="22"/>
          <w:lang w:val="es-ES_tradnl"/>
        </w:rPr>
        <w:t xml:space="preserve"> </w:t>
      </w:r>
      <w:r w:rsidRPr="00CF1B34">
        <w:rPr>
          <w:rFonts w:ascii="Arial" w:hAnsi="Arial" w:cs="Arial"/>
          <w:b/>
          <w:bCs/>
          <w:sz w:val="22"/>
          <w:szCs w:val="22"/>
          <w:lang w:val="es-ES_tradnl"/>
        </w:rPr>
        <w:t>IBI</w:t>
      </w:r>
      <w:r w:rsidRPr="00CF1B34">
        <w:rPr>
          <w:rFonts w:ascii="Arial" w:hAnsi="Arial" w:cs="Arial"/>
          <w:sz w:val="22"/>
          <w:szCs w:val="22"/>
          <w:lang w:val="es-ES_tradnl"/>
        </w:rPr>
        <w:t>, o Impuesto de bienes inmuebles, es un tributo obligatorio que prácticamente todos los propietarios de inmuebles pagan cada año en su respectivo ayuntamiento. Este impuesto es una importante fuente de ingresos de los ayuntamientos y es algo polémico, ya que a veces el hecho de ser propietario un inmueble no implica percibir un beneficio.</w:t>
      </w:r>
    </w:p>
    <w:p w14:paraId="70D385BE" w14:textId="77777777" w:rsidR="00CD461E" w:rsidRPr="00CF1B34" w:rsidRDefault="00CD461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cantidad a pagar viene determinada por el ayuntamiento, basándose en dos datos provenientes del Estado:</w:t>
      </w:r>
    </w:p>
    <w:p w14:paraId="7DBED024" w14:textId="6079AA05" w:rsidR="00CD461E" w:rsidRPr="00CF1B34" w:rsidRDefault="00CD461E" w:rsidP="004F7A62">
      <w:pPr>
        <w:numPr>
          <w:ilvl w:val="0"/>
          <w:numId w:val="31"/>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El</w:t>
      </w:r>
      <w:r w:rsidR="00266359" w:rsidRPr="00CF1B34">
        <w:rPr>
          <w:rFonts w:ascii="Arial" w:hAnsi="Arial" w:cs="Arial"/>
          <w:sz w:val="22"/>
          <w:szCs w:val="22"/>
          <w:lang w:val="es-ES_tradnl"/>
        </w:rPr>
        <w:t xml:space="preserve"> </w:t>
      </w:r>
      <w:r w:rsidRPr="00CF1B34">
        <w:rPr>
          <w:rFonts w:ascii="Arial" w:hAnsi="Arial" w:cs="Arial"/>
          <w:b/>
          <w:bCs/>
          <w:sz w:val="22"/>
          <w:szCs w:val="22"/>
          <w:lang w:val="es-ES_tradnl"/>
        </w:rPr>
        <w:t>valor catastral</w:t>
      </w:r>
      <w:r w:rsidRPr="00CF1B34">
        <w:rPr>
          <w:rFonts w:ascii="Arial" w:hAnsi="Arial" w:cs="Arial"/>
          <w:sz w:val="22"/>
          <w:szCs w:val="22"/>
          <w:lang w:val="es-ES_tradnl"/>
        </w:rPr>
        <w:t>, una valoración fija de cada inmueble, determinada por ciertos parámetros: su ubicación, el suelo, su antigüedad, las obras realizadas en él, o su estado de conservación. Esta valoración la realiza la Dirección General del Catastro, a su vez dependiente del Ministerio de Hacienda, y suele revisarse cada diez años, ya que los parámetros se van modificando. Para realizar esta revisión, primero se estima una valoración media de la zona, y después se valora cada inmueble.</w:t>
      </w:r>
      <w:r w:rsidR="009E19E9" w:rsidRPr="00CF1B34">
        <w:rPr>
          <w:rFonts w:ascii="Arial" w:hAnsi="Arial" w:cs="Arial"/>
          <w:sz w:val="22"/>
          <w:szCs w:val="22"/>
          <w:lang w:val="es-ES_tradnl"/>
        </w:rPr>
        <w:t xml:space="preserve"> </w:t>
      </w:r>
      <w:r w:rsidRPr="00CF1B34">
        <w:rPr>
          <w:rFonts w:ascii="Arial" w:hAnsi="Arial" w:cs="Arial"/>
          <w:sz w:val="22"/>
          <w:szCs w:val="22"/>
          <w:lang w:val="es-ES_tradnl"/>
        </w:rPr>
        <w:t>En todo caso, el valor catastral no debería sobrepasar el 50% del valor de mercado de la vivienda. Podemos consultar este valor en la web del Catastro.</w:t>
      </w:r>
    </w:p>
    <w:p w14:paraId="1C43FAAE" w14:textId="3666413B" w:rsidR="00CD461E" w:rsidRPr="00CF1B34" w:rsidRDefault="00CD461E" w:rsidP="004F7A62">
      <w:pPr>
        <w:numPr>
          <w:ilvl w:val="0"/>
          <w:numId w:val="31"/>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Un porcentaje entre el 0,4% y el 1,3% del valor catastral.</w:t>
      </w:r>
      <w:r w:rsidR="009E19E9" w:rsidRPr="00CF1B34">
        <w:rPr>
          <w:rFonts w:ascii="Arial" w:hAnsi="Arial" w:cs="Arial"/>
          <w:sz w:val="22"/>
          <w:szCs w:val="22"/>
          <w:lang w:val="es-ES_tradnl"/>
        </w:rPr>
        <w:t xml:space="preserve"> </w:t>
      </w:r>
      <w:r w:rsidRPr="00CF1B34">
        <w:rPr>
          <w:rFonts w:ascii="Arial" w:hAnsi="Arial" w:cs="Arial"/>
          <w:sz w:val="22"/>
          <w:szCs w:val="22"/>
          <w:lang w:val="es-ES_tradnl"/>
        </w:rPr>
        <w:t>Aunque este rango lo fija el Estado, el ayuntamiento elige el coeficiente que aplicará a su IBI municipal. Es decir, que</w:t>
      </w:r>
      <w:r w:rsidR="009E19E9" w:rsidRPr="00CF1B34">
        <w:rPr>
          <w:rFonts w:ascii="Arial" w:hAnsi="Arial" w:cs="Arial"/>
          <w:sz w:val="22"/>
          <w:szCs w:val="22"/>
          <w:lang w:val="es-ES_tradnl"/>
        </w:rPr>
        <w:t>,</w:t>
      </w:r>
      <w:r w:rsidRPr="00CF1B34">
        <w:rPr>
          <w:rFonts w:ascii="Arial" w:hAnsi="Arial" w:cs="Arial"/>
          <w:sz w:val="22"/>
          <w:szCs w:val="22"/>
          <w:lang w:val="es-ES_tradnl"/>
        </w:rPr>
        <w:t xml:space="preserve"> aunque el ayuntamiento no tenga total libertad para establecerlo, sí tiene algo de margen de maniobra. Además, el ayuntamiento también contemplará las gratificaciones o reducciones que considere oportuno. Por este motivo calcular el IBI exacto puede no ser sencillo.</w:t>
      </w:r>
    </w:p>
    <w:p w14:paraId="76F49397" w14:textId="77777777" w:rsidR="00CD461E" w:rsidRPr="00CF1B34" w:rsidRDefault="00CD461E"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¿Cuándo se paga?</w:t>
      </w:r>
    </w:p>
    <w:p w14:paraId="1FCEF268" w14:textId="77777777" w:rsidR="00CD461E" w:rsidRPr="00CF1B34" w:rsidRDefault="00CD461E"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fechas varían según los ayuntamientos y municipios, que son quienes deciden el plazo.</w:t>
      </w:r>
    </w:p>
    <w:p w14:paraId="61363EA5" w14:textId="77777777" w:rsidR="00CD461E" w:rsidRPr="00CF1B34" w:rsidRDefault="00CD461E"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¿Quién paga el IBI de la compraventa de un inmueble?</w:t>
      </w:r>
    </w:p>
    <w:p w14:paraId="790E28FD" w14:textId="77777777" w:rsidR="00CD461E" w:rsidRPr="00CF1B34" w:rsidRDefault="00CD461E"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Si bien tendrá que pagar el que sea propietario de dicho inmueble el día 1 de enero de la compraventa, el Tribunal Supremo establece que el vendedor podrá repercutir al comprador la parte proporcional al tiempo que haya disfrutado de la casa en el año de devengo.</w:t>
      </w:r>
    </w:p>
    <w:p w14:paraId="2F476514" w14:textId="77777777" w:rsidR="00CD461E" w:rsidRPr="00CF1B34" w:rsidRDefault="00CD461E"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¿Qué inmuebles no pagan el IBI?</w:t>
      </w:r>
    </w:p>
    <w:p w14:paraId="60FD6AC8" w14:textId="77777777" w:rsidR="00CD461E" w:rsidRPr="00CF1B34" w:rsidRDefault="00CD461E"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Como hemos visto antes, ciertas edificaciones no tienen que tributar:</w:t>
      </w:r>
    </w:p>
    <w:p w14:paraId="74F67589" w14:textId="77777777" w:rsidR="00CD461E" w:rsidRPr="00CF1B34" w:rsidRDefault="00CD461E" w:rsidP="004F7A62">
      <w:pPr>
        <w:numPr>
          <w:ilvl w:val="0"/>
          <w:numId w:val="3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Los inmuebles propiedad del Estado, de las Comunidades Autónomas o de las Entidades Locales del municipio.</w:t>
      </w:r>
    </w:p>
    <w:p w14:paraId="2E0804C7" w14:textId="77777777" w:rsidR="00CD461E" w:rsidRPr="00CF1B34" w:rsidRDefault="00CD461E" w:rsidP="004F7A62">
      <w:pPr>
        <w:numPr>
          <w:ilvl w:val="0"/>
          <w:numId w:val="3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lastRenderedPageBreak/>
        <w:t>Los inmuebles de uso social: servicios penitenciarios, de defensa, de educación o seguridad…</w:t>
      </w:r>
    </w:p>
    <w:p w14:paraId="04AC1173" w14:textId="77777777" w:rsidR="00CD461E" w:rsidRPr="00CF1B34" w:rsidRDefault="00CD461E" w:rsidP="004F7A62">
      <w:pPr>
        <w:numPr>
          <w:ilvl w:val="0"/>
          <w:numId w:val="3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Los inmuebles de la Iglesia Católica.</w:t>
      </w:r>
    </w:p>
    <w:p w14:paraId="5826235F" w14:textId="77777777" w:rsidR="00CD461E" w:rsidRPr="00CF1B34" w:rsidRDefault="00CD461E" w:rsidP="004F7A62">
      <w:pPr>
        <w:numPr>
          <w:ilvl w:val="0"/>
          <w:numId w:val="3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Ciertas asociaciones reconocidas por el municipio.</w:t>
      </w:r>
    </w:p>
    <w:p w14:paraId="4A27CF00" w14:textId="77777777" w:rsidR="00CD461E" w:rsidRPr="00CF1B34" w:rsidRDefault="00CD461E" w:rsidP="004F7A62">
      <w:pPr>
        <w:numPr>
          <w:ilvl w:val="0"/>
          <w:numId w:val="3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Los inmuebles pertenecientes a la Cruz Roja Española.</w:t>
      </w:r>
    </w:p>
    <w:p w14:paraId="743D0485" w14:textId="77777777" w:rsidR="00CD461E" w:rsidRPr="00CF1B34" w:rsidRDefault="00CD461E" w:rsidP="004F7A62">
      <w:pPr>
        <w:numPr>
          <w:ilvl w:val="0"/>
          <w:numId w:val="3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Los inmuebles utilizados por gobiernos extranjeros u organismos oficiales.</w:t>
      </w:r>
    </w:p>
    <w:p w14:paraId="63E35421" w14:textId="77777777" w:rsidR="00CD461E" w:rsidRPr="00CF1B34" w:rsidRDefault="00CD461E" w:rsidP="004F7A62">
      <w:pPr>
        <w:numPr>
          <w:ilvl w:val="0"/>
          <w:numId w:val="3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Los espacios declarados monumentos o espacios de interés social o cultural.</w:t>
      </w:r>
    </w:p>
    <w:p w14:paraId="231F72E5" w14:textId="77777777" w:rsidR="00CD461E" w:rsidRPr="00CF1B34" w:rsidRDefault="00CD461E" w:rsidP="004F7A62">
      <w:pPr>
        <w:numPr>
          <w:ilvl w:val="0"/>
          <w:numId w:val="3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Las vías de dominio público: carreteras o caminos.</w:t>
      </w:r>
    </w:p>
    <w:p w14:paraId="1BA21083" w14:textId="77777777" w:rsidR="00CD461E" w:rsidRPr="00CF1B34" w:rsidRDefault="00CD461E" w:rsidP="0005621A">
      <w:pPr>
        <w:pStyle w:val="Prrafodelista"/>
        <w:pBdr>
          <w:bottom w:val="dotted" w:sz="12" w:space="12" w:color="666666"/>
        </w:pBdr>
        <w:spacing w:after="240"/>
        <w:jc w:val="both"/>
        <w:rPr>
          <w:rFonts w:ascii="Arial" w:hAnsi="Arial" w:cs="Arial"/>
          <w:color w:val="212529"/>
          <w:sz w:val="22"/>
          <w:szCs w:val="22"/>
          <w:lang w:val="es-ES_tradnl"/>
        </w:rPr>
      </w:pPr>
    </w:p>
    <w:p w14:paraId="6965BFB7" w14:textId="522C6708" w:rsidR="00266359" w:rsidRPr="00CF1B34" w:rsidRDefault="0026635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Ivobespa</w:t>
      </w:r>
      <w:r w:rsidR="00205EDB" w:rsidRPr="00CF1B34">
        <w:rPr>
          <w:rFonts w:ascii="Arial" w:hAnsi="Arial" w:cs="Arial"/>
          <w:b/>
          <w:bCs/>
          <w:color w:val="004773"/>
          <w:sz w:val="22"/>
          <w:szCs w:val="22"/>
          <w:lang w:val="es-ES_tradnl"/>
        </w:rPr>
        <w:t xml:space="preserve"> </w:t>
      </w:r>
    </w:p>
    <w:p w14:paraId="60821F03" w14:textId="2DC452F2" w:rsidR="00266359" w:rsidRPr="00CF1B34" w:rsidRDefault="0026635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w:t>
      </w:r>
      <w:r w:rsidRPr="00CF1B34">
        <w:rPr>
          <w:rStyle w:val="Textoennegrita"/>
          <w:rFonts w:ascii="Arial" w:hAnsi="Arial" w:cs="Arial"/>
          <w:color w:val="333333"/>
          <w:sz w:val="22"/>
          <w:szCs w:val="22"/>
          <w:lang w:val="es-ES_tradnl"/>
        </w:rPr>
        <w:t>Índice Bovespa</w:t>
      </w:r>
      <w:r w:rsidRPr="00CF1B34">
        <w:rPr>
          <w:rFonts w:ascii="Arial" w:hAnsi="Arial" w:cs="Arial"/>
          <w:color w:val="333333"/>
          <w:sz w:val="22"/>
          <w:szCs w:val="22"/>
          <w:lang w:val="es-ES_tradnl"/>
        </w:rPr>
        <w:t xml:space="preserve"> es el más importante indicador del desempeño medio de las cotizaciones del mercado de acciones de </w:t>
      </w:r>
      <w:r w:rsidRPr="00CF1B34">
        <w:rPr>
          <w:rStyle w:val="Textoennegrita"/>
          <w:rFonts w:ascii="Arial" w:hAnsi="Arial" w:cs="Arial"/>
          <w:color w:val="333333"/>
          <w:sz w:val="22"/>
          <w:szCs w:val="22"/>
          <w:lang w:val="es-ES_tradnl"/>
        </w:rPr>
        <w:t>Brasil</w:t>
      </w:r>
      <w:r w:rsidRPr="00CF1B34">
        <w:rPr>
          <w:rFonts w:ascii="Arial" w:hAnsi="Arial" w:cs="Arial"/>
          <w:color w:val="333333"/>
          <w:sz w:val="22"/>
          <w:szCs w:val="22"/>
          <w:lang w:val="es-ES_tradnl"/>
        </w:rPr>
        <w:t>.</w:t>
      </w:r>
    </w:p>
    <w:p w14:paraId="6B600617" w14:textId="77777777" w:rsidR="00266359" w:rsidRPr="00CF1B34" w:rsidRDefault="0026635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Este índice retrata el comportamiento de los principales papeles negociados en la </w:t>
      </w:r>
      <w:r w:rsidRPr="00CF1B34">
        <w:rPr>
          <w:rStyle w:val="Textoennegrita"/>
          <w:rFonts w:ascii="Arial" w:hAnsi="Arial" w:cs="Arial"/>
          <w:color w:val="333333"/>
          <w:sz w:val="22"/>
          <w:szCs w:val="22"/>
          <w:lang w:val="es-ES_tradnl"/>
        </w:rPr>
        <w:t xml:space="preserve">Bovespa </w:t>
      </w:r>
      <w:r w:rsidRPr="00CF1B34">
        <w:rPr>
          <w:rFonts w:ascii="Arial" w:hAnsi="Arial" w:cs="Arial"/>
          <w:color w:val="333333"/>
          <w:sz w:val="22"/>
          <w:szCs w:val="22"/>
          <w:lang w:val="es-ES_tradnl"/>
        </w:rPr>
        <w:t>(Bolsa de Valores de Brasil) y también de su tradición, pues el índice mantuvo la integridad de su serie histórica y no sufrió modificaciones metodológicas desde su implementación en 1968.</w:t>
      </w:r>
    </w:p>
    <w:p w14:paraId="1FAE62AF" w14:textId="1E1EC34A" w:rsidR="00266359" w:rsidRPr="00CF1B34" w:rsidRDefault="000A54A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ICO</w:t>
      </w:r>
    </w:p>
    <w:p w14:paraId="56E9B8AA" w14:textId="612042ED" w:rsidR="00F25CB3" w:rsidRPr="00CF1B34" w:rsidRDefault="00F25CB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El Instituto de Crédito Oficial es una entidad pública empresarial, adscrita al Ministerio de Economía y Hacienda a través de la Secretaría de Estado de Economía que tiene consideración de Agencia Financiera del Estado. Trabaja por el crecimiento y la mejora de la distribución de la riqueza nacional y fomenta aquellas actividades económicas que por su trascendencia social, cultural, innovadora o ecológica merezcan una atención preferente. Estos objetivos son llevados a cabo por</w:t>
      </w:r>
      <w:r w:rsidR="009E19E9" w:rsidRPr="00CF1B34">
        <w:rPr>
          <w:rFonts w:ascii="Arial" w:hAnsi="Arial" w:cs="Arial"/>
          <w:color w:val="333333"/>
          <w:sz w:val="22"/>
          <w:szCs w:val="22"/>
          <w:shd w:val="clear" w:color="auto" w:fill="FFFFFF"/>
          <w:lang w:val="es-ES_tradnl"/>
        </w:rPr>
        <w:t xml:space="preserve"> el ICO </w:t>
      </w:r>
      <w:r w:rsidRPr="00CF1B34">
        <w:rPr>
          <w:rFonts w:ascii="Arial" w:hAnsi="Arial" w:cs="Arial"/>
          <w:color w:val="333333"/>
          <w:sz w:val="22"/>
          <w:szCs w:val="22"/>
          <w:shd w:val="clear" w:color="auto" w:fill="FFFFFF"/>
          <w:lang w:val="es-ES_tradnl"/>
        </w:rPr>
        <w:t>en su doble función de Entidad de Crédito Especializada y Agencia Financiera del Estado. De esta manera, apoya los proyectos de inversión de las empresas españolas, para que sean más competitivas y contribuyan al progreso económico de nuestro país.</w:t>
      </w:r>
    </w:p>
    <w:p w14:paraId="530F845A" w14:textId="55A2433B" w:rsidR="00F25CB3" w:rsidRPr="00CF1B34" w:rsidRDefault="00F25CB3"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Impulsa las inversiones de las Pymes.</w:t>
      </w:r>
      <w:r w:rsidRPr="00CF1B34">
        <w:rPr>
          <w:rFonts w:ascii="Arial" w:hAnsi="Arial" w:cs="Arial"/>
          <w:color w:val="333333"/>
          <w:sz w:val="22"/>
          <w:szCs w:val="22"/>
          <w:lang w:val="es-ES_tradnl"/>
        </w:rPr>
        <w:br/>
        <w:t>* Promueve la vivienda en alquiler y la urbanización del suelo.</w:t>
      </w:r>
      <w:r w:rsidRPr="00CF1B34">
        <w:rPr>
          <w:rFonts w:ascii="Arial" w:hAnsi="Arial" w:cs="Arial"/>
          <w:color w:val="333333"/>
          <w:sz w:val="22"/>
          <w:szCs w:val="22"/>
          <w:lang w:val="es-ES_tradnl"/>
        </w:rPr>
        <w:br/>
        <w:t>* Favorece la internacionalización de las empresas españolas.</w:t>
      </w:r>
      <w:r w:rsidRPr="00CF1B34">
        <w:rPr>
          <w:rFonts w:ascii="Arial" w:hAnsi="Arial" w:cs="Arial"/>
          <w:color w:val="333333"/>
          <w:sz w:val="22"/>
          <w:szCs w:val="22"/>
          <w:lang w:val="es-ES_tradnl"/>
        </w:rPr>
        <w:br/>
        <w:t>* Potencia la industria cinematográfica española.</w:t>
      </w:r>
      <w:r w:rsidRPr="00CF1B34">
        <w:rPr>
          <w:rFonts w:ascii="Arial" w:hAnsi="Arial" w:cs="Arial"/>
          <w:color w:val="333333"/>
          <w:sz w:val="22"/>
          <w:szCs w:val="22"/>
          <w:lang w:val="es-ES_tradnl"/>
        </w:rPr>
        <w:br/>
        <w:t>* Apoya el desarrollo de grandes proyectos de inversión en España.</w:t>
      </w:r>
      <w:r w:rsidRPr="00CF1B34">
        <w:rPr>
          <w:rFonts w:ascii="Arial" w:hAnsi="Arial" w:cs="Arial"/>
          <w:color w:val="333333"/>
          <w:sz w:val="22"/>
          <w:szCs w:val="22"/>
          <w:lang w:val="es-ES_tradnl"/>
        </w:rPr>
        <w:br/>
        <w:t>* Fomenta las exportaciones y la ayuda oficial al desarrollo.</w:t>
      </w:r>
      <w:r w:rsidRPr="00CF1B34">
        <w:rPr>
          <w:rFonts w:ascii="Arial" w:hAnsi="Arial" w:cs="Arial"/>
          <w:color w:val="333333"/>
          <w:sz w:val="22"/>
          <w:szCs w:val="22"/>
          <w:lang w:val="es-ES_tradnl"/>
        </w:rPr>
        <w:br/>
        <w:t>* Financia, por cuenta del gobierno, a los afectados por graves crisis económicas o catástrofes naturales.</w:t>
      </w:r>
    </w:p>
    <w:p w14:paraId="2E41C0EF" w14:textId="77777777" w:rsidR="00F25CB3" w:rsidRPr="00CF1B34" w:rsidRDefault="00F25CB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Para conseguir estos objetivos, el ICO actúa de dos maneras bien diferenciadas: como banco público y como Agencia Financiera del Estado</w:t>
      </w:r>
    </w:p>
    <w:p w14:paraId="4A48146C" w14:textId="40106A06" w:rsidR="000A54A8" w:rsidRPr="00CF1B34" w:rsidRDefault="000A54A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ICO emprendedores</w:t>
      </w:r>
      <w:r w:rsidR="00E31F0B" w:rsidRPr="00CF1B34">
        <w:rPr>
          <w:rFonts w:ascii="Arial" w:hAnsi="Arial" w:cs="Arial"/>
          <w:b/>
          <w:bCs/>
          <w:color w:val="004773"/>
          <w:sz w:val="22"/>
          <w:szCs w:val="22"/>
          <w:lang w:val="es-ES_tradnl"/>
        </w:rPr>
        <w:t xml:space="preserve"> y Pyme</w:t>
      </w:r>
    </w:p>
    <w:p w14:paraId="385BA9D2" w14:textId="6D7508FF" w:rsidR="00E31F0B" w:rsidRPr="00CF1B34" w:rsidRDefault="00F25CB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Una de las</w:t>
      </w:r>
      <w:r w:rsidRPr="00CF1B34">
        <w:rPr>
          <w:rFonts w:ascii="Arial" w:hAnsi="Arial" w:cs="Arial"/>
          <w:sz w:val="22"/>
          <w:szCs w:val="22"/>
          <w:lang w:val="es-ES_tradnl"/>
        </w:rPr>
        <w:t xml:space="preserve"> líneas de ICO</w:t>
      </w:r>
      <w:r w:rsidRPr="00CF1B34">
        <w:rPr>
          <w:rFonts w:ascii="Arial" w:hAnsi="Arial" w:cs="Arial"/>
          <w:color w:val="333333"/>
          <w:sz w:val="22"/>
          <w:szCs w:val="22"/>
          <w:shd w:val="clear" w:color="auto" w:fill="FFFFFF"/>
          <w:lang w:val="es-ES_tradnl"/>
        </w:rPr>
        <w:t xml:space="preserve"> que está vigente es la Línea ICO Emprendedores</w:t>
      </w:r>
      <w:r w:rsidR="00205EDB" w:rsidRPr="00CF1B34">
        <w:rPr>
          <w:rFonts w:ascii="Arial" w:hAnsi="Arial" w:cs="Arial"/>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que al igual que las líneas dirigidas a autónomos y pyme</w:t>
      </w:r>
      <w:r w:rsidR="00E31F0B" w:rsidRPr="00CF1B34">
        <w:rPr>
          <w:rFonts w:ascii="Arial" w:hAnsi="Arial" w:cs="Arial"/>
          <w:color w:val="333333"/>
          <w:sz w:val="22"/>
          <w:szCs w:val="22"/>
          <w:shd w:val="clear" w:color="auto" w:fill="FFFFFF"/>
          <w:lang w:val="es-ES_tradnl"/>
        </w:rPr>
        <w:t>s</w:t>
      </w:r>
      <w:r w:rsidRPr="00CF1B34">
        <w:rPr>
          <w:rFonts w:ascii="Arial" w:hAnsi="Arial" w:cs="Arial"/>
          <w:color w:val="333333"/>
          <w:sz w:val="22"/>
          <w:szCs w:val="22"/>
          <w:shd w:val="clear" w:color="auto" w:fill="FFFFFF"/>
          <w:lang w:val="es-ES_tradnl"/>
        </w:rPr>
        <w:t xml:space="preserve"> que es un alivio para estos colectivos</w:t>
      </w:r>
    </w:p>
    <w:p w14:paraId="204EE25C" w14:textId="0CB35AF6" w:rsidR="000A54A8" w:rsidRPr="00CF1B34" w:rsidRDefault="000A54A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IGIC</w:t>
      </w:r>
    </w:p>
    <w:p w14:paraId="14E1092F" w14:textId="464DD150" w:rsidR="00951C3D" w:rsidRPr="00CF1B34" w:rsidRDefault="00951C3D" w:rsidP="0005621A">
      <w:pPr>
        <w:ind w:left="708"/>
        <w:jc w:val="both"/>
        <w:rPr>
          <w:rFonts w:ascii="Arial" w:hAnsi="Arial" w:cs="Arial"/>
          <w:b/>
          <w:bCs/>
          <w:color w:val="333333"/>
          <w:sz w:val="22"/>
          <w:szCs w:val="22"/>
          <w:shd w:val="clear" w:color="auto" w:fill="FFFFFF"/>
          <w:lang w:val="es-ES_tradnl"/>
        </w:rPr>
      </w:pPr>
      <w:r w:rsidRPr="00CF1B34">
        <w:rPr>
          <w:rFonts w:ascii="Arial" w:hAnsi="Arial" w:cs="Arial"/>
          <w:color w:val="333333"/>
          <w:sz w:val="22"/>
          <w:szCs w:val="22"/>
          <w:shd w:val="clear" w:color="auto" w:fill="FFFFFF"/>
          <w:lang w:val="es-ES_tradnl"/>
        </w:rPr>
        <w:t>El </w:t>
      </w:r>
      <w:r w:rsidRPr="00CF1B34">
        <w:rPr>
          <w:rStyle w:val="Textoennegrita"/>
          <w:rFonts w:ascii="Arial" w:hAnsi="Arial" w:cs="Arial"/>
          <w:color w:val="333333"/>
          <w:sz w:val="22"/>
          <w:szCs w:val="22"/>
          <w:shd w:val="clear" w:color="auto" w:fill="FFFFFF"/>
          <w:lang w:val="es-ES_tradnl"/>
        </w:rPr>
        <w:t>Impuesto General Indirecto Canario (IGIC)</w:t>
      </w:r>
      <w:r w:rsidR="009E19E9"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es un tributo estatal indirecto que grava las</w:t>
      </w:r>
      <w:r w:rsidR="009E19E9"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entregas de bienes y prestaciones de servicios de carácter oneroso</w:t>
      </w:r>
      <w:r w:rsidRPr="00CF1B34">
        <w:rPr>
          <w:rFonts w:ascii="Arial" w:hAnsi="Arial" w:cs="Arial"/>
          <w:color w:val="333333"/>
          <w:sz w:val="22"/>
          <w:szCs w:val="22"/>
          <w:shd w:val="clear" w:color="auto" w:fill="FFFFFF"/>
          <w:lang w:val="es-ES_tradnl"/>
        </w:rPr>
        <w:t>, sea de manera habitual u ocasional, como también a las importaciones de bienes,</w:t>
      </w:r>
      <w:r w:rsidR="009E19E9"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realizadas en las islas Canarias, el mar territorial hasta 12 millas náuticas y el espacio aéreo correspondiente a dicho ámbito</w:t>
      </w:r>
      <w:r w:rsidRPr="00CF1B34">
        <w:rPr>
          <w:rFonts w:ascii="Arial" w:hAnsi="Arial" w:cs="Arial"/>
          <w:color w:val="333333"/>
          <w:sz w:val="22"/>
          <w:szCs w:val="22"/>
          <w:shd w:val="clear" w:color="auto" w:fill="FFFFFF"/>
          <w:lang w:val="es-ES_tradnl"/>
        </w:rPr>
        <w:t>. se lo suele considerar como el impuesto gemelo del</w:t>
      </w:r>
      <w:r w:rsidR="009E19E9" w:rsidRPr="00CF1B34">
        <w:rPr>
          <w:rFonts w:ascii="Arial" w:hAnsi="Arial" w:cs="Arial"/>
          <w:color w:val="333333"/>
          <w:sz w:val="22"/>
          <w:szCs w:val="22"/>
          <w:shd w:val="clear" w:color="auto" w:fill="FFFFFF"/>
          <w:lang w:val="es-ES_tradnl"/>
        </w:rPr>
        <w:t xml:space="preserve"> IVA</w:t>
      </w:r>
      <w:r w:rsidRPr="00CF1B34">
        <w:rPr>
          <w:rFonts w:ascii="Arial" w:hAnsi="Arial" w:cs="Arial"/>
          <w:color w:val="333333"/>
          <w:sz w:val="22"/>
          <w:szCs w:val="22"/>
          <w:shd w:val="clear" w:color="auto" w:fill="FFFFFF"/>
          <w:lang w:val="es-ES_tradnl"/>
        </w:rPr>
        <w:t>, pero con la gran diferencia de establecer unos tipos impositivos menores.</w:t>
      </w:r>
    </w:p>
    <w:p w14:paraId="7912D40D" w14:textId="77777777" w:rsidR="00951C3D" w:rsidRPr="00CF1B34" w:rsidRDefault="00951C3D"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Se aplican según sea la condición del contribuyente o la actividad económica que realiza:</w:t>
      </w:r>
    </w:p>
    <w:p w14:paraId="625DE28B" w14:textId="77777777" w:rsidR="00951C3D" w:rsidRPr="00CF1B34" w:rsidRDefault="00951C3D" w:rsidP="004F7A62">
      <w:pPr>
        <w:numPr>
          <w:ilvl w:val="0"/>
          <w:numId w:val="17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 personas físicas y entidades en régimen de atribución de rentas que realicen determinadas actividades.</w:t>
      </w:r>
    </w:p>
    <w:p w14:paraId="46C8E568" w14:textId="35E6E30B" w:rsidR="00951C3D" w:rsidRPr="00CF1B34" w:rsidRDefault="00951C3D" w:rsidP="004F7A62">
      <w:pPr>
        <w:numPr>
          <w:ilvl w:val="0"/>
          <w:numId w:val="17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 ciertos</w:t>
      </w:r>
      <w:r w:rsidR="009E19E9"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agricultores y ganaderos</w:t>
      </w:r>
      <w:r w:rsidRPr="00CF1B34">
        <w:rPr>
          <w:rFonts w:ascii="Arial" w:hAnsi="Arial" w:cs="Arial"/>
          <w:color w:val="333333"/>
          <w:sz w:val="22"/>
          <w:szCs w:val="22"/>
          <w:lang w:val="es-ES_tradnl"/>
        </w:rPr>
        <w:t>.</w:t>
      </w:r>
    </w:p>
    <w:p w14:paraId="2415AABD" w14:textId="38FC9A81" w:rsidR="00951C3D" w:rsidRPr="00CF1B34" w:rsidRDefault="00951C3D" w:rsidP="004F7A62">
      <w:pPr>
        <w:numPr>
          <w:ilvl w:val="0"/>
          <w:numId w:val="17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 organizadores de</w:t>
      </w:r>
      <w:r w:rsidR="009E19E9"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circuitos turísticos</w:t>
      </w:r>
      <w:r w:rsidRPr="00CF1B34">
        <w:rPr>
          <w:rFonts w:ascii="Arial" w:hAnsi="Arial" w:cs="Arial"/>
          <w:color w:val="333333"/>
          <w:sz w:val="22"/>
          <w:szCs w:val="22"/>
          <w:lang w:val="es-ES_tradnl"/>
        </w:rPr>
        <w:t>.</w:t>
      </w:r>
    </w:p>
    <w:p w14:paraId="6E43D3F9" w14:textId="0EF31056" w:rsidR="00951C3D" w:rsidRPr="00CF1B34" w:rsidRDefault="00951C3D" w:rsidP="004F7A62">
      <w:pPr>
        <w:numPr>
          <w:ilvl w:val="0"/>
          <w:numId w:val="17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 los comerciantes minoristas importadores</w:t>
      </w:r>
    </w:p>
    <w:p w14:paraId="3B27E3F4" w14:textId="77777777" w:rsidR="00951C3D" w:rsidRPr="00CF1B34" w:rsidRDefault="00951C3D" w:rsidP="004F7A62">
      <w:pPr>
        <w:numPr>
          <w:ilvl w:val="0"/>
          <w:numId w:val="17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 determinados comerciantes mayoristas.</w:t>
      </w:r>
    </w:p>
    <w:p w14:paraId="0460E215" w14:textId="369AED46" w:rsidR="00951C3D" w:rsidRPr="00CF1B34" w:rsidRDefault="00951C3D" w:rsidP="004F7A62">
      <w:pPr>
        <w:numPr>
          <w:ilvl w:val="0"/>
          <w:numId w:val="172"/>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A los fabricantes y comerciantes</w:t>
      </w:r>
      <w:r w:rsidR="009E19E9"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mayoristas de oro purísimo</w:t>
      </w:r>
      <w:r w:rsidR="009E19E9"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que sirve de base a operaciones financieras (oro de inversión).</w:t>
      </w:r>
    </w:p>
    <w:p w14:paraId="13CDFC53" w14:textId="77777777" w:rsidR="00951C3D" w:rsidRPr="00CF1B34" w:rsidRDefault="00951C3D" w:rsidP="0005621A">
      <w:pPr>
        <w:pStyle w:val="NormalWeb"/>
        <w:shd w:val="clear" w:color="auto" w:fill="FFFFFF"/>
        <w:spacing w:before="0" w:beforeAutospacing="0" w:after="165" w:afterAutospacing="0"/>
        <w:ind w:firstLine="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Tipos de gravamen</w:t>
      </w:r>
    </w:p>
    <w:p w14:paraId="6055B492" w14:textId="205962D5" w:rsidR="00951C3D" w:rsidRPr="00CF1B34" w:rsidRDefault="00951C3D"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El</w:t>
      </w:r>
      <w:r w:rsidR="009E19E9"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IGIC</w:t>
      </w:r>
      <w:r w:rsidR="009E19E9"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establece un</w:t>
      </w:r>
      <w:r w:rsidR="009E19E9"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tipo general, un tipo reducido y dos tipos incrementados</w:t>
      </w:r>
      <w:r w:rsidRPr="00CF1B34">
        <w:rPr>
          <w:rFonts w:ascii="Arial" w:hAnsi="Arial" w:cs="Arial"/>
          <w:color w:val="333333"/>
          <w:sz w:val="22"/>
          <w:szCs w:val="22"/>
          <w:lang w:val="es-ES_tradnl"/>
        </w:rPr>
        <w:t>, además de un</w:t>
      </w:r>
      <w:r w:rsidR="009E19E9"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tipo cero</w:t>
      </w:r>
      <w:r w:rsidRPr="00CF1B34">
        <w:rPr>
          <w:rFonts w:ascii="Arial" w:hAnsi="Arial" w:cs="Arial"/>
          <w:color w:val="333333"/>
          <w:sz w:val="22"/>
          <w:szCs w:val="22"/>
          <w:lang w:val="es-ES_tradnl"/>
        </w:rPr>
        <w:t>.</w:t>
      </w:r>
    </w:p>
    <w:p w14:paraId="52FD3CA0" w14:textId="77777777" w:rsidR="00951C3D" w:rsidRPr="00CF1B34" w:rsidRDefault="00951C3D" w:rsidP="004F7A62">
      <w:pPr>
        <w:numPr>
          <w:ilvl w:val="0"/>
          <w:numId w:val="17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Tipo cero (0%)</w:t>
      </w:r>
    </w:p>
    <w:p w14:paraId="580B9C11" w14:textId="77777777" w:rsidR="00951C3D" w:rsidRPr="00CF1B34" w:rsidRDefault="00951C3D" w:rsidP="004F7A62">
      <w:pPr>
        <w:numPr>
          <w:ilvl w:val="0"/>
          <w:numId w:val="17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Reducido: 2%</w:t>
      </w:r>
    </w:p>
    <w:p w14:paraId="506F1F20" w14:textId="77777777" w:rsidR="00951C3D" w:rsidRPr="00CF1B34" w:rsidRDefault="00951C3D" w:rsidP="004F7A62">
      <w:pPr>
        <w:numPr>
          <w:ilvl w:val="0"/>
          <w:numId w:val="17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General: 5%</w:t>
      </w:r>
    </w:p>
    <w:p w14:paraId="5209FE7E" w14:textId="77777777" w:rsidR="00951C3D" w:rsidRPr="00CF1B34" w:rsidRDefault="00951C3D" w:rsidP="004F7A62">
      <w:pPr>
        <w:numPr>
          <w:ilvl w:val="0"/>
          <w:numId w:val="173"/>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Incrementados: 9% y 13%</w:t>
      </w:r>
    </w:p>
    <w:p w14:paraId="600BEAC1" w14:textId="201644EA" w:rsidR="00951C3D" w:rsidRPr="00CF1B34" w:rsidRDefault="00951C3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Asimismo, existen</w:t>
      </w:r>
      <w:r w:rsidR="009E19E9" w:rsidRPr="00CF1B34">
        <w:rPr>
          <w:rFonts w:ascii="Arial" w:hAnsi="Arial" w:cs="Arial"/>
          <w:color w:val="333333"/>
          <w:sz w:val="22"/>
          <w:szCs w:val="22"/>
          <w:lang w:val="es-ES_tradnl"/>
        </w:rPr>
        <w:t xml:space="preserve"> </w:t>
      </w:r>
      <w:r w:rsidRPr="00CF1B34">
        <w:rPr>
          <w:rStyle w:val="Textoennegrita"/>
          <w:rFonts w:ascii="Arial" w:hAnsi="Arial" w:cs="Arial"/>
          <w:color w:val="333333"/>
          <w:sz w:val="22"/>
          <w:szCs w:val="22"/>
          <w:lang w:val="es-ES_tradnl"/>
        </w:rPr>
        <w:t>dos tipos especiales: el 20% para labores de tabaco negro, y el 35% para labores de tabaco rubio, y sucedáneos del tabaco</w:t>
      </w:r>
      <w:r w:rsidRPr="00CF1B34">
        <w:rPr>
          <w:rFonts w:ascii="Arial" w:hAnsi="Arial" w:cs="Arial"/>
          <w:color w:val="333333"/>
          <w:sz w:val="22"/>
          <w:szCs w:val="22"/>
          <w:lang w:val="es-ES_tradnl"/>
        </w:rPr>
        <w:t>.</w:t>
      </w:r>
    </w:p>
    <w:p w14:paraId="18E20064" w14:textId="18D50C20"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IIC armonizadas (UCITS, Collective Investment in Transferable Securities)</w:t>
      </w:r>
    </w:p>
    <w:p w14:paraId="3135B2A7"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Fondos y sociedades de inversión, domiciliadas en un Estado miembro de la Unión Europea y sujetas a la Directiva europea que regula las instituciones de inversión colectiva. Pueden comercializarse en España entre los inversores particulares, previa inscripción en los registros de la CNMV y a través de entidades comercializadoras también registradas en este organismo.</w:t>
      </w:r>
    </w:p>
    <w:p w14:paraId="74137E97"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IIIC no armonizadas (non-UCITS)</w:t>
      </w:r>
    </w:p>
    <w:p w14:paraId="2AEC6376" w14:textId="53C5F9A6"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Fondos y sociedades de inversión, que no están domiciliadas en un Estado miembro Unión Europea o que, si lo están, no se encuentran sujetas a la Directiva europea que regula las instituciones de inversión colectiva. Para que puedan comercializarse en España entre inversores particulares es necesario que se inscriban en los Registros de la CNMV y que no tengan su domicilio en un Estado considerado como paraíso fiscal.</w:t>
      </w:r>
    </w:p>
    <w:p w14:paraId="257DABC7" w14:textId="637D17A6" w:rsidR="00233E29" w:rsidRPr="00CF1B34" w:rsidRDefault="00F040D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Imposiciones a plazo fijo.</w:t>
      </w:r>
    </w:p>
    <w:p w14:paraId="1C50B257" w14:textId="115E99E8" w:rsidR="00A825CA" w:rsidRPr="00CF1B34" w:rsidRDefault="00A825CA" w:rsidP="0005621A">
      <w:pPr>
        <w:ind w:left="708"/>
        <w:jc w:val="both"/>
        <w:rPr>
          <w:rFonts w:ascii="Arial" w:hAnsi="Arial" w:cs="Arial"/>
          <w:lang w:val="es-ES_tradnl"/>
        </w:rPr>
      </w:pPr>
      <w:r w:rsidRPr="00CF1B34">
        <w:rPr>
          <w:rFonts w:ascii="Arial" w:hAnsi="Arial" w:cs="Arial"/>
          <w:color w:val="333333"/>
          <w:sz w:val="22"/>
          <w:szCs w:val="22"/>
          <w:shd w:val="clear" w:color="auto" w:fill="FFFFFF"/>
          <w:lang w:val="es-ES_tradnl"/>
        </w:rPr>
        <w:t xml:space="preserve">Una de las opciones que tenemos como usuarios de entidades financieras para generar algo más de </w:t>
      </w:r>
      <w:r w:rsidRPr="00CF1B34">
        <w:rPr>
          <w:rFonts w:ascii="Arial" w:hAnsi="Arial" w:cs="Arial"/>
          <w:sz w:val="22"/>
          <w:szCs w:val="22"/>
          <w:lang w:val="es-ES_tradnl"/>
        </w:rPr>
        <w:t>dinero</w:t>
      </w:r>
      <w:r w:rsidRPr="00CF1B34">
        <w:rPr>
          <w:rFonts w:ascii="Arial" w:hAnsi="Arial" w:cs="Arial"/>
          <w:color w:val="333333"/>
          <w:sz w:val="22"/>
          <w:szCs w:val="22"/>
          <w:shd w:val="clear" w:color="auto" w:fill="FFFFFF"/>
          <w:lang w:val="es-ES_tradnl"/>
        </w:rPr>
        <w:t xml:space="preserve"> para incrementar nuestros ahorros es a través de una</w:t>
      </w:r>
      <w:r w:rsidR="00EC7912" w:rsidRPr="00CF1B34">
        <w:rPr>
          <w:rFonts w:ascii="Arial" w:hAnsi="Arial" w:cs="Arial"/>
          <w:color w:val="333333"/>
          <w:sz w:val="22"/>
          <w:szCs w:val="22"/>
          <w:shd w:val="clear" w:color="auto" w:fill="FFFFFF"/>
          <w:lang w:val="es-ES_tradnl"/>
        </w:rPr>
        <w:t xml:space="preserve"> </w:t>
      </w:r>
      <w:r w:rsidRPr="00CF1B34">
        <w:rPr>
          <w:rFonts w:ascii="Arial" w:hAnsi="Arial" w:cs="Arial"/>
          <w:b/>
          <w:bCs/>
          <w:color w:val="333333"/>
          <w:sz w:val="22"/>
          <w:szCs w:val="22"/>
          <w:shd w:val="clear" w:color="auto" w:fill="FFFFFF"/>
          <w:lang w:val="es-ES_tradnl"/>
        </w:rPr>
        <w:t>imposición a</w:t>
      </w:r>
      <w:r w:rsidRPr="00CF1B34">
        <w:rPr>
          <w:rFonts w:ascii="Arial" w:hAnsi="Arial" w:cs="Arial"/>
          <w:sz w:val="22"/>
          <w:szCs w:val="22"/>
          <w:lang w:val="es-ES_tradnl"/>
        </w:rPr>
        <w:t xml:space="preserve"> plazo fijo</w:t>
      </w:r>
      <w:r w:rsidRPr="00CF1B34">
        <w:rPr>
          <w:rFonts w:ascii="Arial" w:hAnsi="Arial" w:cs="Arial"/>
          <w:color w:val="333333"/>
          <w:sz w:val="22"/>
          <w:szCs w:val="22"/>
          <w:shd w:val="clear" w:color="auto" w:fill="FFFFFF"/>
          <w:lang w:val="es-ES_tradnl"/>
        </w:rPr>
        <w:t>.</w:t>
      </w:r>
      <w:r w:rsidRPr="00CF1B34">
        <w:rPr>
          <w:rFonts w:ascii="Arial" w:hAnsi="Arial" w:cs="Arial"/>
          <w:sz w:val="22"/>
          <w:szCs w:val="22"/>
          <w:lang w:val="es-ES_tradnl"/>
        </w:rPr>
        <w:t xml:space="preserve"> </w:t>
      </w:r>
      <w:r w:rsidR="00EF572C" w:rsidRPr="00CF1B34">
        <w:rPr>
          <w:rFonts w:ascii="Arial" w:hAnsi="Arial" w:cs="Arial"/>
          <w:color w:val="000000" w:themeColor="text1"/>
          <w:sz w:val="22"/>
          <w:szCs w:val="22"/>
          <w:lang w:val="es-ES_tradnl"/>
        </w:rPr>
        <w:t>Son similares a lo</w:t>
      </w:r>
      <w:r w:rsidR="00EC7912" w:rsidRPr="00CF1B34">
        <w:rPr>
          <w:rFonts w:ascii="Arial" w:hAnsi="Arial" w:cs="Arial"/>
          <w:color w:val="000000" w:themeColor="text1"/>
          <w:sz w:val="22"/>
          <w:szCs w:val="22"/>
          <w:lang w:val="es-ES_tradnl"/>
        </w:rPr>
        <w:t xml:space="preserve">s </w:t>
      </w:r>
      <w:r w:rsidR="00EF572C" w:rsidRPr="00CF1B34">
        <w:rPr>
          <w:rFonts w:ascii="Arial" w:hAnsi="Arial" w:cs="Arial"/>
          <w:color w:val="000000" w:themeColor="text1"/>
          <w:sz w:val="22"/>
          <w:szCs w:val="22"/>
          <w:lang w:val="es-ES_tradnl"/>
        </w:rPr>
        <w:t xml:space="preserve">depósitos bancarios. Entre el ahorrador y el banco se firma un contrato donde se establecen las condiciones de rentabilidad, periodo de tiempo, </w:t>
      </w:r>
      <w:r w:rsidR="00205EDB" w:rsidRPr="00CF1B34">
        <w:rPr>
          <w:rFonts w:ascii="Arial" w:hAnsi="Arial" w:cs="Arial"/>
          <w:color w:val="000000" w:themeColor="text1"/>
          <w:sz w:val="22"/>
          <w:szCs w:val="22"/>
          <w:lang w:val="es-ES_tradnl"/>
        </w:rPr>
        <w:t>a</w:t>
      </w:r>
      <w:r w:rsidR="00EF572C" w:rsidRPr="00CF1B34">
        <w:rPr>
          <w:rFonts w:ascii="Arial" w:hAnsi="Arial" w:cs="Arial"/>
          <w:color w:val="000000" w:themeColor="text1"/>
          <w:sz w:val="22"/>
          <w:szCs w:val="22"/>
          <w:lang w:val="es-ES_tradnl"/>
        </w:rPr>
        <w:t>s</w:t>
      </w:r>
      <w:r w:rsidR="00205EDB" w:rsidRPr="00CF1B34">
        <w:rPr>
          <w:rFonts w:ascii="Arial" w:hAnsi="Arial" w:cs="Arial"/>
          <w:color w:val="000000" w:themeColor="text1"/>
          <w:sz w:val="22"/>
          <w:szCs w:val="22"/>
          <w:lang w:val="es-ES_tradnl"/>
        </w:rPr>
        <w:t>í</w:t>
      </w:r>
      <w:r w:rsidR="00EF572C" w:rsidRPr="00CF1B34">
        <w:rPr>
          <w:rFonts w:ascii="Arial" w:hAnsi="Arial" w:cs="Arial"/>
          <w:color w:val="000000" w:themeColor="text1"/>
          <w:sz w:val="22"/>
          <w:szCs w:val="22"/>
          <w:lang w:val="es-ES_tradnl"/>
        </w:rPr>
        <w:t xml:space="preserve"> como comisiones que se cobraran si el dinero se saca antes de</w:t>
      </w:r>
      <w:r w:rsidR="0074736B" w:rsidRPr="00CF1B34">
        <w:rPr>
          <w:rFonts w:ascii="Arial" w:hAnsi="Arial" w:cs="Arial"/>
          <w:color w:val="000000" w:themeColor="text1"/>
          <w:sz w:val="22"/>
          <w:szCs w:val="22"/>
          <w:lang w:val="es-ES_tradnl"/>
        </w:rPr>
        <w:t>l</w:t>
      </w:r>
      <w:r w:rsidR="00EF572C" w:rsidRPr="00CF1B34">
        <w:rPr>
          <w:rFonts w:ascii="Arial" w:hAnsi="Arial" w:cs="Arial"/>
          <w:color w:val="000000" w:themeColor="text1"/>
          <w:sz w:val="22"/>
          <w:szCs w:val="22"/>
          <w:lang w:val="es-ES_tradnl"/>
        </w:rPr>
        <w:t xml:space="preserve"> plazo</w:t>
      </w:r>
      <w:r w:rsidR="0074736B" w:rsidRPr="00CF1B34">
        <w:rPr>
          <w:rFonts w:ascii="Arial" w:hAnsi="Arial" w:cs="Arial"/>
          <w:color w:val="000000" w:themeColor="text1"/>
          <w:sz w:val="22"/>
          <w:szCs w:val="22"/>
          <w:lang w:val="es-ES_tradnl"/>
        </w:rPr>
        <w:t xml:space="preserve"> establecido.</w:t>
      </w:r>
      <w:r w:rsidR="0074736B" w:rsidRPr="00CF1B34">
        <w:rPr>
          <w:rFonts w:ascii="Arial" w:hAnsi="Arial" w:cs="Arial"/>
          <w:lang w:val="es-ES_tradnl"/>
        </w:rPr>
        <w:t xml:space="preserve"> </w:t>
      </w:r>
    </w:p>
    <w:p w14:paraId="63F52E83" w14:textId="53CE6EA6" w:rsidR="00A825CA" w:rsidRPr="00CF1B34" w:rsidRDefault="00A825CA" w:rsidP="0005621A">
      <w:pPr>
        <w:ind w:left="708"/>
        <w:jc w:val="both"/>
        <w:rPr>
          <w:rFonts w:ascii="Arial" w:hAnsi="Arial" w:cs="Arial"/>
          <w:color w:val="333333"/>
          <w:sz w:val="22"/>
          <w:szCs w:val="22"/>
          <w:shd w:val="clear" w:color="auto" w:fill="FFFFFF"/>
          <w:lang w:val="es-ES_tradnl"/>
        </w:rPr>
      </w:pPr>
      <w:r w:rsidRPr="00CF1B34">
        <w:rPr>
          <w:rFonts w:ascii="Arial" w:hAnsi="Arial" w:cs="Arial"/>
          <w:color w:val="333333"/>
          <w:sz w:val="22"/>
          <w:szCs w:val="22"/>
          <w:shd w:val="clear" w:color="auto" w:fill="FFFFFF"/>
          <w:lang w:val="es-ES_tradnl"/>
        </w:rPr>
        <w:lastRenderedPageBreak/>
        <w:t>Sin embargo, en los últimos tiempos, la nueva modalidad de</w:t>
      </w:r>
      <w:r w:rsidR="00EC7912" w:rsidRPr="00CF1B34">
        <w:rPr>
          <w:rStyle w:val="Textoennegrita"/>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imposiciones a plazo</w:t>
      </w:r>
      <w:r w:rsidR="00EC7912" w:rsidRPr="00CF1B34">
        <w:rPr>
          <w:rStyle w:val="Textoennegrita"/>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fijo se vincula a remuneraciones variables</w:t>
      </w:r>
      <w:r w:rsidRPr="00CF1B34">
        <w:rPr>
          <w:rFonts w:ascii="Arial" w:hAnsi="Arial" w:cs="Arial"/>
          <w:color w:val="333333"/>
          <w:sz w:val="22"/>
          <w:szCs w:val="22"/>
          <w:shd w:val="clear" w:color="auto" w:fill="FFFFFF"/>
          <w:lang w:val="es-ES_tradnl"/>
        </w:rPr>
        <w:t>. Esta</w:t>
      </w:r>
      <w:r w:rsidR="00EC5169" w:rsidRPr="00CF1B34">
        <w:rPr>
          <w:rFonts w:ascii="Arial" w:hAnsi="Arial" w:cs="Arial"/>
          <w:color w:val="333333"/>
          <w:sz w:val="22"/>
          <w:szCs w:val="22"/>
          <w:shd w:val="clear" w:color="auto" w:fill="FFFFFF"/>
          <w:lang w:val="es-ES_tradnl"/>
        </w:rPr>
        <w:t xml:space="preserve">s </w:t>
      </w:r>
      <w:r w:rsidRPr="00CF1B34">
        <w:rPr>
          <w:rFonts w:ascii="Arial" w:hAnsi="Arial" w:cs="Arial"/>
          <w:color w:val="333333"/>
          <w:sz w:val="22"/>
          <w:szCs w:val="22"/>
          <w:shd w:val="clear" w:color="auto" w:fill="FFFFFF"/>
          <w:lang w:val="es-ES_tradnl"/>
        </w:rPr>
        <w:t>opciones están</w:t>
      </w:r>
      <w:r w:rsidR="00EC7912"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 xml:space="preserve">referenciadas a las variaciones de los mercados financieros, ya sea la bolsa, el Euribor las materias primas o las divisas </w:t>
      </w:r>
    </w:p>
    <w:p w14:paraId="6AEF3B15" w14:textId="79855EE6" w:rsidR="00EC7912" w:rsidRPr="00CF1B34" w:rsidRDefault="00A825C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Un punto a tener en cuenta es que </w:t>
      </w:r>
      <w:r w:rsidRPr="00CF1B34">
        <w:rPr>
          <w:rStyle w:val="Textoennegrita"/>
          <w:rFonts w:ascii="Arial" w:hAnsi="Arial" w:cs="Arial"/>
          <w:color w:val="333333"/>
          <w:sz w:val="22"/>
          <w:szCs w:val="22"/>
          <w:shd w:val="clear" w:color="auto" w:fill="FFFFFF"/>
          <w:lang w:val="es-ES_tradnl"/>
        </w:rPr>
        <w:t xml:space="preserve">los depósitos tributan, por lo </w:t>
      </w:r>
      <w:r w:rsidR="00EC5169" w:rsidRPr="00CF1B34">
        <w:rPr>
          <w:rStyle w:val="Textoennegrita"/>
          <w:rFonts w:ascii="Arial" w:hAnsi="Arial" w:cs="Arial"/>
          <w:color w:val="333333"/>
          <w:sz w:val="22"/>
          <w:szCs w:val="22"/>
          <w:shd w:val="clear" w:color="auto" w:fill="FFFFFF"/>
          <w:lang w:val="es-ES_tradnl"/>
        </w:rPr>
        <w:t>tanto,</w:t>
      </w:r>
      <w:r w:rsidRPr="00CF1B34">
        <w:rPr>
          <w:rStyle w:val="Textoennegrita"/>
          <w:rFonts w:ascii="Arial" w:hAnsi="Arial" w:cs="Arial"/>
          <w:color w:val="333333"/>
          <w:sz w:val="22"/>
          <w:szCs w:val="22"/>
          <w:shd w:val="clear" w:color="auto" w:fill="FFFFFF"/>
          <w:lang w:val="es-ES_tradnl"/>
        </w:rPr>
        <w:t xml:space="preserve"> están alcanzados por el</w:t>
      </w:r>
      <w:r w:rsidR="00EC7912" w:rsidRPr="00CF1B34">
        <w:rPr>
          <w:rStyle w:val="Textoennegrita"/>
          <w:rFonts w:ascii="Arial" w:hAnsi="Arial" w:cs="Arial"/>
          <w:color w:val="333333"/>
          <w:sz w:val="22"/>
          <w:szCs w:val="22"/>
          <w:shd w:val="clear" w:color="auto" w:fill="FFFFFF"/>
          <w:lang w:val="es-ES_tradnl"/>
        </w:rPr>
        <w:t xml:space="preserve"> impuesto sobre la renta </w:t>
      </w:r>
      <w:r w:rsidRPr="00CF1B34">
        <w:rPr>
          <w:rStyle w:val="Textoennegrita"/>
          <w:rFonts w:ascii="Arial" w:hAnsi="Arial" w:cs="Arial"/>
          <w:color w:val="333333"/>
          <w:sz w:val="22"/>
          <w:szCs w:val="22"/>
          <w:shd w:val="clear" w:color="auto" w:fill="FFFFFF"/>
          <w:lang w:val="es-ES_tradnl"/>
        </w:rPr>
        <w:t xml:space="preserve">de las personas físicas </w:t>
      </w:r>
      <w:r w:rsidRPr="00CF1B34">
        <w:rPr>
          <w:rStyle w:val="Textoennegrita"/>
          <w:rFonts w:ascii="Arial" w:hAnsi="Arial" w:cs="Arial"/>
          <w:color w:val="2F5496" w:themeColor="accent1" w:themeShade="BF"/>
          <w:sz w:val="22"/>
          <w:szCs w:val="22"/>
          <w:shd w:val="clear" w:color="auto" w:fill="FFFFFF"/>
          <w:lang w:val="es-ES_tradnl"/>
        </w:rPr>
        <w:t>(</w:t>
      </w:r>
      <w:hyperlink r:id="rId260" w:history="1">
        <w:r w:rsidRPr="00CF1B34">
          <w:rPr>
            <w:rStyle w:val="Hipervnculo"/>
            <w:rFonts w:ascii="Arial" w:hAnsi="Arial" w:cs="Arial"/>
            <w:b/>
            <w:bCs/>
            <w:color w:val="2F5496" w:themeColor="accent1" w:themeShade="BF"/>
            <w:sz w:val="22"/>
            <w:szCs w:val="22"/>
            <w:u w:val="none"/>
            <w:lang w:val="es-ES_tradnl"/>
          </w:rPr>
          <w:t>IRPF</w:t>
        </w:r>
      </w:hyperlink>
      <w:r w:rsidRPr="00CF1B34">
        <w:rPr>
          <w:rStyle w:val="Textoennegrita"/>
          <w:rFonts w:ascii="Arial" w:hAnsi="Arial" w:cs="Arial"/>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Los intereses generados por estas imposiciones</w:t>
      </w:r>
      <w:r w:rsidR="00EC7912"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se integran como rendimiento del capital mobiliario en la base imponible del ahorro del IRPF</w:t>
      </w:r>
      <w:r w:rsidR="00EC7912" w:rsidRPr="00CF1B34">
        <w:rPr>
          <w:rFonts w:ascii="Arial" w:hAnsi="Arial" w:cs="Arial"/>
          <w:color w:val="333333"/>
          <w:sz w:val="22"/>
          <w:szCs w:val="22"/>
          <w:shd w:val="clear" w:color="auto" w:fill="FFFFFF"/>
          <w:lang w:val="es-ES_tradnl"/>
        </w:rPr>
        <w:t>.</w:t>
      </w:r>
    </w:p>
    <w:p w14:paraId="0A17FC79" w14:textId="1C7F0742" w:rsidR="00F040D8" w:rsidRPr="00CF1B34" w:rsidRDefault="00F040D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Impuestos </w:t>
      </w:r>
    </w:p>
    <w:p w14:paraId="3F8EE55C" w14:textId="317012C7" w:rsidR="0074736B" w:rsidRPr="00CF1B34" w:rsidRDefault="0074736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el principal instrumento que tiene el Estado para recaudar dinero y as</w:t>
      </w:r>
      <w:r w:rsidR="000379CF"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 xml:space="preserve"> atender sus gastos y realizar sus inversiones. Estos impuestos pueden ser directos o indirectos; cuando el Estado no tiene bastante con lo recaudado se endeuda bien emitiendo deuda publica o pidiendo prestado a bancos nacionales y extranjeros.</w:t>
      </w:r>
    </w:p>
    <w:p w14:paraId="3FDA7C86" w14:textId="77777777" w:rsidR="00233E29" w:rsidRPr="00CF1B34" w:rsidRDefault="00233E29"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Impuesto de transmisiones patrimoniales</w:t>
      </w:r>
    </w:p>
    <w:p w14:paraId="3BE7F114" w14:textId="77777777" w:rsidR="00233E29" w:rsidRPr="00CF1B34" w:rsidRDefault="00233E2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Impuesto de Transmisiones Patrimoniales y Actos Jurídicos Documentados, más conocido como ITP, es un impuesto que involucra a las transmisiones patrimoniales onerosas, a las operaciones societarias y a los actos jurídicos documentados.</w:t>
      </w:r>
    </w:p>
    <w:p w14:paraId="557C8EA6" w14:textId="77777777" w:rsidR="00233E29" w:rsidRPr="00CF1B34" w:rsidRDefault="00233E2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Este impuesto se aplica en la compra de una vivienda o de un vehículo de segunda mano y, además, en el alquiler y en la ampliación o disminución de capital en las empresas. Los Actos jurídicos por su parte, actúan directamente en la escritura pública de la compraventa de una vivienda o la escritura de una hipoteca.</w:t>
      </w:r>
    </w:p>
    <w:p w14:paraId="267957CA" w14:textId="77777777" w:rsidR="00233E29" w:rsidRPr="00CF1B34" w:rsidRDefault="00233E29"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Impuesto de Transmisiones Patrimoniales para vivienda</w:t>
      </w:r>
    </w:p>
    <w:p w14:paraId="18299FED" w14:textId="77777777" w:rsidR="00233E29" w:rsidRPr="00CF1B34" w:rsidRDefault="00233E2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Impuesto de Transmisiones Patrimoniales para vivienda afecta cuando se lleva acabo la compraventa o el alquiler de una vivienda. La persona que adquiere el uso de ese bien, es decir, el sujeto pasivo, está obligado a pagarlo.</w:t>
      </w:r>
    </w:p>
    <w:p w14:paraId="0FE8FBC7" w14:textId="2398D727" w:rsidR="00233E29" w:rsidRPr="00CF1B34" w:rsidRDefault="00233E2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Dónde y cuándo se debe pagar el Impuesto de Transmisiones Patrimoniales (</w:t>
      </w:r>
      <w:r w:rsidRPr="00CF1B34">
        <w:rPr>
          <w:rFonts w:ascii="Arial" w:hAnsi="Arial" w:cs="Arial"/>
          <w:b/>
          <w:bCs/>
          <w:sz w:val="22"/>
          <w:szCs w:val="22"/>
          <w:lang w:val="es-ES_tradnl"/>
        </w:rPr>
        <w:t>ITP</w:t>
      </w:r>
      <w:r w:rsidRPr="00CF1B34">
        <w:rPr>
          <w:rFonts w:ascii="Arial" w:hAnsi="Arial" w:cs="Arial"/>
          <w:sz w:val="22"/>
          <w:szCs w:val="22"/>
          <w:lang w:val="es-ES_tradnl"/>
        </w:rPr>
        <w:t>)</w:t>
      </w:r>
    </w:p>
    <w:p w14:paraId="780FA900" w14:textId="77777777" w:rsidR="00233E29" w:rsidRPr="00CF1B34" w:rsidRDefault="00233E2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El </w:t>
      </w:r>
      <w:r w:rsidRPr="00CF1B34">
        <w:rPr>
          <w:rFonts w:ascii="Arial" w:hAnsi="Arial" w:cs="Arial"/>
          <w:b/>
          <w:bCs/>
          <w:sz w:val="22"/>
          <w:szCs w:val="22"/>
          <w:lang w:val="es-ES_tradnl"/>
        </w:rPr>
        <w:t>ITP</w:t>
      </w:r>
      <w:r w:rsidRPr="00CF1B34">
        <w:rPr>
          <w:rFonts w:ascii="Arial" w:hAnsi="Arial" w:cs="Arial"/>
          <w:sz w:val="22"/>
          <w:szCs w:val="22"/>
          <w:lang w:val="es-ES_tradnl"/>
        </w:rPr>
        <w:t xml:space="preserve"> al ser un impuesto estatal que se aplica a las diferentes comunidades autónomas, se debe abonar en la delegación de Hacienda de la comunidad correspondiente. El plazo para poder liquidarlo es de 30 días, a partir del momento en el que se produce la compra del bien o la firma del derecho.</w:t>
      </w:r>
    </w:p>
    <w:p w14:paraId="0BD36F8C" w14:textId="77777777" w:rsidR="00233E29" w:rsidRPr="00CF1B34" w:rsidRDefault="00233E29"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se calcula el Impuesto de Transmisiones Patrimoniales (ITP)</w:t>
      </w:r>
    </w:p>
    <w:p w14:paraId="496AFBCA" w14:textId="77777777" w:rsidR="00233E29" w:rsidRPr="00CF1B34" w:rsidRDefault="00233E29" w:rsidP="0005621A">
      <w:pPr>
        <w:spacing w:after="100" w:afterAutospacing="1"/>
        <w:ind w:firstLine="708"/>
        <w:jc w:val="both"/>
        <w:rPr>
          <w:rFonts w:ascii="Arial" w:hAnsi="Arial" w:cs="Arial"/>
          <w:sz w:val="22"/>
          <w:szCs w:val="22"/>
          <w:lang w:val="es-ES_tradnl"/>
        </w:rPr>
      </w:pPr>
      <w:r w:rsidRPr="00CF1B34">
        <w:rPr>
          <w:rFonts w:ascii="Arial" w:hAnsi="Arial" w:cs="Arial"/>
          <w:sz w:val="22"/>
          <w:szCs w:val="22"/>
          <w:lang w:val="es-ES_tradnl"/>
        </w:rPr>
        <w:t xml:space="preserve">El </w:t>
      </w:r>
      <w:r w:rsidRPr="00CF1B34">
        <w:rPr>
          <w:rFonts w:ascii="Arial" w:hAnsi="Arial" w:cs="Arial"/>
          <w:b/>
          <w:bCs/>
          <w:sz w:val="22"/>
          <w:szCs w:val="22"/>
          <w:lang w:val="es-ES_tradnl"/>
        </w:rPr>
        <w:t xml:space="preserve">ITP </w:t>
      </w:r>
      <w:r w:rsidRPr="00CF1B34">
        <w:rPr>
          <w:rFonts w:ascii="Arial" w:hAnsi="Arial" w:cs="Arial"/>
          <w:sz w:val="22"/>
          <w:szCs w:val="22"/>
          <w:lang w:val="es-ES_tradnl"/>
        </w:rPr>
        <w:t>se calcula de la siguiente manera:</w:t>
      </w:r>
    </w:p>
    <w:p w14:paraId="284A5B7C" w14:textId="77777777" w:rsidR="00233E29" w:rsidRPr="00CF1B34" w:rsidRDefault="00233E2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Hay que tomar como base imponible el valor del bien transmitido o del derecho constituido para conocer la cuota tributaria a pagar. Es importante recordar que esta cuota varía en función de cada comunidad autónoma, pudiendo variar el tipo de gravamen, las deducciones, bonificaciones y la gestión y liquidación de dicho impuesto, dependiendo de cada comunidad autónoma.</w:t>
      </w:r>
    </w:p>
    <w:p w14:paraId="47A47B7D" w14:textId="77777777" w:rsidR="00233E29" w:rsidRPr="00CF1B34" w:rsidRDefault="00233E29" w:rsidP="0005621A">
      <w:pPr>
        <w:spacing w:after="100" w:afterAutospacing="1"/>
        <w:ind w:left="708"/>
        <w:jc w:val="both"/>
        <w:outlineLvl w:val="1"/>
        <w:rPr>
          <w:rFonts w:ascii="Arial" w:hAnsi="Arial" w:cs="Arial"/>
          <w:sz w:val="22"/>
          <w:szCs w:val="22"/>
          <w:lang w:val="es-ES_tradnl"/>
        </w:rPr>
      </w:pPr>
      <w:r w:rsidRPr="00CF1B34">
        <w:rPr>
          <w:rFonts w:ascii="Arial" w:hAnsi="Arial" w:cs="Arial"/>
          <w:b/>
          <w:bCs/>
          <w:sz w:val="22"/>
          <w:szCs w:val="22"/>
          <w:lang w:val="es-ES_tradnl"/>
        </w:rPr>
        <w:t>A qué tipo de operaciones de aplica el Impuesto de Transmisiones Patrimoniales (ITP)</w:t>
      </w:r>
    </w:p>
    <w:p w14:paraId="0C224347" w14:textId="77777777" w:rsidR="00233E29" w:rsidRPr="00CF1B34" w:rsidRDefault="00233E29" w:rsidP="004F7A62">
      <w:pPr>
        <w:numPr>
          <w:ilvl w:val="0"/>
          <w:numId w:val="33"/>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lastRenderedPageBreak/>
        <w:t>Transmisiones patrimoniales onerosas</w:t>
      </w:r>
      <w:r w:rsidRPr="00CF1B34">
        <w:rPr>
          <w:rFonts w:ascii="Arial" w:hAnsi="Arial" w:cs="Arial"/>
          <w:sz w:val="22"/>
          <w:szCs w:val="22"/>
          <w:lang w:val="es-ES_tradnl"/>
        </w:rPr>
        <w:br/>
        <w:t>En el caso de comprar una casa, se paga ITP cuando se compra de segunda mano entre particulares. Estas transmisiones tributan entre un 4 % y un 10 % dependiendo de la comunidad autónoma y de las posibles deducciones que se apliquen.</w:t>
      </w:r>
    </w:p>
    <w:p w14:paraId="197BBE9B" w14:textId="77777777" w:rsidR="00233E29" w:rsidRPr="00CF1B34" w:rsidRDefault="00233E29" w:rsidP="004F7A62">
      <w:pPr>
        <w:numPr>
          <w:ilvl w:val="0"/>
          <w:numId w:val="33"/>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Operaciones societarias</w:t>
      </w:r>
      <w:r w:rsidRPr="00CF1B34">
        <w:rPr>
          <w:rFonts w:ascii="Arial" w:hAnsi="Arial" w:cs="Arial"/>
          <w:sz w:val="22"/>
          <w:szCs w:val="22"/>
          <w:lang w:val="es-ES_tradnl"/>
        </w:rPr>
        <w:br/>
        <w:t>Se aplica con la constitución, aumento o disminución del capital, o la fusión, escisión o disolución de sociedades. En este tipo de operaciones el impuesto es, aproximadamente, de un 1.</w:t>
      </w:r>
    </w:p>
    <w:p w14:paraId="344D0980" w14:textId="77777777" w:rsidR="003736AA" w:rsidRPr="00CF1B34" w:rsidRDefault="00233E2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sz w:val="22"/>
          <w:szCs w:val="22"/>
          <w:lang w:val="es-ES_tradnl"/>
        </w:rPr>
        <w:t>Actos jurídicos documentados</w:t>
      </w:r>
      <w:r w:rsidRPr="00CF1B34">
        <w:rPr>
          <w:rFonts w:ascii="Arial" w:hAnsi="Arial" w:cs="Arial"/>
          <w:sz w:val="22"/>
          <w:szCs w:val="22"/>
          <w:lang w:val="es-ES_tradnl"/>
        </w:rPr>
        <w:br/>
        <w:t>Son los documentos notariales, mercantiles o administrativos que se formalizan dentro de España, y los que se realicen en el extranjero pero que surtan efecto en España. Este impuesto varía en función de cada comunidad autónoma y suele ser entre 0,5 % y el 1,5 %.</w:t>
      </w:r>
    </w:p>
    <w:p w14:paraId="1874C7E7" w14:textId="77777777" w:rsidR="003736AA" w:rsidRPr="00CF1B34" w:rsidRDefault="003736A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Impuesto sobre Actos Jurídicos Documentados</w:t>
      </w:r>
    </w:p>
    <w:p w14:paraId="5325A589" w14:textId="77777777" w:rsidR="003736AA" w:rsidRPr="00CF1B34" w:rsidRDefault="003736A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impuesto de Actos Jurídicos Documentados (AJD), conocido como el impuesto de las hipotecas, se realiza sobre escritura notarial con el objetivo de legalizar todos los documentos mercantiles y administrativos correspondientes al préstamo hipotecario.</w:t>
      </w:r>
    </w:p>
    <w:p w14:paraId="0DB56A50" w14:textId="77777777" w:rsidR="003736AA" w:rsidRPr="00CF1B34" w:rsidRDefault="003736A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impuesto de Actos Jurídicos Documentados está regulado por Real Decreto Legislativo 1/1993, del 24 de septiembre, bajo la Ley del Impuesto sobre Transmisiones Patrimoniales y Actos Jurídicos Documentados.</w:t>
      </w:r>
    </w:p>
    <w:p w14:paraId="03BC432D" w14:textId="77777777" w:rsidR="003736AA" w:rsidRPr="00CF1B34" w:rsidRDefault="003736A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Este impuesto es un gasto extra que deben asumir los propietarios o la persona bien sea física o jurídica que está interesada en la compra y venta de una casa, local o cualquier otro tipo de inmueble. Este impuesto, según el precio del inmueble puede representar hasta el 70% del total de gastos hipotecarios.</w:t>
      </w:r>
    </w:p>
    <w:p w14:paraId="6869CD18" w14:textId="77777777" w:rsidR="003736AA" w:rsidRPr="00CF1B34" w:rsidRDefault="003736A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porcentaje supone el impuesto de actos jurídicos documentados?</w:t>
      </w:r>
    </w:p>
    <w:p w14:paraId="3DEDF0F4" w14:textId="77777777" w:rsidR="003736AA" w:rsidRPr="00CF1B34" w:rsidRDefault="003736A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vas a adquirir una vivienda en España, el porcentaje a pagar dependerá de la comunidad donde se formalice el préstamo. El porcentaje suele oscilar entre el 0,5% y el 1,5% del valor de compraventa.</w:t>
      </w:r>
    </w:p>
    <w:p w14:paraId="6C41954F" w14:textId="77777777" w:rsidR="003736AA" w:rsidRPr="00CF1B34" w:rsidRDefault="003736A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Andalucía, Aragón, Comunidad Valenciana, Castilla y León, Cataluña, Galicia y Murcia son algunas de las Comunidades que aplican un gravamen mayor (1.5%).</w:t>
      </w:r>
    </w:p>
    <w:p w14:paraId="2B09DB48" w14:textId="77777777" w:rsidR="003736AA" w:rsidRPr="00CF1B34" w:rsidRDefault="003736A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el lado opuesto, existen otras comunidades como Ceuta, Melilla, Navarra y el País Vasco que aplican un 0,50%.</w:t>
      </w:r>
    </w:p>
    <w:p w14:paraId="342E1C11" w14:textId="77777777" w:rsidR="003736AA" w:rsidRPr="00CF1B34" w:rsidRDefault="003736A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Y, en el término medio se encuentran Castilla-La Mancha un 1.25%; Asturias, Baleares y Extremadura con un 1.2%; Canarias, Cantabria y La Rioja aplican un 1% y, finalmente, Madrid con una tasa de un 0.75%</w:t>
      </w:r>
    </w:p>
    <w:p w14:paraId="67F799E1" w14:textId="77777777" w:rsidR="003736AA" w:rsidRPr="00CF1B34" w:rsidRDefault="003736AA" w:rsidP="0005621A">
      <w:pPr>
        <w:pBdr>
          <w:bottom w:val="single" w:sz="6" w:space="15" w:color="EFF3FF"/>
        </w:pBdr>
        <w:spacing w:after="100" w:afterAutospacing="1"/>
        <w:ind w:firstLine="708"/>
        <w:jc w:val="both"/>
        <w:outlineLvl w:val="1"/>
        <w:rPr>
          <w:rFonts w:ascii="Arial" w:hAnsi="Arial" w:cs="Arial"/>
          <w:b/>
          <w:bCs/>
          <w:color w:val="191B1C"/>
          <w:sz w:val="22"/>
          <w:szCs w:val="22"/>
          <w:lang w:val="es-ES_tradnl"/>
        </w:rPr>
      </w:pPr>
      <w:r w:rsidRPr="00CF1B34">
        <w:rPr>
          <w:rFonts w:ascii="Arial" w:hAnsi="Arial" w:cs="Arial"/>
          <w:b/>
          <w:bCs/>
          <w:color w:val="191B1C"/>
          <w:sz w:val="22"/>
          <w:szCs w:val="22"/>
          <w:lang w:val="es-ES_tradnl"/>
        </w:rPr>
        <w:t>Actos jurídicos documentados por Comunidad Autónoma:</w:t>
      </w:r>
    </w:p>
    <w:p w14:paraId="7DE09488" w14:textId="69064C2B" w:rsidR="003736AA" w:rsidRPr="00CF1B34" w:rsidRDefault="003736AA" w:rsidP="0005621A">
      <w:pPr>
        <w:shd w:val="clear" w:color="auto" w:fill="EBEEF5"/>
        <w:jc w:val="both"/>
        <w:rPr>
          <w:rFonts w:ascii="Arial" w:hAnsi="Arial" w:cs="Arial"/>
          <w:caps/>
          <w:spacing w:val="18"/>
          <w:sz w:val="22"/>
          <w:szCs w:val="22"/>
          <w:lang w:val="es-ES_tradnl"/>
        </w:rPr>
      </w:pPr>
      <w:r w:rsidRPr="00CF1B34">
        <w:rPr>
          <w:rFonts w:ascii="Arial" w:hAnsi="Arial" w:cs="Arial"/>
          <w:caps/>
          <w:spacing w:val="18"/>
          <w:sz w:val="22"/>
          <w:szCs w:val="22"/>
          <w:lang w:val="es-ES_tradnl"/>
        </w:rPr>
        <w:t>COMUNIDAD AUTÓNOMA</w:t>
      </w:r>
      <w:r w:rsidR="00C26652" w:rsidRPr="00CF1B34">
        <w:rPr>
          <w:rFonts w:ascii="Arial" w:hAnsi="Arial" w:cs="Arial"/>
          <w:caps/>
          <w:spacing w:val="18"/>
          <w:sz w:val="22"/>
          <w:szCs w:val="22"/>
          <w:lang w:val="es-ES_tradnl"/>
        </w:rPr>
        <w:tab/>
      </w:r>
      <w:r w:rsidR="00C26652" w:rsidRPr="00CF1B34">
        <w:rPr>
          <w:rFonts w:ascii="Arial" w:hAnsi="Arial" w:cs="Arial"/>
          <w:caps/>
          <w:spacing w:val="18"/>
          <w:sz w:val="22"/>
          <w:szCs w:val="22"/>
          <w:lang w:val="es-ES_tradnl"/>
        </w:rPr>
        <w:tab/>
      </w:r>
      <w:r w:rsidR="00C26652" w:rsidRPr="00CF1B34">
        <w:rPr>
          <w:rFonts w:ascii="Arial" w:hAnsi="Arial" w:cs="Arial"/>
          <w:caps/>
          <w:spacing w:val="18"/>
          <w:sz w:val="22"/>
          <w:szCs w:val="22"/>
          <w:lang w:val="es-ES_tradnl"/>
        </w:rPr>
        <w:tab/>
      </w:r>
      <w:r w:rsidR="00C26652" w:rsidRPr="00CF1B34">
        <w:rPr>
          <w:rFonts w:ascii="Arial" w:hAnsi="Arial" w:cs="Arial"/>
          <w:caps/>
          <w:spacing w:val="18"/>
          <w:sz w:val="22"/>
          <w:szCs w:val="22"/>
          <w:lang w:val="es-ES_tradnl"/>
        </w:rPr>
        <w:tab/>
      </w:r>
      <w:r w:rsidR="00C26652" w:rsidRPr="00CF1B34">
        <w:rPr>
          <w:rFonts w:ascii="Arial" w:hAnsi="Arial" w:cs="Arial"/>
          <w:caps/>
          <w:spacing w:val="18"/>
          <w:sz w:val="22"/>
          <w:szCs w:val="22"/>
          <w:lang w:val="es-ES_tradnl"/>
        </w:rPr>
        <w:tab/>
      </w:r>
      <w:r w:rsidR="00C26652" w:rsidRPr="00CF1B34">
        <w:rPr>
          <w:rFonts w:ascii="Arial" w:hAnsi="Arial" w:cs="Arial"/>
          <w:caps/>
          <w:spacing w:val="18"/>
          <w:sz w:val="22"/>
          <w:szCs w:val="22"/>
          <w:lang w:val="es-ES_tradnl"/>
        </w:rPr>
        <w:tab/>
      </w:r>
      <w:r w:rsidR="00C26652" w:rsidRPr="00CF1B34">
        <w:rPr>
          <w:rFonts w:ascii="Arial" w:hAnsi="Arial" w:cs="Arial"/>
          <w:caps/>
          <w:spacing w:val="18"/>
          <w:sz w:val="22"/>
          <w:szCs w:val="22"/>
          <w:lang w:val="es-ES_tradnl"/>
        </w:rPr>
        <w:tab/>
      </w:r>
      <w:r w:rsidR="00C26652" w:rsidRPr="00CF1B34">
        <w:rPr>
          <w:rFonts w:ascii="Arial" w:hAnsi="Arial" w:cs="Arial"/>
          <w:caps/>
          <w:spacing w:val="18"/>
          <w:sz w:val="22"/>
          <w:szCs w:val="22"/>
          <w:lang w:val="es-ES_tradnl"/>
        </w:rPr>
        <w:tab/>
      </w:r>
      <w:r w:rsidR="00C26652" w:rsidRPr="00CF1B34">
        <w:rPr>
          <w:rFonts w:ascii="Arial" w:hAnsi="Arial" w:cs="Arial"/>
          <w:caps/>
          <w:spacing w:val="18"/>
          <w:sz w:val="22"/>
          <w:szCs w:val="22"/>
          <w:lang w:val="es-ES_tradnl"/>
        </w:rPr>
        <w:tab/>
      </w:r>
      <w:r w:rsidR="00C26652" w:rsidRPr="00CF1B34">
        <w:rPr>
          <w:rFonts w:ascii="Arial" w:hAnsi="Arial" w:cs="Arial"/>
          <w:caps/>
          <w:spacing w:val="18"/>
          <w:sz w:val="22"/>
          <w:szCs w:val="22"/>
          <w:lang w:val="es-ES_tradnl"/>
        </w:rPr>
        <w:tab/>
      </w:r>
      <w:r w:rsidRPr="00CF1B34">
        <w:rPr>
          <w:rFonts w:ascii="Arial" w:hAnsi="Arial" w:cs="Arial"/>
          <w:caps/>
          <w:spacing w:val="18"/>
          <w:sz w:val="22"/>
          <w:szCs w:val="22"/>
          <w:lang w:val="es-ES_tradnl"/>
        </w:rPr>
        <w:t>TIPO GENERAL</w:t>
      </w:r>
    </w:p>
    <w:p w14:paraId="2BAF1AF8"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Andalucía</w:t>
      </w:r>
    </w:p>
    <w:p w14:paraId="77AA75C8"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1,50%</w:t>
      </w:r>
    </w:p>
    <w:p w14:paraId="617563C1"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Aragón</w:t>
      </w:r>
    </w:p>
    <w:p w14:paraId="6F80C4BE"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1,50%</w:t>
      </w:r>
    </w:p>
    <w:p w14:paraId="3A08A0DD"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Asturias</w:t>
      </w:r>
    </w:p>
    <w:p w14:paraId="7810113A"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1,20%</w:t>
      </w:r>
    </w:p>
    <w:p w14:paraId="1B71E133"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Balears</w:t>
      </w:r>
    </w:p>
    <w:p w14:paraId="7AD91034"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1,20%</w:t>
      </w:r>
    </w:p>
    <w:p w14:paraId="744FA14F"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Canarias</w:t>
      </w:r>
    </w:p>
    <w:p w14:paraId="2DEC4ECF"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1,00%</w:t>
      </w:r>
    </w:p>
    <w:p w14:paraId="5D981F75"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Cantabria</w:t>
      </w:r>
    </w:p>
    <w:p w14:paraId="2FFBB78D"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1,50%</w:t>
      </w:r>
    </w:p>
    <w:p w14:paraId="66BD7336"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Castilla La Mancha</w:t>
      </w:r>
    </w:p>
    <w:p w14:paraId="0CF9DA67"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1,25%</w:t>
      </w:r>
    </w:p>
    <w:p w14:paraId="683C5797"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Castilla y León</w:t>
      </w:r>
    </w:p>
    <w:p w14:paraId="6DF92234"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1,50%</w:t>
      </w:r>
    </w:p>
    <w:p w14:paraId="09A229BE"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Cataluña</w:t>
      </w:r>
    </w:p>
    <w:p w14:paraId="2D281373"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1,50%</w:t>
      </w:r>
    </w:p>
    <w:p w14:paraId="757EE9CE"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Ceuta</w:t>
      </w:r>
    </w:p>
    <w:p w14:paraId="20DC8B89"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0,50%</w:t>
      </w:r>
    </w:p>
    <w:p w14:paraId="47E1B872"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Comunitat Valenciana</w:t>
      </w:r>
    </w:p>
    <w:p w14:paraId="396DD7AA"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1,50%</w:t>
      </w:r>
    </w:p>
    <w:p w14:paraId="45F75DF6"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Extremadura</w:t>
      </w:r>
    </w:p>
    <w:p w14:paraId="3DDC91F7"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1,50%</w:t>
      </w:r>
    </w:p>
    <w:p w14:paraId="51D88446"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Galicia</w:t>
      </w:r>
    </w:p>
    <w:p w14:paraId="7A575F92"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1,50%</w:t>
      </w:r>
    </w:p>
    <w:p w14:paraId="04FA64B2"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Madrid</w:t>
      </w:r>
    </w:p>
    <w:p w14:paraId="14F5AF7F"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0,75%</w:t>
      </w:r>
    </w:p>
    <w:p w14:paraId="305A62C5"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Melilla</w:t>
      </w:r>
    </w:p>
    <w:p w14:paraId="168BEBEC"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0,50%</w:t>
      </w:r>
    </w:p>
    <w:p w14:paraId="10E673BC"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Murcia</w:t>
      </w:r>
    </w:p>
    <w:p w14:paraId="73F2B335"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1,50%</w:t>
      </w:r>
    </w:p>
    <w:p w14:paraId="40D1F622"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Navarra</w:t>
      </w:r>
    </w:p>
    <w:p w14:paraId="51DC562F"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0,50%</w:t>
      </w:r>
    </w:p>
    <w:p w14:paraId="0CE32F21"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Euskadi</w:t>
      </w:r>
    </w:p>
    <w:p w14:paraId="0293C79B"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0,50%</w:t>
      </w:r>
    </w:p>
    <w:p w14:paraId="7A5D24C6"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La Rioja</w:t>
      </w:r>
    </w:p>
    <w:p w14:paraId="6258CB39" w14:textId="77777777" w:rsidR="003736AA" w:rsidRPr="00CF1B34" w:rsidRDefault="003736AA"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1,00%</w:t>
      </w:r>
    </w:p>
    <w:p w14:paraId="1D610E97" w14:textId="77777777" w:rsidR="00391A3B" w:rsidRPr="00CF1B34" w:rsidRDefault="003736A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Este impuesto de las hipotecas suele ofrecer reducciones o incluso extinciones con el objetivo de facilitar el acceso a la vivienda a varios colectivos como familias numerosas, jóvenes o personas con discapacidad, entre otras.</w:t>
      </w:r>
    </w:p>
    <w:p w14:paraId="66AF8F80" w14:textId="1499FBE8" w:rsidR="00200D91" w:rsidRPr="00CF1B34" w:rsidRDefault="00200D9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impuestos directos</w:t>
      </w:r>
    </w:p>
    <w:p w14:paraId="06F8C76A" w14:textId="77777777" w:rsidR="00D969AC" w:rsidRPr="00CF1B34" w:rsidRDefault="00D969AC" w:rsidP="0005621A">
      <w:pPr>
        <w:ind w:left="708"/>
        <w:jc w:val="both"/>
        <w:rPr>
          <w:rFonts w:ascii="Arial" w:hAnsi="Arial" w:cs="Arial"/>
          <w:color w:val="333333"/>
          <w:sz w:val="22"/>
          <w:szCs w:val="22"/>
          <w:shd w:val="clear" w:color="auto" w:fill="FFFFFF"/>
          <w:lang w:val="es-ES_tradnl"/>
        </w:rPr>
      </w:pPr>
      <w:r w:rsidRPr="00CF1B34">
        <w:rPr>
          <w:rFonts w:ascii="Arial" w:hAnsi="Arial" w:cs="Arial"/>
          <w:color w:val="333333"/>
          <w:sz w:val="22"/>
          <w:szCs w:val="22"/>
          <w:shd w:val="clear" w:color="auto" w:fill="FFFFFF"/>
          <w:lang w:val="es-ES_tradnl"/>
        </w:rPr>
        <w:t xml:space="preserve">Los </w:t>
      </w:r>
      <w:r w:rsidRPr="00CF1B34">
        <w:rPr>
          <w:rFonts w:ascii="Arial" w:hAnsi="Arial" w:cs="Arial"/>
          <w:b/>
          <w:bCs/>
          <w:color w:val="333333"/>
          <w:sz w:val="22"/>
          <w:szCs w:val="22"/>
          <w:shd w:val="clear" w:color="auto" w:fill="FFFFFF"/>
          <w:lang w:val="es-ES_tradnl"/>
        </w:rPr>
        <w:t>impuestos directos</w:t>
      </w:r>
      <w:r w:rsidRPr="00CF1B34">
        <w:rPr>
          <w:rFonts w:ascii="Arial" w:hAnsi="Arial" w:cs="Arial"/>
          <w:color w:val="333333"/>
          <w:sz w:val="22"/>
          <w:szCs w:val="22"/>
          <w:shd w:val="clear" w:color="auto" w:fill="FFFFFF"/>
          <w:lang w:val="es-ES_tradnl"/>
        </w:rPr>
        <w:t xml:space="preserve"> </w:t>
      </w:r>
      <w:r w:rsidRPr="00CF1B34">
        <w:rPr>
          <w:rFonts w:ascii="Arial" w:hAnsi="Arial" w:cs="Arial"/>
          <w:b/>
          <w:bCs/>
          <w:color w:val="333333"/>
          <w:sz w:val="22"/>
          <w:szCs w:val="22"/>
          <w:shd w:val="clear" w:color="auto" w:fill="FFFFFF"/>
          <w:lang w:val="es-ES_tradnl"/>
        </w:rPr>
        <w:t>se aplican</w:t>
      </w:r>
      <w:r w:rsidRPr="00CF1B34">
        <w:rPr>
          <w:rFonts w:ascii="Arial" w:hAnsi="Arial" w:cs="Arial"/>
          <w:color w:val="333333"/>
          <w:sz w:val="22"/>
          <w:szCs w:val="22"/>
          <w:shd w:val="clear" w:color="auto" w:fill="FFFFFF"/>
          <w:lang w:val="es-ES_tradnl"/>
        </w:rPr>
        <w:t xml:space="preserve">, como su propio nombre indica, </w:t>
      </w:r>
      <w:r w:rsidRPr="00CF1B34">
        <w:rPr>
          <w:rFonts w:ascii="Arial" w:hAnsi="Arial" w:cs="Arial"/>
          <w:b/>
          <w:bCs/>
          <w:color w:val="333333"/>
          <w:sz w:val="22"/>
          <w:szCs w:val="22"/>
          <w:shd w:val="clear" w:color="auto" w:fill="FFFFFF"/>
          <w:lang w:val="es-ES_tradnl"/>
        </w:rPr>
        <w:t>sobre una manifestación directa o inmediata de la capacidad económica como la posesión de un patrimonio o la obtención de una renta</w:t>
      </w:r>
      <w:r w:rsidRPr="00CF1B34">
        <w:rPr>
          <w:rFonts w:ascii="Arial" w:hAnsi="Arial" w:cs="Arial"/>
          <w:color w:val="333333"/>
          <w:sz w:val="22"/>
          <w:szCs w:val="22"/>
          <w:shd w:val="clear" w:color="auto" w:fill="FFFFFF"/>
          <w:lang w:val="es-ES_tradnl"/>
        </w:rPr>
        <w:t>. En contraposición, impuestos indirectos se aplican sobre una manifestación indirecta de la capacidad económica, es decir, sobre el consumo y actos de transmisión de bienes</w:t>
      </w:r>
      <w:r w:rsidRPr="00CF1B34">
        <w:rPr>
          <w:rFonts w:ascii="Arial" w:hAnsi="Arial" w:cs="Arial"/>
          <w:color w:val="333333"/>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Los impuestos directos se diferencian del resto en que pueden tener un carácter progresivo,</w:t>
      </w:r>
      <w:r w:rsidRPr="00CF1B34">
        <w:rPr>
          <w:rFonts w:ascii="Arial" w:hAnsi="Arial" w:cs="Arial"/>
          <w:color w:val="333333"/>
          <w:sz w:val="22"/>
          <w:szCs w:val="22"/>
          <w:shd w:val="clear" w:color="auto" w:fill="FFFFFF"/>
          <w:lang w:val="es-ES_tradnl"/>
        </w:rPr>
        <w:t xml:space="preserve"> como es el caso del IRPF.</w:t>
      </w:r>
    </w:p>
    <w:p w14:paraId="1A2DB00B" w14:textId="29323A71" w:rsidR="00D969AC" w:rsidRPr="00CF1B34" w:rsidRDefault="00D969AC" w:rsidP="0005621A">
      <w:pPr>
        <w:ind w:firstLine="708"/>
        <w:jc w:val="both"/>
        <w:rPr>
          <w:rFonts w:ascii="Arial" w:hAnsi="Arial" w:cs="Arial"/>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Impuestos Directos en España</w:t>
      </w:r>
    </w:p>
    <w:p w14:paraId="08665A4F" w14:textId="2F143511" w:rsidR="00D969AC" w:rsidRPr="00CF1B34" w:rsidRDefault="00D969AC"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La declaración de la renta.</w:t>
      </w:r>
    </w:p>
    <w:p w14:paraId="35448AB1" w14:textId="7A6FA709" w:rsidR="00D969AC" w:rsidRPr="00CF1B34" w:rsidRDefault="002418A1"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w:t>
      </w:r>
      <w:r w:rsidR="00D969AC" w:rsidRPr="00CF1B34">
        <w:rPr>
          <w:rFonts w:ascii="Arial" w:hAnsi="Arial" w:cs="Arial"/>
          <w:color w:val="000000" w:themeColor="text1"/>
          <w:sz w:val="22"/>
          <w:szCs w:val="22"/>
          <w:lang w:val="es-ES_tradnl"/>
        </w:rPr>
        <w:t>mpuesto sobre la renta de no Residentes</w:t>
      </w:r>
      <w:r w:rsidRPr="00CF1B34">
        <w:rPr>
          <w:rFonts w:ascii="Arial" w:hAnsi="Arial" w:cs="Arial"/>
          <w:color w:val="000000" w:themeColor="text1"/>
          <w:sz w:val="22"/>
          <w:szCs w:val="22"/>
          <w:lang w:val="es-ES_tradnl"/>
        </w:rPr>
        <w:t>.</w:t>
      </w:r>
    </w:p>
    <w:p w14:paraId="7261B54A" w14:textId="3046A02F" w:rsidR="00200D91" w:rsidRPr="00CF1B34" w:rsidRDefault="00D969AC"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 sobre Sociedades</w:t>
      </w:r>
      <w:r w:rsidR="002418A1" w:rsidRPr="00CF1B34">
        <w:rPr>
          <w:rFonts w:ascii="Arial" w:hAnsi="Arial" w:cs="Arial"/>
          <w:color w:val="000000" w:themeColor="text1"/>
          <w:sz w:val="22"/>
          <w:szCs w:val="22"/>
          <w:lang w:val="es-ES_tradnl"/>
        </w:rPr>
        <w:t>.</w:t>
      </w:r>
    </w:p>
    <w:p w14:paraId="6AF5A63B" w14:textId="338D1D8E" w:rsidR="00D969AC" w:rsidRPr="00CF1B34" w:rsidRDefault="00D969AC"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 sobre Sucesiones y Donaciones</w:t>
      </w:r>
      <w:r w:rsidR="002418A1" w:rsidRPr="00CF1B34">
        <w:rPr>
          <w:rFonts w:ascii="Arial" w:hAnsi="Arial" w:cs="Arial"/>
          <w:color w:val="000000" w:themeColor="text1"/>
          <w:sz w:val="22"/>
          <w:szCs w:val="22"/>
          <w:lang w:val="es-ES_tradnl"/>
        </w:rPr>
        <w:t>.</w:t>
      </w:r>
    </w:p>
    <w:p w14:paraId="1F9D627A" w14:textId="4BF3013E" w:rsidR="002418A1" w:rsidRPr="00CF1B34" w:rsidRDefault="002418A1"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 sobre el Patrimonio.</w:t>
      </w:r>
    </w:p>
    <w:p w14:paraId="448392E5" w14:textId="4D9DFCEF" w:rsidR="002418A1" w:rsidRPr="00CF1B34" w:rsidRDefault="002418A1"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 sobre bienes inmuebles.</w:t>
      </w:r>
    </w:p>
    <w:p w14:paraId="40994794" w14:textId="5D0BD687" w:rsidR="002418A1" w:rsidRPr="00CF1B34" w:rsidRDefault="002418A1"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lastRenderedPageBreak/>
        <w:t>Impuesto sobre Actividades Económicas.</w:t>
      </w:r>
    </w:p>
    <w:p w14:paraId="2A31D7C1" w14:textId="47C5F423" w:rsidR="002418A1" w:rsidRPr="00CF1B34" w:rsidRDefault="002418A1"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 sobre Vehículos de Tracción Mecánica.</w:t>
      </w:r>
    </w:p>
    <w:p w14:paraId="444FF3EE" w14:textId="77777777" w:rsidR="002418A1" w:rsidRPr="00CF1B34" w:rsidRDefault="002418A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Impuesto sobre el Incremento de Valor de los Terrenos de Naturaleza Urbana.</w:t>
      </w:r>
    </w:p>
    <w:p w14:paraId="32D00774" w14:textId="7905231A" w:rsidR="00200D91" w:rsidRPr="00CF1B34" w:rsidRDefault="00F15B4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w:t>
      </w:r>
      <w:r w:rsidR="00200D91" w:rsidRPr="00CF1B34">
        <w:rPr>
          <w:rFonts w:ascii="Arial" w:hAnsi="Arial" w:cs="Arial"/>
          <w:b/>
          <w:bCs/>
          <w:color w:val="004773"/>
          <w:sz w:val="22"/>
          <w:szCs w:val="22"/>
          <w:lang w:val="es-ES_tradnl"/>
        </w:rPr>
        <w:t>mpuestos indirectos</w:t>
      </w:r>
    </w:p>
    <w:p w14:paraId="1AE187B6" w14:textId="6A4E2D05" w:rsidR="00FA01F8" w:rsidRPr="00CF1B34" w:rsidRDefault="00FA01F8"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Pagamos impuestos a diario, la mayoría de veces sin ni siquiera reparar en ellos. El IVA es quizás el mejor ejemplo, aunque no es único. </w:t>
      </w:r>
      <w:r w:rsidRPr="00CF1B34">
        <w:rPr>
          <w:rStyle w:val="Textoennegrita"/>
          <w:rFonts w:ascii="Arial" w:hAnsi="Arial" w:cs="Arial"/>
          <w:color w:val="333333"/>
          <w:sz w:val="22"/>
          <w:szCs w:val="22"/>
          <w:shd w:val="clear" w:color="auto" w:fill="FFFFFF"/>
          <w:lang w:val="es-ES_tradnl"/>
        </w:rPr>
        <w:t>Los impuestos indirectos</w:t>
      </w:r>
      <w:r w:rsidRPr="00CF1B34">
        <w:rPr>
          <w:rFonts w:ascii="Arial" w:hAnsi="Arial" w:cs="Arial"/>
          <w:color w:val="333333"/>
          <w:sz w:val="22"/>
          <w:szCs w:val="22"/>
          <w:shd w:val="clear" w:color="auto" w:fill="FFFFFF"/>
          <w:lang w:val="es-ES_tradnl"/>
        </w:rPr>
        <w:t xml:space="preserve">, que gravan generalmente el consumo, </w:t>
      </w:r>
      <w:proofErr w:type="gramStart"/>
      <w:r w:rsidRPr="00CF1B34">
        <w:rPr>
          <w:rFonts w:ascii="Arial" w:hAnsi="Arial" w:cs="Arial"/>
          <w:color w:val="333333"/>
          <w:sz w:val="22"/>
          <w:szCs w:val="22"/>
          <w:shd w:val="clear" w:color="auto" w:fill="FFFFFF"/>
          <w:lang w:val="es-ES_tradnl"/>
        </w:rPr>
        <w:t>tiene</w:t>
      </w:r>
      <w:proofErr w:type="gramEnd"/>
      <w:r w:rsidRPr="00CF1B34">
        <w:rPr>
          <w:rFonts w:ascii="Arial" w:hAnsi="Arial" w:cs="Arial"/>
          <w:color w:val="333333"/>
          <w:sz w:val="22"/>
          <w:szCs w:val="22"/>
          <w:shd w:val="clear" w:color="auto" w:fill="FFFFFF"/>
          <w:lang w:val="es-ES_tradnl"/>
        </w:rPr>
        <w:t xml:space="preserve"> buena parte de la culpa. Los </w:t>
      </w:r>
      <w:r w:rsidRPr="00CF1B34">
        <w:rPr>
          <w:rStyle w:val="Textoennegrita"/>
          <w:rFonts w:ascii="Arial" w:hAnsi="Arial" w:cs="Arial"/>
          <w:color w:val="333333"/>
          <w:sz w:val="22"/>
          <w:szCs w:val="22"/>
          <w:shd w:val="clear" w:color="auto" w:fill="FFFFFF"/>
          <w:lang w:val="es-ES_tradnl"/>
        </w:rPr>
        <w:t>impuestos indirectos</w:t>
      </w:r>
      <w:r w:rsidRPr="00CF1B34">
        <w:rPr>
          <w:rFonts w:ascii="Arial" w:hAnsi="Arial" w:cs="Arial"/>
          <w:color w:val="333333"/>
          <w:sz w:val="22"/>
          <w:szCs w:val="22"/>
          <w:shd w:val="clear" w:color="auto" w:fill="FFFFFF"/>
          <w:lang w:val="es-ES_tradnl"/>
        </w:rPr>
        <w:t xml:space="preserve"> se aplican sobre una manifestación indirecta de la capacidad económica y </w:t>
      </w:r>
      <w:r w:rsidRPr="00CF1B34">
        <w:rPr>
          <w:rStyle w:val="Textoennegrita"/>
          <w:rFonts w:ascii="Arial" w:hAnsi="Arial" w:cs="Arial"/>
          <w:color w:val="333333"/>
          <w:sz w:val="22"/>
          <w:szCs w:val="22"/>
          <w:shd w:val="clear" w:color="auto" w:fill="FFFFFF"/>
          <w:lang w:val="es-ES_tradnl"/>
        </w:rPr>
        <w:t>gravan la producción, el tráfico o el consumo</w:t>
      </w:r>
      <w:r w:rsidRPr="00CF1B34">
        <w:rPr>
          <w:rFonts w:ascii="Arial" w:hAnsi="Arial" w:cs="Arial"/>
          <w:color w:val="333333"/>
          <w:sz w:val="22"/>
          <w:szCs w:val="22"/>
          <w:shd w:val="clear" w:color="auto" w:fill="FFFFFF"/>
          <w:lang w:val="es-ES_tradnl"/>
        </w:rPr>
        <w:t>.</w:t>
      </w:r>
    </w:p>
    <w:p w14:paraId="5E6F6D7B" w14:textId="3037B258" w:rsidR="00FA01F8" w:rsidRPr="00CF1B34" w:rsidRDefault="00FA01F8" w:rsidP="0005621A">
      <w:pPr>
        <w:ind w:left="708"/>
        <w:jc w:val="both"/>
        <w:rPr>
          <w:rFonts w:ascii="Arial" w:hAnsi="Arial" w:cs="Arial"/>
          <w:sz w:val="22"/>
          <w:szCs w:val="22"/>
          <w:lang w:val="es-ES_tradnl"/>
        </w:rPr>
      </w:pPr>
      <w:r w:rsidRPr="00CF1B34">
        <w:rPr>
          <w:rFonts w:ascii="Arial" w:hAnsi="Arial" w:cs="Arial"/>
          <w:sz w:val="22"/>
          <w:szCs w:val="22"/>
          <w:lang w:val="es-ES_tradnl"/>
        </w:rPr>
        <w:t>IVA o Impuesto sobre el Valor Añadido.</w:t>
      </w:r>
    </w:p>
    <w:p w14:paraId="2A16C810" w14:textId="760B7295" w:rsidR="00200D91" w:rsidRPr="00CF1B34" w:rsidRDefault="00FA01F8"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 sobre Transmisiones Patrimoniales y Actos Jurídicos Documentados.</w:t>
      </w:r>
    </w:p>
    <w:p w14:paraId="488943DB" w14:textId="289E5FEA" w:rsidR="00200D91" w:rsidRPr="00CF1B34" w:rsidRDefault="003A2580" w:rsidP="0005621A">
      <w:pPr>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Impuestos especiales: alcohol y bebidas alcohólicas, hidrocarburos, electricidad, tabaco o matriculación de medios de transporte</w:t>
      </w:r>
    </w:p>
    <w:p w14:paraId="0BB8F90E" w14:textId="72706E6C" w:rsidR="00200D91" w:rsidRPr="00CF1B34" w:rsidRDefault="003A2580"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Renta de Aduanas.</w:t>
      </w:r>
    </w:p>
    <w:p w14:paraId="5E492B21" w14:textId="0B62CFD2" w:rsidR="003A2580" w:rsidRPr="00CF1B34" w:rsidRDefault="003A2580"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 sobre Actividades Económicas o IAE</w:t>
      </w:r>
    </w:p>
    <w:p w14:paraId="68CB5DB7" w14:textId="097E69C3" w:rsidR="003A2580" w:rsidRPr="00CF1B34" w:rsidRDefault="003A2580"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 sobre Construcciones, Instalaciones y Obras.</w:t>
      </w:r>
    </w:p>
    <w:p w14:paraId="6D38E385" w14:textId="389681AE" w:rsidR="003A2580" w:rsidRPr="00CF1B34" w:rsidRDefault="003A2580"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Impuesto General Indirecto Canario.</w:t>
      </w:r>
    </w:p>
    <w:p w14:paraId="48803714" w14:textId="47B3B271" w:rsidR="003A2580" w:rsidRPr="00CF1B34" w:rsidRDefault="003A2580"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Arbitrio sobre Importaciones y entrega de Mercancías (Canarias).</w:t>
      </w:r>
    </w:p>
    <w:p w14:paraId="02F6C8B7" w14:textId="77777777" w:rsidR="003A2580" w:rsidRPr="00CF1B34" w:rsidRDefault="003A258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Impuesto sobre la Producción, los Servicios y la Importación.</w:t>
      </w:r>
    </w:p>
    <w:p w14:paraId="2F796FBA" w14:textId="52374190" w:rsidR="00391A3B" w:rsidRPr="00CF1B34" w:rsidRDefault="00391A3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Incremento de capital</w:t>
      </w:r>
    </w:p>
    <w:p w14:paraId="3AD3F940" w14:textId="77777777" w:rsidR="00B21B88" w:rsidRPr="00CF1B34" w:rsidRDefault="00B21B8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Técnica que permite a una sociedad la adquisición de medios de desarrollo suplementarios por aportaciones en especie o en numerario o por incorporación de reservas.</w:t>
      </w:r>
    </w:p>
    <w:p w14:paraId="4F8F5D0C" w14:textId="105281C6" w:rsidR="00C224CF" w:rsidRPr="00CF1B34" w:rsidRDefault="00373D2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w:t>
      </w:r>
      <w:r w:rsidR="00C224CF" w:rsidRPr="00CF1B34">
        <w:rPr>
          <w:rFonts w:ascii="Arial" w:hAnsi="Arial" w:cs="Arial"/>
          <w:b/>
          <w:bCs/>
          <w:color w:val="004773"/>
          <w:sz w:val="22"/>
          <w:szCs w:val="22"/>
          <w:lang w:val="es-ES_tradnl"/>
        </w:rPr>
        <w:t>ndemnización por despido</w:t>
      </w:r>
    </w:p>
    <w:p w14:paraId="2A84D8FD" w14:textId="53D17B6E" w:rsidR="0025076D" w:rsidRPr="00CF1B34" w:rsidRDefault="0025076D" w:rsidP="0005621A">
      <w:pPr>
        <w:ind w:left="708"/>
        <w:jc w:val="both"/>
        <w:rPr>
          <w:rFonts w:ascii="Arial" w:hAnsi="Arial" w:cs="Arial"/>
          <w:color w:val="2F5496" w:themeColor="accent1" w:themeShade="BF"/>
          <w:sz w:val="22"/>
          <w:szCs w:val="22"/>
          <w:lang w:val="es-ES_tradnl"/>
        </w:rPr>
      </w:pPr>
      <w:r w:rsidRPr="00CF1B34">
        <w:rPr>
          <w:rFonts w:ascii="Arial" w:hAnsi="Arial" w:cs="Arial"/>
          <w:color w:val="333333"/>
          <w:sz w:val="22"/>
          <w:szCs w:val="22"/>
          <w:shd w:val="clear" w:color="auto" w:fill="FFFFFF"/>
          <w:lang w:val="es-ES_tradnl"/>
        </w:rPr>
        <w:t>La</w:t>
      </w:r>
      <w:r w:rsidRPr="00CF1B34">
        <w:rPr>
          <w:rFonts w:ascii="Arial" w:hAnsi="Arial" w:cs="Arial"/>
          <w:b/>
          <w:bCs/>
          <w:color w:val="333333"/>
          <w:sz w:val="22"/>
          <w:szCs w:val="22"/>
          <w:shd w:val="clear" w:color="auto" w:fill="FFFFFF"/>
          <w:lang w:val="es-ES_tradnl"/>
        </w:rPr>
        <w:t xml:space="preserve"> indemnización por despido </w:t>
      </w:r>
      <w:r w:rsidRPr="00CF1B34">
        <w:rPr>
          <w:rFonts w:ascii="Arial" w:hAnsi="Arial" w:cs="Arial"/>
          <w:color w:val="333333"/>
          <w:sz w:val="22"/>
          <w:szCs w:val="22"/>
          <w:shd w:val="clear" w:color="auto" w:fill="FFFFFF"/>
          <w:lang w:val="es-ES_tradnl"/>
        </w:rPr>
        <w:t>es un monto que debe pagar el empleador al empleado como compensación por los años trabajados en la empresa. Esta indemnización depende del tipo de despido</w:t>
      </w:r>
      <w:r w:rsidR="000379CF" w:rsidRPr="00CF1B34">
        <w:rPr>
          <w:rFonts w:ascii="Arial" w:hAnsi="Arial" w:cs="Arial"/>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pero como norma se calcula de la siguiente manera: </w:t>
      </w:r>
      <w:r w:rsidRPr="00CF1B34">
        <w:rPr>
          <w:rFonts w:ascii="Arial" w:hAnsi="Arial" w:cs="Arial"/>
          <w:color w:val="2F5496" w:themeColor="accent1" w:themeShade="BF"/>
          <w:sz w:val="22"/>
          <w:szCs w:val="22"/>
          <w:shd w:val="clear" w:color="auto" w:fill="FFFFFF"/>
          <w:lang w:val="es-ES_tradnl"/>
        </w:rPr>
        <w:t>salario diario x días remunerados al año x años trabajados</w:t>
      </w:r>
    </w:p>
    <w:p w14:paraId="68D71EFA" w14:textId="77777777" w:rsidR="00F15B44" w:rsidRPr="00CF1B34" w:rsidRDefault="00F15B44" w:rsidP="0005621A">
      <w:pPr>
        <w:pStyle w:val="NormalWeb"/>
        <w:shd w:val="clear" w:color="auto" w:fill="FFFFFF"/>
        <w:ind w:firstLine="708"/>
        <w:jc w:val="both"/>
        <w:rPr>
          <w:rFonts w:ascii="Arial" w:hAnsi="Arial" w:cs="Arial"/>
          <w:sz w:val="22"/>
          <w:szCs w:val="22"/>
          <w:lang w:val="es-ES_tradnl"/>
        </w:rPr>
      </w:pPr>
      <w:r w:rsidRPr="00CF1B34">
        <w:rPr>
          <w:rStyle w:val="Textoennegrita"/>
          <w:rFonts w:ascii="Arial" w:hAnsi="Arial" w:cs="Arial"/>
          <w:sz w:val="22"/>
          <w:szCs w:val="22"/>
          <w:lang w:val="es-ES_tradnl"/>
        </w:rPr>
        <w:t>Para calcular esta cuantía, es necesario tener en cuenta estos elementos:</w:t>
      </w:r>
    </w:p>
    <w:p w14:paraId="1FCC4DE4" w14:textId="40A2D09A" w:rsidR="00F15B44" w:rsidRPr="00CF1B34" w:rsidRDefault="00F15B44" w:rsidP="004F7A62">
      <w:pPr>
        <w:numPr>
          <w:ilvl w:val="0"/>
          <w:numId w:val="178"/>
        </w:numPr>
        <w:shd w:val="clear" w:color="auto" w:fill="FFFFFF"/>
        <w:spacing w:before="100" w:beforeAutospacing="1" w:after="240"/>
        <w:jc w:val="both"/>
        <w:rPr>
          <w:rFonts w:ascii="Arial" w:hAnsi="Arial" w:cs="Arial"/>
          <w:color w:val="212529"/>
          <w:sz w:val="22"/>
          <w:szCs w:val="22"/>
          <w:lang w:val="es-ES_tradnl"/>
        </w:rPr>
      </w:pPr>
      <w:r w:rsidRPr="00CF1B34">
        <w:rPr>
          <w:rStyle w:val="Textoennegrita"/>
          <w:rFonts w:ascii="Arial" w:hAnsi="Arial" w:cs="Arial"/>
          <w:color w:val="212529"/>
          <w:sz w:val="22"/>
          <w:szCs w:val="22"/>
          <w:lang w:val="es-ES_tradnl"/>
        </w:rPr>
        <w:t>Salario diario:</w:t>
      </w:r>
      <w:r w:rsidR="003702DB"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Se trata de la base en la que se realiza el cálculo de la indemnización final. Para ello, hay que sumar todos los salarios brutos y dividirlos entre los 12 meses anteriores al despido.</w:t>
      </w:r>
    </w:p>
    <w:p w14:paraId="7BD4DAF9" w14:textId="5D42BC33" w:rsidR="00F15B44" w:rsidRPr="00CF1B34" w:rsidRDefault="00F15B44" w:rsidP="004F7A62">
      <w:pPr>
        <w:numPr>
          <w:ilvl w:val="0"/>
          <w:numId w:val="178"/>
        </w:numPr>
        <w:shd w:val="clear" w:color="auto" w:fill="FFFFFF"/>
        <w:spacing w:before="100" w:beforeAutospacing="1" w:after="240"/>
        <w:jc w:val="both"/>
        <w:rPr>
          <w:rFonts w:ascii="Arial" w:hAnsi="Arial" w:cs="Arial"/>
          <w:color w:val="212529"/>
          <w:sz w:val="22"/>
          <w:szCs w:val="22"/>
          <w:lang w:val="es-ES_tradnl"/>
        </w:rPr>
      </w:pPr>
      <w:r w:rsidRPr="00CF1B34">
        <w:rPr>
          <w:rStyle w:val="Textoennegrita"/>
          <w:rFonts w:ascii="Arial" w:hAnsi="Arial" w:cs="Arial"/>
          <w:color w:val="212529"/>
          <w:sz w:val="22"/>
          <w:szCs w:val="22"/>
          <w:lang w:val="es-ES_tradnl"/>
        </w:rPr>
        <w:t>Antigüedad en la empresa:</w:t>
      </w:r>
      <w:r w:rsidR="003702DB"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Esta cifra es clave para calcular la cantidad de días de salario correspondientes para la indemnización.</w:t>
      </w:r>
    </w:p>
    <w:p w14:paraId="2FE176AC" w14:textId="2AE25211" w:rsidR="00F15B44" w:rsidRPr="00CF1B34" w:rsidRDefault="00F15B44" w:rsidP="004F7A62">
      <w:pPr>
        <w:numPr>
          <w:ilvl w:val="0"/>
          <w:numId w:val="178"/>
        </w:numPr>
        <w:shd w:val="clear" w:color="auto" w:fill="FFFFFF"/>
        <w:spacing w:before="100" w:beforeAutospacing="1" w:after="240"/>
        <w:jc w:val="both"/>
        <w:rPr>
          <w:rFonts w:ascii="Arial" w:hAnsi="Arial" w:cs="Arial"/>
          <w:color w:val="212529"/>
          <w:sz w:val="22"/>
          <w:szCs w:val="22"/>
          <w:lang w:val="es-ES_tradnl"/>
        </w:rPr>
      </w:pPr>
      <w:r w:rsidRPr="00CF1B34">
        <w:rPr>
          <w:rStyle w:val="Textoennegrita"/>
          <w:rFonts w:ascii="Arial" w:hAnsi="Arial" w:cs="Arial"/>
          <w:color w:val="212529"/>
          <w:sz w:val="22"/>
          <w:szCs w:val="22"/>
          <w:lang w:val="es-ES_tradnl"/>
        </w:rPr>
        <w:t>Tipo de despido:</w:t>
      </w:r>
      <w:r w:rsidR="003702DB"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Dependiendo del tipo de despido corresponde una cifra u otra. Por ejemplo, en un despido objetivo al uso serían 20 días de salario por año trabajado. En el caso de que se trate de un</w:t>
      </w:r>
      <w:r w:rsidR="003702DB" w:rsidRPr="00CF1B34">
        <w:rPr>
          <w:rFonts w:ascii="Arial" w:hAnsi="Arial" w:cs="Arial"/>
          <w:color w:val="212529"/>
          <w:sz w:val="22"/>
          <w:szCs w:val="22"/>
          <w:lang w:val="es-ES_tradnl"/>
        </w:rPr>
        <w:t xml:space="preserve"> despido improcedente</w:t>
      </w:r>
      <w:r w:rsidRPr="00CF1B34">
        <w:rPr>
          <w:rFonts w:ascii="Arial" w:hAnsi="Arial" w:cs="Arial"/>
          <w:color w:val="212529"/>
          <w:sz w:val="22"/>
          <w:szCs w:val="22"/>
          <w:lang w:val="es-ES_tradnl"/>
        </w:rPr>
        <w:t xml:space="preserve"> del que hablaremos más tarde, corresponderá a 33 o 45 días de salario por año.</w:t>
      </w:r>
    </w:p>
    <w:p w14:paraId="447E6FE7" w14:textId="77777777" w:rsidR="003702DB" w:rsidRPr="00CF1B34" w:rsidRDefault="003702DB" w:rsidP="0005621A">
      <w:pPr>
        <w:pStyle w:val="Ttulo3"/>
        <w:ind w:firstLine="708"/>
        <w:jc w:val="both"/>
        <w:rPr>
          <w:rFonts w:ascii="Arial" w:hAnsi="Arial" w:cs="Arial"/>
          <w:color w:val="C9563D"/>
          <w:sz w:val="22"/>
          <w:szCs w:val="22"/>
          <w:lang w:val="es-ES_tradnl"/>
        </w:rPr>
      </w:pPr>
      <w:r w:rsidRPr="00CF1B34">
        <w:rPr>
          <w:rFonts w:ascii="Arial" w:hAnsi="Arial" w:cs="Arial"/>
          <w:color w:val="C9563D"/>
          <w:sz w:val="22"/>
          <w:szCs w:val="22"/>
          <w:lang w:val="es-ES_tradnl"/>
        </w:rPr>
        <w:t>Indemnización despido objetivo procedente</w:t>
      </w:r>
    </w:p>
    <w:p w14:paraId="4197D639" w14:textId="0E913D6E" w:rsidR="003702DB" w:rsidRPr="00CF1B34" w:rsidRDefault="003702DB" w:rsidP="0005621A">
      <w:pPr>
        <w:pStyle w:val="NormalWeb"/>
        <w:spacing w:before="0" w:beforeAutospacing="0" w:after="300" w:afterAutospacing="0"/>
        <w:ind w:left="708"/>
        <w:jc w:val="both"/>
        <w:rPr>
          <w:rFonts w:ascii="Arial" w:hAnsi="Arial" w:cs="Arial"/>
          <w:color w:val="313131"/>
          <w:sz w:val="22"/>
          <w:szCs w:val="22"/>
          <w:lang w:val="es-ES_tradnl"/>
        </w:rPr>
      </w:pPr>
      <w:r w:rsidRPr="00CF1B34">
        <w:rPr>
          <w:rFonts w:ascii="Arial" w:hAnsi="Arial" w:cs="Arial"/>
          <w:color w:val="313131"/>
          <w:sz w:val="22"/>
          <w:szCs w:val="22"/>
          <w:lang w:val="es-ES_tradnl"/>
        </w:rPr>
        <w:t>Si un juez determina que un despido objetivo es procedente</w:t>
      </w:r>
      <w:r w:rsidRPr="00CF1B34">
        <w:rPr>
          <w:rFonts w:ascii="Arial" w:hAnsi="Arial" w:cs="Arial"/>
          <w:b/>
          <w:bCs/>
          <w:color w:val="313131"/>
          <w:sz w:val="22"/>
          <w:szCs w:val="22"/>
          <w:lang w:val="es-ES_tradnl"/>
        </w:rPr>
        <w:t xml:space="preserve"> justo y acorde a la ley</w:t>
      </w:r>
      <w:r w:rsidRPr="00CF1B34">
        <w:rPr>
          <w:rFonts w:ascii="Arial" w:hAnsi="Arial" w:cs="Arial"/>
          <w:color w:val="313131"/>
          <w:sz w:val="22"/>
          <w:szCs w:val="22"/>
          <w:lang w:val="es-ES_tradnl"/>
        </w:rPr>
        <w:t>, el afectado debe percibir una indemnización equivalente a</w:t>
      </w:r>
      <w:r w:rsidR="000379CF"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20 días de salario por año</w:t>
      </w:r>
      <w:r w:rsidRPr="00CF1B34">
        <w:rPr>
          <w:rFonts w:ascii="Arial" w:hAnsi="Arial" w:cs="Arial"/>
          <w:color w:val="313131"/>
          <w:sz w:val="22"/>
          <w:szCs w:val="22"/>
          <w:lang w:val="es-ES_tradnl"/>
        </w:rPr>
        <w:t>, aunque con un límite de 12 mensualidades en el cómputo final.</w:t>
      </w:r>
    </w:p>
    <w:p w14:paraId="3F8C2E09" w14:textId="28E1F238" w:rsidR="003702DB" w:rsidRPr="00CF1B34" w:rsidRDefault="003702DB" w:rsidP="0005621A">
      <w:pPr>
        <w:pStyle w:val="Ttulo3"/>
        <w:ind w:firstLine="708"/>
        <w:jc w:val="both"/>
        <w:rPr>
          <w:rFonts w:ascii="Arial" w:hAnsi="Arial" w:cs="Arial"/>
          <w:color w:val="C9563D"/>
          <w:sz w:val="22"/>
          <w:szCs w:val="22"/>
          <w:lang w:val="es-ES_tradnl"/>
        </w:rPr>
      </w:pPr>
      <w:r w:rsidRPr="00CF1B34">
        <w:rPr>
          <w:rFonts w:ascii="Arial" w:hAnsi="Arial" w:cs="Arial"/>
          <w:color w:val="C9563D"/>
          <w:sz w:val="22"/>
          <w:szCs w:val="22"/>
          <w:lang w:val="es-ES_tradnl"/>
        </w:rPr>
        <w:lastRenderedPageBreak/>
        <w:t>Indemnización despido objetivo improcedente</w:t>
      </w:r>
    </w:p>
    <w:p w14:paraId="7FCEE7D5" w14:textId="3854F211" w:rsidR="003702DB" w:rsidRPr="00CF1B34" w:rsidRDefault="003702DB" w:rsidP="0005621A">
      <w:pPr>
        <w:pStyle w:val="NormalWeb"/>
        <w:spacing w:before="0" w:beforeAutospacing="0" w:after="300" w:afterAutospacing="0"/>
        <w:ind w:left="708"/>
        <w:jc w:val="both"/>
        <w:rPr>
          <w:rFonts w:ascii="Arial" w:hAnsi="Arial" w:cs="Arial"/>
          <w:color w:val="313131"/>
          <w:sz w:val="22"/>
          <w:szCs w:val="22"/>
          <w:lang w:val="es-ES_tradnl"/>
        </w:rPr>
      </w:pPr>
      <w:r w:rsidRPr="00CF1B34">
        <w:rPr>
          <w:rFonts w:ascii="Arial" w:hAnsi="Arial" w:cs="Arial"/>
          <w:color w:val="313131"/>
          <w:sz w:val="22"/>
          <w:szCs w:val="22"/>
          <w:lang w:val="es-ES_tradnl"/>
        </w:rPr>
        <w:t>Cuando un despido objetivo se declara improcedente -en un juicio o en un acto de conciliación-, la indemnización es de</w:t>
      </w:r>
      <w:r w:rsidR="000379CF"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33 días de salario por cada año de servicio</w:t>
      </w:r>
      <w:r w:rsidRPr="00CF1B34">
        <w:rPr>
          <w:rFonts w:ascii="Arial" w:hAnsi="Arial" w:cs="Arial"/>
          <w:color w:val="313131"/>
          <w:sz w:val="22"/>
          <w:szCs w:val="22"/>
          <w:lang w:val="es-ES_tradnl"/>
        </w:rPr>
        <w:t>, con un máximo de 24 mensualidades. No obstante, existe una excepción donde se puede aplicar un</w:t>
      </w:r>
      <w:r w:rsidR="000379CF"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cálculo más generoso: de 45 días por año</w:t>
      </w:r>
      <w:r w:rsidRPr="00CF1B34">
        <w:rPr>
          <w:rFonts w:ascii="Arial" w:hAnsi="Arial" w:cs="Arial"/>
          <w:color w:val="313131"/>
          <w:sz w:val="22"/>
          <w:szCs w:val="22"/>
          <w:lang w:val="es-ES_tradnl"/>
        </w:rPr>
        <w:t> y con un tope de 42</w:t>
      </w:r>
    </w:p>
    <w:p w14:paraId="13468C84" w14:textId="35EC54BC" w:rsidR="009231D1" w:rsidRPr="00CF1B34" w:rsidRDefault="009231D1" w:rsidP="0005621A">
      <w:pPr>
        <w:pStyle w:val="NormalWeb"/>
        <w:spacing w:before="0" w:beforeAutospacing="0" w:after="300" w:afterAutospacing="0"/>
        <w:ind w:left="708"/>
        <w:jc w:val="both"/>
        <w:rPr>
          <w:rFonts w:ascii="Arial" w:hAnsi="Arial" w:cs="Arial"/>
          <w:color w:val="313131"/>
          <w:sz w:val="22"/>
          <w:szCs w:val="22"/>
          <w:lang w:val="es-ES_tradnl"/>
        </w:rPr>
      </w:pPr>
      <w:r w:rsidRPr="00CF1B34">
        <w:rPr>
          <w:rFonts w:ascii="Arial" w:hAnsi="Arial" w:cs="Arial"/>
          <w:color w:val="313131"/>
          <w:sz w:val="22"/>
          <w:szCs w:val="22"/>
          <w:lang w:val="es-ES_tradnl"/>
        </w:rPr>
        <w:t xml:space="preserve">El </w:t>
      </w:r>
      <w:r w:rsidRPr="00CF1B34">
        <w:rPr>
          <w:rFonts w:ascii="Arial" w:hAnsi="Arial" w:cs="Arial"/>
          <w:color w:val="FF0000"/>
          <w:sz w:val="22"/>
          <w:szCs w:val="22"/>
          <w:lang w:val="es-ES_tradnl"/>
        </w:rPr>
        <w:t xml:space="preserve">despido disciplinario </w:t>
      </w:r>
      <w:r w:rsidRPr="00CF1B34">
        <w:rPr>
          <w:rFonts w:ascii="Arial" w:hAnsi="Arial" w:cs="Arial"/>
          <w:color w:val="313131"/>
          <w:sz w:val="22"/>
          <w:szCs w:val="22"/>
          <w:lang w:val="es-ES_tradnl"/>
        </w:rPr>
        <w:t>se erige como la expresión más extrema del</w:t>
      </w:r>
      <w:r w:rsidR="000379CF"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poder sancionador</w:t>
      </w:r>
      <w:r w:rsidR="0004609D" w:rsidRPr="00CF1B34">
        <w:rPr>
          <w:rFonts w:ascii="Arial" w:hAnsi="Arial" w:cs="Arial"/>
          <w:color w:val="313131"/>
          <w:sz w:val="22"/>
          <w:szCs w:val="22"/>
          <w:lang w:val="es-ES_tradnl"/>
        </w:rPr>
        <w:t xml:space="preserve"> </w:t>
      </w:r>
      <w:r w:rsidRPr="00CF1B34">
        <w:rPr>
          <w:rFonts w:ascii="Arial" w:hAnsi="Arial" w:cs="Arial"/>
          <w:color w:val="313131"/>
          <w:sz w:val="22"/>
          <w:szCs w:val="22"/>
          <w:lang w:val="es-ES_tradnl"/>
        </w:rPr>
        <w:t>de la empresa, y siempre requiere que el trabajador haya incurrido en un incumplimiento</w:t>
      </w:r>
      <w:r w:rsidR="0004609D"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grave y culpable</w:t>
      </w:r>
      <w:r w:rsidR="0004609D" w:rsidRPr="00CF1B34">
        <w:rPr>
          <w:rFonts w:ascii="Arial" w:hAnsi="Arial" w:cs="Arial"/>
          <w:color w:val="313131"/>
          <w:sz w:val="22"/>
          <w:szCs w:val="22"/>
          <w:lang w:val="es-ES_tradnl"/>
        </w:rPr>
        <w:t xml:space="preserve"> </w:t>
      </w:r>
      <w:r w:rsidRPr="00CF1B34">
        <w:rPr>
          <w:rFonts w:ascii="Arial" w:hAnsi="Arial" w:cs="Arial"/>
          <w:color w:val="313131"/>
          <w:sz w:val="22"/>
          <w:szCs w:val="22"/>
          <w:lang w:val="es-ES_tradnl"/>
        </w:rPr>
        <w:t>de sus deberes laborales. En estas circunstancias, es el empleador quien tiene la facultad exclusiva de</w:t>
      </w:r>
      <w:r w:rsidR="0004609D"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elegir la sanción</w:t>
      </w:r>
      <w:r w:rsidR="0004609D" w:rsidRPr="00CF1B34">
        <w:rPr>
          <w:rFonts w:ascii="Arial" w:hAnsi="Arial" w:cs="Arial"/>
          <w:color w:val="313131"/>
          <w:sz w:val="22"/>
          <w:szCs w:val="22"/>
          <w:lang w:val="es-ES_tradnl"/>
        </w:rPr>
        <w:t xml:space="preserve"> </w:t>
      </w:r>
      <w:r w:rsidRPr="00CF1B34">
        <w:rPr>
          <w:rFonts w:ascii="Arial" w:hAnsi="Arial" w:cs="Arial"/>
          <w:color w:val="313131"/>
          <w:sz w:val="22"/>
          <w:szCs w:val="22"/>
          <w:lang w:val="es-ES_tradnl"/>
        </w:rPr>
        <w:t>que corresponda, siempre dentro de las opciones contempladas para faltas de extrema gravedad en el</w:t>
      </w:r>
      <w:r w:rsidR="0004609D" w:rsidRPr="00CF1B34">
        <w:rPr>
          <w:rFonts w:ascii="Arial" w:hAnsi="Arial" w:cs="Arial"/>
          <w:color w:val="313131"/>
          <w:sz w:val="22"/>
          <w:szCs w:val="22"/>
          <w:lang w:val="es-ES_tradnl"/>
        </w:rPr>
        <w:t xml:space="preserve"> c</w:t>
      </w:r>
      <w:r w:rsidRPr="00CF1B34">
        <w:rPr>
          <w:rFonts w:ascii="Arial" w:hAnsi="Arial" w:cs="Arial"/>
          <w:b/>
          <w:bCs/>
          <w:color w:val="313131"/>
          <w:sz w:val="22"/>
          <w:szCs w:val="22"/>
          <w:lang w:val="es-ES_tradnl"/>
        </w:rPr>
        <w:t>onvenio colectivo aplicable</w:t>
      </w:r>
      <w:r w:rsidRPr="00CF1B34">
        <w:rPr>
          <w:rFonts w:ascii="Arial" w:hAnsi="Arial" w:cs="Arial"/>
          <w:color w:val="313131"/>
          <w:sz w:val="22"/>
          <w:szCs w:val="22"/>
          <w:lang w:val="es-ES_tradnl"/>
        </w:rPr>
        <w:t>, incluyendo la posibilidad del despido si se encuentra entre las sanciones previstas.</w:t>
      </w:r>
    </w:p>
    <w:p w14:paraId="04E921CE" w14:textId="77777777" w:rsidR="0004609D" w:rsidRPr="00CF1B34" w:rsidRDefault="009231D1" w:rsidP="0005621A">
      <w:pPr>
        <w:pStyle w:val="NormalWeb"/>
        <w:spacing w:before="0" w:beforeAutospacing="0" w:after="300" w:afterAutospacing="0"/>
        <w:ind w:left="708"/>
        <w:jc w:val="both"/>
        <w:rPr>
          <w:rFonts w:ascii="Arial" w:hAnsi="Arial" w:cs="Arial"/>
          <w:color w:val="313131"/>
          <w:sz w:val="22"/>
          <w:szCs w:val="22"/>
          <w:lang w:val="es-ES_tradnl"/>
        </w:rPr>
      </w:pPr>
      <w:r w:rsidRPr="00CF1B34">
        <w:rPr>
          <w:rFonts w:ascii="Arial" w:hAnsi="Arial" w:cs="Arial"/>
          <w:color w:val="313131"/>
          <w:sz w:val="22"/>
          <w:szCs w:val="22"/>
          <w:lang w:val="es-ES_tradnl"/>
        </w:rPr>
        <w:t>La</w:t>
      </w:r>
      <w:r w:rsidR="0004609D"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culpabilidad</w:t>
      </w:r>
      <w:r w:rsidR="0004609D" w:rsidRPr="00CF1B34">
        <w:rPr>
          <w:rFonts w:ascii="Arial" w:hAnsi="Arial" w:cs="Arial"/>
          <w:color w:val="313131"/>
          <w:sz w:val="22"/>
          <w:szCs w:val="22"/>
          <w:lang w:val="es-ES_tradnl"/>
        </w:rPr>
        <w:t xml:space="preserve"> </w:t>
      </w:r>
      <w:r w:rsidRPr="00CF1B34">
        <w:rPr>
          <w:rFonts w:ascii="Arial" w:hAnsi="Arial" w:cs="Arial"/>
          <w:color w:val="313131"/>
          <w:sz w:val="22"/>
          <w:szCs w:val="22"/>
          <w:lang w:val="es-ES_tradnl"/>
        </w:rPr>
        <w:t>es la responsabilidad del trabajador en la comisión de la falta. Debe demostrarse que el empleado actuó de manera</w:t>
      </w:r>
      <w:r w:rsidR="0004609D"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consciente y voluntaria</w:t>
      </w:r>
      <w:r w:rsidRPr="00CF1B34">
        <w:rPr>
          <w:rFonts w:ascii="Arial" w:hAnsi="Arial" w:cs="Arial"/>
          <w:color w:val="313131"/>
          <w:sz w:val="22"/>
          <w:szCs w:val="22"/>
          <w:lang w:val="es-ES_tradnl"/>
        </w:rPr>
        <w:t>. Por su parte, la</w:t>
      </w:r>
      <w:r w:rsidR="0004609D"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gravedad</w:t>
      </w:r>
      <w:r w:rsidR="0004609D" w:rsidRPr="00CF1B34">
        <w:rPr>
          <w:rFonts w:ascii="Arial" w:hAnsi="Arial" w:cs="Arial"/>
          <w:color w:val="313131"/>
          <w:sz w:val="22"/>
          <w:szCs w:val="22"/>
          <w:lang w:val="es-ES_tradnl"/>
        </w:rPr>
        <w:t xml:space="preserve"> </w:t>
      </w:r>
      <w:r w:rsidRPr="00CF1B34">
        <w:rPr>
          <w:rFonts w:ascii="Arial" w:hAnsi="Arial" w:cs="Arial"/>
          <w:color w:val="313131"/>
          <w:sz w:val="22"/>
          <w:szCs w:val="22"/>
          <w:lang w:val="es-ES_tradnl"/>
        </w:rPr>
        <w:t>se relaciona con la seriedad del hecho en sí, es decir, si la acción cometida tiene implicaciones</w:t>
      </w:r>
      <w:r w:rsidR="0004609D" w:rsidRPr="00CF1B34">
        <w:rPr>
          <w:rFonts w:ascii="Arial" w:hAnsi="Arial" w:cs="Arial"/>
          <w:b/>
          <w:bCs/>
          <w:color w:val="313131"/>
          <w:sz w:val="22"/>
          <w:szCs w:val="22"/>
          <w:lang w:val="es-ES_tradnl"/>
        </w:rPr>
        <w:t xml:space="preserve"> </w:t>
      </w:r>
      <w:r w:rsidRPr="00CF1B34">
        <w:rPr>
          <w:rFonts w:ascii="Arial" w:hAnsi="Arial" w:cs="Arial"/>
          <w:b/>
          <w:bCs/>
          <w:color w:val="313131"/>
          <w:sz w:val="22"/>
          <w:szCs w:val="22"/>
          <w:lang w:val="es-ES_tradnl"/>
        </w:rPr>
        <w:t>significativas o perjudiciales</w:t>
      </w:r>
      <w:r w:rsidR="0004609D" w:rsidRPr="00CF1B34">
        <w:rPr>
          <w:rFonts w:ascii="Arial" w:hAnsi="Arial" w:cs="Arial"/>
          <w:color w:val="313131"/>
          <w:sz w:val="22"/>
          <w:szCs w:val="22"/>
          <w:lang w:val="es-ES_tradnl"/>
        </w:rPr>
        <w:t xml:space="preserve"> </w:t>
      </w:r>
      <w:r w:rsidRPr="00CF1B34">
        <w:rPr>
          <w:rFonts w:ascii="Arial" w:hAnsi="Arial" w:cs="Arial"/>
          <w:color w:val="313131"/>
          <w:sz w:val="22"/>
          <w:szCs w:val="22"/>
          <w:lang w:val="es-ES_tradnl"/>
        </w:rPr>
        <w:t>para la empresa o el equipo.</w:t>
      </w:r>
    </w:p>
    <w:p w14:paraId="14896093" w14:textId="4A48CFE5" w:rsidR="009231D1" w:rsidRPr="00CF1B34" w:rsidRDefault="009231D1" w:rsidP="0005621A">
      <w:pPr>
        <w:pStyle w:val="NormalWeb"/>
        <w:spacing w:before="0" w:beforeAutospacing="0" w:after="300" w:afterAutospacing="0"/>
        <w:ind w:left="708"/>
        <w:jc w:val="both"/>
        <w:rPr>
          <w:rFonts w:ascii="Arial" w:hAnsi="Arial" w:cs="Arial"/>
          <w:color w:val="313131"/>
          <w:sz w:val="22"/>
          <w:szCs w:val="22"/>
          <w:lang w:val="es-ES_tradnl"/>
        </w:rPr>
      </w:pPr>
      <w:r w:rsidRPr="00CF1B34">
        <w:rPr>
          <w:rFonts w:ascii="Arial" w:hAnsi="Arial" w:cs="Arial"/>
          <w:color w:val="313131"/>
          <w:sz w:val="22"/>
          <w:szCs w:val="22"/>
          <w:lang w:val="es-ES_tradnl"/>
        </w:rPr>
        <w:t>El Estatuto de los Trabajadores enumera un</w:t>
      </w:r>
      <w:r w:rsidR="00373D2E" w:rsidRPr="00CF1B34">
        <w:rPr>
          <w:rFonts w:ascii="Arial" w:hAnsi="Arial" w:cs="Arial"/>
          <w:color w:val="313131"/>
          <w:sz w:val="22"/>
          <w:szCs w:val="22"/>
          <w:lang w:val="es-ES_tradnl"/>
        </w:rPr>
        <w:t xml:space="preserve"> </w:t>
      </w:r>
      <w:r w:rsidRPr="00CF1B34">
        <w:rPr>
          <w:rFonts w:ascii="Arial" w:hAnsi="Arial" w:cs="Arial"/>
          <w:b/>
          <w:bCs/>
          <w:color w:val="313131"/>
          <w:sz w:val="22"/>
          <w:szCs w:val="22"/>
          <w:lang w:val="es-ES_tradnl"/>
        </w:rPr>
        <w:t>conjunto limitado de incumplimientos</w:t>
      </w:r>
      <w:r w:rsidR="0004609D" w:rsidRPr="00CF1B34">
        <w:rPr>
          <w:rFonts w:ascii="Arial" w:hAnsi="Arial" w:cs="Arial"/>
          <w:color w:val="313131"/>
          <w:sz w:val="22"/>
          <w:szCs w:val="22"/>
          <w:lang w:val="es-ES_tradnl"/>
        </w:rPr>
        <w:t xml:space="preserve"> </w:t>
      </w:r>
      <w:r w:rsidRPr="00CF1B34">
        <w:rPr>
          <w:rFonts w:ascii="Arial" w:hAnsi="Arial" w:cs="Arial"/>
          <w:color w:val="313131"/>
          <w:sz w:val="22"/>
          <w:szCs w:val="22"/>
          <w:lang w:val="es-ES_tradnl"/>
        </w:rPr>
        <w:t>que, si se consideran graves y culpables, pueden justificar un despido disciplinario. Son los siguientes:</w:t>
      </w:r>
    </w:p>
    <w:p w14:paraId="754A98DA" w14:textId="41E3A1B4" w:rsidR="009231D1" w:rsidRPr="00CF1B34" w:rsidRDefault="009231D1" w:rsidP="004F7A62">
      <w:pPr>
        <w:numPr>
          <w:ilvl w:val="0"/>
          <w:numId w:val="179"/>
        </w:numPr>
        <w:spacing w:before="100" w:beforeAutospacing="1" w:after="100" w:afterAutospacing="1"/>
        <w:jc w:val="both"/>
        <w:rPr>
          <w:rFonts w:ascii="Arial" w:hAnsi="Arial" w:cs="Arial"/>
          <w:color w:val="212121"/>
          <w:sz w:val="22"/>
          <w:szCs w:val="22"/>
          <w:lang w:val="es-ES_tradnl"/>
        </w:rPr>
      </w:pPr>
      <w:r w:rsidRPr="00CF1B34">
        <w:rPr>
          <w:rFonts w:ascii="Arial" w:hAnsi="Arial" w:cs="Arial"/>
          <w:color w:val="212121"/>
          <w:sz w:val="22"/>
          <w:szCs w:val="22"/>
          <w:lang w:val="es-ES_tradnl"/>
        </w:rPr>
        <w:t>Faltas de</w:t>
      </w:r>
      <w:r w:rsidR="0004609D" w:rsidRPr="00CF1B34">
        <w:rPr>
          <w:rFonts w:ascii="Arial" w:hAnsi="Arial" w:cs="Arial"/>
          <w:color w:val="212121"/>
          <w:sz w:val="22"/>
          <w:szCs w:val="22"/>
          <w:lang w:val="es-ES_tradnl"/>
        </w:rPr>
        <w:t xml:space="preserve"> </w:t>
      </w:r>
      <w:r w:rsidRPr="00CF1B34">
        <w:rPr>
          <w:rStyle w:val="Textoennegrita"/>
          <w:rFonts w:ascii="Arial" w:hAnsi="Arial" w:cs="Arial"/>
          <w:color w:val="212121"/>
          <w:sz w:val="22"/>
          <w:szCs w:val="22"/>
          <w:lang w:val="es-ES_tradnl"/>
        </w:rPr>
        <w:t>asistencia</w:t>
      </w:r>
      <w:r w:rsidR="0004609D" w:rsidRPr="00CF1B34">
        <w:rPr>
          <w:rFonts w:ascii="Arial" w:hAnsi="Arial" w:cs="Arial"/>
          <w:color w:val="212121"/>
          <w:sz w:val="22"/>
          <w:szCs w:val="22"/>
          <w:lang w:val="es-ES_tradnl"/>
        </w:rPr>
        <w:t xml:space="preserve"> </w:t>
      </w:r>
      <w:r w:rsidRPr="00CF1B34">
        <w:rPr>
          <w:rFonts w:ascii="Arial" w:hAnsi="Arial" w:cs="Arial"/>
          <w:color w:val="212121"/>
          <w:sz w:val="22"/>
          <w:szCs w:val="22"/>
          <w:lang w:val="es-ES_tradnl"/>
        </w:rPr>
        <w:t>o puntualidad</w:t>
      </w:r>
    </w:p>
    <w:p w14:paraId="49D6DEE7" w14:textId="1923486C" w:rsidR="009231D1" w:rsidRPr="00CF1B34" w:rsidRDefault="009231D1" w:rsidP="004F7A62">
      <w:pPr>
        <w:numPr>
          <w:ilvl w:val="0"/>
          <w:numId w:val="179"/>
        </w:numPr>
        <w:spacing w:before="100" w:beforeAutospacing="1" w:after="100" w:afterAutospacing="1"/>
        <w:jc w:val="both"/>
        <w:rPr>
          <w:rFonts w:ascii="Arial" w:hAnsi="Arial" w:cs="Arial"/>
          <w:color w:val="212121"/>
          <w:sz w:val="22"/>
          <w:szCs w:val="22"/>
          <w:lang w:val="es-ES_tradnl"/>
        </w:rPr>
      </w:pPr>
      <w:r w:rsidRPr="00CF1B34">
        <w:rPr>
          <w:rFonts w:ascii="Arial" w:hAnsi="Arial" w:cs="Arial"/>
          <w:color w:val="212121"/>
          <w:sz w:val="22"/>
          <w:szCs w:val="22"/>
          <w:lang w:val="es-ES_tradnl"/>
        </w:rPr>
        <w:t>Indisciplina o</w:t>
      </w:r>
      <w:r w:rsidR="0004609D" w:rsidRPr="00CF1B34">
        <w:rPr>
          <w:rFonts w:ascii="Arial" w:hAnsi="Arial" w:cs="Arial"/>
          <w:color w:val="212121"/>
          <w:sz w:val="22"/>
          <w:szCs w:val="22"/>
          <w:lang w:val="es-ES_tradnl"/>
        </w:rPr>
        <w:t xml:space="preserve"> </w:t>
      </w:r>
      <w:r w:rsidRPr="00CF1B34">
        <w:rPr>
          <w:rStyle w:val="Textoennegrita"/>
          <w:rFonts w:ascii="Arial" w:hAnsi="Arial" w:cs="Arial"/>
          <w:color w:val="212121"/>
          <w:sz w:val="22"/>
          <w:szCs w:val="22"/>
          <w:lang w:val="es-ES_tradnl"/>
        </w:rPr>
        <w:t>desobediencia</w:t>
      </w:r>
      <w:r w:rsidR="0004609D" w:rsidRPr="00CF1B34">
        <w:rPr>
          <w:rFonts w:ascii="Arial" w:hAnsi="Arial" w:cs="Arial"/>
          <w:color w:val="212121"/>
          <w:sz w:val="22"/>
          <w:szCs w:val="22"/>
          <w:lang w:val="es-ES_tradnl"/>
        </w:rPr>
        <w:t xml:space="preserve"> </w:t>
      </w:r>
      <w:r w:rsidRPr="00CF1B34">
        <w:rPr>
          <w:rFonts w:ascii="Arial" w:hAnsi="Arial" w:cs="Arial"/>
          <w:color w:val="212121"/>
          <w:sz w:val="22"/>
          <w:szCs w:val="22"/>
          <w:lang w:val="es-ES_tradnl"/>
        </w:rPr>
        <w:t>en el trabajo</w:t>
      </w:r>
    </w:p>
    <w:p w14:paraId="5332198F" w14:textId="58D75CA8" w:rsidR="009231D1" w:rsidRPr="00CF1B34" w:rsidRDefault="009231D1" w:rsidP="004F7A62">
      <w:pPr>
        <w:numPr>
          <w:ilvl w:val="0"/>
          <w:numId w:val="179"/>
        </w:numPr>
        <w:spacing w:before="100" w:beforeAutospacing="1" w:after="100" w:afterAutospacing="1"/>
        <w:jc w:val="both"/>
        <w:rPr>
          <w:rFonts w:ascii="Arial" w:hAnsi="Arial" w:cs="Arial"/>
          <w:color w:val="212121"/>
          <w:sz w:val="22"/>
          <w:szCs w:val="22"/>
          <w:lang w:val="es-ES_tradnl"/>
        </w:rPr>
      </w:pPr>
      <w:r w:rsidRPr="00CF1B34">
        <w:rPr>
          <w:rStyle w:val="Textoennegrita"/>
          <w:rFonts w:ascii="Arial" w:hAnsi="Arial" w:cs="Arial"/>
          <w:color w:val="212121"/>
          <w:sz w:val="22"/>
          <w:szCs w:val="22"/>
          <w:lang w:val="es-ES_tradnl"/>
        </w:rPr>
        <w:t>Ofensas</w:t>
      </w:r>
      <w:r w:rsidR="0004609D" w:rsidRPr="00CF1B34">
        <w:rPr>
          <w:rFonts w:ascii="Arial" w:hAnsi="Arial" w:cs="Arial"/>
          <w:color w:val="212121"/>
          <w:sz w:val="22"/>
          <w:szCs w:val="22"/>
          <w:lang w:val="es-ES_tradnl"/>
        </w:rPr>
        <w:t xml:space="preserve"> </w:t>
      </w:r>
      <w:r w:rsidRPr="00CF1B34">
        <w:rPr>
          <w:rFonts w:ascii="Arial" w:hAnsi="Arial" w:cs="Arial"/>
          <w:color w:val="212121"/>
          <w:sz w:val="22"/>
          <w:szCs w:val="22"/>
          <w:lang w:val="es-ES_tradnl"/>
        </w:rPr>
        <w:t>verbales o físicas</w:t>
      </w:r>
    </w:p>
    <w:p w14:paraId="440B7464" w14:textId="433DE98D" w:rsidR="009231D1" w:rsidRPr="00CF1B34" w:rsidRDefault="009231D1" w:rsidP="004F7A62">
      <w:pPr>
        <w:numPr>
          <w:ilvl w:val="0"/>
          <w:numId w:val="179"/>
        </w:numPr>
        <w:spacing w:before="100" w:beforeAutospacing="1" w:after="100" w:afterAutospacing="1"/>
        <w:jc w:val="both"/>
        <w:rPr>
          <w:rFonts w:ascii="Arial" w:hAnsi="Arial" w:cs="Arial"/>
          <w:color w:val="212121"/>
          <w:sz w:val="22"/>
          <w:szCs w:val="22"/>
          <w:lang w:val="es-ES_tradnl"/>
        </w:rPr>
      </w:pPr>
      <w:r w:rsidRPr="00CF1B34">
        <w:rPr>
          <w:rStyle w:val="Textoennegrita"/>
          <w:rFonts w:ascii="Arial" w:hAnsi="Arial" w:cs="Arial"/>
          <w:color w:val="212121"/>
          <w:sz w:val="22"/>
          <w:szCs w:val="22"/>
          <w:lang w:val="es-ES_tradnl"/>
        </w:rPr>
        <w:t>Transgresión de la buena fe</w:t>
      </w:r>
      <w:r w:rsidR="0004609D" w:rsidRPr="00CF1B34">
        <w:rPr>
          <w:rFonts w:ascii="Arial" w:hAnsi="Arial" w:cs="Arial"/>
          <w:color w:val="212121"/>
          <w:sz w:val="22"/>
          <w:szCs w:val="22"/>
          <w:lang w:val="es-ES_tradnl"/>
        </w:rPr>
        <w:t xml:space="preserve"> </w:t>
      </w:r>
      <w:r w:rsidRPr="00CF1B34">
        <w:rPr>
          <w:rFonts w:ascii="Arial" w:hAnsi="Arial" w:cs="Arial"/>
          <w:color w:val="212121"/>
          <w:sz w:val="22"/>
          <w:szCs w:val="22"/>
          <w:lang w:val="es-ES_tradnl"/>
        </w:rPr>
        <w:t>contractual</w:t>
      </w:r>
    </w:p>
    <w:p w14:paraId="067CFA52" w14:textId="40726F90" w:rsidR="009231D1" w:rsidRPr="00CF1B34" w:rsidRDefault="009231D1" w:rsidP="004F7A62">
      <w:pPr>
        <w:numPr>
          <w:ilvl w:val="0"/>
          <w:numId w:val="179"/>
        </w:numPr>
        <w:spacing w:before="100" w:beforeAutospacing="1" w:after="100" w:afterAutospacing="1"/>
        <w:jc w:val="both"/>
        <w:rPr>
          <w:rFonts w:ascii="Arial" w:hAnsi="Arial" w:cs="Arial"/>
          <w:color w:val="212121"/>
          <w:sz w:val="22"/>
          <w:szCs w:val="22"/>
          <w:lang w:val="es-ES_tradnl"/>
        </w:rPr>
      </w:pPr>
      <w:r w:rsidRPr="00CF1B34">
        <w:rPr>
          <w:rFonts w:ascii="Arial" w:hAnsi="Arial" w:cs="Arial"/>
          <w:color w:val="212121"/>
          <w:sz w:val="22"/>
          <w:szCs w:val="22"/>
          <w:lang w:val="es-ES_tradnl"/>
        </w:rPr>
        <w:t>Disminución del</w:t>
      </w:r>
      <w:r w:rsidR="0004609D" w:rsidRPr="00CF1B34">
        <w:rPr>
          <w:rFonts w:ascii="Arial" w:hAnsi="Arial" w:cs="Arial"/>
          <w:color w:val="212121"/>
          <w:sz w:val="22"/>
          <w:szCs w:val="22"/>
          <w:lang w:val="es-ES_tradnl"/>
        </w:rPr>
        <w:t xml:space="preserve"> </w:t>
      </w:r>
      <w:r w:rsidRPr="00CF1B34">
        <w:rPr>
          <w:rStyle w:val="Textoennegrita"/>
          <w:rFonts w:ascii="Arial" w:hAnsi="Arial" w:cs="Arial"/>
          <w:color w:val="212121"/>
          <w:sz w:val="22"/>
          <w:szCs w:val="22"/>
          <w:lang w:val="es-ES_tradnl"/>
        </w:rPr>
        <w:t>rendimiento</w:t>
      </w:r>
    </w:p>
    <w:p w14:paraId="039BD50A" w14:textId="028953CE" w:rsidR="009231D1" w:rsidRPr="00CF1B34" w:rsidRDefault="009231D1" w:rsidP="004F7A62">
      <w:pPr>
        <w:numPr>
          <w:ilvl w:val="0"/>
          <w:numId w:val="179"/>
        </w:numPr>
        <w:spacing w:before="100" w:beforeAutospacing="1" w:after="100" w:afterAutospacing="1"/>
        <w:jc w:val="both"/>
        <w:rPr>
          <w:rFonts w:ascii="Arial" w:hAnsi="Arial" w:cs="Arial"/>
          <w:color w:val="212121"/>
          <w:sz w:val="22"/>
          <w:szCs w:val="22"/>
          <w:lang w:val="es-ES_tradnl"/>
        </w:rPr>
      </w:pPr>
      <w:r w:rsidRPr="00CF1B34">
        <w:rPr>
          <w:rStyle w:val="Textoennegrita"/>
          <w:rFonts w:ascii="Arial" w:hAnsi="Arial" w:cs="Arial"/>
          <w:color w:val="212121"/>
          <w:sz w:val="22"/>
          <w:szCs w:val="22"/>
          <w:lang w:val="es-ES_tradnl"/>
        </w:rPr>
        <w:t>Embriaguez</w:t>
      </w:r>
      <w:r w:rsidR="0004609D" w:rsidRPr="00CF1B34">
        <w:rPr>
          <w:rFonts w:ascii="Arial" w:hAnsi="Arial" w:cs="Arial"/>
          <w:color w:val="212121"/>
          <w:sz w:val="22"/>
          <w:szCs w:val="22"/>
          <w:lang w:val="es-ES_tradnl"/>
        </w:rPr>
        <w:t xml:space="preserve"> </w:t>
      </w:r>
      <w:r w:rsidRPr="00CF1B34">
        <w:rPr>
          <w:rFonts w:ascii="Arial" w:hAnsi="Arial" w:cs="Arial"/>
          <w:color w:val="212121"/>
          <w:sz w:val="22"/>
          <w:szCs w:val="22"/>
          <w:lang w:val="es-ES_tradnl"/>
        </w:rPr>
        <w:t>habitual o toxicomanía</w:t>
      </w:r>
    </w:p>
    <w:p w14:paraId="0C488B6C" w14:textId="78BAB217" w:rsidR="009231D1" w:rsidRPr="00CF1B34" w:rsidRDefault="009231D1" w:rsidP="004F7A62">
      <w:pPr>
        <w:numPr>
          <w:ilvl w:val="0"/>
          <w:numId w:val="179"/>
        </w:numPr>
        <w:spacing w:before="100" w:beforeAutospacing="1" w:after="100" w:afterAutospacing="1"/>
        <w:jc w:val="both"/>
        <w:rPr>
          <w:rFonts w:ascii="Arial" w:hAnsi="Arial" w:cs="Arial"/>
          <w:color w:val="212121"/>
          <w:sz w:val="22"/>
          <w:szCs w:val="22"/>
          <w:lang w:val="es-ES_tradnl"/>
        </w:rPr>
      </w:pPr>
      <w:r w:rsidRPr="00CF1B34">
        <w:rPr>
          <w:rStyle w:val="Textoennegrita"/>
          <w:rFonts w:ascii="Arial" w:hAnsi="Arial" w:cs="Arial"/>
          <w:color w:val="212121"/>
          <w:sz w:val="22"/>
          <w:szCs w:val="22"/>
          <w:lang w:val="es-ES_tradnl"/>
        </w:rPr>
        <w:t>Acoso</w:t>
      </w:r>
      <w:r w:rsidR="0004609D" w:rsidRPr="00CF1B34">
        <w:rPr>
          <w:rFonts w:ascii="Arial" w:hAnsi="Arial" w:cs="Arial"/>
          <w:color w:val="212121"/>
          <w:sz w:val="22"/>
          <w:szCs w:val="22"/>
          <w:lang w:val="es-ES_tradnl"/>
        </w:rPr>
        <w:t xml:space="preserve"> </w:t>
      </w:r>
      <w:r w:rsidRPr="00CF1B34">
        <w:rPr>
          <w:rFonts w:ascii="Arial" w:hAnsi="Arial" w:cs="Arial"/>
          <w:color w:val="212121"/>
          <w:sz w:val="22"/>
          <w:szCs w:val="22"/>
          <w:lang w:val="es-ES_tradnl"/>
        </w:rPr>
        <w:t>discriminatorio</w:t>
      </w:r>
    </w:p>
    <w:p w14:paraId="3E031848" w14:textId="674060AA" w:rsidR="009231D1" w:rsidRPr="00CF1B34" w:rsidRDefault="009231D1" w:rsidP="0005621A">
      <w:pPr>
        <w:ind w:firstLine="708"/>
        <w:jc w:val="both"/>
        <w:rPr>
          <w:rFonts w:ascii="Arial" w:hAnsi="Arial" w:cs="Arial"/>
          <w:sz w:val="22"/>
          <w:szCs w:val="22"/>
          <w:lang w:val="es-ES_tradnl"/>
        </w:rPr>
      </w:pPr>
      <w:r w:rsidRPr="00CF1B34">
        <w:rPr>
          <w:rFonts w:ascii="Arial" w:hAnsi="Arial" w:cs="Arial"/>
          <w:b/>
          <w:bCs/>
          <w:color w:val="313131"/>
          <w:sz w:val="22"/>
          <w:szCs w:val="22"/>
          <w:lang w:val="es-ES_tradnl"/>
        </w:rPr>
        <w:t>Hay que tener en cuenta si este es procedente o improcedente</w:t>
      </w:r>
      <w:r w:rsidRPr="00CF1B34">
        <w:rPr>
          <w:rFonts w:ascii="Arial" w:hAnsi="Arial" w:cs="Arial"/>
          <w:color w:val="313131"/>
          <w:sz w:val="22"/>
          <w:szCs w:val="22"/>
          <w:lang w:val="es-ES_tradnl"/>
        </w:rPr>
        <w:t>.</w:t>
      </w:r>
    </w:p>
    <w:p w14:paraId="4D1F8A0F" w14:textId="7067AAE6" w:rsidR="009231D1" w:rsidRPr="00CF1B34" w:rsidRDefault="009231D1" w:rsidP="0005621A">
      <w:pPr>
        <w:ind w:left="708"/>
        <w:jc w:val="both"/>
        <w:rPr>
          <w:rFonts w:ascii="Arial" w:hAnsi="Arial" w:cs="Arial"/>
          <w:sz w:val="22"/>
          <w:szCs w:val="22"/>
          <w:lang w:val="es-ES_tradnl"/>
        </w:rPr>
      </w:pPr>
      <w:r w:rsidRPr="00CF1B34">
        <w:rPr>
          <w:rFonts w:ascii="Arial" w:hAnsi="Arial" w:cs="Arial"/>
          <w:color w:val="313131"/>
          <w:sz w:val="22"/>
          <w:szCs w:val="22"/>
          <w:lang w:val="es-ES_tradnl"/>
        </w:rPr>
        <w:t xml:space="preserve">Tras un despido disciplinario, las consecuencias incluyen el tener que </w:t>
      </w:r>
      <w:r w:rsidRPr="00CF1B34">
        <w:rPr>
          <w:rFonts w:ascii="Arial" w:hAnsi="Arial" w:cs="Arial"/>
          <w:b/>
          <w:bCs/>
          <w:color w:val="313131"/>
          <w:sz w:val="22"/>
          <w:szCs w:val="22"/>
          <w:lang w:val="es-ES_tradnl"/>
        </w:rPr>
        <w:t>abandonar la empresa inmediatamente</w:t>
      </w:r>
      <w:r w:rsidR="000379CF" w:rsidRPr="00CF1B34">
        <w:rPr>
          <w:rFonts w:ascii="Arial" w:hAnsi="Arial" w:cs="Arial"/>
          <w:color w:val="313131"/>
          <w:sz w:val="22"/>
          <w:szCs w:val="22"/>
          <w:lang w:val="es-ES_tradnl"/>
        </w:rPr>
        <w:t xml:space="preserve"> </w:t>
      </w:r>
      <w:r w:rsidRPr="00CF1B34">
        <w:rPr>
          <w:rFonts w:ascii="Arial" w:hAnsi="Arial" w:cs="Arial"/>
          <w:color w:val="313131"/>
          <w:sz w:val="22"/>
          <w:szCs w:val="22"/>
          <w:lang w:val="es-ES_tradnl"/>
        </w:rPr>
        <w:t xml:space="preserve">(sin preaviso) y que el empleado se queda </w:t>
      </w:r>
      <w:r w:rsidRPr="00CF1B34">
        <w:rPr>
          <w:rFonts w:ascii="Arial" w:hAnsi="Arial" w:cs="Arial"/>
          <w:b/>
          <w:bCs/>
          <w:color w:val="313131"/>
          <w:sz w:val="22"/>
          <w:szCs w:val="22"/>
          <w:lang w:val="es-ES_tradnl"/>
        </w:rPr>
        <w:t>sin indemnización</w:t>
      </w:r>
      <w:r w:rsidRPr="00CF1B34">
        <w:rPr>
          <w:rFonts w:ascii="Arial" w:hAnsi="Arial" w:cs="Arial"/>
          <w:color w:val="313131"/>
          <w:sz w:val="22"/>
          <w:szCs w:val="22"/>
          <w:lang w:val="es-ES_tradnl"/>
        </w:rPr>
        <w:t xml:space="preserve">. ¡No hay indemnización por despido procedente disciplinario! Ni 20, ni 33, ni 45 días por año. Nada a excepción del finiquito, que es un concepto distinto y que se ha de abonar independientemente del tipo o calificación de despido. Si deseas saber más sobre este pago. Esta procedencia tampoco la puede certificar el propio empresario; </w:t>
      </w:r>
      <w:r w:rsidRPr="00CF1B34">
        <w:rPr>
          <w:rFonts w:ascii="Arial" w:hAnsi="Arial" w:cs="Arial"/>
          <w:b/>
          <w:bCs/>
          <w:color w:val="313131"/>
          <w:sz w:val="22"/>
          <w:szCs w:val="22"/>
          <w:lang w:val="es-ES_tradnl"/>
        </w:rPr>
        <w:t>tendría que hacerlo un juez</w:t>
      </w:r>
      <w:r w:rsidRPr="00CF1B34">
        <w:rPr>
          <w:rFonts w:ascii="Arial" w:hAnsi="Arial" w:cs="Arial"/>
          <w:color w:val="313131"/>
          <w:sz w:val="22"/>
          <w:szCs w:val="22"/>
          <w:lang w:val="es-ES_tradnl"/>
        </w:rPr>
        <w:t>.</w:t>
      </w:r>
    </w:p>
    <w:p w14:paraId="4AE72AAF" w14:textId="48495056" w:rsidR="009231D1" w:rsidRPr="00CF1B34" w:rsidRDefault="009231D1" w:rsidP="0005621A">
      <w:pPr>
        <w:ind w:left="708"/>
        <w:jc w:val="both"/>
        <w:rPr>
          <w:rFonts w:ascii="Arial" w:hAnsi="Arial" w:cs="Arial"/>
          <w:sz w:val="22"/>
          <w:szCs w:val="22"/>
          <w:lang w:val="es-ES_tradnl"/>
        </w:rPr>
      </w:pPr>
      <w:r w:rsidRPr="00CF1B34">
        <w:rPr>
          <w:rFonts w:ascii="Arial" w:hAnsi="Arial" w:cs="Arial"/>
          <w:color w:val="313131"/>
          <w:sz w:val="22"/>
          <w:szCs w:val="22"/>
          <w:lang w:val="es-ES_tradnl"/>
        </w:rPr>
        <w:t>Si utilizas una calculadora de indemnización por despido improcedente tratándose de una destitución disciplinaria, el resultado que obtendrás</w:t>
      </w:r>
      <w:r w:rsidRPr="00CF1B34">
        <w:rPr>
          <w:rFonts w:ascii="Arial" w:hAnsi="Arial" w:cs="Arial"/>
          <w:b/>
          <w:bCs/>
          <w:color w:val="313131"/>
          <w:sz w:val="22"/>
          <w:szCs w:val="22"/>
          <w:lang w:val="es-ES_tradnl"/>
        </w:rPr>
        <w:t xml:space="preserve"> </w:t>
      </w:r>
      <w:r w:rsidRPr="00CF1B34">
        <w:rPr>
          <w:rFonts w:ascii="Arial" w:hAnsi="Arial" w:cs="Arial"/>
          <w:color w:val="313131"/>
          <w:sz w:val="22"/>
          <w:szCs w:val="22"/>
          <w:lang w:val="es-ES_tradnl"/>
        </w:rPr>
        <w:t>será el mismo que si tu despido fuera improcedente pero objetivo. La cifra no varía:</w:t>
      </w:r>
      <w:r w:rsidRPr="00CF1B34">
        <w:rPr>
          <w:rFonts w:ascii="Arial" w:hAnsi="Arial" w:cs="Arial"/>
          <w:b/>
          <w:bCs/>
          <w:color w:val="313131"/>
          <w:sz w:val="22"/>
          <w:szCs w:val="22"/>
          <w:lang w:val="es-ES_tradnl"/>
        </w:rPr>
        <w:t xml:space="preserve"> 33 días por año y/o 45</w:t>
      </w:r>
      <w:r w:rsidRPr="00CF1B34">
        <w:rPr>
          <w:rFonts w:ascii="Arial" w:hAnsi="Arial" w:cs="Arial"/>
          <w:color w:val="313131"/>
          <w:sz w:val="22"/>
          <w:szCs w:val="22"/>
          <w:lang w:val="es-ES_tradnl"/>
        </w:rPr>
        <w:t>, en función de la normativa que se aplique.</w:t>
      </w:r>
    </w:p>
    <w:p w14:paraId="0A1624BC" w14:textId="77777777" w:rsidR="0004609D" w:rsidRPr="00CF1B34" w:rsidRDefault="0004609D" w:rsidP="0005621A">
      <w:pPr>
        <w:pStyle w:val="Ttulo3"/>
        <w:ind w:firstLine="708"/>
        <w:jc w:val="both"/>
        <w:rPr>
          <w:rFonts w:ascii="Arial" w:hAnsi="Arial" w:cs="Arial"/>
          <w:color w:val="C9563D"/>
          <w:sz w:val="22"/>
          <w:szCs w:val="22"/>
          <w:lang w:val="es-ES_tradnl"/>
        </w:rPr>
      </w:pPr>
      <w:r w:rsidRPr="00CF1B34">
        <w:rPr>
          <w:rFonts w:ascii="Arial" w:hAnsi="Arial" w:cs="Arial"/>
          <w:color w:val="C9563D"/>
          <w:sz w:val="22"/>
          <w:szCs w:val="22"/>
          <w:lang w:val="es-ES_tradnl"/>
        </w:rPr>
        <w:t>Indemnización por despido con contrato indefinido</w:t>
      </w:r>
    </w:p>
    <w:p w14:paraId="3FBD31E7" w14:textId="5414393B" w:rsidR="00373D2E" w:rsidRPr="00CF1B34" w:rsidRDefault="0004609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13131"/>
          <w:sz w:val="22"/>
          <w:szCs w:val="22"/>
          <w:lang w:val="es-ES_tradnl"/>
        </w:rPr>
        <w:t xml:space="preserve">Los efectos, tanto del despido disciplinario como del objetivo, </w:t>
      </w:r>
      <w:r w:rsidRPr="00CF1B34">
        <w:rPr>
          <w:rFonts w:ascii="Arial" w:hAnsi="Arial" w:cs="Arial"/>
          <w:b/>
          <w:bCs/>
          <w:color w:val="313131"/>
          <w:sz w:val="22"/>
          <w:szCs w:val="22"/>
          <w:lang w:val="es-ES_tradnl"/>
        </w:rPr>
        <w:t>no cambian</w:t>
      </w:r>
      <w:r w:rsidRPr="00CF1B34">
        <w:rPr>
          <w:rFonts w:ascii="Arial" w:hAnsi="Arial" w:cs="Arial"/>
          <w:color w:val="313131"/>
          <w:sz w:val="22"/>
          <w:szCs w:val="22"/>
          <w:lang w:val="es-ES_tradnl"/>
        </w:rPr>
        <w:t xml:space="preserve"> porque el trabajador tenga un contrato indefinido con la empresa. En ese sentido, no pienses que tu contrato indefinido hará que sí percibas una indemnización por despido procedente disciplinario. O que, en un despido objetivo, la indemnización será mayor a 20 días si también es procedente. Ninguna de estas afirmaciones se corresponde con la realidad, porque la indemnización por despido con contrato indefinido </w:t>
      </w:r>
      <w:r w:rsidRPr="00CF1B34">
        <w:rPr>
          <w:rFonts w:ascii="Arial" w:hAnsi="Arial" w:cs="Arial"/>
          <w:b/>
          <w:bCs/>
          <w:color w:val="313131"/>
          <w:sz w:val="22"/>
          <w:szCs w:val="22"/>
          <w:lang w:val="es-ES_tradnl"/>
        </w:rPr>
        <w:t>no altera la norma general</w:t>
      </w:r>
      <w:r w:rsidR="00373D2E" w:rsidRPr="00CF1B34">
        <w:rPr>
          <w:rFonts w:ascii="Arial" w:hAnsi="Arial" w:cs="Arial"/>
          <w:b/>
          <w:bCs/>
          <w:color w:val="313131"/>
          <w:sz w:val="22"/>
          <w:szCs w:val="22"/>
          <w:lang w:val="es-ES_tradnl"/>
        </w:rPr>
        <w:t>.</w:t>
      </w:r>
    </w:p>
    <w:p w14:paraId="4FA30297" w14:textId="5DFA5AC8" w:rsidR="00391A3B" w:rsidRPr="00CF1B34" w:rsidRDefault="00391A3B"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Indicador econ</w:t>
      </w:r>
      <w:r w:rsidR="00205EDB"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mico</w:t>
      </w:r>
    </w:p>
    <w:p w14:paraId="2C096283" w14:textId="77777777" w:rsidR="006E3448" w:rsidRPr="00CF1B34" w:rsidRDefault="00B21B8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 xml:space="preserve">Con este instrumento se mide una variable de la economía en un periodo determinado. Estos indicadores son seguidos por los inversores para tomar sus decisiones de compra o de venta sobre </w:t>
      </w:r>
      <w:r w:rsidR="006E3448" w:rsidRPr="00CF1B34">
        <w:rPr>
          <w:rFonts w:ascii="Arial" w:hAnsi="Arial" w:cs="Arial"/>
          <w:color w:val="000000" w:themeColor="text1"/>
          <w:sz w:val="22"/>
          <w:szCs w:val="22"/>
          <w:lang w:val="es-ES_tradnl"/>
        </w:rPr>
        <w:t>los distintos activos financieros o bienes tangibles.</w:t>
      </w:r>
    </w:p>
    <w:p w14:paraId="17C0480E" w14:textId="0CCC1F3B" w:rsidR="007661A5" w:rsidRPr="00CF1B34" w:rsidRDefault="007661A5"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indicadores FOREX</w:t>
      </w:r>
    </w:p>
    <w:p w14:paraId="32842E92" w14:textId="7E67A663" w:rsidR="00AD2B66" w:rsidRPr="00CF1B34" w:rsidRDefault="00AD2B66" w:rsidP="0005621A">
      <w:pPr>
        <w:ind w:left="708"/>
        <w:jc w:val="both"/>
        <w:rPr>
          <w:rFonts w:ascii="Arial" w:hAnsi="Arial" w:cs="Arial"/>
          <w:color w:val="333333"/>
          <w:sz w:val="22"/>
          <w:szCs w:val="22"/>
          <w:shd w:val="clear" w:color="auto" w:fill="FFFFFF"/>
          <w:lang w:val="es-ES_tradnl"/>
        </w:rPr>
      </w:pPr>
      <w:r w:rsidRPr="00CF1B34">
        <w:rPr>
          <w:rFonts w:ascii="Arial" w:hAnsi="Arial" w:cs="Arial"/>
          <w:b/>
          <w:bCs/>
          <w:color w:val="333333"/>
          <w:sz w:val="22"/>
          <w:szCs w:val="22"/>
          <w:shd w:val="clear" w:color="auto" w:fill="FFFFFF"/>
          <w:lang w:val="es-ES_tradnl"/>
        </w:rPr>
        <w:t>El sueño de muchos Traders es encontrar estrategias que les permitan ver las tendencias que da el mercado,</w:t>
      </w:r>
      <w:r w:rsidR="00832FCC"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 xml:space="preserve">por otro </w:t>
      </w:r>
      <w:proofErr w:type="gramStart"/>
      <w:r w:rsidRPr="00CF1B34">
        <w:rPr>
          <w:rFonts w:ascii="Arial" w:hAnsi="Arial" w:cs="Arial"/>
          <w:color w:val="333333"/>
          <w:sz w:val="22"/>
          <w:szCs w:val="22"/>
          <w:shd w:val="clear" w:color="auto" w:fill="FFFFFF"/>
          <w:lang w:val="es-ES_tradnl"/>
        </w:rPr>
        <w:t>lado</w:t>
      </w:r>
      <w:proofErr w:type="gramEnd"/>
      <w:r w:rsidRPr="00CF1B34">
        <w:rPr>
          <w:rFonts w:ascii="Arial" w:hAnsi="Arial" w:cs="Arial"/>
          <w:color w:val="333333"/>
          <w:sz w:val="22"/>
          <w:szCs w:val="22"/>
          <w:shd w:val="clear" w:color="auto" w:fill="FFFFFF"/>
          <w:lang w:val="es-ES_tradnl"/>
        </w:rPr>
        <w:t xml:space="preserve"> es importante saber que el mercado no siempre</w:t>
      </w:r>
      <w:r w:rsidR="00832FCC"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se mueve en tendencia sino que a veces lo hace en rangos</w:t>
      </w:r>
    </w:p>
    <w:p w14:paraId="6CF0B3D7" w14:textId="3D3AF954" w:rsidR="00832FCC" w:rsidRPr="00CF1B34" w:rsidRDefault="00832FCC" w:rsidP="0005621A">
      <w:pPr>
        <w:ind w:left="708"/>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El ADX</w:t>
      </w:r>
      <w:r w:rsidRPr="00CF1B34">
        <w:rPr>
          <w:rFonts w:ascii="Arial" w:hAnsi="Arial" w:cs="Arial"/>
          <w:color w:val="333333"/>
          <w:sz w:val="22"/>
          <w:szCs w:val="22"/>
          <w:shd w:val="clear" w:color="auto" w:fill="FFFFFF"/>
          <w:lang w:val="es-ES_tradnl"/>
        </w:rPr>
        <w:t xml:space="preserve"> es un indicador que sirve especialmente para ver tendencias, su valor puede ir de 0 a 100, aunque rara vez supera los 60, por lo general se maneja con dos niveles de referencia que nos van a indicar cuando entrar y salir del mercado,</w:t>
      </w:r>
    </w:p>
    <w:p w14:paraId="461BBAE7" w14:textId="074155EC" w:rsidR="00832FCC" w:rsidRPr="00CF1B34" w:rsidRDefault="00832FCC" w:rsidP="0005621A">
      <w:pPr>
        <w:ind w:left="708"/>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El Sapucay Montaña</w:t>
      </w:r>
      <w:r w:rsidRPr="00CF1B34">
        <w:rPr>
          <w:rFonts w:ascii="Arial" w:hAnsi="Arial" w:cs="Arial"/>
          <w:color w:val="333333"/>
          <w:sz w:val="22"/>
          <w:szCs w:val="22"/>
          <w:shd w:val="clear" w:color="auto" w:fill="FFFFFF"/>
          <w:lang w:val="es-ES_tradnl"/>
        </w:rPr>
        <w:t xml:space="preserve"> es un indicador creado por Ruben Dieminger, que se utiliza generalmente para corroborar gráficamente tendencias en el mercado, cuando el indicador se encuentra arriba de cero es ideal para los compradores y cuando se encuentra debajo de cero es ideal para los vendedores.</w:t>
      </w:r>
    </w:p>
    <w:p w14:paraId="1DB3C946" w14:textId="77777777" w:rsidR="00832FCC" w:rsidRPr="00CF1B34" w:rsidRDefault="00832FCC"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shd w:val="clear" w:color="auto" w:fill="FFFFFF"/>
          <w:lang w:val="es-ES_tradnl"/>
        </w:rPr>
        <w:t xml:space="preserve">El Palabolic SAR </w:t>
      </w:r>
      <w:r w:rsidRPr="00CF1B34">
        <w:rPr>
          <w:rFonts w:ascii="Arial" w:hAnsi="Arial" w:cs="Arial"/>
          <w:color w:val="333333"/>
          <w:sz w:val="22"/>
          <w:szCs w:val="22"/>
          <w:shd w:val="clear" w:color="auto" w:fill="FFFFFF"/>
          <w:lang w:val="es-ES_tradnl"/>
        </w:rPr>
        <w:t>es un indicador que se construye sobre los gráficos de precios, es muy bueno para dar señales de salida.</w:t>
      </w:r>
    </w:p>
    <w:p w14:paraId="2488566F" w14:textId="3A758B70" w:rsidR="00977050" w:rsidRPr="00CF1B34" w:rsidRDefault="00977050"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Big Mac</w:t>
      </w:r>
    </w:p>
    <w:p w14:paraId="6FFC5144" w14:textId="5AA5A082" w:rsidR="00977050" w:rsidRPr="00CF1B34" w:rsidRDefault="00977050"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Style w:val="Textoennegrita"/>
          <w:rFonts w:ascii="Arial" w:hAnsi="Arial" w:cs="Arial"/>
          <w:color w:val="333333"/>
          <w:sz w:val="22"/>
          <w:szCs w:val="22"/>
          <w:lang w:val="es-ES_tradnl"/>
        </w:rPr>
        <w:t>El índice se basa en la teoría de la</w:t>
      </w:r>
      <w:r w:rsidR="0018403B" w:rsidRPr="00CF1B34">
        <w:rPr>
          <w:rStyle w:val="Textoennegrita"/>
          <w:rFonts w:ascii="Arial" w:hAnsi="Arial" w:cs="Arial"/>
          <w:color w:val="333333"/>
          <w:sz w:val="22"/>
          <w:szCs w:val="22"/>
          <w:lang w:val="es-ES_tradnl"/>
        </w:rPr>
        <w:t xml:space="preserve"> paridad </w:t>
      </w:r>
      <w:r w:rsidRPr="00CF1B34">
        <w:rPr>
          <w:rStyle w:val="Textoennegrita"/>
          <w:rFonts w:ascii="Arial" w:hAnsi="Arial" w:cs="Arial"/>
          <w:color w:val="333333"/>
          <w:sz w:val="22"/>
          <w:szCs w:val="22"/>
          <w:lang w:val="es-ES_tradnl"/>
        </w:rPr>
        <w:t>del poder adquisitivo</w:t>
      </w:r>
      <w:r w:rsidRPr="00CF1B34">
        <w:rPr>
          <w:rFonts w:ascii="Arial" w:hAnsi="Arial" w:cs="Arial"/>
          <w:color w:val="333333"/>
          <w:sz w:val="22"/>
          <w:szCs w:val="22"/>
          <w:lang w:val="es-ES_tradnl"/>
        </w:rPr>
        <w:t>, la cual sostiene algo así como un principio enunciativo de que «</w:t>
      </w:r>
      <w:r w:rsidRPr="00CF1B34">
        <w:rPr>
          <w:rStyle w:val="Textoennegrita"/>
          <w:rFonts w:ascii="Arial" w:hAnsi="Arial" w:cs="Arial"/>
          <w:i/>
          <w:iCs/>
          <w:color w:val="333333"/>
          <w:sz w:val="22"/>
          <w:szCs w:val="22"/>
          <w:lang w:val="es-ES_tradnl"/>
        </w:rPr>
        <w:t>un dólar debe comprar igual cantidad de bienes o servicios en todos los países».</w:t>
      </w:r>
    </w:p>
    <w:p w14:paraId="7581560E" w14:textId="77777777" w:rsidR="0018403B" w:rsidRPr="00CF1B34" w:rsidRDefault="00001E5E"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shd w:val="clear" w:color="auto" w:fill="FFFFFF"/>
          <w:lang w:val="es-ES_tradnl"/>
        </w:rPr>
        <w:t>El Big Mac Index (en inglés) es elaborado por</w:t>
      </w:r>
      <w:r w:rsidR="0018403B" w:rsidRPr="00CF1B34">
        <w:rPr>
          <w:rStyle w:val="Textoennegrita"/>
          <w:rFonts w:ascii="Arial" w:hAnsi="Arial" w:cs="Arial"/>
          <w:color w:val="333333"/>
          <w:sz w:val="22"/>
          <w:szCs w:val="22"/>
          <w:shd w:val="clear" w:color="auto" w:fill="FFFFFF"/>
          <w:lang w:val="es-ES_tradnl"/>
        </w:rPr>
        <w:t xml:space="preserve"> The Economist</w:t>
      </w:r>
      <w:r w:rsidRPr="00CF1B34">
        <w:rPr>
          <w:rFonts w:ascii="Arial" w:hAnsi="Arial" w:cs="Arial"/>
          <w:color w:val="333333"/>
          <w:sz w:val="22"/>
          <w:szCs w:val="22"/>
          <w:shd w:val="clear" w:color="auto" w:fill="FFFFFF"/>
          <w:lang w:val="es-ES_tradnl"/>
        </w:rPr>
        <w:t xml:space="preserve"> comparando lo que cuesta una</w:t>
      </w:r>
      <w:r w:rsidR="0018403B"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hamburguesa Big Mac en los países donde se elabora.</w:t>
      </w:r>
      <w:r w:rsidR="0018403B"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De modo tal de poder comparar los costos de vida, y saber si sus monedas están sobre o subvaloradas con respecto al dólar estadounidense. Si bien,</w:t>
      </w:r>
      <w:r w:rsidR="0018403B" w:rsidRPr="00CF1B34">
        <w:rPr>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el índice no determina la relación cambiaria exacta,</w:t>
      </w:r>
      <w:r w:rsidR="0018403B" w:rsidRPr="00CF1B34">
        <w:rPr>
          <w:rStyle w:val="Textoennegrita"/>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resulta una sencilla herramienta para un</w:t>
      </w:r>
      <w:r w:rsidR="0018403B" w:rsidRPr="00CF1B34">
        <w:rPr>
          <w:rStyle w:val="Textoennegrita"/>
          <w:rFonts w:ascii="Arial" w:hAnsi="Arial" w:cs="Arial"/>
          <w:color w:val="333333"/>
          <w:sz w:val="22"/>
          <w:szCs w:val="22"/>
          <w:shd w:val="clear" w:color="auto" w:fill="FFFFFF"/>
          <w:lang w:val="es-ES_tradnl"/>
        </w:rPr>
        <w:t xml:space="preserve"> </w:t>
      </w:r>
      <w:r w:rsidRPr="00CF1B34">
        <w:rPr>
          <w:rStyle w:val="Textoennegrita"/>
          <w:rFonts w:ascii="Arial" w:hAnsi="Arial" w:cs="Arial"/>
          <w:color w:val="333333"/>
          <w:sz w:val="22"/>
          <w:szCs w:val="22"/>
          <w:shd w:val="clear" w:color="auto" w:fill="FFFFFF"/>
          <w:lang w:val="es-ES_tradnl"/>
        </w:rPr>
        <w:t>análisis económico</w:t>
      </w:r>
      <w:r w:rsidRPr="00CF1B34">
        <w:rPr>
          <w:rFonts w:ascii="Arial" w:hAnsi="Arial" w:cs="Arial"/>
          <w:color w:val="333333"/>
          <w:sz w:val="22"/>
          <w:szCs w:val="22"/>
          <w:shd w:val="clear" w:color="auto" w:fill="FFFFFF"/>
          <w:lang w:val="es-ES_tradnl"/>
        </w:rPr>
        <w:t>.</w:t>
      </w:r>
    </w:p>
    <w:p w14:paraId="5AF81340" w14:textId="44F33414" w:rsidR="00485E1D" w:rsidRPr="00CF1B34" w:rsidRDefault="00485E1D"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bursátil</w:t>
      </w:r>
    </w:p>
    <w:p w14:paraId="3ACACBFB" w14:textId="77777777" w:rsidR="00250C5B" w:rsidRPr="00CF1B34" w:rsidRDefault="00250C5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lang w:val="es-ES_tradnl"/>
        </w:rPr>
        <w:t>Número índice que refleja la evolución de los precios de un conjunto de acciones a lo largo del tiempo. Suelen ser representativos de lo que sucede en un mercado determinado. Así un índice se diferenciará de otro en la muestra de valores que lo compongan, la ponderación de cada título, la fórmula matemática que se utilice para calcularlo, la fecha de referencia o base y los ajustes que se apliquen al mismo (por dividendos o modificaciones en el capital).</w:t>
      </w:r>
    </w:p>
    <w:p w14:paraId="448BE249" w14:textId="2F715EDC" w:rsidR="006E3448" w:rsidRPr="00CF1B34" w:rsidRDefault="006E3448"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de economicidad</w:t>
      </w:r>
    </w:p>
    <w:p w14:paraId="32A53004" w14:textId="77777777" w:rsidR="00156713" w:rsidRPr="00CF1B34" w:rsidRDefault="0015671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Beneficio neto respecto de productos totales.</w:t>
      </w:r>
    </w:p>
    <w:p w14:paraId="47E94720" w14:textId="6EDA1640" w:rsidR="008C6FA2" w:rsidRPr="00CF1B34" w:rsidRDefault="008C6FA2"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de facilitación de Mercado</w:t>
      </w:r>
      <w:r w:rsidR="00B3205D" w:rsidRPr="00CF1B34">
        <w:rPr>
          <w:rFonts w:ascii="Arial" w:hAnsi="Arial" w:cs="Arial"/>
          <w:color w:val="2F5496" w:themeColor="accent1" w:themeShade="BF"/>
          <w:sz w:val="22"/>
          <w:szCs w:val="22"/>
          <w:lang w:val="es-ES_tradnl"/>
        </w:rPr>
        <w:t xml:space="preserve"> (FOREX)</w:t>
      </w:r>
    </w:p>
    <w:p w14:paraId="3385E77B" w14:textId="08F88C3F" w:rsidR="008C6FA2" w:rsidRPr="00CF1B34" w:rsidRDefault="008C6FA2"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Dentro del </w:t>
      </w:r>
      <w:r w:rsidRPr="00CF1B34">
        <w:rPr>
          <w:rStyle w:val="Textoennegrita"/>
          <w:rFonts w:ascii="Arial" w:hAnsi="Arial" w:cs="Arial"/>
          <w:color w:val="333333"/>
          <w:sz w:val="22"/>
          <w:szCs w:val="22"/>
          <w:shd w:val="clear" w:color="auto" w:fill="FFFFFF"/>
          <w:lang w:val="es-ES_tradnl"/>
        </w:rPr>
        <w:t>mercado de divisas</w:t>
      </w:r>
      <w:r w:rsidRPr="00CF1B34">
        <w:rPr>
          <w:rFonts w:ascii="Arial" w:hAnsi="Arial" w:cs="Arial"/>
          <w:color w:val="333333"/>
          <w:sz w:val="22"/>
          <w:szCs w:val="22"/>
          <w:shd w:val="clear" w:color="auto" w:fill="FFFFFF"/>
          <w:lang w:val="es-ES_tradnl"/>
        </w:rPr>
        <w:t xml:space="preserve">, los indicadores económicos se convirtieron en un factor muy importante para su futura inversión. El </w:t>
      </w:r>
      <w:r w:rsidRPr="00CF1B34">
        <w:rPr>
          <w:rStyle w:val="Textoennegrita"/>
          <w:rFonts w:ascii="Arial" w:hAnsi="Arial" w:cs="Arial"/>
          <w:color w:val="333333"/>
          <w:sz w:val="22"/>
          <w:szCs w:val="22"/>
          <w:shd w:val="clear" w:color="auto" w:fill="FFFFFF"/>
          <w:lang w:val="es-ES_tradnl"/>
        </w:rPr>
        <w:t>índice de facilitación de Mercado o Marcket Facilitation Index</w:t>
      </w:r>
      <w:r w:rsidRPr="00CF1B34">
        <w:rPr>
          <w:rFonts w:ascii="Arial" w:hAnsi="Arial" w:cs="Arial"/>
          <w:color w:val="333333"/>
          <w:sz w:val="22"/>
          <w:szCs w:val="22"/>
          <w:shd w:val="clear" w:color="auto" w:fill="FFFFFF"/>
          <w:lang w:val="es-ES_tradnl"/>
        </w:rPr>
        <w:t xml:space="preserve"> es un indicador que analiza la cantidad de cambio en el precio por cada unidad de volumen.</w:t>
      </w:r>
    </w:p>
    <w:p w14:paraId="4EE73F72" w14:textId="7ACE1770" w:rsidR="008C6FA2" w:rsidRPr="00CF1B34" w:rsidRDefault="008C6FA2" w:rsidP="0005621A">
      <w:pPr>
        <w:shd w:val="clear" w:color="auto" w:fill="FFFFFF"/>
        <w:spacing w:after="165"/>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Este índice </w:t>
      </w:r>
      <w:r w:rsidRPr="00CF1B34">
        <w:rPr>
          <w:rFonts w:ascii="Arial" w:hAnsi="Arial" w:cs="Arial"/>
          <w:b/>
          <w:bCs/>
          <w:color w:val="333333"/>
          <w:sz w:val="22"/>
          <w:szCs w:val="22"/>
          <w:lang w:val="es-ES_tradnl"/>
        </w:rPr>
        <w:t>determina la eficiencia del movimiento del precio mediante el análisis de la cantidad de cambio en el precio por unidad de volumen</w:t>
      </w:r>
      <w:r w:rsidRPr="00CF1B34">
        <w:rPr>
          <w:rFonts w:ascii="Arial" w:hAnsi="Arial" w:cs="Arial"/>
          <w:color w:val="333333"/>
          <w:sz w:val="22"/>
          <w:szCs w:val="22"/>
          <w:lang w:val="es-ES_tradnl"/>
        </w:rPr>
        <w:t>, utilizando como parámetros para el cálculo del mismo el máximo, mínimo y volumen definidos como:</w:t>
      </w:r>
    </w:p>
    <w:p w14:paraId="1879C55E" w14:textId="4CCF8AA9" w:rsidR="008C6FA2" w:rsidRPr="00CF1B34" w:rsidRDefault="008C6FA2" w:rsidP="004F7A62">
      <w:pPr>
        <w:numPr>
          <w:ilvl w:val="0"/>
          <w:numId w:val="18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t>Máximo: El precio m</w:t>
      </w:r>
      <w:r w:rsidR="00DE072F" w:rsidRPr="00CF1B34">
        <w:rPr>
          <w:rFonts w:ascii="Arial" w:hAnsi="Arial" w:cs="Arial"/>
          <w:color w:val="333333"/>
          <w:sz w:val="22"/>
          <w:szCs w:val="22"/>
          <w:lang w:val="es-ES_tradnl"/>
        </w:rPr>
        <w:t>á</w:t>
      </w:r>
      <w:r w:rsidRPr="00CF1B34">
        <w:rPr>
          <w:rFonts w:ascii="Arial" w:hAnsi="Arial" w:cs="Arial"/>
          <w:color w:val="333333"/>
          <w:sz w:val="22"/>
          <w:szCs w:val="22"/>
          <w:lang w:val="es-ES_tradnl"/>
        </w:rPr>
        <w:t>s alto de un subyacente o instrumento en un d</w:t>
      </w:r>
      <w:r w:rsidR="00DE072F" w:rsidRPr="00CF1B34">
        <w:rPr>
          <w:rFonts w:ascii="Arial" w:hAnsi="Arial" w:cs="Arial"/>
          <w:color w:val="333333"/>
          <w:sz w:val="22"/>
          <w:szCs w:val="22"/>
          <w:lang w:val="es-ES_tradnl"/>
        </w:rPr>
        <w:t>í</w:t>
      </w:r>
      <w:r w:rsidRPr="00CF1B34">
        <w:rPr>
          <w:rFonts w:ascii="Arial" w:hAnsi="Arial" w:cs="Arial"/>
          <w:color w:val="333333"/>
          <w:sz w:val="22"/>
          <w:szCs w:val="22"/>
          <w:lang w:val="es-ES_tradnl"/>
        </w:rPr>
        <w:t>a dado.</w:t>
      </w:r>
    </w:p>
    <w:p w14:paraId="12956F88" w14:textId="319159E0" w:rsidR="008C6FA2" w:rsidRPr="00CF1B34" w:rsidRDefault="008C6FA2" w:rsidP="004F7A62">
      <w:pPr>
        <w:numPr>
          <w:ilvl w:val="0"/>
          <w:numId w:val="180"/>
        </w:numPr>
        <w:shd w:val="clear" w:color="auto" w:fill="FFFFFF"/>
        <w:spacing w:before="100" w:beforeAutospacing="1" w:after="100" w:afterAutospacing="1"/>
        <w:jc w:val="both"/>
        <w:rPr>
          <w:rFonts w:ascii="Arial" w:hAnsi="Arial" w:cs="Arial"/>
          <w:color w:val="333333"/>
          <w:sz w:val="22"/>
          <w:szCs w:val="22"/>
          <w:lang w:val="es-ES_tradnl"/>
        </w:rPr>
      </w:pPr>
      <w:r w:rsidRPr="00CF1B34">
        <w:rPr>
          <w:rFonts w:ascii="Arial" w:hAnsi="Arial" w:cs="Arial"/>
          <w:color w:val="333333"/>
          <w:sz w:val="22"/>
          <w:szCs w:val="22"/>
          <w:lang w:val="es-ES_tradnl"/>
        </w:rPr>
        <w:lastRenderedPageBreak/>
        <w:t>M</w:t>
      </w:r>
      <w:r w:rsidR="00DE072F" w:rsidRPr="00CF1B34">
        <w:rPr>
          <w:rFonts w:ascii="Arial" w:hAnsi="Arial" w:cs="Arial"/>
          <w:color w:val="333333"/>
          <w:sz w:val="22"/>
          <w:szCs w:val="22"/>
          <w:lang w:val="es-ES_tradnl"/>
        </w:rPr>
        <w:t>í</w:t>
      </w:r>
      <w:r w:rsidRPr="00CF1B34">
        <w:rPr>
          <w:rFonts w:ascii="Arial" w:hAnsi="Arial" w:cs="Arial"/>
          <w:color w:val="333333"/>
          <w:sz w:val="22"/>
          <w:szCs w:val="22"/>
          <w:lang w:val="es-ES_tradnl"/>
        </w:rPr>
        <w:t>nimo: El precio m</w:t>
      </w:r>
      <w:r w:rsidR="00DE072F" w:rsidRPr="00CF1B34">
        <w:rPr>
          <w:rFonts w:ascii="Arial" w:hAnsi="Arial" w:cs="Arial"/>
          <w:color w:val="333333"/>
          <w:sz w:val="22"/>
          <w:szCs w:val="22"/>
          <w:lang w:val="es-ES_tradnl"/>
        </w:rPr>
        <w:t>á</w:t>
      </w:r>
      <w:r w:rsidRPr="00CF1B34">
        <w:rPr>
          <w:rFonts w:ascii="Arial" w:hAnsi="Arial" w:cs="Arial"/>
          <w:color w:val="333333"/>
          <w:sz w:val="22"/>
          <w:szCs w:val="22"/>
          <w:lang w:val="es-ES_tradnl"/>
        </w:rPr>
        <w:t>s bajo de un subyacente o instrumento en un d</w:t>
      </w:r>
      <w:r w:rsidR="00DE072F" w:rsidRPr="00CF1B34">
        <w:rPr>
          <w:rFonts w:ascii="Arial" w:hAnsi="Arial" w:cs="Arial"/>
          <w:color w:val="333333"/>
          <w:sz w:val="22"/>
          <w:szCs w:val="22"/>
          <w:lang w:val="es-ES_tradnl"/>
        </w:rPr>
        <w:t>í</w:t>
      </w:r>
      <w:r w:rsidRPr="00CF1B34">
        <w:rPr>
          <w:rFonts w:ascii="Arial" w:hAnsi="Arial" w:cs="Arial"/>
          <w:color w:val="333333"/>
          <w:sz w:val="22"/>
          <w:szCs w:val="22"/>
          <w:lang w:val="es-ES_tradnl"/>
        </w:rPr>
        <w:t>a dado.</w:t>
      </w:r>
      <w:r w:rsidRPr="00CF1B34">
        <w:rPr>
          <w:rFonts w:ascii="Arial" w:hAnsi="Arial" w:cs="Arial"/>
          <w:color w:val="333333"/>
          <w:sz w:val="22"/>
          <w:szCs w:val="22"/>
          <w:lang w:val="es-ES_tradnl"/>
        </w:rPr>
        <w:br/>
        <w:t>Volumen; El n</w:t>
      </w:r>
      <w:r w:rsidR="00DE072F" w:rsidRPr="00CF1B34">
        <w:rPr>
          <w:rFonts w:ascii="Arial" w:hAnsi="Arial" w:cs="Arial"/>
          <w:color w:val="333333"/>
          <w:sz w:val="22"/>
          <w:szCs w:val="22"/>
          <w:lang w:val="es-ES_tradnl"/>
        </w:rPr>
        <w:t>ú</w:t>
      </w:r>
      <w:r w:rsidRPr="00CF1B34">
        <w:rPr>
          <w:rFonts w:ascii="Arial" w:hAnsi="Arial" w:cs="Arial"/>
          <w:color w:val="333333"/>
          <w:sz w:val="22"/>
          <w:szCs w:val="22"/>
          <w:lang w:val="es-ES_tradnl"/>
        </w:rPr>
        <w:t>mero de unidades de un instrumento dado que sean negociado en un d</w:t>
      </w:r>
      <w:r w:rsidR="00DE072F" w:rsidRPr="00CF1B34">
        <w:rPr>
          <w:rFonts w:ascii="Arial" w:hAnsi="Arial" w:cs="Arial"/>
          <w:color w:val="333333"/>
          <w:sz w:val="22"/>
          <w:szCs w:val="22"/>
          <w:lang w:val="es-ES_tradnl"/>
        </w:rPr>
        <w:t>í</w:t>
      </w:r>
      <w:r w:rsidRPr="00CF1B34">
        <w:rPr>
          <w:rFonts w:ascii="Arial" w:hAnsi="Arial" w:cs="Arial"/>
          <w:color w:val="333333"/>
          <w:sz w:val="22"/>
          <w:szCs w:val="22"/>
          <w:lang w:val="es-ES_tradnl"/>
        </w:rPr>
        <w:t>a dado.</w:t>
      </w:r>
    </w:p>
    <w:p w14:paraId="78EA31AD" w14:textId="77777777" w:rsidR="00DE072F" w:rsidRPr="00CF1B34" w:rsidRDefault="008C6FA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Se trata de un </w:t>
      </w:r>
      <w:r w:rsidR="00DE072F" w:rsidRPr="00CF1B34">
        <w:rPr>
          <w:rFonts w:ascii="Arial" w:hAnsi="Arial" w:cs="Arial"/>
          <w:color w:val="333333"/>
          <w:sz w:val="22"/>
          <w:szCs w:val="22"/>
          <w:lang w:val="es-ES_tradnl"/>
        </w:rPr>
        <w:t>í</w:t>
      </w:r>
      <w:r w:rsidRPr="00CF1B34">
        <w:rPr>
          <w:rFonts w:ascii="Arial" w:hAnsi="Arial" w:cs="Arial"/>
          <w:color w:val="333333"/>
          <w:sz w:val="22"/>
          <w:szCs w:val="22"/>
          <w:lang w:val="es-ES_tradnl"/>
        </w:rPr>
        <w:t>ndice muy utilizado para determinar la </w:t>
      </w:r>
      <w:r w:rsidRPr="00CF1B34">
        <w:rPr>
          <w:rFonts w:ascii="Arial" w:hAnsi="Arial" w:cs="Arial"/>
          <w:b/>
          <w:bCs/>
          <w:color w:val="333333"/>
          <w:sz w:val="22"/>
          <w:szCs w:val="22"/>
          <w:lang w:val="es-ES_tradnl"/>
        </w:rPr>
        <w:t>eficiencia con la cual se mueve el precio</w:t>
      </w:r>
      <w:r w:rsidRPr="00CF1B34">
        <w:rPr>
          <w:rFonts w:ascii="Arial" w:hAnsi="Arial" w:cs="Arial"/>
          <w:color w:val="333333"/>
          <w:sz w:val="22"/>
          <w:szCs w:val="22"/>
          <w:lang w:val="es-ES_tradnl"/>
        </w:rPr>
        <w:t>.</w:t>
      </w:r>
    </w:p>
    <w:p w14:paraId="272C4AAD" w14:textId="15AA11FD" w:rsidR="00250C5B" w:rsidRPr="00CF1B34" w:rsidRDefault="00250C5B"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de intermediación financiera</w:t>
      </w:r>
    </w:p>
    <w:p w14:paraId="54507EFC" w14:textId="06D812A9" w:rsidR="00250C5B" w:rsidRPr="00CF1B34" w:rsidRDefault="00250C5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Índice calculado dividiendo el monto de la cartera de </w:t>
      </w:r>
      <w:r w:rsidR="003A2580" w:rsidRPr="00CF1B34">
        <w:rPr>
          <w:rFonts w:ascii="Arial" w:hAnsi="Arial" w:cs="Arial"/>
          <w:color w:val="000000" w:themeColor="text1"/>
          <w:sz w:val="22"/>
          <w:szCs w:val="22"/>
          <w:lang w:val="es-ES_tradnl"/>
        </w:rPr>
        <w:t xml:space="preserve">crédito </w:t>
      </w:r>
      <w:r w:rsidRPr="00CF1B34">
        <w:rPr>
          <w:rFonts w:ascii="Arial" w:hAnsi="Arial" w:cs="Arial"/>
          <w:color w:val="000000" w:themeColor="text1"/>
          <w:sz w:val="22"/>
          <w:szCs w:val="22"/>
          <w:lang w:val="es-ES_tradnl"/>
        </w:rPr>
        <w:t>entre las captaciones del publico</w:t>
      </w:r>
      <w:r w:rsidR="00082A9F" w:rsidRPr="00CF1B34">
        <w:rPr>
          <w:rFonts w:ascii="Arial" w:hAnsi="Arial" w:cs="Arial"/>
          <w:color w:val="000000" w:themeColor="text1"/>
          <w:sz w:val="22"/>
          <w:szCs w:val="22"/>
          <w:lang w:val="es-ES_tradnl"/>
        </w:rPr>
        <w:t>.</w:t>
      </w:r>
    </w:p>
    <w:p w14:paraId="75D758D4" w14:textId="4F0D0AFF" w:rsidR="006E3448" w:rsidRPr="00CF1B34" w:rsidRDefault="006E3448"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de morosidad</w:t>
      </w:r>
    </w:p>
    <w:p w14:paraId="5AEAA262" w14:textId="77777777" w:rsidR="0092695F" w:rsidRPr="00CF1B34" w:rsidRDefault="0092695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Volumen de saldos morosos respecto del riesgo total de morosidad.</w:t>
      </w:r>
    </w:p>
    <w:p w14:paraId="122A0E1D" w14:textId="6A4B0BD0" w:rsidR="006E3448" w:rsidRPr="00CF1B34" w:rsidRDefault="006E3448"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de precios al consumo</w:t>
      </w:r>
    </w:p>
    <w:p w14:paraId="6AE68A3F" w14:textId="37C4EDA9" w:rsidR="0092695F" w:rsidRPr="00CF1B34" w:rsidRDefault="0092695F" w:rsidP="0005621A">
      <w:pPr>
        <w:pBdr>
          <w:bottom w:val="dotted" w:sz="12" w:space="12" w:color="666666"/>
        </w:pBdr>
        <w:spacing w:after="240"/>
        <w:ind w:left="720"/>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Este índice recoge mensualmente cuanto ha subido o bajado la vida en ese periodo. La suma de los doce meses nos da como resultado el IPC anual, es decir lo que ha subido la vida durante un año, ya que es muy raro que baje. Este índice es de vital importancia para el inversor.</w:t>
      </w:r>
    </w:p>
    <w:p w14:paraId="42EE4C9C" w14:textId="028DA3D0" w:rsidR="00B3205D" w:rsidRPr="00CF1B34" w:rsidRDefault="00B3205D"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de precios del Sector Servicios</w:t>
      </w:r>
    </w:p>
    <w:p w14:paraId="6E03C181" w14:textId="77777777" w:rsidR="00082A9F" w:rsidRPr="00CF1B34" w:rsidRDefault="00082A9F"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shd w:val="clear" w:color="auto" w:fill="FFFFFF"/>
          <w:lang w:val="es-ES_tradnl"/>
        </w:rPr>
        <w:t>Transporte marítimo de mercancías, Transporte aéreo regular de pasajeros, Actividades postales y de correo, telecomunicaciones y Actividades informáticas</w:t>
      </w:r>
      <w:r w:rsidRPr="00CF1B34">
        <w:rPr>
          <w:rFonts w:ascii="Arial" w:hAnsi="Arial" w:cs="Arial"/>
          <w:color w:val="333333"/>
          <w:sz w:val="22"/>
          <w:szCs w:val="22"/>
          <w:shd w:val="clear" w:color="auto" w:fill="FFFFFF"/>
          <w:lang w:val="es-ES_tradnl"/>
        </w:rPr>
        <w:t xml:space="preserve"> son los cuatro sectores analizados en el Índice de Precios del Sector Servicio</w:t>
      </w:r>
      <w:r w:rsidRPr="00CF1B34">
        <w:rPr>
          <w:rFonts w:ascii="Arial" w:hAnsi="Arial" w:cs="Arial"/>
          <w:color w:val="333333"/>
          <w:shd w:val="clear" w:color="auto" w:fill="FFFFFF"/>
          <w:lang w:val="es-ES_tradnl"/>
        </w:rPr>
        <w:t>.</w:t>
      </w:r>
    </w:p>
    <w:p w14:paraId="5E9CDB59" w14:textId="0E6C9FF7" w:rsidR="00082A9F" w:rsidRPr="00CF1B34" w:rsidRDefault="00082A9F"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de vivienda rúbrica</w:t>
      </w:r>
    </w:p>
    <w:p w14:paraId="1C264C0E" w14:textId="26E47A0E" w:rsidR="00082A9F" w:rsidRPr="00CF1B34" w:rsidRDefault="00082A9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El </w:t>
      </w:r>
      <w:r w:rsidRPr="00CF1B34">
        <w:rPr>
          <w:rStyle w:val="Textoennegrita"/>
          <w:rFonts w:ascii="Arial" w:hAnsi="Arial" w:cs="Arial"/>
          <w:color w:val="333333"/>
          <w:sz w:val="22"/>
          <w:szCs w:val="22"/>
          <w:shd w:val="clear" w:color="auto" w:fill="FFFFFF"/>
          <w:lang w:val="es-ES_tradnl"/>
        </w:rPr>
        <w:t>Índice de Vivienda Rúbrica</w:t>
      </w:r>
      <w:r w:rsidRPr="00CF1B34">
        <w:rPr>
          <w:rFonts w:ascii="Arial" w:hAnsi="Arial" w:cs="Arial"/>
          <w:color w:val="333333"/>
          <w:sz w:val="22"/>
          <w:szCs w:val="22"/>
          <w:shd w:val="clear" w:color="auto" w:fill="FFFFFF"/>
          <w:lang w:val="es-ES_tradnl"/>
        </w:rPr>
        <w:t xml:space="preserve"> (IVR) o la </w:t>
      </w:r>
      <w:r w:rsidRPr="00CF1B34">
        <w:rPr>
          <w:rStyle w:val="Textoennegrita"/>
          <w:rFonts w:ascii="Arial" w:hAnsi="Arial" w:cs="Arial"/>
          <w:color w:val="333333"/>
          <w:sz w:val="22"/>
          <w:szCs w:val="22"/>
          <w:shd w:val="clear" w:color="auto" w:fill="FFFFFF"/>
          <w:lang w:val="es-ES_tradnl"/>
        </w:rPr>
        <w:t>Rúbrica de Viviendas de A</w:t>
      </w:r>
      <w:r w:rsidR="000379CF" w:rsidRPr="00CF1B34">
        <w:rPr>
          <w:rStyle w:val="Textoennegrita"/>
          <w:rFonts w:ascii="Arial" w:hAnsi="Arial" w:cs="Arial"/>
          <w:color w:val="333333"/>
          <w:sz w:val="22"/>
          <w:szCs w:val="22"/>
          <w:shd w:val="clear" w:color="auto" w:fill="FFFFFF"/>
          <w:lang w:val="es-ES_tradnl"/>
        </w:rPr>
        <w:t>l</w:t>
      </w:r>
      <w:r w:rsidRPr="00CF1B34">
        <w:rPr>
          <w:rStyle w:val="Textoennegrita"/>
          <w:rFonts w:ascii="Arial" w:hAnsi="Arial" w:cs="Arial"/>
          <w:color w:val="333333"/>
          <w:sz w:val="22"/>
          <w:szCs w:val="22"/>
          <w:shd w:val="clear" w:color="auto" w:fill="FFFFFF"/>
          <w:lang w:val="es-ES_tradnl"/>
        </w:rPr>
        <w:t>quiler</w:t>
      </w:r>
      <w:r w:rsidRPr="00CF1B34">
        <w:rPr>
          <w:rFonts w:ascii="Arial" w:hAnsi="Arial" w:cs="Arial"/>
          <w:color w:val="333333"/>
          <w:sz w:val="22"/>
          <w:szCs w:val="22"/>
          <w:shd w:val="clear" w:color="auto" w:fill="FFFFFF"/>
          <w:lang w:val="es-ES_tradnl"/>
        </w:rPr>
        <w:t xml:space="preserve"> (RVA) es el antiguo Índice Nacional de la rúbrica 33 «Viviendas en alquiler» que mide el incremento del precio en el alquiler de viviendas y que ahora se encuentra integrado dentro del </w:t>
      </w:r>
      <w:r w:rsidRPr="00CF1B34">
        <w:rPr>
          <w:rStyle w:val="Textoennegrita"/>
          <w:rFonts w:ascii="Arial" w:hAnsi="Arial" w:cs="Arial"/>
          <w:color w:val="333333"/>
          <w:sz w:val="22"/>
          <w:szCs w:val="22"/>
          <w:shd w:val="clear" w:color="auto" w:fill="FFFFFF"/>
          <w:lang w:val="es-ES_tradnl"/>
        </w:rPr>
        <w:t>IPC General</w:t>
      </w:r>
      <w:r w:rsidRPr="00CF1B34">
        <w:rPr>
          <w:rFonts w:ascii="Arial" w:hAnsi="Arial" w:cs="Arial"/>
          <w:color w:val="333333"/>
          <w:sz w:val="22"/>
          <w:szCs w:val="22"/>
          <w:shd w:val="clear" w:color="auto" w:fill="FFFFFF"/>
          <w:lang w:val="es-ES_tradnl"/>
        </w:rPr>
        <w:t xml:space="preserve"> en el apartado de vivienda. Es decir, se trata de un apartado que mide específicamente la evolución de los precios en la renta de inmuebles.</w:t>
      </w:r>
    </w:p>
    <w:p w14:paraId="160B8141" w14:textId="2812E106" w:rsidR="006E3448" w:rsidRPr="00CF1B34" w:rsidRDefault="006E3448"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general</w:t>
      </w:r>
    </w:p>
    <w:p w14:paraId="61C6A420" w14:textId="1C2EBF01" w:rsidR="003D2835" w:rsidRPr="00CF1B34" w:rsidRDefault="0092695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Este índice resume la marcha de las acciones en una bolsa. En España existen cuatro índices generales, uno por cada bolsa, ad</w:t>
      </w:r>
      <w:r w:rsidR="003D2835" w:rsidRPr="00CF1B34">
        <w:rPr>
          <w:rFonts w:ascii="Arial" w:hAnsi="Arial" w:cs="Arial"/>
          <w:color w:val="000000" w:themeColor="text1"/>
          <w:sz w:val="22"/>
          <w:szCs w:val="22"/>
          <w:lang w:val="es-ES_tradnl"/>
        </w:rPr>
        <w:t>e</w:t>
      </w:r>
      <w:r w:rsidRPr="00CF1B34">
        <w:rPr>
          <w:rFonts w:ascii="Arial" w:hAnsi="Arial" w:cs="Arial"/>
          <w:color w:val="000000" w:themeColor="text1"/>
          <w:sz w:val="22"/>
          <w:szCs w:val="22"/>
          <w:lang w:val="es-ES_tradnl"/>
        </w:rPr>
        <w:t>m</w:t>
      </w:r>
      <w:r w:rsidR="003A2580" w:rsidRPr="00CF1B34">
        <w:rPr>
          <w:rFonts w:ascii="Arial" w:hAnsi="Arial" w:cs="Arial"/>
          <w:color w:val="000000" w:themeColor="text1"/>
          <w:sz w:val="22"/>
          <w:szCs w:val="22"/>
          <w:lang w:val="es-ES_tradnl"/>
        </w:rPr>
        <w:t>á</w:t>
      </w:r>
      <w:r w:rsidRPr="00CF1B34">
        <w:rPr>
          <w:rFonts w:ascii="Arial" w:hAnsi="Arial" w:cs="Arial"/>
          <w:color w:val="000000" w:themeColor="text1"/>
          <w:sz w:val="22"/>
          <w:szCs w:val="22"/>
          <w:lang w:val="es-ES_tradnl"/>
        </w:rPr>
        <w:t>s del IBEX 35 que resume la actividad del mercado electrónico, común para todas las bolsas</w:t>
      </w:r>
      <w:r w:rsidR="003D2835" w:rsidRPr="00CF1B34">
        <w:rPr>
          <w:rFonts w:ascii="Arial" w:hAnsi="Arial" w:cs="Arial"/>
          <w:color w:val="000000" w:themeColor="text1"/>
          <w:sz w:val="22"/>
          <w:szCs w:val="22"/>
          <w:lang w:val="es-ES_tradnl"/>
        </w:rPr>
        <w:t>.</w:t>
      </w:r>
    </w:p>
    <w:p w14:paraId="5727F0D5" w14:textId="0FAE2069" w:rsidR="006E3448" w:rsidRPr="00CF1B34" w:rsidRDefault="006E3448"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 sectorial</w:t>
      </w:r>
    </w:p>
    <w:p w14:paraId="1305CEBA" w14:textId="7EB83009" w:rsidR="003D2835" w:rsidRPr="00CF1B34" w:rsidRDefault="003D283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bolsa se divide en sectores que representan las distintas parcelas de la economía. As</w:t>
      </w:r>
      <w:r w:rsidR="003A2580"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 xml:space="preserve"> las sociedades que cotizan en bolsa se agrupan por actividades afines.</w:t>
      </w:r>
    </w:p>
    <w:p w14:paraId="67934A8E" w14:textId="299E40F0" w:rsidR="00306374" w:rsidRDefault="00306374" w:rsidP="0005621A">
      <w:pPr>
        <w:pStyle w:val="Ttulo2"/>
        <w:spacing w:before="0" w:beforeAutospacing="0" w:after="0" w:afterAutospacing="0"/>
        <w:jc w:val="both"/>
        <w:rPr>
          <w:rFonts w:ascii="Arial" w:hAnsi="Arial" w:cs="Arial"/>
          <w:color w:val="2F5496" w:themeColor="accent1" w:themeShade="BF"/>
          <w:sz w:val="22"/>
          <w:szCs w:val="22"/>
          <w:lang w:val="es-ES_tradnl"/>
        </w:rPr>
      </w:pPr>
      <w:r>
        <w:rPr>
          <w:rFonts w:ascii="Arial" w:hAnsi="Arial" w:cs="Arial"/>
          <w:color w:val="2F5496" w:themeColor="accent1" w:themeShade="BF"/>
          <w:sz w:val="22"/>
          <w:szCs w:val="22"/>
          <w:lang w:val="es-ES_tradnl"/>
        </w:rPr>
        <w:t>Índice VIX</w:t>
      </w:r>
    </w:p>
    <w:p w14:paraId="7D01EB40" w14:textId="77777777" w:rsidR="00306374" w:rsidRPr="00306374" w:rsidRDefault="00306374" w:rsidP="00306374">
      <w:pPr>
        <w:rPr>
          <w:rFonts w:ascii="Arial" w:hAnsi="Arial" w:cs="Arial"/>
          <w:sz w:val="22"/>
          <w:szCs w:val="22"/>
        </w:rPr>
      </w:pPr>
      <w:r w:rsidRPr="00306374">
        <w:rPr>
          <w:rFonts w:ascii="Arial" w:hAnsi="Arial" w:cs="Arial"/>
          <w:color w:val="111111"/>
          <w:sz w:val="22"/>
          <w:szCs w:val="22"/>
          <w:shd w:val="clear" w:color="auto" w:fill="FFFFFF"/>
        </w:rPr>
        <w:t>El índice VIX también se conoce como el índice del miedo del mercado de valores. El índice suele dispararse cuando hay turbulencias y los precios caen. Los inversores pueden protegerse de esas turbulencias con instrumentos financieros basados en el índice VIX y otros índices de volatilidad.</w:t>
      </w:r>
    </w:p>
    <w:p w14:paraId="661DA718" w14:textId="77777777" w:rsidR="00FF3483" w:rsidRPr="00CF1B34" w:rsidRDefault="00306374" w:rsidP="00FF3483">
      <w:pPr>
        <w:pBdr>
          <w:bottom w:val="dotted" w:sz="12" w:space="12" w:color="666666"/>
        </w:pBdr>
        <w:spacing w:after="240"/>
        <w:ind w:left="720"/>
        <w:jc w:val="both"/>
        <w:rPr>
          <w:rFonts w:ascii="Arial" w:hAnsi="Arial" w:cs="Arial"/>
          <w:color w:val="212529"/>
          <w:sz w:val="22"/>
          <w:szCs w:val="22"/>
          <w:lang w:val="es-ES_tradnl"/>
        </w:rPr>
      </w:pPr>
      <w:r w:rsidRPr="00306374">
        <w:rPr>
          <w:rFonts w:ascii="Arial" w:hAnsi="Arial" w:cs="Arial"/>
          <w:color w:val="111111"/>
          <w:sz w:val="22"/>
          <w:szCs w:val="22"/>
          <w:shd w:val="clear" w:color="auto" w:fill="FFFFFF"/>
        </w:rPr>
        <w:lastRenderedPageBreak/>
        <w:t>El primer índice de volatilidad fue el índice VIX estadounidense. El Chicago Board Options Exchange (CBOE) lanzó este índice en 1993. El CBOE es una bolsa de opciones estadounidense. Durante los primeros años, el índice se basó en las opciones sobre el S&amp;P 100, que es un subíndice del S&amp;P 500 que contiene las 100 mayores empresas que cotizan en la bolsa estadounidense. En 2003, el CBOE y el banco de inversión Goldman Sachs ajustaron el cálculo del índice. Desde entonces, el VIX se basa en opciones de todo el índice S&amp;P 500</w:t>
      </w:r>
      <w:r>
        <w:rPr>
          <w:rFonts w:ascii="Arial" w:hAnsi="Arial" w:cs="Arial"/>
          <w:color w:val="111111"/>
          <w:sz w:val="22"/>
          <w:szCs w:val="22"/>
          <w:shd w:val="clear" w:color="auto" w:fill="FFFFFF"/>
        </w:rPr>
        <w:t>.</w:t>
      </w:r>
    </w:p>
    <w:p w14:paraId="3114C0FB" w14:textId="786BE85D" w:rsidR="006E3448" w:rsidRPr="00CF1B34" w:rsidRDefault="00595D96"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w:t>
      </w:r>
      <w:r w:rsidR="006E3448" w:rsidRPr="00CF1B34">
        <w:rPr>
          <w:rFonts w:ascii="Arial" w:hAnsi="Arial" w:cs="Arial"/>
          <w:color w:val="2F5496" w:themeColor="accent1" w:themeShade="BF"/>
          <w:sz w:val="22"/>
          <w:szCs w:val="22"/>
          <w:lang w:val="es-ES_tradnl"/>
        </w:rPr>
        <w:t>ndices</w:t>
      </w:r>
    </w:p>
    <w:p w14:paraId="07B38FC8" w14:textId="2C2F17EE" w:rsidR="003D2835" w:rsidRPr="00CF1B34" w:rsidRDefault="003D283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trata de indicadores de algo que se quiere medir y cuya evolución interesa. En la economía actual nos encontramos con multitud de índices.</w:t>
      </w:r>
    </w:p>
    <w:p w14:paraId="39221FA6" w14:textId="21EC3F40" w:rsidR="003736AA" w:rsidRPr="00CF1B34" w:rsidRDefault="003736AA"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Índices bursátiles</w:t>
      </w:r>
    </w:p>
    <w:p w14:paraId="6D24FB0B" w14:textId="0929BF63"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Los</w:t>
      </w:r>
      <w:r w:rsidR="008C6FA2" w:rsidRPr="00CF1B34">
        <w:rPr>
          <w:rStyle w:val="Textoennegrita"/>
          <w:rFonts w:ascii="Arial" w:hAnsi="Arial" w:cs="Arial"/>
          <w:sz w:val="22"/>
          <w:szCs w:val="22"/>
          <w:lang w:val="es-ES_tradnl"/>
        </w:rPr>
        <w:t xml:space="preserve"> ín</w:t>
      </w:r>
      <w:r w:rsidRPr="00CF1B34">
        <w:rPr>
          <w:rStyle w:val="Textoennegrita"/>
          <w:rFonts w:ascii="Arial" w:hAnsi="Arial" w:cs="Arial"/>
          <w:sz w:val="22"/>
          <w:szCs w:val="22"/>
          <w:lang w:val="es-ES_tradnl"/>
        </w:rPr>
        <w:t>dices bursátiles</w:t>
      </w:r>
      <w:r w:rsidRPr="00CF1B34">
        <w:rPr>
          <w:rFonts w:ascii="Arial" w:hAnsi="Arial" w:cs="Arial"/>
          <w:sz w:val="22"/>
          <w:szCs w:val="22"/>
          <w:lang w:val="es-ES_tradnl"/>
        </w:rPr>
        <w:t> son agregados de un grupo de valores de una tipología concreta.</w:t>
      </w:r>
    </w:p>
    <w:p w14:paraId="3EBFC9BC" w14:textId="77777777"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la actualidad, existen diversos tipos de índices, en función del tipo de instrumentos que lo componen. Hay índices por mercado, por sectores, por tamaño de empresa, por tipo de instrumento, etc.</w:t>
      </w:r>
    </w:p>
    <w:p w14:paraId="5EAB0B22" w14:textId="77777777"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Su utilidad principal es que sirven para medir la subida o la bajada global del segmento de mercado que representan y observar de manera gráfica la evolución histórica de dicha economía.</w:t>
      </w:r>
    </w:p>
    <w:p w14:paraId="2210CB49" w14:textId="77777777"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Por ejemplo, los índices “nacionales” como pueden ser el IBEX 35, el DAX o el S&amp;P 500 sirven como representación de la evolución de la economía de los países en cuestión. Sin embargo, si nos fijamos en el Russell 2000, lo que nos muestra es una imagen general de las compañías de pequeña capitalización americanas.</w:t>
      </w:r>
    </w:p>
    <w:p w14:paraId="79537B45" w14:textId="77777777"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otras palabras, son como un termómetro que mide la salud de un mercado en un tiempo concreto. Miden el comportamiento de un conjunto de acciones agrupadas en función de determinados criterios, como el área donde operan o su sector de actividad.</w:t>
      </w:r>
    </w:p>
    <w:p w14:paraId="12ACF869" w14:textId="77777777"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Otra utilidad de los índices que sirven como referencia comparativa o benchmark. Es decir, podemos comparar contra la evolución de un índice el desempeño de un determinado gestor, de una cartera, de un fondo de inversión, etc.</w:t>
      </w:r>
    </w:p>
    <w:p w14:paraId="10C28ED1" w14:textId="77777777"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Y de la misma forma que sirven para comparar, sirven como referencia para instrumentos que replican el comportamiento de estos índices de manera pasiva.</w:t>
      </w:r>
    </w:p>
    <w:p w14:paraId="12EDA405" w14:textId="77777777" w:rsidR="003736AA" w:rsidRPr="00CF1B34" w:rsidRDefault="003736AA"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Estos instrumentos son principalmente los fondos de inversión y los ETF.</w:t>
      </w:r>
    </w:p>
    <w:p w14:paraId="41BA2138" w14:textId="77777777"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Comprar de manera activa cada uno de los instrumentos que componen un índice, y realizar los ajustes que fuesen necesarios con el paso del tiempo, conlleva muchísimo trabajo y costes operativos, y estos productos otorgan al inversor minorista la posibilidad de invertir en un índice concreto a través de un fondo o ETF que lo replique, en una única operación.</w:t>
      </w:r>
    </w:p>
    <w:p w14:paraId="1C992D2C" w14:textId="4AF72E4C"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Existen infinidad de índices, pero por importancia, cabe destacar algunos de los siguientes: A nivel global, MSCI World y el S&amp;P Global. En Estados Unidos, el Dow Jones, S&amp;P 500 y NASDAQ 100. Por su parte, en Europa destacan el Eurostoxx 50, el alemán DAX 40, el FTSE 100 de Londres, o el IBEX 35 español. Entre los asiáticos tenemos el </w:t>
      </w:r>
      <w:r w:rsidRPr="00CF1B34">
        <w:rPr>
          <w:rFonts w:ascii="Arial" w:hAnsi="Arial" w:cs="Arial"/>
          <w:sz w:val="22"/>
          <w:szCs w:val="22"/>
          <w:lang w:val="es-ES_tradnl"/>
        </w:rPr>
        <w:lastRenderedPageBreak/>
        <w:t xml:space="preserve">Nikkei 225 de Japón o el SSE Composite Index chino, y en </w:t>
      </w:r>
      <w:r w:rsidR="00C224CF" w:rsidRPr="00CF1B34">
        <w:rPr>
          <w:rFonts w:ascii="Arial" w:hAnsi="Arial" w:cs="Arial"/>
          <w:sz w:val="22"/>
          <w:szCs w:val="22"/>
          <w:lang w:val="es-ES_tradnl"/>
        </w:rPr>
        <w:t>Sudamérica</w:t>
      </w:r>
      <w:r w:rsidRPr="00CF1B34">
        <w:rPr>
          <w:rFonts w:ascii="Arial" w:hAnsi="Arial" w:cs="Arial"/>
          <w:sz w:val="22"/>
          <w:szCs w:val="22"/>
          <w:lang w:val="es-ES_tradnl"/>
        </w:rPr>
        <w:t xml:space="preserve"> el Bovespa brasileño, entre otros.</w:t>
      </w:r>
    </w:p>
    <w:p w14:paraId="3B66C3EE" w14:textId="77777777" w:rsidR="003736AA" w:rsidRPr="00CF1B34" w:rsidRDefault="003736A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Por supuesto, además de los nacionales (o globales), existen otros índices que replican sectores, como pueden ser el de la Tecnología, Renta Fija en función de la duración, materias primas (oro, plata, soja, trigo, etc.), energía (petróleo, gas natural, etc.), entre otros.</w:t>
      </w:r>
    </w:p>
    <w:p w14:paraId="4D5C4349" w14:textId="77777777" w:rsidR="003736AA" w:rsidRPr="00CF1B34" w:rsidRDefault="003736A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Sobre todos estos índices, además de los fondos de inversión y los ETF, suele ser habitual que encontremos otros productos como los derivados financieros (o futuros) con los que poder invertir o tomar posiciones sobre ellos.</w:t>
      </w:r>
    </w:p>
    <w:p w14:paraId="22CE8E64" w14:textId="04AA43AC" w:rsidR="00082A9F" w:rsidRPr="00CF1B34" w:rsidRDefault="00082A9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indicador </w:t>
      </w:r>
      <w:r w:rsidR="00411795" w:rsidRPr="00CF1B34">
        <w:rPr>
          <w:rFonts w:ascii="Arial" w:hAnsi="Arial" w:cs="Arial"/>
          <w:b/>
          <w:bCs/>
          <w:color w:val="004773"/>
          <w:sz w:val="22"/>
          <w:szCs w:val="22"/>
          <w:lang w:val="es-ES_tradnl"/>
        </w:rPr>
        <w:t>DeMarket</w:t>
      </w:r>
    </w:p>
    <w:p w14:paraId="0ECDE77D" w14:textId="77777777" w:rsidR="00411795" w:rsidRPr="00CF1B34" w:rsidRDefault="0041179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El </w:t>
      </w:r>
      <w:r w:rsidRPr="00CF1B34">
        <w:rPr>
          <w:rFonts w:ascii="Arial" w:hAnsi="Arial" w:cs="Arial"/>
          <w:b/>
          <w:bCs/>
          <w:color w:val="333333"/>
          <w:sz w:val="22"/>
          <w:szCs w:val="22"/>
          <w:shd w:val="clear" w:color="auto" w:fill="FFFFFF"/>
          <w:lang w:val="es-ES_tradnl"/>
        </w:rPr>
        <w:t>indicador DeMarker</w:t>
      </w:r>
      <w:r w:rsidRPr="00CF1B34">
        <w:rPr>
          <w:rFonts w:ascii="Arial" w:hAnsi="Arial" w:cs="Arial"/>
          <w:color w:val="333333"/>
          <w:sz w:val="22"/>
          <w:szCs w:val="22"/>
          <w:shd w:val="clear" w:color="auto" w:fill="FFFFFF"/>
          <w:lang w:val="es-ES_tradnl"/>
        </w:rPr>
        <w:t xml:space="preserve"> es un indicador técnico utilizado para analizar la tendencia de la divisasen el Mercado Forex.</w:t>
      </w:r>
    </w:p>
    <w:p w14:paraId="49B08267" w14:textId="1EE056C2"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Indicadores de coyuntura</w:t>
      </w:r>
    </w:p>
    <w:p w14:paraId="13878FC6" w14:textId="262B3AF6"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índices y datos que permiten evaluar el comportamiento de la economía de un país en un período determinado, bien de forma global o con especial atención a determinados aspectos (precios, producción, empleo, salarios, comercio exterior, consumo familiar, etc</w:t>
      </w:r>
      <w:r w:rsidR="000379CF" w:rsidRPr="00CF1B34">
        <w:rPr>
          <w:rFonts w:ascii="Arial" w:hAnsi="Arial" w:cs="Arial"/>
          <w:color w:val="212529"/>
          <w:sz w:val="22"/>
          <w:szCs w:val="22"/>
          <w:lang w:val="es-ES_tradnl"/>
        </w:rPr>
        <w:t>.</w:t>
      </w:r>
      <w:r w:rsidRPr="00CF1B34">
        <w:rPr>
          <w:rFonts w:ascii="Arial" w:hAnsi="Arial" w:cs="Arial"/>
          <w:color w:val="212529"/>
          <w:sz w:val="22"/>
          <w:szCs w:val="22"/>
          <w:lang w:val="es-ES_tradnl"/>
        </w:rPr>
        <w:t>).</w:t>
      </w:r>
    </w:p>
    <w:p w14:paraId="6FCDC054" w14:textId="36FF2E78" w:rsidR="001C58A9" w:rsidRPr="00CF1B34" w:rsidRDefault="001C58A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INE. (Instituto Nacional de Estadística)</w:t>
      </w:r>
    </w:p>
    <w:p w14:paraId="397B9CDB" w14:textId="3356E499" w:rsidR="001C58A9" w:rsidRPr="00CF1B34" w:rsidRDefault="001C58A9"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El </w:t>
      </w:r>
      <w:r w:rsidRPr="00CF1B34">
        <w:rPr>
          <w:rStyle w:val="Textoennegrita"/>
          <w:rFonts w:ascii="Arial" w:hAnsi="Arial" w:cs="Arial"/>
          <w:color w:val="333333"/>
          <w:sz w:val="22"/>
          <w:szCs w:val="22"/>
          <w:shd w:val="clear" w:color="auto" w:fill="FFFFFF"/>
          <w:lang w:val="es-ES_tradnl"/>
        </w:rPr>
        <w:t>Instituto Nacional de Estadística</w:t>
      </w:r>
      <w:r w:rsidRPr="00CF1B34">
        <w:rPr>
          <w:rFonts w:ascii="Arial" w:hAnsi="Arial" w:cs="Arial"/>
          <w:color w:val="333333"/>
          <w:sz w:val="22"/>
          <w:szCs w:val="22"/>
          <w:shd w:val="clear" w:color="auto" w:fill="FFFFFF"/>
          <w:lang w:val="es-ES_tradnl"/>
        </w:rPr>
        <w:t>, es la principal fuente de datos macroeconómicos de España. Como indica su propia página web, se trata de un organismo autónomo de carácter administrativo con personalidad jurídica y patrimonio propio, adscrito al Ministerio de Economía y Hacienda a través de la Secretaría de Estado de Economía.</w:t>
      </w:r>
    </w:p>
    <w:p w14:paraId="25791272" w14:textId="7BC9CE98" w:rsidR="001C58A9" w:rsidRPr="00CF1B34" w:rsidRDefault="001C58A9"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r w:rsidRPr="00CF1B34">
        <w:rPr>
          <w:rFonts w:ascii="Arial" w:hAnsi="Arial" w:cs="Arial"/>
          <w:color w:val="333333"/>
          <w:sz w:val="22"/>
          <w:szCs w:val="22"/>
          <w:lang w:val="es-ES_tradnl"/>
        </w:rPr>
        <w:t xml:space="preserve">El INE es el encargado de medir la evolución del </w:t>
      </w:r>
      <w:r w:rsidRPr="00CF1B34">
        <w:rPr>
          <w:rStyle w:val="Textoennegrita"/>
          <w:rFonts w:ascii="Arial" w:hAnsi="Arial" w:cs="Arial"/>
          <w:color w:val="333333"/>
          <w:sz w:val="22"/>
          <w:szCs w:val="22"/>
          <w:lang w:val="es-ES_tradnl"/>
        </w:rPr>
        <w:t>Producto Interior Bruto</w:t>
      </w:r>
      <w:r w:rsidRPr="00CF1B34">
        <w:rPr>
          <w:rFonts w:ascii="Arial" w:hAnsi="Arial" w:cs="Arial"/>
          <w:color w:val="333333"/>
          <w:sz w:val="22"/>
          <w:szCs w:val="22"/>
          <w:lang w:val="es-ES_tradnl"/>
        </w:rPr>
        <w:t xml:space="preserve"> (PIB), el </w:t>
      </w:r>
      <w:r w:rsidRPr="00CF1B34">
        <w:rPr>
          <w:rStyle w:val="Textoennegrita"/>
          <w:rFonts w:ascii="Arial" w:hAnsi="Arial" w:cs="Arial"/>
          <w:color w:val="333333"/>
          <w:sz w:val="22"/>
          <w:szCs w:val="22"/>
          <w:lang w:val="es-ES_tradnl"/>
        </w:rPr>
        <w:t>Índice de Precios Industriales</w:t>
      </w:r>
      <w:r w:rsidRPr="00CF1B34">
        <w:rPr>
          <w:rFonts w:ascii="Arial" w:hAnsi="Arial" w:cs="Arial"/>
          <w:color w:val="333333"/>
          <w:sz w:val="22"/>
          <w:szCs w:val="22"/>
          <w:lang w:val="es-ES_tradnl"/>
        </w:rPr>
        <w:t xml:space="preserve"> (IPRI)l el</w:t>
      </w:r>
      <w:r w:rsidRPr="00CF1B34">
        <w:rPr>
          <w:rStyle w:val="Textoennegrita"/>
          <w:rFonts w:ascii="Arial" w:hAnsi="Arial" w:cs="Arial"/>
          <w:color w:val="333333"/>
          <w:sz w:val="22"/>
          <w:szCs w:val="22"/>
          <w:lang w:val="es-ES_tradnl"/>
        </w:rPr>
        <w:t xml:space="preserve"> Índice de Producción Industrial</w:t>
      </w:r>
      <w:r w:rsidRPr="00CF1B34">
        <w:rPr>
          <w:rFonts w:ascii="Arial" w:hAnsi="Arial" w:cs="Arial"/>
          <w:color w:val="333333"/>
          <w:sz w:val="22"/>
          <w:szCs w:val="22"/>
          <w:lang w:val="es-ES_tradnl"/>
        </w:rPr>
        <w:t xml:space="preserve"> (IPI) o de realizar la </w:t>
      </w:r>
      <w:r w:rsidRPr="00CF1B34">
        <w:rPr>
          <w:rStyle w:val="Textoennegrita"/>
          <w:rFonts w:ascii="Arial" w:hAnsi="Arial" w:cs="Arial"/>
          <w:color w:val="333333"/>
          <w:sz w:val="22"/>
          <w:szCs w:val="22"/>
          <w:lang w:val="es-ES_tradnl"/>
        </w:rPr>
        <w:t>Encuesta de Población Activa</w:t>
      </w:r>
      <w:r w:rsidRPr="00CF1B34">
        <w:rPr>
          <w:rFonts w:ascii="Arial" w:hAnsi="Arial" w:cs="Arial"/>
          <w:color w:val="333333"/>
          <w:sz w:val="22"/>
          <w:szCs w:val="22"/>
          <w:lang w:val="es-ES_tradnl"/>
        </w:rPr>
        <w:t xml:space="preserve"> (EPA), por nombrar unos cuantos. Como no podía ser de otra forma el </w:t>
      </w:r>
      <w:r w:rsidRPr="00CF1B34">
        <w:rPr>
          <w:rStyle w:val="Textoennegrita"/>
          <w:rFonts w:ascii="Arial" w:hAnsi="Arial" w:cs="Arial"/>
          <w:color w:val="333333"/>
          <w:sz w:val="22"/>
          <w:szCs w:val="22"/>
          <w:lang w:val="es-ES_tradnl"/>
        </w:rPr>
        <w:t xml:space="preserve">IPC o Índice de Precios al Consumo </w:t>
      </w:r>
      <w:r w:rsidRPr="00CF1B34">
        <w:rPr>
          <w:rFonts w:ascii="Arial" w:hAnsi="Arial" w:cs="Arial"/>
          <w:color w:val="333333"/>
          <w:sz w:val="22"/>
          <w:szCs w:val="22"/>
          <w:lang w:val="es-ES_tradnl"/>
        </w:rPr>
        <w:t>también forma parte de sus obligaciones. De hecho, se puede decir que se trata de uno de sus principales cometidos hasta el punto que es uno de los pocos indicadores que tiene su propia pestaña en la página de inicio.</w:t>
      </w:r>
    </w:p>
    <w:p w14:paraId="23E1F001" w14:textId="0CF30B1E" w:rsidR="001C58A9" w:rsidRPr="00CF1B34" w:rsidRDefault="001C58A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lang w:val="es-ES_tradnl"/>
        </w:rPr>
        <w:t xml:space="preserve">El INE calcula la evolución de los precios en España y bajo los criterios de la UE, que es lo que se conoce como IPCA o IPC Armonizado. En la sección que dedican al IPC se pueden encontrar las </w:t>
      </w:r>
      <w:r w:rsidRPr="00CF1B34">
        <w:rPr>
          <w:rStyle w:val="Textoennegrita"/>
          <w:rFonts w:ascii="Arial" w:hAnsi="Arial" w:cs="Arial"/>
          <w:color w:val="333333"/>
          <w:sz w:val="22"/>
          <w:szCs w:val="22"/>
          <w:lang w:val="es-ES_tradnl"/>
        </w:rPr>
        <w:t>series históricas del IPC</w:t>
      </w:r>
      <w:r w:rsidRPr="00CF1B34">
        <w:rPr>
          <w:rFonts w:ascii="Arial" w:hAnsi="Arial" w:cs="Arial"/>
          <w:color w:val="333333"/>
          <w:sz w:val="22"/>
          <w:szCs w:val="22"/>
          <w:lang w:val="es-ES_tradnl"/>
        </w:rPr>
        <w:t xml:space="preserve"> con base 2002 (la última) y desde 1961, cuando empieza la serie histórica del mismo. Además, cuenta con herramientas que permiten discriminar l</w:t>
      </w:r>
      <w:r w:rsidR="000379CF" w:rsidRPr="00CF1B34">
        <w:rPr>
          <w:rFonts w:ascii="Arial" w:hAnsi="Arial" w:cs="Arial"/>
          <w:color w:val="333333"/>
          <w:sz w:val="22"/>
          <w:szCs w:val="22"/>
          <w:lang w:val="es-ES_tradnl"/>
        </w:rPr>
        <w:t>o</w:t>
      </w:r>
      <w:r w:rsidRPr="00CF1B34">
        <w:rPr>
          <w:rFonts w:ascii="Arial" w:hAnsi="Arial" w:cs="Arial"/>
          <w:color w:val="333333"/>
          <w:sz w:val="22"/>
          <w:szCs w:val="22"/>
          <w:lang w:val="es-ES_tradnl"/>
        </w:rPr>
        <w:t>s</w:t>
      </w:r>
      <w:r w:rsidR="000379CF" w:rsidRPr="00CF1B34">
        <w:rPr>
          <w:rFonts w:ascii="Arial" w:hAnsi="Arial" w:cs="Arial"/>
          <w:color w:val="333333"/>
          <w:sz w:val="22"/>
          <w:szCs w:val="22"/>
          <w:lang w:val="es-ES_tradnl"/>
        </w:rPr>
        <w:t xml:space="preserve"> </w:t>
      </w:r>
      <w:r w:rsidRPr="00CF1B34">
        <w:rPr>
          <w:rFonts w:ascii="Arial" w:hAnsi="Arial" w:cs="Arial"/>
          <w:color w:val="333333"/>
          <w:sz w:val="22"/>
          <w:szCs w:val="22"/>
          <w:lang w:val="es-ES_tradnl"/>
        </w:rPr>
        <w:t>datos por comunidad autónoma o por grupo de productos, por ejemplo.</w:t>
      </w:r>
    </w:p>
    <w:p w14:paraId="52A3570D" w14:textId="5E9792B9"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Inflación</w:t>
      </w:r>
    </w:p>
    <w:p w14:paraId="5F4F696F"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Proceso de aumento de precios en un país, que tiene carácter sostenido (se mantiene a lo largo de un periodo de tiempo) y generalizado (afecta a un número significativo de bienes y servicios). Implica una disminución del poder adquisitivo del dinero, y se mide a través del IPC (índice de precios al consumo). Es el fenómeno contrario a la deflación.</w:t>
      </w:r>
    </w:p>
    <w:p w14:paraId="0BADF764" w14:textId="01725EB8" w:rsidR="00AF2C97" w:rsidRPr="00CF1B34" w:rsidRDefault="00AF2C9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Inflación subyacente</w:t>
      </w:r>
    </w:p>
    <w:p w14:paraId="1B7CEC5E" w14:textId="3AF657F6" w:rsidR="00AF2C97" w:rsidRPr="00CF1B34" w:rsidRDefault="00AF2C97"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lastRenderedPageBreak/>
        <w:t>El</w:t>
      </w:r>
      <w:r w:rsidR="00F874DF" w:rsidRPr="00CF1B34">
        <w:rPr>
          <w:rFonts w:ascii="Arial" w:hAnsi="Arial" w:cs="Arial"/>
          <w:color w:val="333333"/>
          <w:sz w:val="22"/>
          <w:szCs w:val="22"/>
          <w:shd w:val="clear" w:color="auto" w:fill="FFFFFF"/>
          <w:lang w:val="es-ES_tradnl"/>
        </w:rPr>
        <w:t xml:space="preserve"> </w:t>
      </w:r>
      <w:r w:rsidRPr="00CF1B34">
        <w:rPr>
          <w:rFonts w:ascii="Arial" w:hAnsi="Arial" w:cs="Arial"/>
          <w:b/>
          <w:bCs/>
          <w:color w:val="333333"/>
          <w:sz w:val="22"/>
          <w:szCs w:val="22"/>
          <w:shd w:val="clear" w:color="auto" w:fill="FFFFFF"/>
          <w:lang w:val="es-ES_tradnl"/>
        </w:rPr>
        <w:t>IPC</w:t>
      </w:r>
      <w:r w:rsidR="00F874DF" w:rsidRPr="00CF1B34">
        <w:rPr>
          <w:rFonts w:ascii="Arial" w:hAnsi="Arial" w:cs="Arial"/>
          <w:b/>
          <w:bCs/>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es uno de los indicadores más polémicos y que más juego ofrece debido a su composición y la forma de calcularlo. El</w:t>
      </w:r>
      <w:r w:rsidR="00F874DF" w:rsidRPr="00CF1B34">
        <w:rPr>
          <w:rFonts w:ascii="Arial" w:hAnsi="Arial" w:cs="Arial"/>
          <w:color w:val="333333"/>
          <w:sz w:val="22"/>
          <w:szCs w:val="22"/>
          <w:shd w:val="clear" w:color="auto" w:fill="FFFFFF"/>
          <w:lang w:val="es-ES_tradnl"/>
        </w:rPr>
        <w:t xml:space="preserve"> </w:t>
      </w:r>
      <w:r w:rsidR="00F874DF" w:rsidRPr="00CF1B34">
        <w:rPr>
          <w:rFonts w:ascii="Arial" w:hAnsi="Arial" w:cs="Arial"/>
          <w:b/>
          <w:bCs/>
          <w:color w:val="333333"/>
          <w:sz w:val="22"/>
          <w:szCs w:val="22"/>
          <w:shd w:val="clear" w:color="auto" w:fill="FFFFFF"/>
          <w:lang w:val="es-ES_tradnl"/>
        </w:rPr>
        <w:t xml:space="preserve">Instituto Nacional de Estadística </w:t>
      </w:r>
      <w:r w:rsidRPr="00CF1B34">
        <w:rPr>
          <w:rFonts w:ascii="Arial" w:hAnsi="Arial" w:cs="Arial"/>
          <w:b/>
          <w:bCs/>
          <w:color w:val="333333"/>
          <w:sz w:val="22"/>
          <w:szCs w:val="22"/>
          <w:shd w:val="clear" w:color="auto" w:fill="FFFFFF"/>
          <w:lang w:val="es-ES_tradnl"/>
        </w:rPr>
        <w:t>(INE) utiliza diferentes grupos de productos para calcular la inflación</w:t>
      </w:r>
      <w:r w:rsidRPr="00CF1B34">
        <w:rPr>
          <w:rFonts w:ascii="Arial" w:hAnsi="Arial" w:cs="Arial"/>
          <w:color w:val="333333"/>
          <w:sz w:val="22"/>
          <w:szCs w:val="22"/>
          <w:shd w:val="clear" w:color="auto" w:fill="FFFFFF"/>
          <w:lang w:val="es-ES_tradnl"/>
        </w:rPr>
        <w:t xml:space="preserve">, cada uno con una ponderación diferentes y casi siempre hay quejas respecto a a la elección y el peso de cada uno de ellos. Al amparo de esta fórmula han surgido otros indicadores no oficiales que varían la estructura de los grupos y su peso para tratar de encontrar </w:t>
      </w:r>
      <w:r w:rsidR="00F874DF" w:rsidRPr="00CF1B34">
        <w:rPr>
          <w:rFonts w:ascii="Arial" w:hAnsi="Arial" w:cs="Arial"/>
          <w:color w:val="333333"/>
          <w:sz w:val="22"/>
          <w:szCs w:val="22"/>
          <w:shd w:val="clear" w:color="auto" w:fill="FFFFFF"/>
          <w:lang w:val="es-ES_tradnl"/>
        </w:rPr>
        <w:t>el IPC real.</w:t>
      </w:r>
    </w:p>
    <w:p w14:paraId="33B5A6BA" w14:textId="4AD8F725" w:rsidR="00F874DF" w:rsidRPr="00CF1B34" w:rsidRDefault="00F874DF"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Sin embargo, desde el INE todavía son pocos los indicadores derivados que se ofrecen al margen del conocido como</w:t>
      </w:r>
      <w:r w:rsidRPr="00CF1B34">
        <w:rPr>
          <w:rStyle w:val="Textoennegrita"/>
          <w:rFonts w:ascii="Arial" w:hAnsi="Arial" w:cs="Arial"/>
          <w:color w:val="333333"/>
          <w:sz w:val="22"/>
          <w:szCs w:val="22"/>
          <w:shd w:val="clear" w:color="auto" w:fill="FFFFFF"/>
          <w:lang w:val="es-ES_tradnl"/>
        </w:rPr>
        <w:t>IPC subyacente</w:t>
      </w:r>
      <w:r w:rsidRPr="00CF1B34">
        <w:rPr>
          <w:rFonts w:ascii="Arial" w:hAnsi="Arial" w:cs="Arial"/>
          <w:color w:val="333333"/>
          <w:sz w:val="22"/>
          <w:szCs w:val="22"/>
          <w:shd w:val="clear" w:color="auto" w:fill="FFFFFF"/>
          <w:lang w:val="es-ES_tradnl"/>
        </w:rPr>
        <w:t xml:space="preserve"> o </w:t>
      </w:r>
      <w:r w:rsidRPr="00CF1B34">
        <w:rPr>
          <w:rStyle w:val="Textoennegrita"/>
          <w:rFonts w:ascii="Arial" w:hAnsi="Arial" w:cs="Arial"/>
          <w:color w:val="333333"/>
          <w:sz w:val="22"/>
          <w:szCs w:val="22"/>
          <w:shd w:val="clear" w:color="auto" w:fill="FFFFFF"/>
          <w:lang w:val="es-ES_tradnl"/>
        </w:rPr>
        <w:t>Inflación subyacente</w:t>
      </w:r>
      <w:r w:rsidRPr="00CF1B34">
        <w:rPr>
          <w:rFonts w:ascii="Arial" w:hAnsi="Arial" w:cs="Arial"/>
          <w:color w:val="333333"/>
          <w:sz w:val="22"/>
          <w:szCs w:val="22"/>
          <w:shd w:val="clear" w:color="auto" w:fill="FFFFFF"/>
          <w:lang w:val="es-ES_tradnl"/>
        </w:rPr>
        <w:t>. Este indicador refleja la evolución de los precios según la cesta del IPC general</w:t>
      </w:r>
      <w:r w:rsidR="000379CF" w:rsidRPr="00CF1B34">
        <w:rPr>
          <w:rFonts w:ascii="Arial" w:hAnsi="Arial" w:cs="Arial"/>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pero </w:t>
      </w:r>
      <w:r w:rsidRPr="00CF1B34">
        <w:rPr>
          <w:rStyle w:val="Textoennegrita"/>
          <w:rFonts w:ascii="Arial" w:hAnsi="Arial" w:cs="Arial"/>
          <w:color w:val="333333"/>
          <w:sz w:val="22"/>
          <w:szCs w:val="22"/>
          <w:shd w:val="clear" w:color="auto" w:fill="FFFFFF"/>
          <w:lang w:val="es-ES_tradnl"/>
        </w:rPr>
        <w:t>excluyendo alimentos no elaborados y productos energéticos</w:t>
      </w:r>
      <w:r w:rsidRPr="00CF1B34">
        <w:rPr>
          <w:rFonts w:ascii="Arial" w:hAnsi="Arial" w:cs="Arial"/>
          <w:color w:val="333333"/>
          <w:sz w:val="22"/>
          <w:szCs w:val="22"/>
          <w:shd w:val="clear" w:color="auto" w:fill="FFFFFF"/>
          <w:lang w:val="es-ES_tradnl"/>
        </w:rPr>
        <w:t xml:space="preserve">, dos de los que más inestables y cíclicos. En principio, la </w:t>
      </w:r>
      <w:r w:rsidRPr="00CF1B34">
        <w:rPr>
          <w:rStyle w:val="Textoennegrita"/>
          <w:rFonts w:ascii="Arial" w:hAnsi="Arial" w:cs="Arial"/>
          <w:color w:val="333333"/>
          <w:sz w:val="22"/>
          <w:szCs w:val="22"/>
          <w:shd w:val="clear" w:color="auto" w:fill="FFFFFF"/>
          <w:lang w:val="es-ES_tradnl"/>
        </w:rPr>
        <w:t>inflación subyacente</w:t>
      </w:r>
      <w:r w:rsidR="00E42808" w:rsidRPr="00CF1B34">
        <w:rPr>
          <w:rFonts w:ascii="Arial" w:hAnsi="Arial" w:cs="Arial"/>
          <w:color w:val="333333"/>
          <w:sz w:val="22"/>
          <w:szCs w:val="22"/>
          <w:shd w:val="clear" w:color="auto" w:fill="FFFFFF"/>
          <w:lang w:val="es-ES_tradnl"/>
        </w:rPr>
        <w:t xml:space="preserve"> </w:t>
      </w:r>
      <w:r w:rsidRPr="00CF1B34">
        <w:rPr>
          <w:rFonts w:ascii="Arial" w:hAnsi="Arial" w:cs="Arial"/>
          <w:color w:val="333333"/>
          <w:sz w:val="22"/>
          <w:szCs w:val="22"/>
          <w:shd w:val="clear" w:color="auto" w:fill="FFFFFF"/>
          <w:lang w:val="es-ES_tradnl"/>
        </w:rPr>
        <w:t>sirve como indicador adelantado del rumbo que tomará el IPC a medio plazo.</w:t>
      </w:r>
    </w:p>
    <w:p w14:paraId="68601333" w14:textId="3E01E8DA" w:rsidR="00F874DF" w:rsidRPr="00CF1B34" w:rsidRDefault="00F874D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La </w:t>
      </w:r>
      <w:r w:rsidRPr="00CF1B34">
        <w:rPr>
          <w:rStyle w:val="Textoennegrita"/>
          <w:rFonts w:ascii="Arial" w:hAnsi="Arial" w:cs="Arial"/>
          <w:color w:val="333333"/>
          <w:sz w:val="22"/>
          <w:szCs w:val="22"/>
          <w:shd w:val="clear" w:color="auto" w:fill="FFFFFF"/>
          <w:lang w:val="es-ES_tradnl"/>
        </w:rPr>
        <w:t xml:space="preserve">inflación subyacente o IPC Subyacente </w:t>
      </w:r>
      <w:r w:rsidRPr="00CF1B34">
        <w:rPr>
          <w:rFonts w:ascii="Arial" w:hAnsi="Arial" w:cs="Arial"/>
          <w:color w:val="333333"/>
          <w:sz w:val="22"/>
          <w:szCs w:val="22"/>
          <w:shd w:val="clear" w:color="auto" w:fill="FFFFFF"/>
          <w:lang w:val="es-ES_tradnl"/>
        </w:rPr>
        <w:t>se calcula mensualmente junto con el IPC General y el IPCA o IPC Armonizado, que es el que después utiliza Eurostat para el cálculo de la inflación en la Unión Europea.</w:t>
      </w:r>
    </w:p>
    <w:p w14:paraId="048CADC1" w14:textId="27DFAF62"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Información periódica de fondos de inversión</w:t>
      </w:r>
    </w:p>
    <w:p w14:paraId="23F28434"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Documentos informativos que la sociedad gestora elabora y remite a los partícipes de cada uno de los fondos que administra, para informarles de la evolución del fondo. Los informes semestral y anual deben enviarse obligatoriamente y de forma gratuita al inversor; el informe trimestral se proporciona previa solicitud. Además, el partícipe puede solicitar que se le hagan llegar todos los informes por correo electrónico.</w:t>
      </w:r>
    </w:p>
    <w:p w14:paraId="29C6967C"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Información periódica de sociedades emisoras</w:t>
      </w:r>
    </w:p>
    <w:p w14:paraId="4287D37C"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se difunde, por obligación legal, para que los inversores conozcan los datos y magnitudes que definen la evolución de la sociedad; reviste especial importancia para los accionistas de las sociedades cotizadas. Puede tener carácter semestral o trimestral. La información semestral contiene el balance de situación y los resultados individuales y consolidados, así como la evolución de los negocios: ingresos y gastos, análisis de las principales operaciones que han dado lugar a resultados extraordinarios, inversiones y desinversiones relevantes, etc. Los emisores publican esta misma información trimestralmente, pero con menor grado de detalle.</w:t>
      </w:r>
    </w:p>
    <w:p w14:paraId="6FC91DFA"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Información privilegiada</w:t>
      </w:r>
    </w:p>
    <w:p w14:paraId="118FE92C"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Información que por su naturaleza puede afectar a la cotización de uno o varios valores, o al mercado en su conjunto, y que aún no ha sido objeto de publicidad o difusión. Aprovechar esta información en beneficio propio, por parte de las personas que debido a su trabajo o posición tienen acceso a la misma (insiders), constituye una práctica ilegal perseguida por las autoridades supervisoras de los mercados de valores. Una manera de obtener tal beneficio, por ejemplo, consiste en comprar o vender acciones de una empresa implicada en una fusión, antes de que el resto de los participantes del mercado conozcan la información y actúen en consecuencia.</w:t>
      </w:r>
    </w:p>
    <w:p w14:paraId="58F0FF72"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Información relevante</w:t>
      </w:r>
    </w:p>
    <w:p w14:paraId="308496AD" w14:textId="008E1D83"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Acontecimiento, noticia o dato que puede influir en las decisiones de los inversores sobre un determinado valor, con la consiguiente incidencia en la cotización. Con el fin de garantizar una difusión homogénea y simultánea de esta información a todos los inversores, los emisores de valores están obligados a comunicarla en primer lugar y de modo inmediato a la Comisión Nacional del Mercado de Valores, que la pone a disposición del público a través de su página web.</w:t>
      </w:r>
    </w:p>
    <w:p w14:paraId="699531A7"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Informe de gobierno corporativo</w:t>
      </w:r>
    </w:p>
    <w:p w14:paraId="1B9EC676" w14:textId="1D27261D"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Documento que elaboran y difunden anualmente las sociedades cotizadas y las cajas de ahorro emisoras de valores. Explica de forma detallada la estructura y el funcionamiento de los órganos de gobierno de la entidad. Entre otros contenidos, incluye la composición del accionariado y de los órganos de administración, las operaciones vinculadas, los sistemas de control de riesgo, el funcionamiento de la junta general o asamblea y el grado de seguimiento de las recomendaciones de gobierno corporativo.</w:t>
      </w:r>
      <w:r w:rsidR="00E42808" w:rsidRPr="00CF1B34">
        <w:rPr>
          <w:rFonts w:ascii="Arial" w:hAnsi="Arial" w:cs="Arial"/>
          <w:color w:val="212529"/>
          <w:sz w:val="22"/>
          <w:szCs w:val="22"/>
          <w:lang w:val="es-ES_tradnl"/>
        </w:rPr>
        <w:t xml:space="preserve"> </w:t>
      </w:r>
      <w:hyperlink r:id="rId261" w:tgtFrame="_self" w:history="1">
        <w:r w:rsidRPr="00CF1B34">
          <w:rPr>
            <w:rFonts w:ascii="Arial" w:hAnsi="Arial" w:cs="Arial"/>
            <w:b/>
            <w:bCs/>
            <w:color w:val="2F5496" w:themeColor="accent1" w:themeShade="BF"/>
            <w:sz w:val="22"/>
            <w:szCs w:val="22"/>
            <w:u w:val="single"/>
            <w:lang w:val="es-ES_tradnl"/>
          </w:rPr>
          <w:t>Ver código de buen gobierno</w:t>
        </w:r>
      </w:hyperlink>
      <w:r w:rsidRPr="00CF1B34">
        <w:rPr>
          <w:rFonts w:ascii="Arial" w:hAnsi="Arial" w:cs="Arial"/>
          <w:color w:val="2F5496" w:themeColor="accent1" w:themeShade="BF"/>
          <w:sz w:val="22"/>
          <w:szCs w:val="22"/>
          <w:lang w:val="es-ES_tradnl"/>
        </w:rPr>
        <w:t>.</w:t>
      </w:r>
    </w:p>
    <w:p w14:paraId="64465D33" w14:textId="34AF5DD0" w:rsidR="004D2C3D" w:rsidRPr="00CF1B34" w:rsidRDefault="00250C5B"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w:t>
      </w:r>
      <w:r w:rsidR="004D2C3D" w:rsidRPr="00CF1B34">
        <w:rPr>
          <w:rFonts w:ascii="Arial" w:hAnsi="Arial" w:cs="Arial"/>
          <w:b/>
          <w:bCs/>
          <w:color w:val="2F5496" w:themeColor="accent1" w:themeShade="BF"/>
          <w:sz w:val="22"/>
          <w:szCs w:val="22"/>
          <w:lang w:val="es-ES_tradnl"/>
        </w:rPr>
        <w:t>nfraponderar</w:t>
      </w:r>
    </w:p>
    <w:p w14:paraId="7A72474A"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vocabulario bursátil, el término ponderación se refiere al peso tiene un determinado activo dentro de un grupo de activos seleccionados, habitualmente un índice.</w:t>
      </w:r>
    </w:p>
    <w:p w14:paraId="395AA01B"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el caso del IBEX 35, la ponderación de sus activos se refiere al peso que tiene en el conjunto del índice, cada una de las empresas que lo forman. Esta ponderación viene determinada por la capitalización bursátil de estas empresas cotizadas.</w:t>
      </w:r>
    </w:p>
    <w:p w14:paraId="64BCF6F6"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ponderación se emplea además de en los índices bursátiles, en las carteras de valores. Esto quiere decir que cada uno de los activos que compone la cartera, tiene un peso específico.</w:t>
      </w:r>
    </w:p>
    <w:p w14:paraId="405B1C53"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Cuando hablamos de infra ponderar podemos distinguir entre dos significados diferentes:</w:t>
      </w:r>
    </w:p>
    <w:p w14:paraId="025A77A5"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un lado, infraponderar se refiere a invertir en un determinado valor en una proporción inferior a la que este valor representa en el índice de referencia de la cartera que se gestiona. (Ver índice de referencia).</w:t>
      </w:r>
    </w:p>
    <w:p w14:paraId="63ACA019"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 importante tener en cuenta que infraponderar no se refiere a vender ya que no se refiere a cerrar posiciones, se trata de reducir el porcentaje de inversión de un activo dentro de tu cartera.</w:t>
      </w:r>
    </w:p>
    <w:p w14:paraId="7086D0E6"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infraponderación en uno o varios valores de la cartera ocurre cuando el retorno de dicho activo financiero va a situarse por debajo del rendimiento de su sector o por debajo de su índice de referencia. Reduciendo el valor de estos activos y aumentando el peso de otros valores en su lugar, el gestor intentará mejorar el rendimiento de su cartera.</w:t>
      </w:r>
    </w:p>
    <w:p w14:paraId="7F08F505"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otro lado, hablamos de infraponderar cuando un activo financiero se valora por debajo de su valor real.</w:t>
      </w:r>
    </w:p>
    <w:p w14:paraId="15ACCF8F"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Hablamos de un activo infravalorado en caso de que tenga una rentabilidad menor a la de su sector durante los últimos 12 meses. Esto ocurre en situaciones en las que se prevé</w:t>
      </w:r>
    </w:p>
    <w:p w14:paraId="21A3557A" w14:textId="77777777" w:rsidR="004D2C3D" w:rsidRPr="00CF1B34" w:rsidRDefault="004D2C3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Infraponderar un activo financiero implica haber realizado un exhaustivo análisis sobre el bien y su valor real. En caso de que la conclusión del análisis determine que el valor real es inferior al que posee en la actualidad, infraponderaremos su valor lo que implica pujar menos, venderlo a un precio más bajo o incluso comprarlo a un precio inferior.</w:t>
      </w:r>
    </w:p>
    <w:p w14:paraId="2C0B4FF1" w14:textId="77777777" w:rsidR="004D2C3D" w:rsidRPr="00CF1B34" w:rsidRDefault="004D2C3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Esto podría suponer una ventaja competitiva con respecto a las condiciones del mercado, pero podría suponer todo lo contrario en caso de que el bien o activo vaya en dirección contraria a las previsiones futuras. Desde el punto de vista de la demanda, la infraponderación se relaciona con alguna característica de este bien o activo que no es positiva lo que reducirá su utilidad marginal y su demanda.</w:t>
      </w:r>
    </w:p>
    <w:p w14:paraId="79DD9163" w14:textId="4F4EC15F" w:rsidR="004D2C3D" w:rsidRPr="00CF1B34" w:rsidRDefault="00B5540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 xml:space="preserve">Infravalorado </w:t>
      </w:r>
    </w:p>
    <w:p w14:paraId="5F320674" w14:textId="77777777" w:rsidR="001B448C" w:rsidRPr="00CF1B34" w:rsidRDefault="001B448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precio del activo financiero o del bien tangible se encuentra por debajo del que debería atendiendo a sus características. La infravaloración y la sobrevaloración se producen respectivamente en momentos de crisis y momentos de euforia.</w:t>
      </w:r>
    </w:p>
    <w:p w14:paraId="26CCA702" w14:textId="3EBB788E" w:rsidR="00B55402" w:rsidRPr="00CF1B34" w:rsidRDefault="00B5540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Inmuebles</w:t>
      </w:r>
    </w:p>
    <w:p w14:paraId="48B3FF78" w14:textId="77777777" w:rsidR="001B448C" w:rsidRPr="00CF1B34" w:rsidRDefault="001B448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Los componen las viviendas, oficinas, locales, naves industriales, etc. En estos bienes se invierte tanto para obtener la renta de alquiler como la plusvalía producida por la diferencia entre el precio de compra y el precio de venta.</w:t>
      </w:r>
    </w:p>
    <w:p w14:paraId="6E431488" w14:textId="2705BA03" w:rsidR="00B55402" w:rsidRPr="00CF1B34" w:rsidRDefault="00B5540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Insider trading</w:t>
      </w:r>
    </w:p>
    <w:p w14:paraId="130EC148" w14:textId="77777777" w:rsidR="00E946F2" w:rsidRPr="00CF1B34" w:rsidRDefault="00E946F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Termino anglosajon que se refiere al inversor que invierte en el mercado con información privilegiada.</w:t>
      </w:r>
    </w:p>
    <w:p w14:paraId="35305AD5" w14:textId="21E218C9"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Institución de Inversión Colectiva, IIC </w:t>
      </w:r>
    </w:p>
    <w:p w14:paraId="1B197F8A"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Fondos y sociedades de inversión, que tienen como objeto la captación de fondos del público para gestionarlos e invertirlos en bienes, derechos, valores u otros instrumentos (financieros o no). La característica determinante de estos productos es que el rendimiento del inversor se establece en función de los resultados colectivos.</w:t>
      </w:r>
    </w:p>
    <w:p w14:paraId="3C3E82A9"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Instrumento financiero</w:t>
      </w:r>
    </w:p>
    <w:p w14:paraId="452769B5"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Contrato que genera, al mismo tiempo, un activo financiero para una de las partes y un pasivo financiero para la otra. Por ejemplo, en el ámbito de los mercados de valores un valor de renta fija es un instrumento financiero: el titular tiene derecho a percibir una remuneración mientras mantenga la inversión, y la entidad que lo ha emitido tiene la obligación de abonar dicha remuneración al titular hasta el momento del vencimiento.</w:t>
      </w:r>
    </w:p>
    <w:p w14:paraId="5A503386" w14:textId="3FE56309" w:rsidR="00754DC2" w:rsidRPr="00CF1B34" w:rsidRDefault="00E946F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Interés </w:t>
      </w:r>
    </w:p>
    <w:p w14:paraId="678745D6" w14:textId="77777777" w:rsidR="00E946F2" w:rsidRPr="00CF1B34" w:rsidRDefault="00E946F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renta que se da al que nos ha prestado el dinero, además de devolverle el dinero hay que satisfacer una cantidad por habérnoslo prestado.</w:t>
      </w:r>
    </w:p>
    <w:p w14:paraId="13D6D261" w14:textId="5B78DBB1" w:rsidR="002164A3" w:rsidRPr="00CF1B34" w:rsidRDefault="002164A3"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interés bancario</w:t>
      </w:r>
    </w:p>
    <w:p w14:paraId="0B3A5CC9" w14:textId="0A6BC4B1" w:rsidR="002164A3" w:rsidRPr="00CF1B34" w:rsidRDefault="002164A3"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 xml:space="preserve">El </w:t>
      </w:r>
      <w:r w:rsidRPr="00CF1B34">
        <w:rPr>
          <w:rFonts w:ascii="Arial" w:hAnsi="Arial" w:cs="Arial"/>
          <w:b/>
          <w:bCs/>
          <w:color w:val="333333"/>
          <w:sz w:val="22"/>
          <w:szCs w:val="22"/>
          <w:shd w:val="clear" w:color="auto" w:fill="FFFFFF"/>
          <w:lang w:val="es-ES_tradnl"/>
        </w:rPr>
        <w:t>origen del interés bancario</w:t>
      </w:r>
      <w:r w:rsidRPr="00CF1B34">
        <w:rPr>
          <w:rFonts w:ascii="Arial" w:hAnsi="Arial" w:cs="Arial"/>
          <w:color w:val="333333"/>
          <w:sz w:val="22"/>
          <w:szCs w:val="22"/>
          <w:shd w:val="clear" w:color="auto" w:fill="FFFFFF"/>
          <w:lang w:val="es-ES_tradnl"/>
        </w:rPr>
        <w:t xml:space="preserve"> se remonta a los primeros</w:t>
      </w:r>
      <w:r w:rsidRPr="00CF1B34">
        <w:rPr>
          <w:rFonts w:ascii="Arial" w:hAnsi="Arial" w:cs="Arial"/>
          <w:b/>
          <w:bCs/>
          <w:color w:val="333333"/>
          <w:sz w:val="22"/>
          <w:szCs w:val="22"/>
          <w:shd w:val="clear" w:color="auto" w:fill="FFFFFF"/>
          <w:lang w:val="es-ES_tradnl"/>
        </w:rPr>
        <w:t xml:space="preserve"> intermediarios</w:t>
      </w:r>
      <w:r w:rsidRPr="00CF1B34">
        <w:rPr>
          <w:rFonts w:ascii="Arial" w:hAnsi="Arial" w:cs="Arial"/>
          <w:color w:val="333333"/>
          <w:sz w:val="22"/>
          <w:szCs w:val="22"/>
          <w:shd w:val="clear" w:color="auto" w:fill="FFFFFF"/>
          <w:lang w:val="es-ES_tradnl"/>
        </w:rPr>
        <w:t xml:space="preserve"> que tomaban el </w:t>
      </w:r>
      <w:r w:rsidRPr="00CF1B34">
        <w:rPr>
          <w:rFonts w:ascii="Arial" w:hAnsi="Arial" w:cs="Arial"/>
          <w:b/>
          <w:bCs/>
          <w:color w:val="333333"/>
          <w:sz w:val="22"/>
          <w:szCs w:val="22"/>
          <w:shd w:val="clear" w:color="auto" w:fill="FFFFFF"/>
          <w:lang w:val="es-ES_tradnl"/>
        </w:rPr>
        <w:t>dinero</w:t>
      </w:r>
      <w:r w:rsidRPr="00CF1B34">
        <w:rPr>
          <w:rFonts w:ascii="Arial" w:hAnsi="Arial" w:cs="Arial"/>
          <w:color w:val="333333"/>
          <w:sz w:val="22"/>
          <w:szCs w:val="22"/>
          <w:shd w:val="clear" w:color="auto" w:fill="FFFFFF"/>
          <w:lang w:val="es-ES_tradnl"/>
        </w:rPr>
        <w:t xml:space="preserve"> de aquellos que tenían excedente y le pagaban un dinero como “premio”, al mismo tiempo que se lo prestaban a otro que lo necesitaba y le cobraban, por supuesto, más dinero del que pagaban. Aunque esta ecuación resulte obvia, la diferencia entre lo pagado y lo cobrado es la ganancia del intermediario. Así como un comercio compra mercaderías, las vende y obtiene una diferencia como beneficio, el banco hace lo mismo</w:t>
      </w:r>
      <w:r w:rsidR="00E107F2" w:rsidRPr="00CF1B34">
        <w:rPr>
          <w:rFonts w:ascii="Arial" w:hAnsi="Arial" w:cs="Arial"/>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pero con dinero, aunque difiere en que el dinero es ajeno, como una consignación</w:t>
      </w:r>
      <w:r w:rsidR="00936AC8" w:rsidRPr="00CF1B34">
        <w:rPr>
          <w:rFonts w:ascii="Arial" w:hAnsi="Arial" w:cs="Arial"/>
          <w:color w:val="333333"/>
          <w:sz w:val="22"/>
          <w:szCs w:val="22"/>
          <w:shd w:val="clear" w:color="auto" w:fill="FFFFFF"/>
          <w:lang w:val="es-ES_tradnl"/>
        </w:rPr>
        <w:t>.</w:t>
      </w:r>
    </w:p>
    <w:p w14:paraId="60D34A26" w14:textId="636577BD" w:rsidR="00936AC8" w:rsidRPr="00CF1B34" w:rsidRDefault="00936AC8" w:rsidP="0005621A">
      <w:pPr>
        <w:ind w:left="708"/>
        <w:jc w:val="both"/>
        <w:rPr>
          <w:rFonts w:ascii="Arial" w:hAnsi="Arial" w:cs="Arial"/>
          <w:sz w:val="22"/>
          <w:szCs w:val="22"/>
          <w:lang w:val="es-ES_tradnl"/>
        </w:rPr>
      </w:pPr>
      <w:r w:rsidRPr="00CF1B34">
        <w:rPr>
          <w:rFonts w:ascii="Arial" w:hAnsi="Arial" w:cs="Arial"/>
          <w:color w:val="333333"/>
          <w:sz w:val="22"/>
          <w:szCs w:val="22"/>
          <w:shd w:val="clear" w:color="auto" w:fill="FFFFFF"/>
          <w:lang w:val="es-ES_tradnl"/>
        </w:rPr>
        <w:t>Antes de meternos de lleno en los tipos de intereses bancarios, a la hora de hablar de interés, no solemos hacerlo de la manera correcta. Ya que el tipo de interés sería el porcentaje que se aplica sobre le dinero prestado, por ejemplo</w:t>
      </w:r>
      <w:r w:rsidR="00E107F2" w:rsidRPr="00CF1B34">
        <w:rPr>
          <w:rFonts w:ascii="Arial" w:hAnsi="Arial" w:cs="Arial"/>
          <w:color w:val="333333"/>
          <w:sz w:val="22"/>
          <w:szCs w:val="22"/>
          <w:shd w:val="clear" w:color="auto" w:fill="FFFFFF"/>
          <w:lang w:val="es-ES_tradnl"/>
        </w:rPr>
        <w:t>,</w:t>
      </w:r>
      <w:r w:rsidRPr="00CF1B34">
        <w:rPr>
          <w:rFonts w:ascii="Arial" w:hAnsi="Arial" w:cs="Arial"/>
          <w:color w:val="333333"/>
          <w:sz w:val="22"/>
          <w:szCs w:val="22"/>
          <w:shd w:val="clear" w:color="auto" w:fill="FFFFFF"/>
          <w:lang w:val="es-ES_tradnl"/>
        </w:rPr>
        <w:t xml:space="preserve"> un 2%. Y el interés sería la cantidad al hacer dicho porcentaje del principal.</w:t>
      </w:r>
    </w:p>
    <w:p w14:paraId="34667E22" w14:textId="347BE71A" w:rsidR="002164A3" w:rsidRPr="00CF1B34" w:rsidRDefault="00936AC8" w:rsidP="0005621A">
      <w:pPr>
        <w:ind w:firstLine="708"/>
        <w:jc w:val="both"/>
        <w:rPr>
          <w:rFonts w:ascii="Arial" w:hAnsi="Arial" w:cs="Arial"/>
          <w:b/>
          <w:bCs/>
          <w:color w:val="FF0000"/>
          <w:sz w:val="22"/>
          <w:szCs w:val="22"/>
          <w:lang w:val="es-ES_tradnl"/>
        </w:rPr>
      </w:pPr>
      <w:r w:rsidRPr="00CF1B34">
        <w:rPr>
          <w:rFonts w:ascii="Arial" w:hAnsi="Arial" w:cs="Arial"/>
          <w:b/>
          <w:bCs/>
          <w:color w:val="FF0000"/>
          <w:sz w:val="22"/>
          <w:szCs w:val="22"/>
          <w:lang w:val="es-ES_tradnl"/>
        </w:rPr>
        <w:t>Interés simple: Capitalización simple</w:t>
      </w:r>
    </w:p>
    <w:p w14:paraId="5908F365" w14:textId="37E303CB" w:rsidR="002164A3" w:rsidRPr="00CF1B34" w:rsidRDefault="00943ECD" w:rsidP="0005621A">
      <w:pPr>
        <w:ind w:firstLine="708"/>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w:t>
      </w:r>
      <w:r w:rsidRPr="00CF1B34">
        <w:rPr>
          <w:rFonts w:ascii="Arial" w:hAnsi="Arial" w:cs="Arial"/>
          <w:b/>
          <w:bCs/>
          <w:color w:val="2F5496" w:themeColor="accent1" w:themeShade="BF"/>
          <w:sz w:val="22"/>
          <w:szCs w:val="22"/>
          <w:vertAlign w:val="subscript"/>
          <w:lang w:val="es-ES_tradnl"/>
        </w:rPr>
        <w:t>1</w:t>
      </w:r>
      <w:r w:rsidRPr="00CF1B34">
        <w:rPr>
          <w:rFonts w:ascii="Arial" w:hAnsi="Arial" w:cs="Arial"/>
          <w:b/>
          <w:bCs/>
          <w:color w:val="2F5496" w:themeColor="accent1" w:themeShade="BF"/>
          <w:sz w:val="22"/>
          <w:szCs w:val="22"/>
          <w:lang w:val="es-ES_tradnl"/>
        </w:rPr>
        <w:t>=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i= C</w:t>
      </w:r>
      <w:r w:rsidRPr="00CF1B34">
        <w:rPr>
          <w:rFonts w:ascii="Arial" w:hAnsi="Arial" w:cs="Arial"/>
          <w:b/>
          <w:bCs/>
          <w:color w:val="2F5496" w:themeColor="accent1" w:themeShade="BF"/>
          <w:sz w:val="22"/>
          <w:szCs w:val="22"/>
          <w:vertAlign w:val="subscript"/>
          <w:lang w:val="es-ES_tradnl"/>
        </w:rPr>
        <w:t xml:space="preserve">0 </w:t>
      </w:r>
      <w:proofErr w:type="gramStart"/>
      <w:r w:rsidRPr="00CF1B34">
        <w:rPr>
          <w:rFonts w:ascii="Arial" w:hAnsi="Arial" w:cs="Arial"/>
          <w:b/>
          <w:bCs/>
          <w:color w:val="2F5496" w:themeColor="accent1" w:themeShade="BF"/>
          <w:sz w:val="22"/>
          <w:szCs w:val="22"/>
          <w:lang w:val="es-ES_tradnl"/>
        </w:rPr>
        <w:t>( 1</w:t>
      </w:r>
      <w:proofErr w:type="gramEnd"/>
      <w:r w:rsidRPr="00CF1B34">
        <w:rPr>
          <w:rFonts w:ascii="Arial" w:hAnsi="Arial" w:cs="Arial"/>
          <w:b/>
          <w:bCs/>
          <w:color w:val="2F5496" w:themeColor="accent1" w:themeShade="BF"/>
          <w:sz w:val="22"/>
          <w:szCs w:val="22"/>
          <w:lang w:val="es-ES_tradnl"/>
        </w:rPr>
        <w:t>+i )</w:t>
      </w:r>
    </w:p>
    <w:p w14:paraId="6C2749D1" w14:textId="41372AF5" w:rsidR="002164A3" w:rsidRPr="00CF1B34" w:rsidRDefault="00943ECD" w:rsidP="0005621A">
      <w:pPr>
        <w:ind w:firstLine="708"/>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w:t>
      </w:r>
      <w:r w:rsidRPr="00CF1B34">
        <w:rPr>
          <w:rFonts w:ascii="Arial" w:hAnsi="Arial" w:cs="Arial"/>
          <w:b/>
          <w:bCs/>
          <w:color w:val="2F5496" w:themeColor="accent1" w:themeShade="BF"/>
          <w:sz w:val="22"/>
          <w:szCs w:val="22"/>
          <w:vertAlign w:val="subscript"/>
          <w:lang w:val="es-ES_tradnl"/>
        </w:rPr>
        <w:t>2</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1</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w:t>
      </w:r>
      <w:r w:rsidR="009F086C" w:rsidRPr="00CF1B34">
        <w:rPr>
          <w:rFonts w:ascii="Arial" w:hAnsi="Arial" w:cs="Arial"/>
          <w:b/>
          <w:bCs/>
          <w:color w:val="2F5496" w:themeColor="accent1" w:themeShade="BF"/>
          <w:sz w:val="22"/>
          <w:szCs w:val="22"/>
          <w:lang w:val="es-ES_tradnl"/>
        </w:rPr>
        <w:t>i</w:t>
      </w:r>
      <w:r w:rsidRPr="00CF1B34">
        <w:rPr>
          <w:rFonts w:ascii="Arial" w:hAnsi="Arial" w:cs="Arial"/>
          <w:b/>
          <w:bCs/>
          <w:color w:val="2F5496" w:themeColor="accent1" w:themeShade="BF"/>
          <w:sz w:val="22"/>
          <w:szCs w:val="22"/>
          <w:lang w:val="es-ES_tradnl"/>
        </w:rPr>
        <w:t>=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w:t>
      </w:r>
      <w:proofErr w:type="gramStart"/>
      <w:r w:rsidRPr="00CF1B34">
        <w:rPr>
          <w:rFonts w:ascii="Arial" w:hAnsi="Arial" w:cs="Arial"/>
          <w:b/>
          <w:bCs/>
          <w:color w:val="2F5496" w:themeColor="accent1" w:themeShade="BF"/>
          <w:sz w:val="22"/>
          <w:szCs w:val="22"/>
          <w:lang w:val="es-ES_tradnl"/>
        </w:rPr>
        <w:t>(</w:t>
      </w:r>
      <w:r w:rsidR="009F086C" w:rsidRPr="00CF1B34">
        <w:rPr>
          <w:rFonts w:ascii="Arial" w:hAnsi="Arial" w:cs="Arial"/>
          <w:b/>
          <w:bCs/>
          <w:color w:val="2F5496" w:themeColor="accent1" w:themeShade="BF"/>
          <w:sz w:val="22"/>
          <w:szCs w:val="22"/>
          <w:lang w:val="es-ES_tradnl"/>
        </w:rPr>
        <w:t xml:space="preserve"> </w:t>
      </w:r>
      <w:r w:rsidRPr="00CF1B34">
        <w:rPr>
          <w:rFonts w:ascii="Arial" w:hAnsi="Arial" w:cs="Arial"/>
          <w:b/>
          <w:bCs/>
          <w:color w:val="2F5496" w:themeColor="accent1" w:themeShade="BF"/>
          <w:sz w:val="22"/>
          <w:szCs w:val="22"/>
          <w:lang w:val="es-ES_tradnl"/>
        </w:rPr>
        <w:t>1</w:t>
      </w:r>
      <w:proofErr w:type="gramEnd"/>
      <w:r w:rsidRPr="00CF1B34">
        <w:rPr>
          <w:rFonts w:ascii="Arial" w:hAnsi="Arial" w:cs="Arial"/>
          <w:b/>
          <w:bCs/>
          <w:color w:val="2F5496" w:themeColor="accent1" w:themeShade="BF"/>
          <w:sz w:val="22"/>
          <w:szCs w:val="22"/>
          <w:lang w:val="es-ES_tradnl"/>
        </w:rPr>
        <w:t xml:space="preserve"> + </w:t>
      </w:r>
      <w:r w:rsidR="009F086C" w:rsidRPr="00CF1B34">
        <w:rPr>
          <w:rFonts w:ascii="Arial" w:hAnsi="Arial" w:cs="Arial"/>
          <w:b/>
          <w:bCs/>
          <w:color w:val="2F5496" w:themeColor="accent1" w:themeShade="BF"/>
          <w:sz w:val="22"/>
          <w:szCs w:val="22"/>
          <w:lang w:val="es-ES_tradnl"/>
        </w:rPr>
        <w:t>i</w:t>
      </w:r>
      <w:r w:rsidRPr="00CF1B34">
        <w:rPr>
          <w:rFonts w:ascii="Arial" w:hAnsi="Arial" w:cs="Arial"/>
          <w:b/>
          <w:bCs/>
          <w:color w:val="2F5496" w:themeColor="accent1" w:themeShade="BF"/>
          <w:sz w:val="22"/>
          <w:szCs w:val="22"/>
          <w:lang w:val="es-ES_tradnl"/>
        </w:rPr>
        <w:t xml:space="preserve"> ) + C</w:t>
      </w:r>
      <w:r w:rsidRPr="00CF1B34">
        <w:rPr>
          <w:rFonts w:ascii="Arial" w:hAnsi="Arial" w:cs="Arial"/>
          <w:b/>
          <w:bCs/>
          <w:color w:val="2F5496" w:themeColor="accent1" w:themeShade="BF"/>
          <w:sz w:val="22"/>
          <w:szCs w:val="22"/>
          <w:vertAlign w:val="subscript"/>
          <w:lang w:val="es-ES_tradnl"/>
        </w:rPr>
        <w:t>0</w:t>
      </w:r>
      <w:r w:rsidR="009F086C" w:rsidRPr="00CF1B34">
        <w:rPr>
          <w:rFonts w:ascii="Arial" w:hAnsi="Arial" w:cs="Arial"/>
          <w:b/>
          <w:bCs/>
          <w:color w:val="2F5496" w:themeColor="accent1" w:themeShade="BF"/>
          <w:sz w:val="22"/>
          <w:szCs w:val="22"/>
          <w:vertAlign w:val="subscript"/>
          <w:lang w:val="es-ES_tradnl"/>
        </w:rPr>
        <w:t xml:space="preserve"> </w:t>
      </w:r>
      <w:r w:rsidR="009F086C" w:rsidRPr="00CF1B34">
        <w:rPr>
          <w:rFonts w:ascii="Arial" w:hAnsi="Arial" w:cs="Arial"/>
          <w:b/>
          <w:bCs/>
          <w:color w:val="2F5496" w:themeColor="accent1" w:themeShade="BF"/>
          <w:sz w:val="22"/>
          <w:szCs w:val="22"/>
          <w:lang w:val="es-ES_tradnl"/>
        </w:rPr>
        <w:t>i = C</w:t>
      </w:r>
      <w:r w:rsidR="009F086C" w:rsidRPr="00CF1B34">
        <w:rPr>
          <w:rFonts w:ascii="Arial" w:hAnsi="Arial" w:cs="Arial"/>
          <w:b/>
          <w:bCs/>
          <w:color w:val="2F5496" w:themeColor="accent1" w:themeShade="BF"/>
          <w:sz w:val="22"/>
          <w:szCs w:val="22"/>
          <w:vertAlign w:val="subscript"/>
          <w:lang w:val="es-ES_tradnl"/>
        </w:rPr>
        <w:t>0</w:t>
      </w:r>
      <w:r w:rsidR="009F086C" w:rsidRPr="00CF1B34">
        <w:rPr>
          <w:rFonts w:ascii="Arial" w:hAnsi="Arial" w:cs="Arial"/>
          <w:b/>
          <w:bCs/>
          <w:color w:val="2F5496" w:themeColor="accent1" w:themeShade="BF"/>
          <w:sz w:val="22"/>
          <w:szCs w:val="22"/>
          <w:lang w:val="es-ES_tradnl"/>
        </w:rPr>
        <w:t xml:space="preserve"> ( 1 + 2i )</w:t>
      </w:r>
    </w:p>
    <w:p w14:paraId="6FC76DBC" w14:textId="3D34F2C6" w:rsidR="002164A3" w:rsidRPr="00CF1B34" w:rsidRDefault="009F086C" w:rsidP="0005621A">
      <w:pPr>
        <w:ind w:firstLine="708"/>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w:t>
      </w:r>
    </w:p>
    <w:p w14:paraId="335273AB" w14:textId="64620CB5" w:rsidR="009F086C" w:rsidRPr="00CF1B34" w:rsidRDefault="009F086C" w:rsidP="0005621A">
      <w:pPr>
        <w:ind w:firstLine="708"/>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w:t>
      </w:r>
      <w:r w:rsidR="000D09C4" w:rsidRPr="00CF1B34">
        <w:rPr>
          <w:rFonts w:ascii="Arial" w:hAnsi="Arial" w:cs="Arial"/>
          <w:b/>
          <w:bCs/>
          <w:color w:val="2F5496" w:themeColor="accent1" w:themeShade="BF"/>
          <w:sz w:val="22"/>
          <w:szCs w:val="22"/>
          <w:vertAlign w:val="subscript"/>
          <w:lang w:val="es-ES_tradnl"/>
        </w:rPr>
        <w:t>n</w:t>
      </w:r>
      <w:r w:rsidRPr="00CF1B34">
        <w:rPr>
          <w:rFonts w:ascii="Arial" w:hAnsi="Arial" w:cs="Arial"/>
          <w:b/>
          <w:bCs/>
          <w:color w:val="2F5496" w:themeColor="accent1" w:themeShade="BF"/>
          <w:sz w:val="22"/>
          <w:szCs w:val="22"/>
          <w:vertAlign w:val="subscript"/>
          <w:lang w:val="es-ES_tradnl"/>
        </w:rPr>
        <w:t xml:space="preserve"> </w:t>
      </w:r>
      <w:r w:rsidRPr="00CF1B34">
        <w:rPr>
          <w:rFonts w:ascii="Arial" w:hAnsi="Arial" w:cs="Arial"/>
          <w:b/>
          <w:bCs/>
          <w:color w:val="2F5496" w:themeColor="accent1" w:themeShade="BF"/>
          <w:sz w:val="22"/>
          <w:szCs w:val="22"/>
          <w:lang w:val="es-ES_tradnl"/>
        </w:rPr>
        <w:t>= C</w:t>
      </w:r>
      <w:r w:rsidR="000D09C4" w:rsidRPr="00CF1B34">
        <w:rPr>
          <w:rFonts w:ascii="Arial" w:hAnsi="Arial" w:cs="Arial"/>
          <w:b/>
          <w:bCs/>
          <w:color w:val="2F5496" w:themeColor="accent1" w:themeShade="BF"/>
          <w:sz w:val="22"/>
          <w:szCs w:val="22"/>
          <w:vertAlign w:val="subscript"/>
          <w:lang w:val="es-ES_tradnl"/>
        </w:rPr>
        <w:t>n</w:t>
      </w:r>
      <w:r w:rsidRPr="00CF1B34">
        <w:rPr>
          <w:rFonts w:ascii="Arial" w:hAnsi="Arial" w:cs="Arial"/>
          <w:b/>
          <w:bCs/>
          <w:color w:val="2F5496" w:themeColor="accent1" w:themeShade="BF"/>
          <w:sz w:val="22"/>
          <w:szCs w:val="22"/>
          <w:vertAlign w:val="subscript"/>
          <w:lang w:val="es-ES_tradnl"/>
        </w:rPr>
        <w:t>-1</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 xml:space="preserve">0 </w:t>
      </w:r>
      <w:r w:rsidRPr="00CF1B34">
        <w:rPr>
          <w:rFonts w:ascii="Arial" w:hAnsi="Arial" w:cs="Arial"/>
          <w:b/>
          <w:bCs/>
          <w:color w:val="2F5496" w:themeColor="accent1" w:themeShade="BF"/>
          <w:sz w:val="22"/>
          <w:szCs w:val="22"/>
          <w:lang w:val="es-ES_tradnl"/>
        </w:rPr>
        <w:t>i =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[ 1 + </w:t>
      </w:r>
      <w:proofErr w:type="gramStart"/>
      <w:r w:rsidRPr="00CF1B34">
        <w:rPr>
          <w:rFonts w:ascii="Arial" w:hAnsi="Arial" w:cs="Arial"/>
          <w:b/>
          <w:bCs/>
          <w:color w:val="2F5496" w:themeColor="accent1" w:themeShade="BF"/>
          <w:sz w:val="22"/>
          <w:szCs w:val="22"/>
          <w:lang w:val="es-ES_tradnl"/>
        </w:rPr>
        <w:t>(</w:t>
      </w:r>
      <w:r w:rsidR="007868E6" w:rsidRPr="00CF1B34">
        <w:rPr>
          <w:rFonts w:ascii="Arial" w:hAnsi="Arial" w:cs="Arial"/>
          <w:b/>
          <w:bCs/>
          <w:color w:val="2F5496" w:themeColor="accent1" w:themeShade="BF"/>
          <w:sz w:val="22"/>
          <w:szCs w:val="22"/>
          <w:lang w:val="es-ES_tradnl"/>
        </w:rPr>
        <w:t xml:space="preserve"> </w:t>
      </w:r>
      <w:r w:rsidRPr="00CF1B34">
        <w:rPr>
          <w:rFonts w:ascii="Arial" w:hAnsi="Arial" w:cs="Arial"/>
          <w:b/>
          <w:bCs/>
          <w:color w:val="2F5496" w:themeColor="accent1" w:themeShade="BF"/>
          <w:sz w:val="22"/>
          <w:szCs w:val="22"/>
          <w:lang w:val="es-ES_tradnl"/>
        </w:rPr>
        <w:t>n</w:t>
      </w:r>
      <w:proofErr w:type="gramEnd"/>
      <w:r w:rsidRPr="00CF1B34">
        <w:rPr>
          <w:rFonts w:ascii="Arial" w:hAnsi="Arial" w:cs="Arial"/>
          <w:b/>
          <w:bCs/>
          <w:color w:val="2F5496" w:themeColor="accent1" w:themeShade="BF"/>
          <w:sz w:val="22"/>
          <w:szCs w:val="22"/>
          <w:lang w:val="es-ES_tradnl"/>
        </w:rPr>
        <w:t>-1) i</w:t>
      </w:r>
      <w:r w:rsidR="00896D1C" w:rsidRPr="00CF1B34">
        <w:rPr>
          <w:rFonts w:ascii="Arial" w:hAnsi="Arial" w:cs="Arial"/>
          <w:b/>
          <w:bCs/>
          <w:color w:val="2F5496" w:themeColor="accent1" w:themeShade="BF"/>
          <w:sz w:val="22"/>
          <w:szCs w:val="22"/>
          <w:lang w:val="es-ES_tradnl"/>
        </w:rPr>
        <w:t xml:space="preserve"> </w:t>
      </w:r>
      <w:r w:rsidRPr="00CF1B34">
        <w:rPr>
          <w:rFonts w:ascii="Arial" w:hAnsi="Arial" w:cs="Arial"/>
          <w:b/>
          <w:bCs/>
          <w:color w:val="2F5496" w:themeColor="accent1" w:themeShade="BF"/>
          <w:sz w:val="22"/>
          <w:szCs w:val="22"/>
          <w:lang w:val="es-ES_tradnl"/>
        </w:rPr>
        <w:t>] +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i =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(1 </w:t>
      </w:r>
      <w:r w:rsidR="00CD127F" w:rsidRPr="00CF1B34">
        <w:rPr>
          <w:rFonts w:ascii="Arial" w:hAnsi="Arial" w:cs="Arial"/>
          <w:b/>
          <w:bCs/>
          <w:color w:val="2F5496" w:themeColor="accent1" w:themeShade="BF"/>
          <w:sz w:val="22"/>
          <w:szCs w:val="22"/>
          <w:lang w:val="es-ES_tradnl"/>
        </w:rPr>
        <w:t>+ ni)</w:t>
      </w:r>
    </w:p>
    <w:p w14:paraId="215B41DE" w14:textId="44FA9D11" w:rsidR="009F086C" w:rsidRPr="00CF1B34" w:rsidRDefault="009F086C" w:rsidP="0005621A">
      <w:pPr>
        <w:jc w:val="both"/>
        <w:outlineLvl w:val="1"/>
        <w:rPr>
          <w:rFonts w:ascii="Arial" w:hAnsi="Arial" w:cs="Arial"/>
          <w:b/>
          <w:bCs/>
          <w:color w:val="000000" w:themeColor="text1"/>
          <w:sz w:val="22"/>
          <w:szCs w:val="22"/>
          <w:lang w:val="es-ES_tradnl"/>
        </w:rPr>
      </w:pPr>
    </w:p>
    <w:p w14:paraId="5D687096" w14:textId="24B01563" w:rsidR="009F086C" w:rsidRPr="00CF1B34" w:rsidRDefault="00CD127F" w:rsidP="0005621A">
      <w:pPr>
        <w:ind w:firstLine="708"/>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lastRenderedPageBreak/>
        <w:t>Luego el valor del montante a lo largo de n años es: C</w:t>
      </w:r>
      <w:r w:rsidRPr="00CF1B34">
        <w:rPr>
          <w:rFonts w:ascii="Arial" w:hAnsi="Arial" w:cs="Arial"/>
          <w:b/>
          <w:bCs/>
          <w:color w:val="2F5496" w:themeColor="accent1" w:themeShade="BF"/>
          <w:sz w:val="22"/>
          <w:szCs w:val="22"/>
          <w:vertAlign w:val="subscript"/>
          <w:lang w:val="es-ES_tradnl"/>
        </w:rPr>
        <w:t>n</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w:t>
      </w:r>
      <w:proofErr w:type="gramStart"/>
      <w:r w:rsidRPr="00CF1B34">
        <w:rPr>
          <w:rFonts w:ascii="Arial" w:hAnsi="Arial" w:cs="Arial"/>
          <w:b/>
          <w:bCs/>
          <w:color w:val="2F5496" w:themeColor="accent1" w:themeShade="BF"/>
          <w:sz w:val="22"/>
          <w:szCs w:val="22"/>
          <w:lang w:val="es-ES_tradnl"/>
        </w:rPr>
        <w:t>( 1</w:t>
      </w:r>
      <w:proofErr w:type="gramEnd"/>
      <w:r w:rsidRPr="00CF1B34">
        <w:rPr>
          <w:rFonts w:ascii="Arial" w:hAnsi="Arial" w:cs="Arial"/>
          <w:b/>
          <w:bCs/>
          <w:color w:val="2F5496" w:themeColor="accent1" w:themeShade="BF"/>
          <w:sz w:val="22"/>
          <w:szCs w:val="22"/>
          <w:lang w:val="es-ES_tradnl"/>
        </w:rPr>
        <w:t xml:space="preserve"> + ni)</w:t>
      </w:r>
    </w:p>
    <w:p w14:paraId="07FE8BA2" w14:textId="099A8C1D" w:rsidR="00CD127F" w:rsidRPr="00CF1B34" w:rsidRDefault="00861FC3" w:rsidP="0005621A">
      <w:pPr>
        <w:ind w:firstLine="708"/>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L</w:t>
      </w:r>
      <w:r w:rsidR="00CD127F" w:rsidRPr="00CF1B34">
        <w:rPr>
          <w:rFonts w:ascii="Arial" w:hAnsi="Arial" w:cs="Arial"/>
          <w:b/>
          <w:bCs/>
          <w:color w:val="2F5496" w:themeColor="accent1" w:themeShade="BF"/>
          <w:sz w:val="22"/>
          <w:szCs w:val="22"/>
          <w:lang w:val="es-ES_tradnl"/>
        </w:rPr>
        <w:t>os intereses obtenidos son: I = C</w:t>
      </w:r>
      <w:r w:rsidR="00CD127F" w:rsidRPr="00CF1B34">
        <w:rPr>
          <w:rFonts w:ascii="Arial" w:hAnsi="Arial" w:cs="Arial"/>
          <w:b/>
          <w:bCs/>
          <w:color w:val="2F5496" w:themeColor="accent1" w:themeShade="BF"/>
          <w:sz w:val="22"/>
          <w:szCs w:val="22"/>
          <w:vertAlign w:val="subscript"/>
          <w:lang w:val="es-ES_tradnl"/>
        </w:rPr>
        <w:t>n</w:t>
      </w:r>
      <w:r w:rsidR="00CD127F" w:rsidRPr="00CF1B34">
        <w:rPr>
          <w:rFonts w:ascii="Arial" w:hAnsi="Arial" w:cs="Arial"/>
          <w:b/>
          <w:bCs/>
          <w:color w:val="2F5496" w:themeColor="accent1" w:themeShade="BF"/>
          <w:sz w:val="22"/>
          <w:szCs w:val="22"/>
          <w:lang w:val="es-ES_tradnl"/>
        </w:rPr>
        <w:t xml:space="preserve"> – C</w:t>
      </w:r>
      <w:r w:rsidR="00CD127F" w:rsidRPr="00CF1B34">
        <w:rPr>
          <w:rFonts w:ascii="Arial" w:hAnsi="Arial" w:cs="Arial"/>
          <w:b/>
          <w:bCs/>
          <w:color w:val="2F5496" w:themeColor="accent1" w:themeShade="BF"/>
          <w:sz w:val="22"/>
          <w:szCs w:val="22"/>
          <w:vertAlign w:val="subscript"/>
          <w:lang w:val="es-ES_tradnl"/>
        </w:rPr>
        <w:t>0</w:t>
      </w:r>
      <w:r w:rsidR="00CD127F" w:rsidRPr="00CF1B34">
        <w:rPr>
          <w:rFonts w:ascii="Arial" w:hAnsi="Arial" w:cs="Arial"/>
          <w:b/>
          <w:bCs/>
          <w:color w:val="2F5496" w:themeColor="accent1" w:themeShade="BF"/>
          <w:sz w:val="22"/>
          <w:szCs w:val="22"/>
          <w:lang w:val="es-ES_tradnl"/>
        </w:rPr>
        <w:t xml:space="preserve"> = C</w:t>
      </w:r>
      <w:r w:rsidR="00CD127F" w:rsidRPr="00CF1B34">
        <w:rPr>
          <w:rFonts w:ascii="Arial" w:hAnsi="Arial" w:cs="Arial"/>
          <w:b/>
          <w:bCs/>
          <w:color w:val="2F5496" w:themeColor="accent1" w:themeShade="BF"/>
          <w:sz w:val="22"/>
          <w:szCs w:val="22"/>
          <w:vertAlign w:val="subscript"/>
          <w:lang w:val="es-ES_tradnl"/>
        </w:rPr>
        <w:t>0</w:t>
      </w:r>
      <w:r w:rsidR="00CD127F" w:rsidRPr="00CF1B34">
        <w:rPr>
          <w:rFonts w:ascii="Arial" w:hAnsi="Arial" w:cs="Arial"/>
          <w:b/>
          <w:bCs/>
          <w:color w:val="2F5496" w:themeColor="accent1" w:themeShade="BF"/>
          <w:sz w:val="22"/>
          <w:szCs w:val="22"/>
          <w:lang w:val="es-ES_tradnl"/>
        </w:rPr>
        <w:t xml:space="preserve"> n</w:t>
      </w:r>
      <w:r w:rsidRPr="00CF1B34">
        <w:rPr>
          <w:rFonts w:ascii="Arial" w:hAnsi="Arial" w:cs="Arial"/>
          <w:b/>
          <w:bCs/>
          <w:color w:val="2F5496" w:themeColor="accent1" w:themeShade="BF"/>
          <w:sz w:val="22"/>
          <w:szCs w:val="22"/>
          <w:lang w:val="es-ES_tradnl"/>
        </w:rPr>
        <w:t xml:space="preserve"> i.</w:t>
      </w:r>
    </w:p>
    <w:p w14:paraId="5E6BCE2F" w14:textId="12353BEB" w:rsidR="00CD127F" w:rsidRPr="00CF1B34" w:rsidRDefault="00861FC3" w:rsidP="0005621A">
      <w:pPr>
        <w:ind w:firstLine="708"/>
        <w:jc w:val="both"/>
        <w:outlineLvl w:val="1"/>
        <w:rPr>
          <w:rFonts w:ascii="Arial" w:hAnsi="Arial" w:cs="Arial"/>
          <w:b/>
          <w:bCs/>
          <w:color w:val="000000" w:themeColor="text1"/>
          <w:sz w:val="22"/>
          <w:szCs w:val="22"/>
          <w:lang w:val="es-ES_tradnl"/>
        </w:rPr>
      </w:pPr>
      <w:r w:rsidRPr="00CF1B34">
        <w:rPr>
          <w:rFonts w:ascii="Arial" w:hAnsi="Arial" w:cs="Arial"/>
          <w:b/>
          <w:bCs/>
          <w:color w:val="000000" w:themeColor="text1"/>
          <w:sz w:val="22"/>
          <w:szCs w:val="22"/>
          <w:lang w:val="es-ES_tradnl"/>
        </w:rPr>
        <w:t>Donde:</w:t>
      </w:r>
    </w:p>
    <w:p w14:paraId="1F485F8B" w14:textId="6894967B" w:rsidR="00861FC3" w:rsidRPr="00CF1B34" w:rsidRDefault="00861FC3" w:rsidP="0005621A">
      <w:pPr>
        <w:ind w:left="708"/>
        <w:jc w:val="both"/>
        <w:outlineLvl w:val="1"/>
        <w:rPr>
          <w:rFonts w:ascii="Arial" w:hAnsi="Arial" w:cs="Arial"/>
          <w:color w:val="000000" w:themeColor="text1"/>
          <w:sz w:val="22"/>
          <w:szCs w:val="22"/>
          <w:lang w:val="es-ES_tradnl"/>
        </w:rPr>
      </w:pPr>
      <w:r w:rsidRPr="00CF1B34">
        <w:rPr>
          <w:rFonts w:ascii="Arial" w:hAnsi="Arial" w:cs="Arial"/>
          <w:b/>
          <w:bCs/>
          <w:color w:val="000000" w:themeColor="text1"/>
          <w:sz w:val="22"/>
          <w:szCs w:val="22"/>
          <w:lang w:val="es-ES_tradnl"/>
        </w:rPr>
        <w:t xml:space="preserve">C </w:t>
      </w:r>
      <w:r w:rsidRPr="00CF1B34">
        <w:rPr>
          <w:rFonts w:ascii="Arial" w:hAnsi="Arial" w:cs="Arial"/>
          <w:color w:val="000000" w:themeColor="text1"/>
          <w:sz w:val="22"/>
          <w:szCs w:val="22"/>
          <w:lang w:val="es-ES_tradnl"/>
        </w:rPr>
        <w:t>es el capital que se invierte</w:t>
      </w:r>
      <w:r w:rsidRPr="00CF1B34">
        <w:rPr>
          <w:rFonts w:ascii="Arial" w:hAnsi="Arial" w:cs="Arial"/>
          <w:b/>
          <w:bCs/>
          <w:color w:val="000000" w:themeColor="text1"/>
          <w:sz w:val="22"/>
          <w:szCs w:val="22"/>
          <w:lang w:val="es-ES_tradnl"/>
        </w:rPr>
        <w:tab/>
        <w:t xml:space="preserve">i </w:t>
      </w:r>
      <w:r w:rsidRPr="00CF1B34">
        <w:rPr>
          <w:rFonts w:ascii="Arial" w:hAnsi="Arial" w:cs="Arial"/>
          <w:color w:val="000000" w:themeColor="text1"/>
          <w:sz w:val="22"/>
          <w:szCs w:val="22"/>
          <w:lang w:val="es-ES_tradnl"/>
        </w:rPr>
        <w:t>es la tasa de interés</w:t>
      </w:r>
      <w:r w:rsidRPr="00CF1B34">
        <w:rPr>
          <w:rFonts w:ascii="Arial" w:hAnsi="Arial" w:cs="Arial"/>
          <w:b/>
          <w:bCs/>
          <w:color w:val="000000" w:themeColor="text1"/>
          <w:sz w:val="22"/>
          <w:szCs w:val="22"/>
          <w:lang w:val="es-ES_tradnl"/>
        </w:rPr>
        <w:tab/>
      </w:r>
      <w:r w:rsidRPr="00CF1B34">
        <w:rPr>
          <w:rFonts w:ascii="Arial" w:hAnsi="Arial" w:cs="Arial"/>
          <w:b/>
          <w:bCs/>
          <w:color w:val="000000" w:themeColor="text1"/>
          <w:sz w:val="22"/>
          <w:szCs w:val="22"/>
          <w:lang w:val="es-ES_tradnl"/>
        </w:rPr>
        <w:tab/>
        <w:t xml:space="preserve">n </w:t>
      </w:r>
      <w:r w:rsidRPr="00CF1B34">
        <w:rPr>
          <w:rFonts w:ascii="Arial" w:hAnsi="Arial" w:cs="Arial"/>
          <w:color w:val="000000" w:themeColor="text1"/>
          <w:sz w:val="22"/>
          <w:szCs w:val="22"/>
          <w:lang w:val="es-ES_tradnl"/>
        </w:rPr>
        <w:t>es el tiempo del deposito expresado en años</w:t>
      </w:r>
    </w:p>
    <w:p w14:paraId="540491C3" w14:textId="3590CF08" w:rsidR="00CD127F" w:rsidRPr="00CF1B34" w:rsidRDefault="00861FC3" w:rsidP="0005621A">
      <w:pPr>
        <w:ind w:firstLine="708"/>
        <w:jc w:val="both"/>
        <w:outlineLvl w:val="1"/>
        <w:rPr>
          <w:rFonts w:ascii="Arial" w:hAnsi="Arial" w:cs="Arial"/>
          <w:b/>
          <w:bCs/>
          <w:color w:val="FF0000"/>
          <w:sz w:val="22"/>
          <w:szCs w:val="22"/>
          <w:lang w:val="es-ES_tradnl"/>
        </w:rPr>
      </w:pPr>
      <w:r w:rsidRPr="00CF1B34">
        <w:rPr>
          <w:rFonts w:ascii="Arial" w:hAnsi="Arial" w:cs="Arial"/>
          <w:b/>
          <w:bCs/>
          <w:color w:val="FF0000"/>
          <w:sz w:val="22"/>
          <w:szCs w:val="22"/>
          <w:lang w:val="es-ES_tradnl"/>
        </w:rPr>
        <w:t>Interés compuesto: Capitalización compuesta</w:t>
      </w:r>
    </w:p>
    <w:p w14:paraId="3DA748EB" w14:textId="59472820" w:rsidR="00CD127F" w:rsidRPr="00CF1B34" w:rsidRDefault="00861FC3" w:rsidP="0005621A">
      <w:pPr>
        <w:ind w:firstLine="708"/>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C</w:t>
      </w:r>
      <w:r w:rsidRPr="00CF1B34">
        <w:rPr>
          <w:rFonts w:ascii="Arial" w:hAnsi="Arial" w:cs="Arial"/>
          <w:b/>
          <w:bCs/>
          <w:color w:val="2F5496" w:themeColor="accent1" w:themeShade="BF"/>
          <w:sz w:val="22"/>
          <w:szCs w:val="22"/>
          <w:vertAlign w:val="subscript"/>
          <w:lang w:val="es-ES_tradnl"/>
        </w:rPr>
        <w:t>1</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 </w:t>
      </w:r>
      <w:r w:rsidR="007868E6" w:rsidRPr="00CF1B34">
        <w:rPr>
          <w:rFonts w:ascii="Arial" w:hAnsi="Arial" w:cs="Arial"/>
          <w:b/>
          <w:bCs/>
          <w:color w:val="2F5496" w:themeColor="accent1" w:themeShade="BF"/>
          <w:sz w:val="22"/>
          <w:szCs w:val="22"/>
          <w:lang w:val="es-ES_tradnl"/>
        </w:rPr>
        <w:t>C</w:t>
      </w:r>
      <w:r w:rsidR="007868E6" w:rsidRPr="00CF1B34">
        <w:rPr>
          <w:rFonts w:ascii="Arial" w:hAnsi="Arial" w:cs="Arial"/>
          <w:b/>
          <w:bCs/>
          <w:color w:val="2F5496" w:themeColor="accent1" w:themeShade="BF"/>
          <w:sz w:val="22"/>
          <w:szCs w:val="22"/>
          <w:vertAlign w:val="subscript"/>
          <w:lang w:val="es-ES_tradnl"/>
        </w:rPr>
        <w:t xml:space="preserve">0 </w:t>
      </w:r>
      <w:r w:rsidR="007868E6" w:rsidRPr="00CF1B34">
        <w:rPr>
          <w:rFonts w:ascii="Arial" w:hAnsi="Arial" w:cs="Arial"/>
          <w:b/>
          <w:bCs/>
          <w:color w:val="2F5496" w:themeColor="accent1" w:themeShade="BF"/>
          <w:sz w:val="22"/>
          <w:szCs w:val="22"/>
          <w:lang w:val="es-ES_tradnl"/>
        </w:rPr>
        <w:t xml:space="preserve"> i = C</w:t>
      </w:r>
      <w:r w:rsidR="007868E6" w:rsidRPr="00CF1B34">
        <w:rPr>
          <w:rFonts w:ascii="Arial" w:hAnsi="Arial" w:cs="Arial"/>
          <w:b/>
          <w:bCs/>
          <w:color w:val="2F5496" w:themeColor="accent1" w:themeShade="BF"/>
          <w:sz w:val="22"/>
          <w:szCs w:val="22"/>
          <w:vertAlign w:val="subscript"/>
          <w:lang w:val="es-ES_tradnl"/>
        </w:rPr>
        <w:t>0</w:t>
      </w:r>
      <w:r w:rsidR="007868E6" w:rsidRPr="00CF1B34">
        <w:rPr>
          <w:rFonts w:ascii="Arial" w:hAnsi="Arial" w:cs="Arial"/>
          <w:b/>
          <w:bCs/>
          <w:color w:val="2F5496" w:themeColor="accent1" w:themeShade="BF"/>
          <w:sz w:val="22"/>
          <w:szCs w:val="22"/>
          <w:lang w:val="es-ES_tradnl"/>
        </w:rPr>
        <w:t xml:space="preserve"> </w:t>
      </w:r>
      <w:proofErr w:type="gramStart"/>
      <w:r w:rsidR="007868E6" w:rsidRPr="00CF1B34">
        <w:rPr>
          <w:rFonts w:ascii="Arial" w:hAnsi="Arial" w:cs="Arial"/>
          <w:b/>
          <w:bCs/>
          <w:color w:val="2F5496" w:themeColor="accent1" w:themeShade="BF"/>
          <w:sz w:val="22"/>
          <w:szCs w:val="22"/>
          <w:lang w:val="es-ES_tradnl"/>
        </w:rPr>
        <w:t>( 1</w:t>
      </w:r>
      <w:proofErr w:type="gramEnd"/>
      <w:r w:rsidR="007868E6" w:rsidRPr="00CF1B34">
        <w:rPr>
          <w:rFonts w:ascii="Arial" w:hAnsi="Arial" w:cs="Arial"/>
          <w:b/>
          <w:bCs/>
          <w:color w:val="2F5496" w:themeColor="accent1" w:themeShade="BF"/>
          <w:sz w:val="22"/>
          <w:szCs w:val="22"/>
          <w:lang w:val="es-ES_tradnl"/>
        </w:rPr>
        <w:t xml:space="preserve"> + i )</w:t>
      </w:r>
    </w:p>
    <w:p w14:paraId="3DB06860" w14:textId="0AD71865" w:rsidR="00CD127F" w:rsidRPr="00CF1B34" w:rsidRDefault="007868E6" w:rsidP="0005621A">
      <w:pPr>
        <w:ind w:firstLine="708"/>
        <w:jc w:val="both"/>
        <w:outlineLvl w:val="1"/>
        <w:rPr>
          <w:rFonts w:ascii="Arial" w:hAnsi="Arial" w:cs="Arial"/>
          <w:b/>
          <w:bCs/>
          <w:color w:val="2F5496" w:themeColor="accent1" w:themeShade="BF"/>
          <w:sz w:val="22"/>
          <w:szCs w:val="22"/>
          <w:vertAlign w:val="superscript"/>
          <w:lang w:val="es-ES_tradnl"/>
        </w:rPr>
      </w:pPr>
      <w:r w:rsidRPr="00CF1B34">
        <w:rPr>
          <w:rFonts w:ascii="Arial" w:hAnsi="Arial" w:cs="Arial"/>
          <w:b/>
          <w:bCs/>
          <w:color w:val="2F5496" w:themeColor="accent1" w:themeShade="BF"/>
          <w:sz w:val="22"/>
          <w:szCs w:val="22"/>
          <w:lang w:val="es-ES_tradnl"/>
        </w:rPr>
        <w:t>C</w:t>
      </w:r>
      <w:r w:rsidRPr="00CF1B34">
        <w:rPr>
          <w:rFonts w:ascii="Arial" w:hAnsi="Arial" w:cs="Arial"/>
          <w:b/>
          <w:bCs/>
          <w:color w:val="2F5496" w:themeColor="accent1" w:themeShade="BF"/>
          <w:sz w:val="22"/>
          <w:szCs w:val="22"/>
          <w:vertAlign w:val="subscript"/>
          <w:lang w:val="es-ES_tradnl"/>
        </w:rPr>
        <w:t>2</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1</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1</w:t>
      </w:r>
      <w:r w:rsidRPr="00CF1B34">
        <w:rPr>
          <w:rFonts w:ascii="Arial" w:hAnsi="Arial" w:cs="Arial"/>
          <w:b/>
          <w:bCs/>
          <w:color w:val="2F5496" w:themeColor="accent1" w:themeShade="BF"/>
          <w:sz w:val="22"/>
          <w:szCs w:val="22"/>
          <w:lang w:val="es-ES_tradnl"/>
        </w:rPr>
        <w:t xml:space="preserve"> i = C</w:t>
      </w:r>
      <w:r w:rsidRPr="00CF1B34">
        <w:rPr>
          <w:rFonts w:ascii="Arial" w:hAnsi="Arial" w:cs="Arial"/>
          <w:b/>
          <w:bCs/>
          <w:color w:val="2F5496" w:themeColor="accent1" w:themeShade="BF"/>
          <w:sz w:val="22"/>
          <w:szCs w:val="22"/>
          <w:vertAlign w:val="subscript"/>
          <w:lang w:val="es-ES_tradnl"/>
        </w:rPr>
        <w:t>1</w:t>
      </w:r>
      <w:r w:rsidRPr="00CF1B34">
        <w:rPr>
          <w:rFonts w:ascii="Arial" w:hAnsi="Arial" w:cs="Arial"/>
          <w:b/>
          <w:bCs/>
          <w:color w:val="2F5496" w:themeColor="accent1" w:themeShade="BF"/>
          <w:sz w:val="22"/>
          <w:szCs w:val="22"/>
          <w:lang w:val="es-ES_tradnl"/>
        </w:rPr>
        <w:t xml:space="preserve"> </w:t>
      </w:r>
      <w:proofErr w:type="gramStart"/>
      <w:r w:rsidRPr="00CF1B34">
        <w:rPr>
          <w:rFonts w:ascii="Arial" w:hAnsi="Arial" w:cs="Arial"/>
          <w:b/>
          <w:bCs/>
          <w:color w:val="2F5496" w:themeColor="accent1" w:themeShade="BF"/>
          <w:sz w:val="22"/>
          <w:szCs w:val="22"/>
          <w:lang w:val="es-ES_tradnl"/>
        </w:rPr>
        <w:t>( 1</w:t>
      </w:r>
      <w:proofErr w:type="gramEnd"/>
      <w:r w:rsidRPr="00CF1B34">
        <w:rPr>
          <w:rFonts w:ascii="Arial" w:hAnsi="Arial" w:cs="Arial"/>
          <w:b/>
          <w:bCs/>
          <w:color w:val="2F5496" w:themeColor="accent1" w:themeShade="BF"/>
          <w:sz w:val="22"/>
          <w:szCs w:val="22"/>
          <w:lang w:val="es-ES_tradnl"/>
        </w:rPr>
        <w:t xml:space="preserve"> + i ) = C</w:t>
      </w:r>
      <w:r w:rsidR="000D09C4" w:rsidRPr="00CF1B34">
        <w:rPr>
          <w:rFonts w:ascii="Arial" w:hAnsi="Arial" w:cs="Arial"/>
          <w:b/>
          <w:bCs/>
          <w:color w:val="2F5496" w:themeColor="accent1" w:themeShade="BF"/>
          <w:sz w:val="22"/>
          <w:szCs w:val="22"/>
          <w:vertAlign w:val="subscript"/>
          <w:lang w:val="es-ES_tradnl"/>
        </w:rPr>
        <w:t>0</w:t>
      </w:r>
      <w:r w:rsidR="000D09C4" w:rsidRPr="00CF1B34">
        <w:rPr>
          <w:rFonts w:ascii="Arial" w:hAnsi="Arial" w:cs="Arial"/>
          <w:b/>
          <w:bCs/>
          <w:color w:val="2F5496" w:themeColor="accent1" w:themeShade="BF"/>
          <w:sz w:val="22"/>
          <w:szCs w:val="22"/>
          <w:lang w:val="es-ES_tradnl"/>
        </w:rPr>
        <w:t xml:space="preserve"> ( 1 + i )</w:t>
      </w:r>
      <w:r w:rsidR="000D09C4" w:rsidRPr="00CF1B34">
        <w:rPr>
          <w:rFonts w:ascii="Arial" w:hAnsi="Arial" w:cs="Arial"/>
          <w:b/>
          <w:bCs/>
          <w:color w:val="2F5496" w:themeColor="accent1" w:themeShade="BF"/>
          <w:sz w:val="22"/>
          <w:szCs w:val="22"/>
          <w:vertAlign w:val="superscript"/>
          <w:lang w:val="es-ES_tradnl"/>
        </w:rPr>
        <w:t>2</w:t>
      </w:r>
    </w:p>
    <w:p w14:paraId="3FB8B6CB" w14:textId="131112B5" w:rsidR="00861FC3" w:rsidRPr="00CF1B34" w:rsidRDefault="000D09C4" w:rsidP="0005621A">
      <w:pPr>
        <w:ind w:firstLine="708"/>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w:t>
      </w:r>
    </w:p>
    <w:p w14:paraId="152272D1" w14:textId="581BA791" w:rsidR="00861FC3" w:rsidRPr="00CF1B34" w:rsidRDefault="000D09C4" w:rsidP="0005621A">
      <w:pPr>
        <w:ind w:firstLine="708"/>
        <w:jc w:val="both"/>
        <w:outlineLvl w:val="1"/>
        <w:rPr>
          <w:rFonts w:ascii="Arial" w:hAnsi="Arial" w:cs="Arial"/>
          <w:b/>
          <w:bCs/>
          <w:color w:val="2F5496" w:themeColor="accent1" w:themeShade="BF"/>
          <w:sz w:val="22"/>
          <w:szCs w:val="22"/>
          <w:vertAlign w:val="superscript"/>
          <w:lang w:val="es-ES_tradnl"/>
        </w:rPr>
      </w:pPr>
      <w:r w:rsidRPr="00CF1B34">
        <w:rPr>
          <w:rFonts w:ascii="Arial" w:hAnsi="Arial" w:cs="Arial"/>
          <w:b/>
          <w:bCs/>
          <w:color w:val="2F5496" w:themeColor="accent1" w:themeShade="BF"/>
          <w:sz w:val="22"/>
          <w:szCs w:val="22"/>
          <w:lang w:val="es-ES_tradnl"/>
        </w:rPr>
        <w:t>C</w:t>
      </w:r>
      <w:r w:rsidRPr="00CF1B34">
        <w:rPr>
          <w:rFonts w:ascii="Arial" w:hAnsi="Arial" w:cs="Arial"/>
          <w:b/>
          <w:bCs/>
          <w:color w:val="2F5496" w:themeColor="accent1" w:themeShade="BF"/>
          <w:sz w:val="22"/>
          <w:szCs w:val="22"/>
          <w:vertAlign w:val="subscript"/>
          <w:lang w:val="es-ES_tradnl"/>
        </w:rPr>
        <w:t>n</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n-1</w:t>
      </w:r>
      <w:r w:rsidRPr="00CF1B34">
        <w:rPr>
          <w:rFonts w:ascii="Arial" w:hAnsi="Arial" w:cs="Arial"/>
          <w:b/>
          <w:bCs/>
          <w:color w:val="2F5496" w:themeColor="accent1" w:themeShade="BF"/>
          <w:sz w:val="22"/>
          <w:szCs w:val="22"/>
          <w:lang w:val="es-ES_tradnl"/>
        </w:rPr>
        <w:t xml:space="preserve"> + C</w:t>
      </w:r>
      <w:r w:rsidRPr="00CF1B34">
        <w:rPr>
          <w:rFonts w:ascii="Arial" w:hAnsi="Arial" w:cs="Arial"/>
          <w:b/>
          <w:bCs/>
          <w:color w:val="2F5496" w:themeColor="accent1" w:themeShade="BF"/>
          <w:sz w:val="22"/>
          <w:szCs w:val="22"/>
          <w:vertAlign w:val="subscript"/>
          <w:lang w:val="es-ES_tradnl"/>
        </w:rPr>
        <w:t>n-1</w:t>
      </w:r>
      <w:r w:rsidRPr="00CF1B34">
        <w:rPr>
          <w:rFonts w:ascii="Arial" w:hAnsi="Arial" w:cs="Arial"/>
          <w:b/>
          <w:bCs/>
          <w:color w:val="2F5496" w:themeColor="accent1" w:themeShade="BF"/>
          <w:sz w:val="22"/>
          <w:szCs w:val="22"/>
          <w:lang w:val="es-ES_tradnl"/>
        </w:rPr>
        <w:t xml:space="preserve"> i =C</w:t>
      </w:r>
      <w:r w:rsidRPr="00CF1B34">
        <w:rPr>
          <w:rFonts w:ascii="Arial" w:hAnsi="Arial" w:cs="Arial"/>
          <w:b/>
          <w:bCs/>
          <w:color w:val="2F5496" w:themeColor="accent1" w:themeShade="BF"/>
          <w:sz w:val="22"/>
          <w:szCs w:val="22"/>
          <w:vertAlign w:val="subscript"/>
          <w:lang w:val="es-ES_tradnl"/>
        </w:rPr>
        <w:t>n-1</w:t>
      </w:r>
      <w:r w:rsidRPr="00CF1B34">
        <w:rPr>
          <w:rFonts w:ascii="Arial" w:hAnsi="Arial" w:cs="Arial"/>
          <w:b/>
          <w:bCs/>
          <w:color w:val="2F5496" w:themeColor="accent1" w:themeShade="BF"/>
          <w:sz w:val="22"/>
          <w:szCs w:val="22"/>
          <w:lang w:val="es-ES_tradnl"/>
        </w:rPr>
        <w:t xml:space="preserve"> </w:t>
      </w:r>
      <w:proofErr w:type="gramStart"/>
      <w:r w:rsidRPr="00CF1B34">
        <w:rPr>
          <w:rFonts w:ascii="Arial" w:hAnsi="Arial" w:cs="Arial"/>
          <w:b/>
          <w:bCs/>
          <w:color w:val="2F5496" w:themeColor="accent1" w:themeShade="BF"/>
          <w:sz w:val="22"/>
          <w:szCs w:val="22"/>
          <w:lang w:val="es-ES_tradnl"/>
        </w:rPr>
        <w:t>( 1</w:t>
      </w:r>
      <w:proofErr w:type="gramEnd"/>
      <w:r w:rsidRPr="00CF1B34">
        <w:rPr>
          <w:rFonts w:ascii="Arial" w:hAnsi="Arial" w:cs="Arial"/>
          <w:b/>
          <w:bCs/>
          <w:color w:val="2F5496" w:themeColor="accent1" w:themeShade="BF"/>
          <w:sz w:val="22"/>
          <w:szCs w:val="22"/>
          <w:lang w:val="es-ES_tradnl"/>
        </w:rPr>
        <w:t xml:space="preserve"> + i ) = C</w:t>
      </w:r>
      <w:r w:rsidRPr="00CF1B34">
        <w:rPr>
          <w:rFonts w:ascii="Arial" w:hAnsi="Arial" w:cs="Arial"/>
          <w:b/>
          <w:bCs/>
          <w:color w:val="2F5496" w:themeColor="accent1" w:themeShade="BF"/>
          <w:sz w:val="22"/>
          <w:szCs w:val="22"/>
          <w:vertAlign w:val="subscript"/>
          <w:lang w:val="es-ES_tradnl"/>
        </w:rPr>
        <w:t>0</w:t>
      </w:r>
      <w:r w:rsidRPr="00CF1B34">
        <w:rPr>
          <w:rFonts w:ascii="Arial" w:hAnsi="Arial" w:cs="Arial"/>
          <w:b/>
          <w:bCs/>
          <w:color w:val="2F5496" w:themeColor="accent1" w:themeShade="BF"/>
          <w:sz w:val="22"/>
          <w:szCs w:val="22"/>
          <w:lang w:val="es-ES_tradnl"/>
        </w:rPr>
        <w:t xml:space="preserve"> (</w:t>
      </w:r>
      <w:r w:rsidR="00896D1C" w:rsidRPr="00CF1B34">
        <w:rPr>
          <w:rFonts w:ascii="Arial" w:hAnsi="Arial" w:cs="Arial"/>
          <w:b/>
          <w:bCs/>
          <w:color w:val="2F5496" w:themeColor="accent1" w:themeShade="BF"/>
          <w:sz w:val="22"/>
          <w:szCs w:val="22"/>
          <w:lang w:val="es-ES_tradnl"/>
        </w:rPr>
        <w:t xml:space="preserve"> </w:t>
      </w:r>
      <w:r w:rsidRPr="00CF1B34">
        <w:rPr>
          <w:rFonts w:ascii="Arial" w:hAnsi="Arial" w:cs="Arial"/>
          <w:b/>
          <w:bCs/>
          <w:color w:val="2F5496" w:themeColor="accent1" w:themeShade="BF"/>
          <w:sz w:val="22"/>
          <w:szCs w:val="22"/>
          <w:lang w:val="es-ES_tradnl"/>
        </w:rPr>
        <w:t>1 + i</w:t>
      </w:r>
      <w:r w:rsidR="00896D1C" w:rsidRPr="00CF1B34">
        <w:rPr>
          <w:rFonts w:ascii="Arial" w:hAnsi="Arial" w:cs="Arial"/>
          <w:b/>
          <w:bCs/>
          <w:color w:val="2F5496" w:themeColor="accent1" w:themeShade="BF"/>
          <w:sz w:val="22"/>
          <w:szCs w:val="22"/>
          <w:lang w:val="es-ES_tradnl"/>
        </w:rPr>
        <w:t xml:space="preserve"> </w:t>
      </w:r>
      <w:r w:rsidRPr="00CF1B34">
        <w:rPr>
          <w:rFonts w:ascii="Arial" w:hAnsi="Arial" w:cs="Arial"/>
          <w:b/>
          <w:bCs/>
          <w:color w:val="2F5496" w:themeColor="accent1" w:themeShade="BF"/>
          <w:sz w:val="22"/>
          <w:szCs w:val="22"/>
          <w:lang w:val="es-ES_tradnl"/>
        </w:rPr>
        <w:t>)</w:t>
      </w:r>
      <w:r w:rsidRPr="00CF1B34">
        <w:rPr>
          <w:rFonts w:ascii="Arial" w:hAnsi="Arial" w:cs="Arial"/>
          <w:b/>
          <w:bCs/>
          <w:color w:val="2F5496" w:themeColor="accent1" w:themeShade="BF"/>
          <w:sz w:val="22"/>
          <w:szCs w:val="22"/>
          <w:vertAlign w:val="superscript"/>
          <w:lang w:val="es-ES_tradnl"/>
        </w:rPr>
        <w:t>n</w:t>
      </w:r>
    </w:p>
    <w:p w14:paraId="16F974FF" w14:textId="3222B47F" w:rsidR="00861FC3" w:rsidRPr="00CF1B34" w:rsidRDefault="00861FC3" w:rsidP="0005621A">
      <w:pPr>
        <w:jc w:val="both"/>
        <w:outlineLvl w:val="1"/>
        <w:rPr>
          <w:rFonts w:ascii="Arial" w:hAnsi="Arial" w:cs="Arial"/>
          <w:b/>
          <w:bCs/>
          <w:color w:val="2F5496" w:themeColor="accent1" w:themeShade="BF"/>
          <w:sz w:val="22"/>
          <w:szCs w:val="22"/>
          <w:lang w:val="es-ES_tradnl"/>
        </w:rPr>
      </w:pPr>
    </w:p>
    <w:p w14:paraId="7873295A" w14:textId="0F7679E5" w:rsidR="000D09C4" w:rsidRPr="00CF1B34" w:rsidRDefault="000D09C4" w:rsidP="0005621A">
      <w:pPr>
        <w:ind w:firstLine="708"/>
        <w:jc w:val="both"/>
        <w:outlineLvl w:val="1"/>
        <w:rPr>
          <w:rFonts w:ascii="Arial" w:hAnsi="Arial" w:cs="Arial"/>
          <w:b/>
          <w:bCs/>
          <w:color w:val="2F5496" w:themeColor="accent1" w:themeShade="BF"/>
          <w:sz w:val="22"/>
          <w:szCs w:val="22"/>
          <w:vertAlign w:val="superscript"/>
          <w:lang w:val="es-ES_tradnl"/>
        </w:rPr>
      </w:pPr>
      <w:r w:rsidRPr="00CF1B34">
        <w:rPr>
          <w:rFonts w:ascii="Arial" w:hAnsi="Arial" w:cs="Arial"/>
          <w:b/>
          <w:bCs/>
          <w:color w:val="2F5496" w:themeColor="accent1" w:themeShade="BF"/>
          <w:sz w:val="22"/>
          <w:szCs w:val="22"/>
          <w:lang w:val="es-ES_tradnl"/>
        </w:rPr>
        <w:t>Luego el valor del montante a lo largo de n años es: C</w:t>
      </w:r>
      <w:r w:rsidRPr="00CF1B34">
        <w:rPr>
          <w:rFonts w:ascii="Arial" w:hAnsi="Arial" w:cs="Arial"/>
          <w:b/>
          <w:bCs/>
          <w:color w:val="2F5496" w:themeColor="accent1" w:themeShade="BF"/>
          <w:sz w:val="22"/>
          <w:szCs w:val="22"/>
          <w:vertAlign w:val="subscript"/>
          <w:lang w:val="es-ES_tradnl"/>
        </w:rPr>
        <w:t>n</w:t>
      </w:r>
      <w:r w:rsidRPr="00CF1B34">
        <w:rPr>
          <w:rFonts w:ascii="Arial" w:hAnsi="Arial" w:cs="Arial"/>
          <w:b/>
          <w:bCs/>
          <w:color w:val="2F5496" w:themeColor="accent1" w:themeShade="BF"/>
          <w:sz w:val="22"/>
          <w:szCs w:val="22"/>
          <w:lang w:val="es-ES_tradnl"/>
        </w:rPr>
        <w:t xml:space="preserve"> = </w:t>
      </w:r>
      <w:r w:rsidR="007C1994" w:rsidRPr="00CF1B34">
        <w:rPr>
          <w:rFonts w:ascii="Arial" w:hAnsi="Arial" w:cs="Arial"/>
          <w:b/>
          <w:bCs/>
          <w:color w:val="2F5496" w:themeColor="accent1" w:themeShade="BF"/>
          <w:sz w:val="22"/>
          <w:szCs w:val="22"/>
          <w:lang w:val="es-ES_tradnl"/>
        </w:rPr>
        <w:t>C</w:t>
      </w:r>
      <w:r w:rsidR="007C1994" w:rsidRPr="00CF1B34">
        <w:rPr>
          <w:rFonts w:ascii="Arial" w:hAnsi="Arial" w:cs="Arial"/>
          <w:b/>
          <w:bCs/>
          <w:color w:val="2F5496" w:themeColor="accent1" w:themeShade="BF"/>
          <w:sz w:val="22"/>
          <w:szCs w:val="22"/>
          <w:vertAlign w:val="subscript"/>
          <w:lang w:val="es-ES_tradnl"/>
        </w:rPr>
        <w:t>0</w:t>
      </w:r>
      <w:r w:rsidR="007C1994" w:rsidRPr="00CF1B34">
        <w:rPr>
          <w:rFonts w:ascii="Arial" w:hAnsi="Arial" w:cs="Arial"/>
          <w:b/>
          <w:bCs/>
          <w:color w:val="2F5496" w:themeColor="accent1" w:themeShade="BF"/>
          <w:sz w:val="22"/>
          <w:szCs w:val="22"/>
          <w:lang w:val="es-ES_tradnl"/>
        </w:rPr>
        <w:t xml:space="preserve"> </w:t>
      </w:r>
      <w:proofErr w:type="gramStart"/>
      <w:r w:rsidR="007C1994" w:rsidRPr="00CF1B34">
        <w:rPr>
          <w:rFonts w:ascii="Arial" w:hAnsi="Arial" w:cs="Arial"/>
          <w:b/>
          <w:bCs/>
          <w:color w:val="2F5496" w:themeColor="accent1" w:themeShade="BF"/>
          <w:sz w:val="22"/>
          <w:szCs w:val="22"/>
          <w:lang w:val="es-ES_tradnl"/>
        </w:rPr>
        <w:t>( 1</w:t>
      </w:r>
      <w:proofErr w:type="gramEnd"/>
      <w:r w:rsidR="007C1994" w:rsidRPr="00CF1B34">
        <w:rPr>
          <w:rFonts w:ascii="Arial" w:hAnsi="Arial" w:cs="Arial"/>
          <w:b/>
          <w:bCs/>
          <w:color w:val="2F5496" w:themeColor="accent1" w:themeShade="BF"/>
          <w:sz w:val="22"/>
          <w:szCs w:val="22"/>
          <w:lang w:val="es-ES_tradnl"/>
        </w:rPr>
        <w:t xml:space="preserve"> + i )</w:t>
      </w:r>
      <w:r w:rsidR="007C1994" w:rsidRPr="00CF1B34">
        <w:rPr>
          <w:rFonts w:ascii="Arial" w:hAnsi="Arial" w:cs="Arial"/>
          <w:b/>
          <w:bCs/>
          <w:color w:val="2F5496" w:themeColor="accent1" w:themeShade="BF"/>
          <w:sz w:val="22"/>
          <w:szCs w:val="22"/>
          <w:vertAlign w:val="superscript"/>
          <w:lang w:val="es-ES_tradnl"/>
        </w:rPr>
        <w:t>n</w:t>
      </w:r>
    </w:p>
    <w:p w14:paraId="4D4CD2B9" w14:textId="3E73477E" w:rsidR="00896D1C" w:rsidRPr="00CF1B34" w:rsidRDefault="0086474A" w:rsidP="0005621A">
      <w:pPr>
        <w:ind w:firstLine="708"/>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L</w:t>
      </w:r>
      <w:r w:rsidR="00896D1C" w:rsidRPr="00CF1B34">
        <w:rPr>
          <w:rFonts w:ascii="Arial" w:hAnsi="Arial" w:cs="Arial"/>
          <w:b/>
          <w:bCs/>
          <w:color w:val="2F5496" w:themeColor="accent1" w:themeShade="BF"/>
          <w:sz w:val="22"/>
          <w:szCs w:val="22"/>
          <w:lang w:val="es-ES_tradnl"/>
        </w:rPr>
        <w:t>os intereses obtenidos son I = C</w:t>
      </w:r>
      <w:r w:rsidR="00896D1C" w:rsidRPr="00CF1B34">
        <w:rPr>
          <w:rFonts w:ascii="Arial" w:hAnsi="Arial" w:cs="Arial"/>
          <w:b/>
          <w:bCs/>
          <w:color w:val="2F5496" w:themeColor="accent1" w:themeShade="BF"/>
          <w:sz w:val="22"/>
          <w:szCs w:val="22"/>
          <w:vertAlign w:val="subscript"/>
          <w:lang w:val="es-ES_tradnl"/>
        </w:rPr>
        <w:t>n</w:t>
      </w:r>
      <w:r w:rsidR="00896D1C" w:rsidRPr="00CF1B34">
        <w:rPr>
          <w:rFonts w:ascii="Arial" w:hAnsi="Arial" w:cs="Arial"/>
          <w:b/>
          <w:bCs/>
          <w:color w:val="2F5496" w:themeColor="accent1" w:themeShade="BF"/>
          <w:sz w:val="22"/>
          <w:szCs w:val="22"/>
          <w:lang w:val="es-ES_tradnl"/>
        </w:rPr>
        <w:t xml:space="preserve"> – C</w:t>
      </w:r>
      <w:r w:rsidR="00896D1C" w:rsidRPr="00CF1B34">
        <w:rPr>
          <w:rFonts w:ascii="Arial" w:hAnsi="Arial" w:cs="Arial"/>
          <w:b/>
          <w:bCs/>
          <w:color w:val="2F5496" w:themeColor="accent1" w:themeShade="BF"/>
          <w:sz w:val="22"/>
          <w:szCs w:val="22"/>
          <w:vertAlign w:val="subscript"/>
          <w:lang w:val="es-ES_tradnl"/>
        </w:rPr>
        <w:t>0</w:t>
      </w:r>
      <w:r w:rsidR="00896D1C" w:rsidRPr="00CF1B34">
        <w:rPr>
          <w:rFonts w:ascii="Arial" w:hAnsi="Arial" w:cs="Arial"/>
          <w:b/>
          <w:bCs/>
          <w:color w:val="2F5496" w:themeColor="accent1" w:themeShade="BF"/>
          <w:sz w:val="22"/>
          <w:szCs w:val="22"/>
          <w:lang w:val="es-ES_tradnl"/>
        </w:rPr>
        <w:t xml:space="preserve"> = C</w:t>
      </w:r>
      <w:r w:rsidR="00896D1C" w:rsidRPr="00CF1B34">
        <w:rPr>
          <w:rFonts w:ascii="Arial" w:hAnsi="Arial" w:cs="Arial"/>
          <w:b/>
          <w:bCs/>
          <w:color w:val="2F5496" w:themeColor="accent1" w:themeShade="BF"/>
          <w:sz w:val="22"/>
          <w:szCs w:val="22"/>
          <w:vertAlign w:val="subscript"/>
          <w:lang w:val="es-ES_tradnl"/>
        </w:rPr>
        <w:t>0</w:t>
      </w:r>
      <w:r w:rsidR="00896D1C" w:rsidRPr="00CF1B34">
        <w:rPr>
          <w:rFonts w:ascii="Arial" w:hAnsi="Arial" w:cs="Arial"/>
          <w:b/>
          <w:bCs/>
          <w:color w:val="2F5496" w:themeColor="accent1" w:themeShade="BF"/>
          <w:sz w:val="22"/>
          <w:szCs w:val="22"/>
          <w:lang w:val="es-ES_tradnl"/>
        </w:rPr>
        <w:t xml:space="preserve"> [ </w:t>
      </w:r>
      <w:proofErr w:type="gramStart"/>
      <w:r w:rsidR="00896D1C" w:rsidRPr="00CF1B34">
        <w:rPr>
          <w:rFonts w:ascii="Arial" w:hAnsi="Arial" w:cs="Arial"/>
          <w:b/>
          <w:bCs/>
          <w:color w:val="2F5496" w:themeColor="accent1" w:themeShade="BF"/>
          <w:sz w:val="22"/>
          <w:szCs w:val="22"/>
          <w:lang w:val="es-ES_tradnl"/>
        </w:rPr>
        <w:t>( 1</w:t>
      </w:r>
      <w:proofErr w:type="gramEnd"/>
      <w:r w:rsidR="00896D1C" w:rsidRPr="00CF1B34">
        <w:rPr>
          <w:rFonts w:ascii="Arial" w:hAnsi="Arial" w:cs="Arial"/>
          <w:b/>
          <w:bCs/>
          <w:color w:val="2F5496" w:themeColor="accent1" w:themeShade="BF"/>
          <w:sz w:val="22"/>
          <w:szCs w:val="22"/>
          <w:lang w:val="es-ES_tradnl"/>
        </w:rPr>
        <w:t xml:space="preserve"> + i )</w:t>
      </w:r>
      <w:r w:rsidR="00896D1C" w:rsidRPr="00CF1B34">
        <w:rPr>
          <w:rFonts w:ascii="Arial" w:hAnsi="Arial" w:cs="Arial"/>
          <w:b/>
          <w:bCs/>
          <w:color w:val="2F5496" w:themeColor="accent1" w:themeShade="BF"/>
          <w:sz w:val="22"/>
          <w:szCs w:val="22"/>
          <w:vertAlign w:val="superscript"/>
          <w:lang w:val="es-ES_tradnl"/>
        </w:rPr>
        <w:t>n</w:t>
      </w:r>
      <w:r w:rsidR="00896D1C" w:rsidRPr="00CF1B34">
        <w:rPr>
          <w:rFonts w:ascii="Arial" w:hAnsi="Arial" w:cs="Arial"/>
          <w:b/>
          <w:bCs/>
          <w:color w:val="2F5496" w:themeColor="accent1" w:themeShade="BF"/>
          <w:sz w:val="22"/>
          <w:szCs w:val="22"/>
          <w:lang w:val="es-ES_tradnl"/>
        </w:rPr>
        <w:t xml:space="preserve"> – 1 ]</w:t>
      </w:r>
    </w:p>
    <w:p w14:paraId="425EF570" w14:textId="5F4E6EBE" w:rsidR="00E957EF" w:rsidRPr="00CF1B34" w:rsidRDefault="00E957EF" w:rsidP="0005621A">
      <w:pPr>
        <w:ind w:left="708"/>
        <w:jc w:val="both"/>
        <w:rPr>
          <w:rFonts w:ascii="Arial" w:hAnsi="Arial" w:cs="Arial"/>
          <w:sz w:val="22"/>
          <w:szCs w:val="22"/>
          <w:lang w:val="es-ES_tradnl"/>
        </w:rPr>
      </w:pPr>
      <w:r w:rsidRPr="00CF1B34">
        <w:rPr>
          <w:rFonts w:ascii="Arial" w:hAnsi="Arial" w:cs="Arial"/>
          <w:color w:val="4A4A4A"/>
          <w:sz w:val="22"/>
          <w:szCs w:val="22"/>
          <w:shd w:val="clear" w:color="auto" w:fill="FFFFFF"/>
          <w:lang w:val="es-ES_tradnl"/>
        </w:rPr>
        <w:t>Simplificando al máximo su definición, no sería más que</w:t>
      </w:r>
      <w:r w:rsidRPr="00CF1B34">
        <w:rPr>
          <w:rStyle w:val="Textoennegrita"/>
          <w:rFonts w:ascii="Arial" w:hAnsi="Arial" w:cs="Arial"/>
          <w:color w:val="4A4A4A"/>
          <w:sz w:val="22"/>
          <w:szCs w:val="22"/>
          <w:shd w:val="clear" w:color="auto" w:fill="FFFFFF"/>
          <w:lang w:val="es-ES_tradnl"/>
        </w:rPr>
        <w:t xml:space="preserve"> la reinversión de los beneficios</w:t>
      </w:r>
      <w:r w:rsidRPr="00CF1B34">
        <w:rPr>
          <w:rFonts w:ascii="Arial" w:hAnsi="Arial" w:cs="Arial"/>
          <w:color w:val="4A4A4A"/>
          <w:sz w:val="22"/>
          <w:szCs w:val="22"/>
          <w:shd w:val="clear" w:color="auto" w:fill="FFFFFF"/>
          <w:lang w:val="es-ES_tradnl"/>
        </w:rPr>
        <w:t xml:space="preserve">. Es decir, </w:t>
      </w:r>
      <w:r w:rsidRPr="00CF1B34">
        <w:rPr>
          <w:rStyle w:val="Textoennegrita"/>
          <w:rFonts w:ascii="Arial" w:hAnsi="Arial" w:cs="Arial"/>
          <w:color w:val="4A4A4A"/>
          <w:sz w:val="22"/>
          <w:szCs w:val="22"/>
          <w:shd w:val="clear" w:color="auto" w:fill="FFFFFF"/>
          <w:lang w:val="es-ES_tradnl"/>
        </w:rPr>
        <w:t>obtener intereses sobre los intereses</w:t>
      </w:r>
      <w:r w:rsidRPr="00CF1B34">
        <w:rPr>
          <w:rFonts w:ascii="Arial" w:hAnsi="Arial" w:cs="Arial"/>
          <w:color w:val="4A4A4A"/>
          <w:sz w:val="22"/>
          <w:szCs w:val="22"/>
          <w:shd w:val="clear" w:color="auto" w:fill="FFFFFF"/>
          <w:lang w:val="es-ES_tradnl"/>
        </w:rPr>
        <w:t xml:space="preserve"> que ya genera una inversión.</w:t>
      </w:r>
    </w:p>
    <w:p w14:paraId="631124CD" w14:textId="77777777" w:rsidR="00E957EF" w:rsidRPr="00CF1B34" w:rsidRDefault="00E957EF" w:rsidP="0005621A">
      <w:pPr>
        <w:jc w:val="both"/>
        <w:outlineLvl w:val="1"/>
        <w:rPr>
          <w:rFonts w:ascii="Arial" w:hAnsi="Arial" w:cs="Arial"/>
          <w:b/>
          <w:bCs/>
          <w:color w:val="2F5496" w:themeColor="accent1" w:themeShade="BF"/>
          <w:sz w:val="22"/>
          <w:szCs w:val="22"/>
          <w:lang w:val="es-ES_tradnl"/>
        </w:rPr>
      </w:pPr>
    </w:p>
    <w:p w14:paraId="16071AE1" w14:textId="3D19F815" w:rsidR="00896D1C" w:rsidRPr="00CF1B34" w:rsidRDefault="00B36A31" w:rsidP="0005621A">
      <w:pPr>
        <w:ind w:firstLine="708"/>
        <w:jc w:val="both"/>
        <w:outlineLvl w:val="1"/>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Los intereses bancarios se dividen en dos tipos:</w:t>
      </w:r>
    </w:p>
    <w:p w14:paraId="284F02B7" w14:textId="4F7C6BAC" w:rsidR="00B36A31" w:rsidRPr="00CF1B34" w:rsidRDefault="00B36A31" w:rsidP="0005621A">
      <w:pPr>
        <w:ind w:firstLine="708"/>
        <w:jc w:val="both"/>
        <w:outlineLvl w:val="1"/>
        <w:rPr>
          <w:rFonts w:ascii="Arial" w:hAnsi="Arial" w:cs="Arial"/>
          <w:color w:val="000000" w:themeColor="text1"/>
          <w:sz w:val="22"/>
          <w:szCs w:val="22"/>
          <w:u w:val="single"/>
          <w:lang w:val="es-ES_tradnl"/>
        </w:rPr>
      </w:pPr>
      <w:r w:rsidRPr="00CF1B34">
        <w:rPr>
          <w:rFonts w:ascii="Arial" w:hAnsi="Arial" w:cs="Arial"/>
          <w:color w:val="000000" w:themeColor="text1"/>
          <w:sz w:val="22"/>
          <w:szCs w:val="22"/>
          <w:u w:val="single"/>
          <w:lang w:val="es-ES_tradnl"/>
        </w:rPr>
        <w:t xml:space="preserve">Interés remuneratorio </w:t>
      </w:r>
    </w:p>
    <w:p w14:paraId="4DF85FE5" w14:textId="00E5C267" w:rsidR="00896D1C" w:rsidRPr="00CF1B34" w:rsidRDefault="00B36A31" w:rsidP="0005621A">
      <w:pPr>
        <w:ind w:left="708"/>
        <w:jc w:val="both"/>
        <w:outlineLvl w:val="1"/>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Es el retribuido por la cesión del capital y el rendimiento generado por la financiación ajena. Deben pagarse como intereses ordinarios por haber pedido un préstamo y</w:t>
      </w:r>
      <w:r w:rsidR="008F18BF" w:rsidRPr="00CF1B34">
        <w:rPr>
          <w:rFonts w:ascii="Arial" w:hAnsi="Arial" w:cs="Arial"/>
          <w:color w:val="000000" w:themeColor="text1"/>
          <w:sz w:val="22"/>
          <w:szCs w:val="22"/>
          <w:lang w:val="es-ES_tradnl"/>
        </w:rPr>
        <w:t xml:space="preserve"> </w:t>
      </w:r>
      <w:r w:rsidR="0086474A" w:rsidRPr="00CF1B34">
        <w:rPr>
          <w:rFonts w:ascii="Arial" w:hAnsi="Arial" w:cs="Arial"/>
          <w:color w:val="000000" w:themeColor="text1"/>
          <w:sz w:val="22"/>
          <w:szCs w:val="22"/>
          <w:lang w:val="es-ES_tradnl"/>
        </w:rPr>
        <w:t>por que se cobran por un deposito a plazo.</w:t>
      </w:r>
    </w:p>
    <w:p w14:paraId="3C3CAB98" w14:textId="71BCFB31" w:rsidR="0086474A" w:rsidRPr="00CF1B34" w:rsidRDefault="0086474A" w:rsidP="0005621A">
      <w:pPr>
        <w:ind w:firstLine="708"/>
        <w:jc w:val="both"/>
        <w:outlineLvl w:val="1"/>
        <w:rPr>
          <w:rFonts w:ascii="Arial" w:hAnsi="Arial" w:cs="Arial"/>
          <w:color w:val="000000" w:themeColor="text1"/>
          <w:sz w:val="22"/>
          <w:szCs w:val="22"/>
          <w:u w:val="single"/>
          <w:lang w:val="es-ES_tradnl"/>
        </w:rPr>
      </w:pPr>
      <w:r w:rsidRPr="00CF1B34">
        <w:rPr>
          <w:rFonts w:ascii="Arial" w:hAnsi="Arial" w:cs="Arial"/>
          <w:color w:val="000000" w:themeColor="text1"/>
          <w:sz w:val="22"/>
          <w:szCs w:val="22"/>
          <w:u w:val="single"/>
          <w:lang w:val="es-ES_tradnl"/>
        </w:rPr>
        <w:t>Interés de mora, moratoria de demora.</w:t>
      </w:r>
    </w:p>
    <w:p w14:paraId="79FD8B6C" w14:textId="722E9A63" w:rsidR="0086474A" w:rsidRPr="00CF1B34" w:rsidRDefault="0086474A" w:rsidP="0005621A">
      <w:pPr>
        <w:ind w:left="708"/>
        <w:jc w:val="both"/>
        <w:outlineLvl w:val="1"/>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Se refiere al interés ligado a la penalización por incumplimiento</w:t>
      </w:r>
      <w:r w:rsidR="008F18BF" w:rsidRPr="00CF1B34">
        <w:rPr>
          <w:rFonts w:ascii="Arial" w:hAnsi="Arial" w:cs="Arial"/>
          <w:color w:val="000000" w:themeColor="text1"/>
          <w:sz w:val="22"/>
          <w:szCs w:val="22"/>
          <w:lang w:val="es-ES_tradnl"/>
        </w:rPr>
        <w:t>, se trata de un valor de interés que se publica en el BOE  que tiene vigencia durante el resto del año, aplicándose como indemnización de daños y perjuicios cuando el deudor incurriese en mora y  no se haya pactado un interés determinado.</w:t>
      </w:r>
    </w:p>
    <w:p w14:paraId="72BDFA51" w14:textId="7EBC87CF" w:rsidR="00896D1C" w:rsidRPr="00CF1B34" w:rsidRDefault="008F18BF" w:rsidP="0005621A">
      <w:pPr>
        <w:ind w:firstLine="708"/>
        <w:jc w:val="both"/>
        <w:outlineLvl w:val="1"/>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TIPOS HIPOTECARIOS:</w:t>
      </w:r>
    </w:p>
    <w:p w14:paraId="21B300F8" w14:textId="65FA5FBC" w:rsidR="008F18BF" w:rsidRPr="00CF1B34" w:rsidRDefault="008F18BF" w:rsidP="0005621A">
      <w:pPr>
        <w:ind w:left="708"/>
        <w:jc w:val="both"/>
        <w:outlineLvl w:val="1"/>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Son los mas utilizados, es el tipo de interés que cobran las entidades bancarias y de crédito por dar un préstamo de hipoteca.</w:t>
      </w:r>
    </w:p>
    <w:p w14:paraId="01BB2325" w14:textId="3614C284" w:rsidR="008F18BF" w:rsidRPr="00CF1B34" w:rsidRDefault="008F18BF" w:rsidP="0005621A">
      <w:pPr>
        <w:ind w:firstLine="708"/>
        <w:jc w:val="both"/>
        <w:outlineLvl w:val="1"/>
        <w:rPr>
          <w:rFonts w:ascii="Arial" w:hAnsi="Arial" w:cs="Arial"/>
          <w:color w:val="000000" w:themeColor="text1"/>
          <w:sz w:val="22"/>
          <w:szCs w:val="22"/>
          <w:u w:val="single"/>
          <w:lang w:val="es-ES_tradnl"/>
        </w:rPr>
      </w:pPr>
      <w:r w:rsidRPr="00CF1B34">
        <w:rPr>
          <w:rFonts w:ascii="Arial" w:hAnsi="Arial" w:cs="Arial"/>
          <w:color w:val="000000" w:themeColor="text1"/>
          <w:sz w:val="22"/>
          <w:szCs w:val="22"/>
          <w:u w:val="single"/>
          <w:lang w:val="es-ES_tradnl"/>
        </w:rPr>
        <w:t>Interés variable:</w:t>
      </w:r>
    </w:p>
    <w:p w14:paraId="455D25FB" w14:textId="5F272298" w:rsidR="008F18BF" w:rsidRPr="00CF1B34" w:rsidRDefault="008F18BF" w:rsidP="0005621A">
      <w:pPr>
        <w:ind w:left="708"/>
        <w:jc w:val="both"/>
        <w:outlineLvl w:val="1"/>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Se va modificando a lo largo de su amortización. Dependiendo de la evolución futura del índice o tipo que se tome como referencia</w:t>
      </w:r>
      <w:r w:rsidR="006A7DFF" w:rsidRPr="00CF1B34">
        <w:rPr>
          <w:rFonts w:ascii="Arial" w:hAnsi="Arial" w:cs="Arial"/>
          <w:color w:val="000000" w:themeColor="text1"/>
          <w:sz w:val="22"/>
          <w:szCs w:val="22"/>
          <w:lang w:val="es-ES_tradnl"/>
        </w:rPr>
        <w:t>. (Euribor).</w:t>
      </w:r>
    </w:p>
    <w:p w14:paraId="7B66FFED" w14:textId="38805BCA" w:rsidR="006A7DFF" w:rsidRPr="00CF1B34" w:rsidRDefault="006A7DFF" w:rsidP="0005621A">
      <w:pPr>
        <w:ind w:firstLine="708"/>
        <w:jc w:val="both"/>
        <w:outlineLvl w:val="1"/>
        <w:rPr>
          <w:rFonts w:ascii="Arial" w:hAnsi="Arial" w:cs="Arial"/>
          <w:color w:val="000000" w:themeColor="text1"/>
          <w:sz w:val="22"/>
          <w:szCs w:val="22"/>
          <w:u w:val="single"/>
          <w:lang w:val="es-ES_tradnl"/>
        </w:rPr>
      </w:pPr>
      <w:r w:rsidRPr="00CF1B34">
        <w:rPr>
          <w:rFonts w:ascii="Arial" w:hAnsi="Arial" w:cs="Arial"/>
          <w:color w:val="000000" w:themeColor="text1"/>
          <w:sz w:val="22"/>
          <w:szCs w:val="22"/>
          <w:u w:val="single"/>
          <w:lang w:val="es-ES_tradnl"/>
        </w:rPr>
        <w:t>Interés fijo:</w:t>
      </w:r>
    </w:p>
    <w:p w14:paraId="38E7B560" w14:textId="77777777" w:rsidR="006A7DFF" w:rsidRPr="00CF1B34" w:rsidRDefault="006A7DF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tipo de interés se mantiene constante a lo largo del préstamo y se conoce desde el principio el importe total de los intereses a pagar.</w:t>
      </w:r>
    </w:p>
    <w:p w14:paraId="07BD1A74" w14:textId="50C9B756" w:rsidR="00D81BCC" w:rsidRPr="00CF1B34" w:rsidRDefault="00D81BCC"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Interés de referencia</w:t>
      </w:r>
    </w:p>
    <w:p w14:paraId="7CAC9BD8" w14:textId="0964E043"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w:t>
      </w:r>
      <w:r w:rsidR="006A7DFF" w:rsidRPr="00CF1B34">
        <w:rPr>
          <w:rFonts w:ascii="Arial" w:hAnsi="Arial" w:cs="Arial"/>
          <w:sz w:val="22"/>
          <w:szCs w:val="22"/>
          <w:lang w:val="es-ES_tradnl"/>
        </w:rPr>
        <w:t xml:space="preserve"> </w:t>
      </w:r>
      <w:r w:rsidRPr="00CF1B34">
        <w:rPr>
          <w:rFonts w:ascii="Arial" w:hAnsi="Arial" w:cs="Arial"/>
          <w:b/>
          <w:bCs/>
          <w:sz w:val="22"/>
          <w:szCs w:val="22"/>
          <w:lang w:val="es-ES_tradnl"/>
        </w:rPr>
        <w:t>interés de referencia hipotecario</w:t>
      </w:r>
      <w:r w:rsidR="006A7DFF" w:rsidRPr="00CF1B34">
        <w:rPr>
          <w:rFonts w:ascii="Arial" w:hAnsi="Arial" w:cs="Arial"/>
          <w:sz w:val="22"/>
          <w:szCs w:val="22"/>
          <w:lang w:val="es-ES_tradnl"/>
        </w:rPr>
        <w:t xml:space="preserve"> </w:t>
      </w:r>
      <w:r w:rsidRPr="00CF1B34">
        <w:rPr>
          <w:rFonts w:ascii="Arial" w:hAnsi="Arial" w:cs="Arial"/>
          <w:sz w:val="22"/>
          <w:szCs w:val="22"/>
          <w:lang w:val="es-ES_tradnl"/>
        </w:rPr>
        <w:t>(o tipo de referencia) es el índice oficial que se aplica a las</w:t>
      </w:r>
      <w:r w:rsidR="00306A54" w:rsidRPr="00CF1B34">
        <w:rPr>
          <w:rFonts w:ascii="Arial" w:hAnsi="Arial" w:cs="Arial"/>
          <w:sz w:val="22"/>
          <w:szCs w:val="22"/>
          <w:lang w:val="es-ES_tradnl"/>
        </w:rPr>
        <w:t xml:space="preserve"> </w:t>
      </w:r>
      <w:hyperlink r:id="rId262" w:history="1">
        <w:r w:rsidRPr="00CF1B34">
          <w:rPr>
            <w:rFonts w:ascii="Arial" w:hAnsi="Arial" w:cs="Arial"/>
            <w:color w:val="BD4313"/>
            <w:sz w:val="22"/>
            <w:szCs w:val="22"/>
            <w:lang w:val="es-ES_tradnl"/>
          </w:rPr>
          <w:t>hipotecas de tipo variable</w:t>
        </w:r>
      </w:hyperlink>
      <w:r w:rsidRPr="00CF1B34">
        <w:rPr>
          <w:rFonts w:ascii="Arial" w:hAnsi="Arial" w:cs="Arial"/>
          <w:sz w:val="22"/>
          <w:szCs w:val="22"/>
          <w:lang w:val="es-ES_tradnl"/>
        </w:rPr>
        <w:t>. Recordemos que, en este tipo de préstamos, la cuota mensual vendrá determinada por la oscilación de los mercados, y como consecuencia, de estos intereses. Si este interés sube, subirán nuestras cuotas a la hora de que el banco revise nuestra hipoteca. Y en caso de descender, pasaría lo contrario.</w:t>
      </w:r>
    </w:p>
    <w:p w14:paraId="04E3A728" w14:textId="77777777"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este motivo, esta referencia cobra mucha importancia, ya que en último término determinará lo que vayamos a pagar de hipoteca durante muchos años. De hecho, quizá sea un factor de decisión a la hora de analizar qué tipo de préstamo puede interesarnos más: si el de tipo fijo (que recordemos que tiene un interés establecido durante toda la vida de la hipoteca), o el de tipo variable (que depende del interés de referencia citado, además del diferencial, que es el margen fijo de ganancia de cada banco, y está determinado por él).</w:t>
      </w:r>
    </w:p>
    <w:p w14:paraId="6422BE51" w14:textId="77777777"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Estos tipos de interés vienen definidos en la Circular del Banco de España 5/2012, y son publicados cada mes. Su regulación se realiza como una práctica de transparencia, y con la finalidad de proteger siempre al cliente. De hecho, cuando firmamos una hipoteca de tipo variable, el banco nos tendrá que informar cobre el índice que nos aplicará, e incluir toda la información necesaria para que podamos averiguar cómo calculará los intereses que nos repercuta.</w:t>
      </w:r>
    </w:p>
    <w:p w14:paraId="23EC1B05" w14:textId="77777777" w:rsidR="00D81BCC" w:rsidRPr="00CF1B34" w:rsidRDefault="00D81BCC"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El Euribor y otros índices de referencia</w:t>
      </w:r>
    </w:p>
    <w:p w14:paraId="33D55061" w14:textId="4B61547C"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w:t>
      </w:r>
      <w:r w:rsidR="006A7DFF" w:rsidRPr="00CF1B34">
        <w:rPr>
          <w:rFonts w:ascii="Arial" w:hAnsi="Arial" w:cs="Arial"/>
          <w:sz w:val="22"/>
          <w:szCs w:val="22"/>
          <w:lang w:val="es-ES_tradnl"/>
        </w:rPr>
        <w:t xml:space="preserve"> </w:t>
      </w:r>
      <w:r w:rsidRPr="00CF1B34">
        <w:rPr>
          <w:rFonts w:ascii="Arial" w:hAnsi="Arial" w:cs="Arial"/>
          <w:b/>
          <w:bCs/>
          <w:sz w:val="22"/>
          <w:szCs w:val="22"/>
          <w:lang w:val="es-ES_tradnl"/>
        </w:rPr>
        <w:t>Euribor</w:t>
      </w:r>
      <w:r w:rsidRPr="00CF1B34">
        <w:rPr>
          <w:rFonts w:ascii="Arial" w:hAnsi="Arial" w:cs="Arial"/>
          <w:sz w:val="22"/>
          <w:szCs w:val="22"/>
          <w:lang w:val="es-ES_tradnl"/>
        </w:rPr>
        <w:t>, o European Interbank Offered Ratio, es un índice que se obtiene al hallar la media de los tipos de interés a lo que se prestan dinero entre sí los diferentes bancos y entidades de la Unión Europea. Esto significa que cada vez que nuestro banco nos presta un dinero (a nosotros y a tantos millones de clientes en nuestro país), renuncia a esa cantidad, y debe refinanciarse para seguir operando, para lo que solicita préstamos a otros bancos.</w:t>
      </w:r>
    </w:p>
    <w:p w14:paraId="1979709B" w14:textId="77777777"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euríbor es el interés más usado como referencia para las hipotecas de tipo variable, y por tanto es el que nos aplica nuestro banco para conseguir financiarse, añadiendo el diferencial.</w:t>
      </w:r>
    </w:p>
    <w:p w14:paraId="62E1BC34" w14:textId="77777777"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Pero además del euríbor, existen otros índices, como el Mibor (tipo interbancario de las entidades de Madrid); el IRPH, que casi no se utiliza, ya que es algo polémico; o el IRS (Interest Rate Swap).</w:t>
      </w:r>
    </w:p>
    <w:p w14:paraId="08FE0530" w14:textId="77777777" w:rsidR="00D81BCC" w:rsidRPr="00CF1B34" w:rsidRDefault="00D81BCC"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Conceptos a tener en cuenta para elegir una hipoteca</w:t>
      </w:r>
    </w:p>
    <w:p w14:paraId="1419C44D" w14:textId="31B7B397"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 la hora de</w:t>
      </w:r>
      <w:r w:rsidR="007B5332" w:rsidRPr="00CF1B34">
        <w:rPr>
          <w:rFonts w:ascii="Arial" w:hAnsi="Arial" w:cs="Arial"/>
          <w:sz w:val="22"/>
          <w:szCs w:val="22"/>
          <w:lang w:val="es-ES_tradnl"/>
        </w:rPr>
        <w:t xml:space="preserve"> </w:t>
      </w:r>
      <w:hyperlink r:id="rId263" w:history="1">
        <w:r w:rsidRPr="00CF1B34">
          <w:rPr>
            <w:rFonts w:ascii="Arial" w:hAnsi="Arial" w:cs="Arial"/>
            <w:color w:val="BD4313"/>
            <w:sz w:val="22"/>
            <w:szCs w:val="22"/>
            <w:lang w:val="es-ES_tradnl"/>
          </w:rPr>
          <w:t>contratar una hipoteca</w:t>
        </w:r>
      </w:hyperlink>
      <w:r w:rsidRPr="00CF1B34">
        <w:rPr>
          <w:rFonts w:ascii="Arial" w:hAnsi="Arial" w:cs="Arial"/>
          <w:sz w:val="22"/>
          <w:szCs w:val="22"/>
          <w:lang w:val="es-ES_tradnl"/>
        </w:rPr>
        <w:t>, es muy importante comparar las opciones que tenemos. No nos olvidemos de que será una responsabilidad durante muchos años, así que conviene pensarlo detenidamente antes de dar el paso. A la hora de hacer este análisis, son claves el TIN y el TAE.</w:t>
      </w:r>
    </w:p>
    <w:p w14:paraId="3B8C8ADA" w14:textId="77777777"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TIN es el tipo de interés nominal. Nos indica el porcentaje que el banco nos cobrará cada año por el hecho de prestarnos dinero. A este </w:t>
      </w:r>
      <w:r w:rsidRPr="00CF1B34">
        <w:rPr>
          <w:rFonts w:ascii="Arial" w:hAnsi="Arial" w:cs="Arial"/>
          <w:b/>
          <w:bCs/>
          <w:sz w:val="22"/>
          <w:szCs w:val="22"/>
          <w:lang w:val="es-ES_tradnl"/>
        </w:rPr>
        <w:t>TIN</w:t>
      </w:r>
      <w:r w:rsidRPr="00CF1B34">
        <w:rPr>
          <w:rFonts w:ascii="Arial" w:hAnsi="Arial" w:cs="Arial"/>
          <w:sz w:val="22"/>
          <w:szCs w:val="22"/>
          <w:lang w:val="es-ES_tradnl"/>
        </w:rPr>
        <w:t>, deberemos sumarle las distintas comisiones que tenga la hipoteca.</w:t>
      </w:r>
    </w:p>
    <w:p w14:paraId="47E06BD2" w14:textId="77777777" w:rsidR="00D81BCC" w:rsidRPr="00CF1B34" w:rsidRDefault="00D81BC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 </w:t>
      </w:r>
      <w:r w:rsidRPr="00CF1B34">
        <w:rPr>
          <w:rFonts w:ascii="Arial" w:hAnsi="Arial" w:cs="Arial"/>
          <w:b/>
          <w:bCs/>
          <w:sz w:val="22"/>
          <w:szCs w:val="22"/>
          <w:lang w:val="es-ES_tradnl"/>
        </w:rPr>
        <w:t>TAE</w:t>
      </w:r>
      <w:r w:rsidRPr="00CF1B34">
        <w:rPr>
          <w:rFonts w:ascii="Arial" w:hAnsi="Arial" w:cs="Arial"/>
          <w:sz w:val="22"/>
          <w:szCs w:val="22"/>
          <w:lang w:val="es-ES_tradnl"/>
        </w:rPr>
        <w:t>, tasa anual equivalente, es la manera en que nos afectarían las comisiones del préstamo.</w:t>
      </w:r>
    </w:p>
    <w:p w14:paraId="134C4378" w14:textId="77777777" w:rsidR="00D81BCC" w:rsidRPr="00CF1B34" w:rsidRDefault="00D81BCC"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Intereses de demora</w:t>
      </w:r>
    </w:p>
    <w:p w14:paraId="6FC504B8" w14:textId="77777777" w:rsidR="00D81BCC" w:rsidRPr="00CF1B34" w:rsidRDefault="00D81BCC" w:rsidP="0005621A">
      <w:pPr>
        <w:ind w:left="708"/>
        <w:jc w:val="both"/>
        <w:rPr>
          <w:rFonts w:ascii="Arial" w:hAnsi="Arial" w:cs="Arial"/>
          <w:sz w:val="22"/>
          <w:szCs w:val="22"/>
          <w:lang w:val="es-ES_tradnl"/>
        </w:rPr>
      </w:pPr>
      <w:r w:rsidRPr="00CF1B34">
        <w:rPr>
          <w:rFonts w:ascii="Arial" w:hAnsi="Arial" w:cs="Arial"/>
          <w:sz w:val="22"/>
          <w:szCs w:val="22"/>
          <w:lang w:val="es-ES_tradnl"/>
        </w:rPr>
        <w:t>El interés de demora es la cantidad de dinero que deberá abonarse en caso de que se produzca un retraso en el pago de la cuota de un préstamo. Este tipo de intereses se generan como compensación al acreedor por el retraso producido en el pago.</w:t>
      </w:r>
    </w:p>
    <w:p w14:paraId="7452F489" w14:textId="77777777" w:rsidR="00D81BCC" w:rsidRPr="00CF1B34" w:rsidRDefault="00D81BCC" w:rsidP="0005621A">
      <w:pPr>
        <w:pStyle w:val="Ttulo2"/>
        <w:spacing w:before="0" w:beforeAutospacing="0"/>
        <w:ind w:left="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¿Qué condiciones deben cumplirse para que sean exigidos los intereses de demora?</w:t>
      </w:r>
    </w:p>
    <w:p w14:paraId="2D7C28FA" w14:textId="77777777" w:rsidR="00D81BCC" w:rsidRPr="00CF1B34" w:rsidRDefault="00D81BCC"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Tienen que cumplirse una serie de condiciones para que el acreedor pueda reclamar al deudor los intereses de demora:</w:t>
      </w:r>
    </w:p>
    <w:p w14:paraId="0F3CC661" w14:textId="77777777" w:rsidR="00D81BCC" w:rsidRPr="00CF1B34" w:rsidRDefault="00D81BCC" w:rsidP="0005621A">
      <w:pPr>
        <w:ind w:left="708"/>
        <w:jc w:val="both"/>
        <w:rPr>
          <w:rFonts w:ascii="Arial" w:hAnsi="Arial" w:cs="Arial"/>
          <w:sz w:val="22"/>
          <w:szCs w:val="22"/>
          <w:lang w:val="es-ES_tradnl"/>
        </w:rPr>
      </w:pPr>
      <w:r w:rsidRPr="00CF1B34">
        <w:rPr>
          <w:rFonts w:ascii="Arial" w:hAnsi="Arial" w:cs="Arial"/>
          <w:sz w:val="22"/>
          <w:szCs w:val="22"/>
          <w:lang w:val="es-ES_tradnl"/>
        </w:rPr>
        <w:t>La deuda debe haber vencido, es decir la fecha estipulada para el pago ya ha pasado. La deuda únicamente puede ser dinerario. El pago de los intereses de demora en caso de incumplimiento debe haberse pactado expresamente y figurar en el contrato correspondiente. Estos intereses pueden exigirse en todos aquellos casos en los que no se haya pactado lo contrario.</w:t>
      </w:r>
    </w:p>
    <w:p w14:paraId="29933CA0" w14:textId="77777777" w:rsidR="00D81BCC" w:rsidRPr="00CF1B34" w:rsidRDefault="00D81BCC"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lastRenderedPageBreak/>
        <w:t>¿Cómo se calculan los intereses de demora?</w:t>
      </w:r>
    </w:p>
    <w:p w14:paraId="1089813F" w14:textId="77777777" w:rsidR="00D81BCC" w:rsidRPr="00CF1B34" w:rsidRDefault="00D81BCC"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Para calcular los intereses de demora existe una formula muy sencilla:</w:t>
      </w:r>
    </w:p>
    <w:p w14:paraId="06300D6E" w14:textId="5E1BB0BF" w:rsidR="00D81BCC" w:rsidRPr="00CF1B34" w:rsidRDefault="00D81BCC" w:rsidP="0005621A">
      <w:pPr>
        <w:pStyle w:val="NormalWeb"/>
        <w:spacing w:before="0" w:beforeAutospacing="0"/>
        <w:ind w:left="708"/>
        <w:jc w:val="both"/>
        <w:rPr>
          <w:rFonts w:ascii="Arial" w:hAnsi="Arial" w:cs="Arial"/>
          <w:sz w:val="22"/>
          <w:szCs w:val="22"/>
          <w:lang w:val="es-ES_tradnl"/>
        </w:rPr>
      </w:pPr>
      <w:r w:rsidRPr="00CF1B34">
        <w:rPr>
          <w:rStyle w:val="Textoennegrita"/>
          <w:rFonts w:ascii="Arial" w:hAnsi="Arial" w:cs="Arial"/>
          <w:sz w:val="22"/>
          <w:szCs w:val="22"/>
          <w:lang w:val="es-ES_tradnl"/>
        </w:rPr>
        <w:t>Inter</w:t>
      </w:r>
      <w:r w:rsidR="00306A54" w:rsidRPr="00CF1B34">
        <w:rPr>
          <w:rStyle w:val="Textoennegrita"/>
          <w:rFonts w:ascii="Arial" w:hAnsi="Arial" w:cs="Arial"/>
          <w:sz w:val="22"/>
          <w:szCs w:val="22"/>
          <w:lang w:val="es-ES_tradnl"/>
        </w:rPr>
        <w:t>é</w:t>
      </w:r>
      <w:r w:rsidRPr="00CF1B34">
        <w:rPr>
          <w:rStyle w:val="Textoennegrita"/>
          <w:rFonts w:ascii="Arial" w:hAnsi="Arial" w:cs="Arial"/>
          <w:sz w:val="22"/>
          <w:szCs w:val="22"/>
          <w:lang w:val="es-ES_tradnl"/>
        </w:rPr>
        <w:t>s de demora</w:t>
      </w:r>
      <w:r w:rsidRPr="00CF1B34">
        <w:rPr>
          <w:rFonts w:ascii="Arial" w:hAnsi="Arial" w:cs="Arial"/>
          <w:sz w:val="22"/>
          <w:szCs w:val="22"/>
          <w:lang w:val="es-ES_tradnl"/>
        </w:rPr>
        <w:t> = (cantidad que debemos) x (tiempo de retraso / 365 días) x (tipo de interés de demora)</w:t>
      </w:r>
    </w:p>
    <w:p w14:paraId="7C7FE9A2" w14:textId="77777777" w:rsidR="00D81BCC" w:rsidRPr="00CF1B34" w:rsidRDefault="00D81BCC"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Los intereses de demora en los préstamos hipotecarios</w:t>
      </w:r>
    </w:p>
    <w:p w14:paraId="7F418BD1" w14:textId="77777777" w:rsidR="00D81BCC" w:rsidRPr="00CF1B34" w:rsidRDefault="00D81BC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el caso de los préstamos hipotecarios, la nueva ley hipotecaria establece que los intereses de demora no podrán superar en más de tres puntos porcentuales el interés que paga habitualmente el consumidor.</w:t>
      </w:r>
    </w:p>
    <w:p w14:paraId="496CFDD7" w14:textId="54E61FAC" w:rsidR="00306A54" w:rsidRPr="00CF1B34" w:rsidRDefault="00306A54" w:rsidP="0005621A">
      <w:pPr>
        <w:pStyle w:val="Sinespaciado"/>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Interés fijo</w:t>
      </w:r>
    </w:p>
    <w:p w14:paraId="1D9C3757" w14:textId="77777777" w:rsidR="00306A54" w:rsidRPr="00CF1B34" w:rsidRDefault="00306A5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lang w:val="es-ES_tradnl"/>
        </w:rPr>
        <w:t>Hablamos de él cuando el tipo de interés no varía sobre el pactado ni depende del comportamiento de otros factores económicos como en el caso del interés variable</w:t>
      </w:r>
      <w:r w:rsidRPr="00CF1B34">
        <w:rPr>
          <w:rFonts w:ascii="Arial" w:hAnsi="Arial" w:cs="Arial"/>
          <w:color w:val="000000"/>
          <w:sz w:val="26"/>
          <w:szCs w:val="26"/>
          <w:lang w:val="es-ES_tradnl"/>
        </w:rPr>
        <w:t>.</w:t>
      </w:r>
    </w:p>
    <w:p w14:paraId="38EC51CD" w14:textId="77777777" w:rsidR="003D59A6" w:rsidRPr="00CF1B34" w:rsidRDefault="003D59A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Interés legal del dinero</w:t>
      </w:r>
    </w:p>
    <w:p w14:paraId="2FE8E6C6" w14:textId="6CD15212" w:rsidR="00EC5169" w:rsidRPr="00CF1B34" w:rsidRDefault="00EE51B3" w:rsidP="0005621A">
      <w:pPr>
        <w:ind w:left="708"/>
        <w:jc w:val="both"/>
        <w:rPr>
          <w:rFonts w:ascii="Arial" w:hAnsi="Arial" w:cs="Arial"/>
          <w:color w:val="4A4A4A"/>
          <w:shd w:val="clear" w:color="auto" w:fill="FFFFFF"/>
          <w:lang w:val="es-ES_tradnl"/>
        </w:rPr>
      </w:pPr>
      <w:r w:rsidRPr="00CF1B34">
        <w:rPr>
          <w:rFonts w:ascii="Arial" w:hAnsi="Arial" w:cs="Arial"/>
          <w:color w:val="4A4A4A"/>
          <w:shd w:val="clear" w:color="auto" w:fill="FFFFFF"/>
          <w:lang w:val="es-ES_tradnl"/>
        </w:rPr>
        <w:t xml:space="preserve">El </w:t>
      </w:r>
      <w:r w:rsidRPr="00CF1B34">
        <w:rPr>
          <w:rStyle w:val="Textoennegrita"/>
          <w:rFonts w:ascii="Arial" w:hAnsi="Arial" w:cs="Arial"/>
          <w:color w:val="4A4A4A"/>
          <w:shd w:val="clear" w:color="auto" w:fill="FFFFFF"/>
          <w:lang w:val="es-ES_tradnl"/>
        </w:rPr>
        <w:t>interés legal del dinero</w:t>
      </w:r>
      <w:r w:rsidRPr="00CF1B34">
        <w:rPr>
          <w:rFonts w:ascii="Arial" w:hAnsi="Arial" w:cs="Arial"/>
          <w:color w:val="4A4A4A"/>
          <w:shd w:val="clear" w:color="auto" w:fill="FFFFFF"/>
          <w:lang w:val="es-ES_tradnl"/>
        </w:rPr>
        <w:t xml:space="preserve"> es, según el Banco de España, el que señala la ley a través de la Ley de Presupuestos Generales. Se trata de un valor de interés que </w:t>
      </w:r>
      <w:r w:rsidRPr="00CF1B34">
        <w:rPr>
          <w:rStyle w:val="Textoennegrita"/>
          <w:rFonts w:ascii="Arial" w:hAnsi="Arial" w:cs="Arial"/>
          <w:b w:val="0"/>
          <w:bCs w:val="0"/>
          <w:color w:val="4A4A4A"/>
          <w:shd w:val="clear" w:color="auto" w:fill="FFFFFF"/>
          <w:lang w:val="es-ES_tradnl"/>
        </w:rPr>
        <w:t xml:space="preserve">se publica como parte del </w:t>
      </w:r>
      <w:r w:rsidRPr="00CF1B34">
        <w:rPr>
          <w:rStyle w:val="Textoennegrita"/>
          <w:rFonts w:ascii="Arial" w:hAnsi="Arial" w:cs="Arial"/>
          <w:color w:val="4A4A4A"/>
          <w:shd w:val="clear" w:color="auto" w:fill="FFFFFF"/>
          <w:lang w:val="es-ES_tradnl"/>
        </w:rPr>
        <w:t>BOE</w:t>
      </w:r>
      <w:r w:rsidR="00E107F2" w:rsidRPr="00CF1B34">
        <w:rPr>
          <w:rStyle w:val="Textoennegrita"/>
          <w:rFonts w:ascii="Arial" w:hAnsi="Arial" w:cs="Arial"/>
          <w:color w:val="4A4A4A"/>
          <w:shd w:val="clear" w:color="auto" w:fill="FFFFFF"/>
          <w:lang w:val="es-ES_tradnl"/>
        </w:rPr>
        <w:t xml:space="preserve"> </w:t>
      </w:r>
      <w:r w:rsidR="00E107F2" w:rsidRPr="00CF1B34">
        <w:rPr>
          <w:rStyle w:val="Textoennegrita"/>
          <w:rFonts w:ascii="Arial" w:hAnsi="Arial" w:cs="Arial"/>
          <w:b w:val="0"/>
          <w:bCs w:val="0"/>
          <w:color w:val="4A4A4A"/>
          <w:shd w:val="clear" w:color="auto" w:fill="FFFFFF"/>
          <w:lang w:val="es-ES_tradnl"/>
        </w:rPr>
        <w:t>cada año</w:t>
      </w:r>
      <w:r w:rsidRPr="00CF1B34">
        <w:rPr>
          <w:rFonts w:ascii="Arial" w:hAnsi="Arial" w:cs="Arial"/>
          <w:color w:val="4A4A4A"/>
          <w:shd w:val="clear" w:color="auto" w:fill="FFFFFF"/>
          <w:lang w:val="es-ES_tradnl"/>
        </w:rPr>
        <w:t xml:space="preserve"> y que tiene vigencia durante el resto del año y “que se aplica como indemnización de daños y perjuicios cuando el deudor incurriese en mora (retraso en el cumplimiento de su obligación) y no se haya pactado un interés determinado”.</w:t>
      </w:r>
      <w:r w:rsidR="005C2790" w:rsidRPr="00CF1B34">
        <w:rPr>
          <w:rFonts w:ascii="Arial" w:hAnsi="Arial" w:cs="Arial"/>
          <w:color w:val="4A4A4A"/>
          <w:shd w:val="clear" w:color="auto" w:fill="FFFFFF"/>
          <w:lang w:val="es-ES_tradnl"/>
        </w:rPr>
        <w:t xml:space="preserve">  El interés legal del dinero no es más que el interés que se utiliza para devolver un préstamo cuando hay ningún acuerdo previo al respecto entre deudor y acreedor.</w:t>
      </w:r>
    </w:p>
    <w:p w14:paraId="6143BB06" w14:textId="22A0FE76" w:rsidR="00EC5169" w:rsidRPr="00CF1B34" w:rsidRDefault="00EC5169" w:rsidP="0005621A">
      <w:pPr>
        <w:ind w:firstLine="708"/>
        <w:jc w:val="both"/>
        <w:rPr>
          <w:rFonts w:ascii="Arial" w:hAnsi="Arial" w:cs="Arial"/>
          <w:color w:val="4A4A4A"/>
          <w:shd w:val="clear" w:color="auto" w:fill="FFFFFF"/>
          <w:lang w:val="es-ES_tradnl"/>
        </w:rPr>
      </w:pPr>
      <w:r w:rsidRPr="00CF1B34">
        <w:rPr>
          <w:rFonts w:ascii="Arial" w:hAnsi="Arial" w:cs="Arial"/>
          <w:b/>
          <w:bCs/>
          <w:color w:val="333333"/>
          <w:lang w:val="es-ES_tradnl"/>
        </w:rPr>
        <w:t>Tabla tipos de interés legal</w:t>
      </w:r>
      <w:r w:rsidR="00E107F2" w:rsidRPr="00CF1B34">
        <w:rPr>
          <w:rFonts w:ascii="Arial" w:hAnsi="Arial" w:cs="Arial"/>
          <w:b/>
          <w:bCs/>
          <w:color w:val="333333"/>
          <w:lang w:val="es-ES_tradnl"/>
        </w:rPr>
        <w:t xml:space="preserve"> 2002-2024</w:t>
      </w:r>
    </w:p>
    <w:p w14:paraId="1F916C99" w14:textId="77777777" w:rsidR="00EC5169" w:rsidRPr="00CF1B34" w:rsidRDefault="00EC5169" w:rsidP="0005621A">
      <w:pPr>
        <w:jc w:val="both"/>
        <w:rPr>
          <w:rFonts w:ascii="Arial" w:hAnsi="Arial" w:cs="Arial"/>
          <w:lang w:val="es-ES_tradnl"/>
        </w:rPr>
      </w:pPr>
    </w:p>
    <w:tbl>
      <w:tblPr>
        <w:tblW w:w="7229" w:type="dxa"/>
        <w:tblInd w:w="851" w:type="dxa"/>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3685"/>
        <w:gridCol w:w="3544"/>
      </w:tblGrid>
      <w:tr w:rsidR="00EC5169" w:rsidRPr="00CF1B34" w14:paraId="4F52ECC2" w14:textId="77777777" w:rsidTr="00C26652">
        <w:trPr>
          <w:trHeight w:val="240"/>
          <w:tblHeader/>
        </w:trPr>
        <w:tc>
          <w:tcPr>
            <w:tcW w:w="7229" w:type="dxa"/>
            <w:gridSpan w:val="2"/>
            <w:tcBorders>
              <w:top w:val="nil"/>
              <w:left w:val="nil"/>
              <w:bottom w:val="nil"/>
              <w:right w:val="nil"/>
            </w:tcBorders>
            <w:shd w:val="clear" w:color="auto" w:fill="FFFFFF"/>
            <w:tcMar>
              <w:top w:w="60" w:type="dxa"/>
              <w:left w:w="60" w:type="dxa"/>
              <w:bottom w:w="60" w:type="dxa"/>
              <w:right w:w="60" w:type="dxa"/>
            </w:tcMar>
            <w:vAlign w:val="center"/>
            <w:hideMark/>
          </w:tcPr>
          <w:p w14:paraId="213D7F8C" w14:textId="77777777" w:rsidR="00EC5169" w:rsidRPr="00CF1B34" w:rsidRDefault="00EC5169" w:rsidP="0005621A">
            <w:pPr>
              <w:shd w:val="clear" w:color="auto" w:fill="767676"/>
              <w:jc w:val="both"/>
              <w:rPr>
                <w:rFonts w:ascii="Arial" w:hAnsi="Arial" w:cs="Arial"/>
                <w:b/>
                <w:bCs/>
                <w:color w:val="FFFFFF"/>
                <w:sz w:val="20"/>
                <w:szCs w:val="20"/>
                <w:lang w:val="es-ES_tradnl"/>
              </w:rPr>
            </w:pPr>
            <w:r w:rsidRPr="00CF1B34">
              <w:rPr>
                <w:rFonts w:ascii="Arial" w:hAnsi="Arial" w:cs="Arial"/>
                <w:b/>
                <w:bCs/>
                <w:color w:val="FFFFFF"/>
                <w:sz w:val="20"/>
                <w:szCs w:val="20"/>
                <w:lang w:val="es-ES_tradnl"/>
              </w:rPr>
              <w:t>Tabla tipos de interés legal</w:t>
            </w:r>
          </w:p>
        </w:tc>
      </w:tr>
      <w:tr w:rsidR="00EC5169" w:rsidRPr="00CF1B34" w14:paraId="5F532C7E" w14:textId="77777777" w:rsidTr="00C26652">
        <w:trPr>
          <w:trHeight w:val="240"/>
          <w:tblHeader/>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hideMark/>
          </w:tcPr>
          <w:p w14:paraId="3B51B295"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Año</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60" w:type="dxa"/>
              <w:bottom w:w="60" w:type="dxa"/>
              <w:right w:w="60" w:type="dxa"/>
            </w:tcMar>
            <w:hideMark/>
          </w:tcPr>
          <w:p w14:paraId="483CCB61"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Porcentaje anual</w:t>
            </w:r>
          </w:p>
        </w:tc>
      </w:tr>
      <w:tr w:rsidR="00EC5169" w:rsidRPr="00CF1B34" w14:paraId="7658122C"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14DEB8F7"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2024</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3F6A9161"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3,25</w:t>
            </w:r>
          </w:p>
        </w:tc>
      </w:tr>
      <w:tr w:rsidR="00EC5169" w:rsidRPr="00CF1B34" w14:paraId="7F4FB168"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2BBE1D51" w14:textId="618ED3B2"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2023</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377785AB"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3,25</w:t>
            </w:r>
          </w:p>
        </w:tc>
      </w:tr>
      <w:tr w:rsidR="00EC5169" w:rsidRPr="00CF1B34" w14:paraId="156A6D23"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2F55DD24" w14:textId="0B9790C6"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2022</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0C117962"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3,00</w:t>
            </w:r>
          </w:p>
        </w:tc>
      </w:tr>
      <w:tr w:rsidR="00EC5169" w:rsidRPr="00CF1B34" w14:paraId="7D509CF7"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2EE98499" w14:textId="077F22C3"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2021</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4F90B3DA"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3,00</w:t>
            </w:r>
          </w:p>
        </w:tc>
      </w:tr>
      <w:tr w:rsidR="00EC5169" w:rsidRPr="00CF1B34" w14:paraId="76F0CD99"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18A2A9B7" w14:textId="4B2930EA"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2020</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3355A03B"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3,00</w:t>
            </w:r>
          </w:p>
        </w:tc>
      </w:tr>
      <w:tr w:rsidR="00EC5169" w:rsidRPr="00CF1B34" w14:paraId="6F7987E6"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0F0C6271" w14:textId="158D75FF"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2019</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69294644"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3,00</w:t>
            </w:r>
          </w:p>
        </w:tc>
      </w:tr>
      <w:tr w:rsidR="00EC5169" w:rsidRPr="00CF1B34" w14:paraId="6C6947C0"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245F83A8" w14:textId="27C2F622"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2018</w:t>
            </w:r>
            <w:hyperlink r:id="rId264" w:tgtFrame="_blank" w:history="1"/>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7F4A9CAB"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3,00</w:t>
            </w:r>
          </w:p>
        </w:tc>
      </w:tr>
      <w:tr w:rsidR="00EC5169" w:rsidRPr="00CF1B34" w14:paraId="17A62882"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1DF285DE" w14:textId="799C7DED"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2017</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7C064586"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3,00</w:t>
            </w:r>
          </w:p>
        </w:tc>
      </w:tr>
      <w:tr w:rsidR="00EC5169" w:rsidRPr="00CF1B34" w14:paraId="3B4653E5"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5C6CBC65" w14:textId="0DA543BF"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2016</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52845F3C"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3,00</w:t>
            </w:r>
          </w:p>
        </w:tc>
      </w:tr>
      <w:tr w:rsidR="00EC5169" w:rsidRPr="00CF1B34" w14:paraId="24E12689"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140D3C87" w14:textId="1DA9EB9B"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2015</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5AD7D3B1"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3,50</w:t>
            </w:r>
          </w:p>
        </w:tc>
      </w:tr>
      <w:tr w:rsidR="00EC5169" w:rsidRPr="00CF1B34" w14:paraId="54B9C443"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6C902B8F" w14:textId="6FFAA294"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2414</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71E40C53"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4,00</w:t>
            </w:r>
          </w:p>
        </w:tc>
      </w:tr>
      <w:tr w:rsidR="00EC5169" w:rsidRPr="00CF1B34" w14:paraId="628AE584"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75AB1EC5" w14:textId="5FA83C94"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2013</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40C86301"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4,00</w:t>
            </w:r>
          </w:p>
        </w:tc>
      </w:tr>
      <w:tr w:rsidR="00EC5169" w:rsidRPr="00CF1B34" w14:paraId="7986BFC2"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0593F616"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2012</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18546A82"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4,00</w:t>
            </w:r>
          </w:p>
        </w:tc>
      </w:tr>
      <w:tr w:rsidR="00EC5169" w:rsidRPr="00CF1B34" w14:paraId="1B2527BF"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41778111"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lastRenderedPageBreak/>
              <w:t>2011</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209F524D"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4,00</w:t>
            </w:r>
          </w:p>
        </w:tc>
      </w:tr>
      <w:tr w:rsidR="00EC5169" w:rsidRPr="00CF1B34" w14:paraId="60FC403D"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7B7280B5"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2010</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72C0940A"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4,00</w:t>
            </w:r>
          </w:p>
        </w:tc>
      </w:tr>
      <w:tr w:rsidR="00EC5169" w:rsidRPr="00CF1B34" w14:paraId="11731EF1"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483940B2"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2009 hasta marzo</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5773D304"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5,50</w:t>
            </w:r>
          </w:p>
        </w:tc>
      </w:tr>
      <w:tr w:rsidR="00EC5169" w:rsidRPr="00CF1B34" w14:paraId="1643C3A4"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0876B8E7"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2009 desde abril</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4DA035FB"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4,00</w:t>
            </w:r>
          </w:p>
        </w:tc>
      </w:tr>
      <w:tr w:rsidR="00EC5169" w:rsidRPr="00CF1B34" w14:paraId="216B1326"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40B51BCE"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2008</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7EF894A2"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5,50</w:t>
            </w:r>
          </w:p>
        </w:tc>
      </w:tr>
      <w:tr w:rsidR="00EC5169" w:rsidRPr="00CF1B34" w14:paraId="34E9A2AA"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23CA5BDE"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2007</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25331CEE"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5,00</w:t>
            </w:r>
          </w:p>
        </w:tc>
      </w:tr>
      <w:tr w:rsidR="00EC5169" w:rsidRPr="00CF1B34" w14:paraId="03AFD035"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02122330"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2006</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0CDC8A3C"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4,00</w:t>
            </w:r>
          </w:p>
        </w:tc>
      </w:tr>
      <w:tr w:rsidR="00EC5169" w:rsidRPr="00CF1B34" w14:paraId="59CC62DA"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0AD33267"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2005</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634143A1"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4,00</w:t>
            </w:r>
          </w:p>
        </w:tc>
      </w:tr>
      <w:tr w:rsidR="00EC5169" w:rsidRPr="00CF1B34" w14:paraId="38EDCFF4"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10F91AEB"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2004</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3F8A550E"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3,75</w:t>
            </w:r>
          </w:p>
        </w:tc>
      </w:tr>
      <w:tr w:rsidR="00EC5169" w:rsidRPr="00CF1B34" w14:paraId="59EDEC7B"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164FA3A0"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2003</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0844FEC1"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4,25</w:t>
            </w:r>
          </w:p>
        </w:tc>
      </w:tr>
      <w:tr w:rsidR="00EC5169" w:rsidRPr="00CF1B34" w14:paraId="72128233" w14:textId="77777777" w:rsidTr="00C26652">
        <w:trPr>
          <w:trHeight w:val="240"/>
        </w:trPr>
        <w:tc>
          <w:tcPr>
            <w:tcW w:w="3685" w:type="dxa"/>
            <w:tcBorders>
              <w:top w:val="single" w:sz="6" w:space="0" w:color="999999"/>
              <w:left w:val="single" w:sz="6" w:space="0" w:color="999999"/>
              <w:bottom w:val="single" w:sz="6" w:space="0" w:color="999999"/>
              <w:right w:val="single" w:sz="6" w:space="0" w:color="999999"/>
            </w:tcBorders>
            <w:shd w:val="clear" w:color="auto" w:fill="FFFFFF"/>
            <w:tcMar>
              <w:top w:w="60" w:type="dxa"/>
              <w:left w:w="120" w:type="dxa"/>
              <w:bottom w:w="60" w:type="dxa"/>
              <w:right w:w="0" w:type="dxa"/>
            </w:tcMar>
            <w:hideMark/>
          </w:tcPr>
          <w:p w14:paraId="179617A2"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2002</w:t>
            </w:r>
          </w:p>
        </w:tc>
        <w:tc>
          <w:tcPr>
            <w:tcW w:w="3544" w:type="dxa"/>
            <w:tcBorders>
              <w:top w:val="single" w:sz="6" w:space="0" w:color="999999"/>
              <w:left w:val="single" w:sz="6" w:space="0" w:color="999999"/>
              <w:bottom w:val="single" w:sz="6" w:space="0" w:color="999999"/>
              <w:right w:val="single" w:sz="6" w:space="0" w:color="999999"/>
            </w:tcBorders>
            <w:shd w:val="clear" w:color="auto" w:fill="FFFFFF"/>
            <w:tcMar>
              <w:top w:w="60" w:type="dxa"/>
              <w:left w:w="0" w:type="dxa"/>
              <w:bottom w:w="60" w:type="dxa"/>
              <w:right w:w="180" w:type="dxa"/>
            </w:tcMar>
            <w:hideMark/>
          </w:tcPr>
          <w:p w14:paraId="7415595F" w14:textId="77777777" w:rsidR="00EC5169" w:rsidRPr="00CF1B34" w:rsidRDefault="00EC5169" w:rsidP="0005621A">
            <w:pPr>
              <w:jc w:val="both"/>
              <w:rPr>
                <w:rFonts w:ascii="Arial" w:hAnsi="Arial" w:cs="Arial"/>
                <w:color w:val="333333"/>
                <w:sz w:val="20"/>
                <w:szCs w:val="20"/>
                <w:lang w:val="es-ES_tradnl"/>
              </w:rPr>
            </w:pPr>
            <w:r w:rsidRPr="00CF1B34">
              <w:rPr>
                <w:rFonts w:ascii="Arial" w:hAnsi="Arial" w:cs="Arial"/>
                <w:color w:val="333333"/>
                <w:sz w:val="20"/>
                <w:szCs w:val="20"/>
                <w:lang w:val="es-ES_tradnl"/>
              </w:rPr>
              <w:t>4,25</w:t>
            </w:r>
          </w:p>
        </w:tc>
      </w:tr>
    </w:tbl>
    <w:p w14:paraId="57664345" w14:textId="77777777" w:rsidR="00C26652" w:rsidRPr="00CF1B34" w:rsidRDefault="00C26652" w:rsidP="0005621A">
      <w:pPr>
        <w:pBdr>
          <w:bottom w:val="dotted" w:sz="12" w:space="12" w:color="666666"/>
        </w:pBdr>
        <w:spacing w:after="240"/>
        <w:ind w:left="720"/>
        <w:jc w:val="both"/>
        <w:rPr>
          <w:rFonts w:ascii="Arial" w:hAnsi="Arial" w:cs="Arial"/>
          <w:color w:val="212529"/>
          <w:sz w:val="22"/>
          <w:szCs w:val="22"/>
          <w:lang w:val="es-ES_tradnl"/>
        </w:rPr>
      </w:pPr>
    </w:p>
    <w:p w14:paraId="5854A563" w14:textId="1272DAD1" w:rsidR="00306A54" w:rsidRPr="00CF1B34" w:rsidRDefault="00306A5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Interés moratorio</w:t>
      </w:r>
    </w:p>
    <w:p w14:paraId="797327C0" w14:textId="77777777" w:rsidR="00636009" w:rsidRPr="00CF1B34" w:rsidRDefault="00306A5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El exigido o impuesto como pena de la morosidad o tardanza del deudor en la satisfacción de la deuda</w:t>
      </w:r>
      <w:r w:rsidR="00636009" w:rsidRPr="00CF1B34">
        <w:rPr>
          <w:rFonts w:ascii="Arial" w:hAnsi="Arial" w:cs="Arial"/>
          <w:color w:val="000000"/>
          <w:sz w:val="22"/>
          <w:szCs w:val="22"/>
          <w:shd w:val="clear" w:color="auto" w:fill="FFFFFF"/>
          <w:lang w:val="es-ES_tradnl"/>
        </w:rPr>
        <w:t>.</w:t>
      </w:r>
    </w:p>
    <w:p w14:paraId="140F1634" w14:textId="762AB865"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Intermediario financiero</w:t>
      </w:r>
    </w:p>
    <w:p w14:paraId="21D38D61"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Personas o entidades que desempeñan una función económica, como mediadores entre los ahorradores y las empresas que precisan financiación. Los bancos desempeñan esta labor de intermediación, mediante la concesión de créditos con los fondos depositados por los ahorradores. En los mercados de valores, la labor de mediación es desarrollada por las empresas de servicios de inversión y las entidades de crédito, y consiste, entre otras actividades, en operar en los mercados por cuenta de los inversores finales. Antes de comenzar a prestar estos servicios, altamente especializados, los intermediarios han de obtener la autorización de los organismos públicos supervisores (Banco de España y CNMV) e inscribirse en sus registros, respetando en todo momento rigurosos requisitos de solvencia y organización interna. </w:t>
      </w:r>
    </w:p>
    <w:p w14:paraId="34F47D3D" w14:textId="77777777" w:rsidR="00D81BCC" w:rsidRPr="00CF1B34" w:rsidRDefault="00D81BCC"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INVERCO</w:t>
      </w:r>
    </w:p>
    <w:p w14:paraId="22754ECD" w14:textId="09CA5989"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b/>
          <w:bCs/>
          <w:sz w:val="22"/>
          <w:szCs w:val="22"/>
          <w:lang w:val="es-ES_tradnl"/>
        </w:rPr>
        <w:t>INVERCO</w:t>
      </w:r>
      <w:r w:rsidRPr="00CF1B34">
        <w:rPr>
          <w:rFonts w:ascii="Arial" w:hAnsi="Arial" w:cs="Arial"/>
          <w:sz w:val="22"/>
          <w:szCs w:val="22"/>
          <w:lang w:val="es-ES_tradnl"/>
        </w:rPr>
        <w:t> es la</w:t>
      </w:r>
      <w:r w:rsidR="00E107F2" w:rsidRPr="00CF1B34">
        <w:rPr>
          <w:rFonts w:ascii="Arial" w:hAnsi="Arial" w:cs="Arial"/>
          <w:sz w:val="22"/>
          <w:szCs w:val="22"/>
          <w:lang w:val="es-ES_tradnl"/>
        </w:rPr>
        <w:t xml:space="preserve"> </w:t>
      </w:r>
      <w:r w:rsidRPr="00CF1B34">
        <w:rPr>
          <w:rFonts w:ascii="Arial" w:hAnsi="Arial" w:cs="Arial"/>
          <w:b/>
          <w:bCs/>
          <w:sz w:val="22"/>
          <w:szCs w:val="22"/>
          <w:lang w:val="es-ES_tradnl"/>
        </w:rPr>
        <w:t>Asociación de Instituciones de Inversión Colectiva y Fondos de Pensiones Española</w:t>
      </w:r>
      <w:r w:rsidRPr="00CF1B34">
        <w:rPr>
          <w:rFonts w:ascii="Arial" w:hAnsi="Arial" w:cs="Arial"/>
          <w:sz w:val="22"/>
          <w:szCs w:val="22"/>
          <w:lang w:val="es-ES_tradnl"/>
        </w:rPr>
        <w:t>, y como su nombre indica, agrupa a todas las entidades de inversión colectiva. </w:t>
      </w:r>
    </w:p>
    <w:p w14:paraId="01AEA984" w14:textId="0432976B"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Se trata de una patronal benéfico-docente y sin ánimo de lucro, formada por las Instituciones que gestionan la inversión colectiva española (fondos y sociedades de Inversión), los  </w:t>
      </w:r>
      <w:hyperlink r:id="rId265" w:history="1">
        <w:r w:rsidRPr="00CF1B34">
          <w:rPr>
            <w:rFonts w:ascii="Arial" w:hAnsi="Arial" w:cs="Arial"/>
            <w:color w:val="BD4313"/>
            <w:sz w:val="22"/>
            <w:szCs w:val="22"/>
            <w:u w:val="single"/>
            <w:lang w:val="es-ES_tradnl"/>
          </w:rPr>
          <w:t>fondos de pensiones</w:t>
        </w:r>
      </w:hyperlink>
      <w:r w:rsidRPr="00CF1B34">
        <w:rPr>
          <w:rFonts w:ascii="Arial" w:hAnsi="Arial" w:cs="Arial"/>
          <w:sz w:val="22"/>
          <w:szCs w:val="22"/>
          <w:lang w:val="es-ES_tradnl"/>
        </w:rPr>
        <w:t>  españoles y todas aquellas Instituciones de inversión colectiva extranjeras que estén inscritas en la CNMV.A su vez, INVERCO está federada en otros organismos internacionales, colaborando en la elaboración de informes conjuntos y tomando parte representativa en los consejos y asambleas que los regulan: EFAMA, Pensions Europe, FIAP, IIFA, FIUAFIIN y WPA.</w:t>
      </w:r>
    </w:p>
    <w:p w14:paraId="24A9E53A" w14:textId="77777777"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La labor de INVERCO es relevante para los inversores porque, a partir de la información recopilada por las entidades adheridas, elabora publicaciones periódicas en las que se analizan múltiples factores relacionados con el sector: datos sobre la evolución mensual y trimestral de los fondos de inversión y de los fondos de pensiones; información tanto individualizada como agregada de valores liquidativos, rentabilidad, suscripción de partícipes y su patrimonio, etc. Algunos de estos informes más destacados son el de la evolución del ahorro financiero de las familias españolas, el del análisis sobre el perfil de ahorrador en España o de los relacionados con todos los datos actualizados sobre la inversión en IIC y fondos de pensiones. Como decimos, estos informes tienen gran valor, pues dan a conocer la evolución mensual y trimestral de los fondos de inversión y pensiones. Toda esta información conforma una enorme y valiosa base de datos estadística de gran utilidad para los inversores.</w:t>
      </w:r>
    </w:p>
    <w:p w14:paraId="24CBA55C" w14:textId="77777777" w:rsidR="00D81BCC" w:rsidRPr="00CF1B34" w:rsidRDefault="00D81BCC"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son las Instituciones de Inversión Colectiva (IIC)?</w:t>
      </w:r>
    </w:p>
    <w:p w14:paraId="3393893F" w14:textId="77777777" w:rsidR="00D81BCC" w:rsidRPr="00CF1B34" w:rsidRDefault="00D81BCC"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Cuando hablamos de Instituciones de Inversión Colectiva (IIC) nos referimos a aquellas instituciones que captan fondos, derechos o bienes de titularidad pública, para después invertirlos y gestionarlos conjuntamente en activos, tanto financieros como no financieros.  </w:t>
      </w:r>
    </w:p>
    <w:p w14:paraId="3E051306" w14:textId="77777777" w:rsidR="00D81BCC" w:rsidRPr="00CF1B34" w:rsidRDefault="00D81BCC"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hace INVERCO? </w:t>
      </w:r>
    </w:p>
    <w:p w14:paraId="63B79E8D" w14:textId="77777777" w:rsidR="00D81BCC" w:rsidRPr="00CF1B34" w:rsidRDefault="00D81BCC" w:rsidP="0005621A">
      <w:pPr>
        <w:spacing w:after="100" w:afterAutospacing="1"/>
        <w:ind w:firstLine="708"/>
        <w:jc w:val="both"/>
        <w:rPr>
          <w:rFonts w:ascii="Arial" w:hAnsi="Arial" w:cs="Arial"/>
          <w:sz w:val="22"/>
          <w:szCs w:val="22"/>
          <w:lang w:val="es-ES_tradnl"/>
        </w:rPr>
      </w:pPr>
      <w:r w:rsidRPr="00CF1B34">
        <w:rPr>
          <w:rFonts w:ascii="Arial" w:hAnsi="Arial" w:cs="Arial"/>
          <w:sz w:val="22"/>
          <w:szCs w:val="22"/>
          <w:lang w:val="es-ES_tradnl"/>
        </w:rPr>
        <w:t>Concretamente, cumple estas funciones:</w:t>
      </w:r>
    </w:p>
    <w:p w14:paraId="164A6B1B" w14:textId="77777777" w:rsidR="00D81BCC" w:rsidRPr="00CF1B34" w:rsidRDefault="00D81BCC" w:rsidP="004F7A62">
      <w:pPr>
        <w:numPr>
          <w:ilvl w:val="0"/>
          <w:numId w:val="3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Representa los intereses de las instituciones que lo componen ante la Administración Pública. </w:t>
      </w:r>
    </w:p>
    <w:p w14:paraId="3FFBA328" w14:textId="77777777" w:rsidR="00D81BCC" w:rsidRPr="00CF1B34" w:rsidRDefault="00D81BCC" w:rsidP="004F7A62">
      <w:pPr>
        <w:numPr>
          <w:ilvl w:val="0"/>
          <w:numId w:val="3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Asesora y ejerce protección legal y control de los cambios administrativos que se produzcan. </w:t>
      </w:r>
    </w:p>
    <w:p w14:paraId="33AEFFC9" w14:textId="77777777" w:rsidR="00D81BCC" w:rsidRPr="00CF1B34" w:rsidRDefault="00D81BCC" w:rsidP="004F7A62">
      <w:pPr>
        <w:numPr>
          <w:ilvl w:val="0"/>
          <w:numId w:val="3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Recopila información sobre todos los productos de inversión colectiva con los que trabajan las entidades que la forman. </w:t>
      </w:r>
    </w:p>
    <w:p w14:paraId="5B979C15" w14:textId="77777777" w:rsidR="00D81BCC" w:rsidRPr="00CF1B34" w:rsidRDefault="00D81BCC" w:rsidP="004F7A62">
      <w:pPr>
        <w:numPr>
          <w:ilvl w:val="0"/>
          <w:numId w:val="3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Elabora informes y estadísticas, y mantiene el contacto con los medios de comunicación para dar a conocer estos datos.  </w:t>
      </w:r>
    </w:p>
    <w:p w14:paraId="624BB834" w14:textId="77777777" w:rsidR="00D81BCC" w:rsidRPr="00CF1B34" w:rsidRDefault="00D81BCC" w:rsidP="004F7A62">
      <w:pPr>
        <w:numPr>
          <w:ilvl w:val="0"/>
          <w:numId w:val="3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Lleva a cabo una importante labor en educación financiera a través de diferentes formatos de cursos, seminarios, promoviendo así una cultura de ahorro e inversión.  </w:t>
      </w:r>
    </w:p>
    <w:p w14:paraId="0DE69649" w14:textId="77777777" w:rsidR="00D81BCC" w:rsidRPr="00CF1B34" w:rsidRDefault="00D81BCC" w:rsidP="004F7A62">
      <w:pPr>
        <w:numPr>
          <w:ilvl w:val="0"/>
          <w:numId w:val="3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Establece y fomenta las relaciones con otras entidades españolas y extranjeras.  Participa en organizaciones empresariales de ámbito nacional e internacional. </w:t>
      </w:r>
    </w:p>
    <w:p w14:paraId="62201781" w14:textId="77777777" w:rsidR="00D81BCC" w:rsidRPr="00CF1B34" w:rsidRDefault="00D81BCC" w:rsidP="004F7A62">
      <w:pPr>
        <w:numPr>
          <w:ilvl w:val="0"/>
          <w:numId w:val="3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Y coopera en las organizaciones de consumidores y usuarios, con el objetivo de facilitar transparencia en toda la información que se da a conocer.</w:t>
      </w:r>
    </w:p>
    <w:p w14:paraId="24699C92" w14:textId="77777777" w:rsidR="00B61AFD" w:rsidRPr="00CF1B34" w:rsidRDefault="00B61AFD" w:rsidP="0005621A">
      <w:pPr>
        <w:pBdr>
          <w:bottom w:val="dotted" w:sz="12" w:space="12" w:color="666666"/>
        </w:pBdr>
        <w:spacing w:after="240"/>
        <w:jc w:val="both"/>
        <w:rPr>
          <w:rFonts w:ascii="Arial" w:hAnsi="Arial" w:cs="Arial"/>
          <w:color w:val="212529"/>
          <w:sz w:val="22"/>
          <w:szCs w:val="22"/>
          <w:lang w:val="es-ES_tradnl"/>
        </w:rPr>
      </w:pPr>
    </w:p>
    <w:p w14:paraId="7ECE4B28" w14:textId="5F1F5DF5" w:rsidR="00D81BCC" w:rsidRPr="00CF1B34" w:rsidRDefault="00E8594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Inversión colectiva</w:t>
      </w:r>
    </w:p>
    <w:p w14:paraId="131B6987" w14:textId="7E4D8429" w:rsidR="00C914BF" w:rsidRPr="00CF1B34" w:rsidRDefault="006360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caso en el que los inversores en vez de acudir por separado al mercado lo hacen junto a otros inversores. Los fondos de inversión son el mayor</w:t>
      </w:r>
      <w:r w:rsidR="00C914BF" w:rsidRPr="00CF1B34">
        <w:rPr>
          <w:rFonts w:ascii="Arial" w:hAnsi="Arial" w:cs="Arial"/>
          <w:color w:val="000000" w:themeColor="text1"/>
          <w:sz w:val="22"/>
          <w:szCs w:val="22"/>
          <w:lang w:val="es-ES_tradnl"/>
        </w:rPr>
        <w:t>.</w:t>
      </w:r>
    </w:p>
    <w:p w14:paraId="37839D75" w14:textId="264FB9B1" w:rsidR="00E85946" w:rsidRPr="00CF1B34" w:rsidRDefault="00E8594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Inversión en el extranjero</w:t>
      </w:r>
    </w:p>
    <w:p w14:paraId="33A15DAA" w14:textId="32D9914C" w:rsidR="00C914BF" w:rsidRPr="00CF1B34" w:rsidRDefault="00C914B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Es la decisión del ahorrador de invertir en un país distinto al de origen. Para realizar este tipo de inversión además de tener presente la evolución de los mercados donde se invierte</w:t>
      </w:r>
      <w:r w:rsidR="00E107F2" w:rsidRPr="00CF1B34">
        <w:rPr>
          <w:rFonts w:ascii="Arial" w:hAnsi="Arial" w:cs="Arial"/>
          <w:color w:val="000000" w:themeColor="text1"/>
          <w:sz w:val="22"/>
          <w:szCs w:val="22"/>
          <w:lang w:val="es-ES_tradnl"/>
        </w:rPr>
        <w:t>,</w:t>
      </w:r>
      <w:r w:rsidRPr="00CF1B34">
        <w:rPr>
          <w:rFonts w:ascii="Arial" w:hAnsi="Arial" w:cs="Arial"/>
          <w:color w:val="000000" w:themeColor="text1"/>
          <w:sz w:val="22"/>
          <w:szCs w:val="22"/>
          <w:lang w:val="es-ES_tradnl"/>
        </w:rPr>
        <w:t xml:space="preserve"> as</w:t>
      </w:r>
      <w:r w:rsidR="008213BD"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 xml:space="preserve"> como la evolución de la moneda propia respecto a la que utilizo para realizar las inversiones.</w:t>
      </w:r>
    </w:p>
    <w:p w14:paraId="4BE37677" w14:textId="24C398EC"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Inversión mínima a mantener</w:t>
      </w:r>
    </w:p>
    <w:p w14:paraId="70447DDB"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Importe necesario para mantener la condición de partícipe en algunos fondos de inversión. Este dato debe señalarse de forma expresa en el folleto. Su importancia radica en que no se pueden realizar reembolsos parciales que dejen el saldo por debajo de dicha inversión mínima, ya que en tal caso la gestora obligaría a realizar un reembolso total. </w:t>
      </w:r>
    </w:p>
    <w:p w14:paraId="1847408B" w14:textId="1B16BB23" w:rsidR="00C26652" w:rsidRPr="00CF1B34" w:rsidRDefault="00C2665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Inversión social responsable.</w:t>
      </w:r>
    </w:p>
    <w:p w14:paraId="17376ACE" w14:textId="5FA7D0BF" w:rsidR="00C26652" w:rsidRPr="00CF1B34" w:rsidRDefault="00C26652" w:rsidP="0005621A">
      <w:pPr>
        <w:ind w:left="708"/>
        <w:jc w:val="both"/>
        <w:rPr>
          <w:rFonts w:ascii="Arial" w:hAnsi="Arial" w:cs="Arial"/>
          <w:sz w:val="22"/>
          <w:szCs w:val="22"/>
          <w:lang w:val="es-ES_tradnl"/>
        </w:rPr>
      </w:pPr>
      <w:r w:rsidRPr="00CF1B34">
        <w:rPr>
          <w:rStyle w:val="Textoennegrita"/>
          <w:rFonts w:ascii="Arial" w:hAnsi="Arial" w:cs="Arial"/>
          <w:color w:val="333333"/>
          <w:sz w:val="22"/>
          <w:szCs w:val="22"/>
          <w:shd w:val="clear" w:color="auto" w:fill="FFFFFF"/>
          <w:lang w:val="es-ES_tradnl"/>
        </w:rPr>
        <w:t>La inversión socialmente responsable es aquella que incorpora criterios sociales y medioambientales, dentro de sus caracteres de financiación y proceso de la inversión</w:t>
      </w:r>
      <w:r w:rsidRPr="00CF1B34">
        <w:rPr>
          <w:rFonts w:ascii="Arial" w:hAnsi="Arial" w:cs="Arial"/>
          <w:color w:val="333333"/>
          <w:sz w:val="22"/>
          <w:szCs w:val="22"/>
          <w:shd w:val="clear" w:color="auto" w:fill="FFFFFF"/>
          <w:lang w:val="es-ES_tradnl"/>
        </w:rPr>
        <w:t>. Mediante esta moderna forma de inversión, se les permite a los ahorradores ejercer presión para cambiar u orientar las decisiones empresariales.</w:t>
      </w:r>
      <w:r w:rsidR="008213BD" w:rsidRPr="00CF1B34">
        <w:rPr>
          <w:rFonts w:ascii="Arial" w:hAnsi="Arial" w:cs="Arial"/>
          <w:color w:val="333333"/>
          <w:sz w:val="22"/>
          <w:szCs w:val="22"/>
          <w:shd w:val="clear" w:color="auto" w:fill="FFFFFF"/>
          <w:lang w:val="es-ES_tradnl"/>
        </w:rPr>
        <w:t xml:space="preserve"> Adicionalmente, </w:t>
      </w:r>
      <w:r w:rsidR="008213BD" w:rsidRPr="00CF1B34">
        <w:rPr>
          <w:rStyle w:val="Textoennegrita"/>
          <w:rFonts w:ascii="Arial" w:hAnsi="Arial" w:cs="Arial"/>
          <w:color w:val="333333"/>
          <w:sz w:val="22"/>
          <w:szCs w:val="22"/>
          <w:shd w:val="clear" w:color="auto" w:fill="FFFFFF"/>
          <w:lang w:val="es-ES_tradnl"/>
        </w:rPr>
        <w:t>a través de este tipo de inversiones se ayuda y beneficia a muchos proyectos y microempresas que no pueden obtener financiación por los métodos tradicionales</w:t>
      </w:r>
      <w:r w:rsidR="008213BD" w:rsidRPr="00CF1B34">
        <w:rPr>
          <w:rFonts w:ascii="Arial" w:hAnsi="Arial" w:cs="Arial"/>
          <w:color w:val="333333"/>
          <w:sz w:val="22"/>
          <w:szCs w:val="22"/>
          <w:shd w:val="clear" w:color="auto" w:fill="FFFFFF"/>
          <w:lang w:val="es-ES_tradnl"/>
        </w:rPr>
        <w:t>.</w:t>
      </w:r>
    </w:p>
    <w:p w14:paraId="41C3356A" w14:textId="6D3AA80A" w:rsidR="008213BD" w:rsidRPr="00CF1B34" w:rsidRDefault="008213B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lang w:val="es-ES_tradnl"/>
        </w:rPr>
        <w:t xml:space="preserve">Actualmente, </w:t>
      </w:r>
      <w:r w:rsidRPr="00CF1B34">
        <w:rPr>
          <w:rFonts w:ascii="Arial" w:hAnsi="Arial" w:cs="Arial"/>
          <w:b/>
          <w:bCs/>
          <w:color w:val="333333"/>
          <w:sz w:val="22"/>
          <w:szCs w:val="22"/>
          <w:shd w:val="clear" w:color="auto" w:fill="FFFFFF"/>
          <w:lang w:val="es-ES_tradnl"/>
        </w:rPr>
        <w:t>se utiliza mucho invertir con criterios de responsabilidad social a través de fondos de inversión éticos</w:t>
      </w:r>
      <w:r w:rsidRPr="00CF1B34">
        <w:rPr>
          <w:rFonts w:ascii="Arial" w:hAnsi="Arial" w:cs="Arial"/>
          <w:color w:val="333333"/>
          <w:sz w:val="22"/>
          <w:szCs w:val="22"/>
          <w:shd w:val="clear" w:color="auto" w:fill="FFFFFF"/>
          <w:lang w:val="es-ES_tradnl"/>
        </w:rPr>
        <w:t xml:space="preserve">. Como el </w:t>
      </w:r>
      <w:r w:rsidRPr="00CF1B34">
        <w:rPr>
          <w:rFonts w:ascii="Arial" w:hAnsi="Arial" w:cs="Arial"/>
          <w:sz w:val="22"/>
          <w:szCs w:val="22"/>
          <w:lang w:val="es-ES_tradnl"/>
        </w:rPr>
        <w:t xml:space="preserve">fondo verde </w:t>
      </w:r>
      <w:r w:rsidRPr="00CF1B34">
        <w:rPr>
          <w:rFonts w:ascii="Arial" w:hAnsi="Arial" w:cs="Arial"/>
          <w:color w:val="333333"/>
          <w:sz w:val="22"/>
          <w:szCs w:val="22"/>
          <w:shd w:val="clear" w:color="auto" w:fill="FFFFFF"/>
          <w:lang w:val="es-ES_tradnl"/>
        </w:rPr>
        <w:t>que comentamos la semana pasada, estos permiten dirigir el ahorro a determinados valores, además de ser rentables.</w:t>
      </w:r>
    </w:p>
    <w:p w14:paraId="0E9D3778" w14:textId="5A00F1BE"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Inversiones sostenibles</w:t>
      </w:r>
    </w:p>
    <w:p w14:paraId="4065A247" w14:textId="32AEAF7B"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Inversiones en actividades económicas que contribuyan a un objetivo medioambiental o social; siempre y cuando las inversiones no perjudiquen significativamente a ninguno de dichos objetivos y las empresas beneficiarias sigan prácticas de buen gobierno.</w:t>
      </w:r>
    </w:p>
    <w:p w14:paraId="348841BE" w14:textId="3DCB2827" w:rsidR="002F5697" w:rsidRPr="00CF1B34" w:rsidRDefault="002F569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Inversis</w:t>
      </w:r>
    </w:p>
    <w:p w14:paraId="5C5B1660" w14:textId="2EFBCA85" w:rsidR="002F5697" w:rsidRPr="00CF1B34" w:rsidRDefault="002F5697"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CF1B34">
        <w:rPr>
          <w:rFonts w:ascii="Arial" w:hAnsi="Arial" w:cs="Arial"/>
          <w:color w:val="333333"/>
          <w:sz w:val="22"/>
          <w:szCs w:val="22"/>
        </w:rPr>
        <w:t>El concepto de supermercado financiero es un modelo muy interesante para el usuario final. Las entidades financieras en su mayoría solo pueden ofrecer los productos que comercializan. Esto obliga en muchas ocasiones a vender productos a sus clientes que no son la mejor opción que el cliente tiene a su elección, aunque pueda ser la mejor elección disponible dentro de su entidad financiera.</w:t>
      </w:r>
    </w:p>
    <w:p w14:paraId="69BCE110" w14:textId="77777777" w:rsidR="002F5697" w:rsidRPr="00CF1B34" w:rsidRDefault="00D83530" w:rsidP="0005621A">
      <w:pPr>
        <w:pBdr>
          <w:bottom w:val="dotted" w:sz="12" w:space="12" w:color="666666"/>
        </w:pBdr>
        <w:spacing w:after="240"/>
        <w:ind w:left="720"/>
        <w:jc w:val="both"/>
        <w:rPr>
          <w:rFonts w:ascii="Arial" w:hAnsi="Arial" w:cs="Arial"/>
          <w:color w:val="212529"/>
          <w:sz w:val="22"/>
          <w:szCs w:val="22"/>
          <w:lang w:val="es-ES_tradnl"/>
        </w:rPr>
      </w:pPr>
      <w:hyperlink r:id="rId266" w:history="1">
        <w:r w:rsidR="002F5697" w:rsidRPr="00CF1B34">
          <w:rPr>
            <w:rStyle w:val="Hipervnculo"/>
            <w:rFonts w:ascii="Arial" w:hAnsi="Arial" w:cs="Arial"/>
            <w:b/>
            <w:bCs/>
            <w:color w:val="DC143C"/>
            <w:sz w:val="22"/>
            <w:szCs w:val="22"/>
          </w:rPr>
          <w:t>Inversis</w:t>
        </w:r>
      </w:hyperlink>
      <w:r w:rsidR="002F5697" w:rsidRPr="00CF1B34">
        <w:rPr>
          <w:rStyle w:val="Textoennegrita"/>
          <w:rFonts w:ascii="Arial" w:hAnsi="Arial" w:cs="Arial"/>
          <w:color w:val="333333"/>
          <w:sz w:val="22"/>
          <w:szCs w:val="22"/>
        </w:rPr>
        <w:t xml:space="preserve"> </w:t>
      </w:r>
      <w:r w:rsidR="002F5697" w:rsidRPr="00CF1B34">
        <w:rPr>
          <w:rFonts w:ascii="Arial" w:hAnsi="Arial" w:cs="Arial"/>
          <w:color w:val="333333"/>
          <w:sz w:val="22"/>
          <w:szCs w:val="22"/>
        </w:rPr>
        <w:t>en este sentido no tiene este problema dado que los fondos que comercializa no son propios y por tanto no tiene un interes especial en vender un fondo de una gestora concreta. Por contra esta gestión introduce un intermediario mas, que podría hacer tener un coste adicional con respecto a contratarlo directamente en la gestora. Esto en casos del tamaño de Inversis puede hacer que este coste adicional lo asimile la gestora en lugar del cliente.</w:t>
      </w:r>
    </w:p>
    <w:p w14:paraId="160F53AA" w14:textId="16C89606"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Inversor cualificado</w:t>
      </w:r>
    </w:p>
    <w:p w14:paraId="65095A60"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Entidad o persona que invierte en los mercados de valores grandes volúmenes, lo que permite conseguir mejores condiciones de negociación, comisiones más bajas, etc. La normativa les otorga en general menores niveles de protección que a los pequeños inversores, ya que por su carácter institucional o profesional tienen conocimientos y experiencia suficientes para valorar los riesgos que asumen y tomar sus propias decisiones de inversión. Se consideran inversores cualificados los institucionales (bancos y cajas, compañías de seguros, sociedades gestoras de fondos de inversión, entidades gestoras de planes de pensiones, fondos y sociedades de inversión...), las pequeñas </w:t>
      </w:r>
      <w:r w:rsidRPr="00CF1B34">
        <w:rPr>
          <w:rFonts w:ascii="Arial" w:hAnsi="Arial" w:cs="Arial"/>
          <w:color w:val="212529"/>
          <w:sz w:val="22"/>
          <w:szCs w:val="22"/>
          <w:lang w:val="es-ES_tradnl"/>
        </w:rPr>
        <w:lastRenderedPageBreak/>
        <w:t>empresas y las personas físicas que, cumpliendo determinados criterios, soliciten ser considerados inversores cualificados. </w:t>
      </w:r>
    </w:p>
    <w:p w14:paraId="32DD08DD"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Inversor minorista</w:t>
      </w:r>
    </w:p>
    <w:p w14:paraId="64A9E704" w14:textId="24AC1661" w:rsidR="00696A3C" w:rsidRPr="00CF1B34" w:rsidRDefault="00696A3C"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Es</w:t>
      </w:r>
      <w:r w:rsidR="002F5697"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el pequeño inversor; la normativa europea lo define por exclusión como el que no puede ser considerado inversor profesional, por la menor magnitud de los importes que invierte o por su menor experiencia y conocimientos de los mercados de valores. En consecuencia, la normativa le otorga niveles de protección superiores a los previstos para inversores profesionales.</w:t>
      </w:r>
      <w:r w:rsidR="00E85946" w:rsidRPr="00CF1B34">
        <w:rPr>
          <w:rFonts w:ascii="Arial" w:hAnsi="Arial" w:cs="Arial"/>
          <w:color w:val="212529"/>
          <w:sz w:val="22"/>
          <w:szCs w:val="22"/>
          <w:lang w:val="es-ES_tradnl"/>
        </w:rPr>
        <w:t xml:space="preserve"> </w:t>
      </w:r>
      <w:hyperlink r:id="rId267" w:tgtFrame="_self" w:history="1">
        <w:r w:rsidRPr="00CF1B34">
          <w:rPr>
            <w:rFonts w:ascii="Arial" w:hAnsi="Arial" w:cs="Arial"/>
            <w:b/>
            <w:bCs/>
            <w:color w:val="2F5496" w:themeColor="accent1" w:themeShade="BF"/>
            <w:sz w:val="22"/>
            <w:szCs w:val="22"/>
            <w:u w:val="single"/>
            <w:lang w:val="es-ES_tradnl"/>
          </w:rPr>
          <w:t>Ver inversor profesional</w:t>
        </w:r>
      </w:hyperlink>
      <w:r w:rsidRPr="00CF1B34">
        <w:rPr>
          <w:rFonts w:ascii="Arial" w:hAnsi="Arial" w:cs="Arial"/>
          <w:color w:val="2F5496" w:themeColor="accent1" w:themeShade="BF"/>
          <w:sz w:val="22"/>
          <w:szCs w:val="22"/>
          <w:lang w:val="es-ES_tradnl"/>
        </w:rPr>
        <w:t>.</w:t>
      </w:r>
    </w:p>
    <w:p w14:paraId="65107166"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Inversor profesional</w:t>
      </w:r>
    </w:p>
    <w:p w14:paraId="42DB33F1"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Según define la Directiva europea sobre mercados de instrumentos financieros, es aquel que tiene la experiencia y los conocimientos necesarios para tomar sus propias decisiones de inversión y para valorar los riesgos que asume. Se consideran profesionales las entidades que deben ser autorizadas o reguladas para operar en los mercados financieros (entidades de crédito, empresas de inversión, compañías de seguros, organismos de inversión colectiva, fondos de pensiones e inversores institucionales en general), grandes empresas que cumplan determinados requisitos de fondos propios y volumen de negocio, gobiernos y organismos públicos. En principio, y salvo solicitud en contra, se presupone que un inversor profesional precisa un nivel de protección inferior al que la normativa establece para inversores particulares. </w:t>
      </w:r>
    </w:p>
    <w:p w14:paraId="530CAE01" w14:textId="1E3D7C29" w:rsidR="00B61AFD" w:rsidRPr="00CF1B34" w:rsidRDefault="008F225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Inversores institucionales</w:t>
      </w:r>
    </w:p>
    <w:p w14:paraId="6E5F1F1F" w14:textId="77777777" w:rsidR="005A788F" w:rsidRPr="00CF1B34" w:rsidRDefault="00AE01E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los grandes inversores que mueven su dinero en todos los mercados y por todo el mundo en busca de la mayor ganancia posible. Su importancia en los mercados es clave debido a las cantidades astronomías que mueven.</w:t>
      </w:r>
    </w:p>
    <w:p w14:paraId="54C0E152" w14:textId="16863A52" w:rsidR="008F225D" w:rsidRPr="00CF1B34" w:rsidRDefault="008F225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Inversores particulares</w:t>
      </w:r>
    </w:p>
    <w:p w14:paraId="1E06D74E" w14:textId="77777777" w:rsidR="00AE01E4" w:rsidRPr="00CF1B34" w:rsidRDefault="00AE01E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los inversores de a pie que acuden a los mercados con sus ahorros para sacarles un rendimiento.</w:t>
      </w:r>
    </w:p>
    <w:p w14:paraId="7D249950" w14:textId="77777777" w:rsidR="00B61AFD" w:rsidRPr="00CF1B34" w:rsidRDefault="00B61AFD"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Investment Grade</w:t>
      </w:r>
    </w:p>
    <w:p w14:paraId="0C83A32A" w14:textId="11040465" w:rsidR="00B61AFD" w:rsidRPr="00CF1B34" w:rsidRDefault="00B61AF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w:t>
      </w:r>
      <w:r w:rsidR="00E85946" w:rsidRPr="00CF1B34">
        <w:rPr>
          <w:rFonts w:ascii="Arial" w:hAnsi="Arial" w:cs="Arial"/>
          <w:sz w:val="22"/>
          <w:szCs w:val="22"/>
          <w:lang w:val="es-ES_tradnl"/>
        </w:rPr>
        <w:t xml:space="preserve"> </w:t>
      </w:r>
      <w:r w:rsidRPr="00CF1B34">
        <w:rPr>
          <w:rFonts w:ascii="Arial" w:hAnsi="Arial" w:cs="Arial"/>
          <w:i/>
          <w:iCs/>
          <w:sz w:val="22"/>
          <w:szCs w:val="22"/>
          <w:lang w:val="es-ES_tradnl"/>
        </w:rPr>
        <w:t>Investment grade</w:t>
      </w:r>
      <w:r w:rsidR="00E85946" w:rsidRPr="00CF1B34">
        <w:rPr>
          <w:rFonts w:ascii="Arial" w:hAnsi="Arial" w:cs="Arial"/>
          <w:sz w:val="22"/>
          <w:szCs w:val="22"/>
          <w:lang w:val="es-ES_tradnl"/>
        </w:rPr>
        <w:t xml:space="preserve"> </w:t>
      </w:r>
      <w:r w:rsidRPr="00CF1B34">
        <w:rPr>
          <w:rFonts w:ascii="Arial" w:hAnsi="Arial" w:cs="Arial"/>
          <w:sz w:val="22"/>
          <w:szCs w:val="22"/>
          <w:lang w:val="es-ES_tradnl"/>
        </w:rPr>
        <w:t xml:space="preserve">o grado de inversión es un Grupo de calificaciones crediticias que implica bajo riesgo de impago (desde AAA a BBB-). Compañías con una calificación en este rango emitirán deuda a un tipo de interés inferior que otras con peor nivel de calificación crediticia, por lo tanto, se financian más barato. El nivel AAA es la mejor </w:t>
      </w:r>
    </w:p>
    <w:p w14:paraId="3117332B" w14:textId="77777777" w:rsidR="00B61AFD" w:rsidRPr="00CF1B34" w:rsidRDefault="00B61AF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agencias de calificación crediticia son las encargadas de puntuar los activos financieros, empresas o Estados y establecer si existe un riesgo bajo de quiebra o insolvencia de pagos.</w:t>
      </w:r>
    </w:p>
    <w:p w14:paraId="6212CB65" w14:textId="77777777" w:rsidR="00B61AFD" w:rsidRPr="00CF1B34" w:rsidRDefault="00B61AF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Estas agencias realizan exhaustivos análisis de las cuentas y balances económicos de los Estados, las Compañías de Seguros, los Bancos y todo tipo de productos financieros.</w:t>
      </w:r>
    </w:p>
    <w:p w14:paraId="0611DEC0" w14:textId="24679B4F" w:rsidR="00B61AFD" w:rsidRPr="00CF1B34" w:rsidRDefault="00B61AF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Dentro de</w:t>
      </w:r>
      <w:r w:rsidR="00E85946" w:rsidRPr="00CF1B34">
        <w:rPr>
          <w:rFonts w:ascii="Arial" w:hAnsi="Arial" w:cs="Arial"/>
          <w:sz w:val="22"/>
          <w:szCs w:val="22"/>
          <w:lang w:val="es-ES_tradnl"/>
        </w:rPr>
        <w:t xml:space="preserve"> </w:t>
      </w:r>
      <w:r w:rsidRPr="00CF1B34">
        <w:rPr>
          <w:rFonts w:ascii="Arial" w:hAnsi="Arial" w:cs="Arial"/>
          <w:i/>
          <w:iCs/>
          <w:sz w:val="22"/>
          <w:szCs w:val="22"/>
          <w:lang w:val="es-ES_tradnl"/>
        </w:rPr>
        <w:t>Investment grade</w:t>
      </w:r>
      <w:r w:rsidR="00E85946" w:rsidRPr="00CF1B34">
        <w:rPr>
          <w:rFonts w:ascii="Arial" w:hAnsi="Arial" w:cs="Arial"/>
          <w:sz w:val="22"/>
          <w:szCs w:val="22"/>
          <w:lang w:val="es-ES_tradnl"/>
        </w:rPr>
        <w:t xml:space="preserve"> </w:t>
      </w:r>
      <w:r w:rsidRPr="00CF1B34">
        <w:rPr>
          <w:rFonts w:ascii="Arial" w:hAnsi="Arial" w:cs="Arial"/>
          <w:sz w:val="22"/>
          <w:szCs w:val="22"/>
          <w:lang w:val="es-ES_tradnl"/>
        </w:rPr>
        <w:t>se establecen cuatro categorías en base al riesgo de impago, como ya hemos mencionado AAA es considerada la mejor calificación crediticia. Así es como representan estas calificaciones cada una de las agencias de calificación crediticia.</w:t>
      </w:r>
    </w:p>
    <w:p w14:paraId="261EDE8B" w14:textId="7375E0BD" w:rsidR="00B61AFD" w:rsidRPr="00CF1B34" w:rsidRDefault="00B61AFD" w:rsidP="0005621A">
      <w:pPr>
        <w:shd w:val="clear" w:color="auto" w:fill="EBEEF5"/>
        <w:jc w:val="both"/>
        <w:rPr>
          <w:rFonts w:ascii="Arial" w:hAnsi="Arial" w:cs="Arial"/>
          <w:caps/>
          <w:color w:val="191B1C"/>
          <w:spacing w:val="18"/>
          <w:sz w:val="22"/>
          <w:szCs w:val="22"/>
          <w:lang w:val="es-ES_tradnl"/>
        </w:rPr>
      </w:pPr>
      <w:r w:rsidRPr="00CF1B34">
        <w:rPr>
          <w:rFonts w:ascii="Arial" w:hAnsi="Arial" w:cs="Arial"/>
          <w:caps/>
          <w:color w:val="191B1C"/>
          <w:spacing w:val="18"/>
          <w:sz w:val="22"/>
          <w:szCs w:val="22"/>
          <w:lang w:val="es-ES_tradnl"/>
        </w:rPr>
        <w:t>CAPACIDAD DE PAGO</w:t>
      </w:r>
      <w:r w:rsidRPr="00CF1B34">
        <w:rPr>
          <w:rFonts w:ascii="Arial" w:hAnsi="Arial" w:cs="Arial"/>
          <w:caps/>
          <w:color w:val="191B1C"/>
          <w:spacing w:val="18"/>
          <w:sz w:val="22"/>
          <w:szCs w:val="22"/>
          <w:lang w:val="es-ES_tradnl"/>
        </w:rPr>
        <w:tab/>
      </w:r>
      <w:r w:rsidRPr="00CF1B34">
        <w:rPr>
          <w:rFonts w:ascii="Arial" w:hAnsi="Arial" w:cs="Arial"/>
          <w:caps/>
          <w:color w:val="191B1C"/>
          <w:spacing w:val="18"/>
          <w:sz w:val="22"/>
          <w:szCs w:val="22"/>
          <w:lang w:val="es-ES_tradnl"/>
        </w:rPr>
        <w:tab/>
        <w:t>MOODY´S</w:t>
      </w:r>
      <w:r w:rsidRPr="00CF1B34">
        <w:rPr>
          <w:rFonts w:ascii="Arial" w:hAnsi="Arial" w:cs="Arial"/>
          <w:caps/>
          <w:color w:val="191B1C"/>
          <w:spacing w:val="18"/>
          <w:sz w:val="22"/>
          <w:szCs w:val="22"/>
          <w:lang w:val="es-ES_tradnl"/>
        </w:rPr>
        <w:tab/>
      </w:r>
      <w:r w:rsidRPr="00CF1B34">
        <w:rPr>
          <w:rFonts w:ascii="Arial" w:hAnsi="Arial" w:cs="Arial"/>
          <w:caps/>
          <w:color w:val="191B1C"/>
          <w:spacing w:val="18"/>
          <w:sz w:val="22"/>
          <w:szCs w:val="22"/>
          <w:lang w:val="es-ES_tradnl"/>
        </w:rPr>
        <w:tab/>
        <w:t>S&amp;P</w:t>
      </w:r>
      <w:r w:rsidRPr="00CF1B34">
        <w:rPr>
          <w:rFonts w:ascii="Arial" w:hAnsi="Arial" w:cs="Arial"/>
          <w:caps/>
          <w:color w:val="191B1C"/>
          <w:spacing w:val="18"/>
          <w:sz w:val="22"/>
          <w:szCs w:val="22"/>
          <w:lang w:val="es-ES_tradnl"/>
        </w:rPr>
        <w:tab/>
      </w:r>
      <w:r w:rsidRPr="00CF1B34">
        <w:rPr>
          <w:rFonts w:ascii="Arial" w:hAnsi="Arial" w:cs="Arial"/>
          <w:caps/>
          <w:color w:val="191B1C"/>
          <w:spacing w:val="18"/>
          <w:sz w:val="22"/>
          <w:szCs w:val="22"/>
          <w:lang w:val="es-ES_tradnl"/>
        </w:rPr>
        <w:tab/>
        <w:t>FITCH</w:t>
      </w:r>
    </w:p>
    <w:p w14:paraId="759D6E62" w14:textId="307DB159" w:rsidR="00B61AFD" w:rsidRPr="00CF1B34" w:rsidRDefault="00B61AFD"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Adecuada</w:t>
      </w:r>
      <w:r w:rsidRPr="00CF1B34">
        <w:rPr>
          <w:rFonts w:ascii="Arial" w:hAnsi="Arial" w:cs="Arial"/>
          <w:color w:val="191B1C"/>
          <w:sz w:val="22"/>
          <w:szCs w:val="22"/>
          <w:lang w:val="es-ES_tradnl"/>
        </w:rPr>
        <w:tab/>
      </w:r>
      <w:r w:rsidRPr="00CF1B34">
        <w:rPr>
          <w:rFonts w:ascii="Arial" w:hAnsi="Arial" w:cs="Arial"/>
          <w:color w:val="191B1C"/>
          <w:sz w:val="22"/>
          <w:szCs w:val="22"/>
          <w:lang w:val="es-ES_tradnl"/>
        </w:rPr>
        <w:tab/>
      </w:r>
      <w:r w:rsidRPr="00CF1B34">
        <w:rPr>
          <w:rFonts w:ascii="Arial" w:hAnsi="Arial" w:cs="Arial"/>
          <w:color w:val="191B1C"/>
          <w:sz w:val="22"/>
          <w:szCs w:val="22"/>
          <w:lang w:val="es-ES_tradnl"/>
        </w:rPr>
        <w:tab/>
      </w:r>
      <w:r w:rsidRPr="00CF1B34">
        <w:rPr>
          <w:rFonts w:ascii="Arial" w:hAnsi="Arial" w:cs="Arial"/>
          <w:color w:val="191B1C"/>
          <w:sz w:val="22"/>
          <w:szCs w:val="22"/>
          <w:lang w:val="es-ES_tradnl"/>
        </w:rPr>
        <w:tab/>
        <w:t>Baa</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BBB</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BBB</w:t>
      </w:r>
    </w:p>
    <w:p w14:paraId="756DD0DA" w14:textId="46698D38" w:rsidR="00B61AFD" w:rsidRPr="00CF1B34" w:rsidRDefault="00B61AFD"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Buena</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A</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A</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A</w:t>
      </w:r>
    </w:p>
    <w:p w14:paraId="39BFCC01" w14:textId="64144138" w:rsidR="00B61AFD" w:rsidRPr="00CF1B34" w:rsidRDefault="00B61AFD"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Fuerte</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Aa</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AA</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AA</w:t>
      </w:r>
    </w:p>
    <w:p w14:paraId="5F8004D2" w14:textId="5BD744E6" w:rsidR="00B61AFD" w:rsidRPr="00CF1B34" w:rsidRDefault="00B61AFD" w:rsidP="0005621A">
      <w:pPr>
        <w:shd w:val="clear" w:color="auto" w:fill="FFFFFF"/>
        <w:jc w:val="both"/>
        <w:rPr>
          <w:rFonts w:ascii="Arial" w:hAnsi="Arial" w:cs="Arial"/>
          <w:color w:val="191B1C"/>
          <w:sz w:val="22"/>
          <w:szCs w:val="22"/>
          <w:lang w:val="es-ES_tradnl"/>
        </w:rPr>
      </w:pPr>
      <w:r w:rsidRPr="00CF1B34">
        <w:rPr>
          <w:rFonts w:ascii="Arial" w:hAnsi="Arial" w:cs="Arial"/>
          <w:color w:val="191B1C"/>
          <w:sz w:val="22"/>
          <w:szCs w:val="22"/>
          <w:lang w:val="es-ES_tradnl"/>
        </w:rPr>
        <w:t>Muy fuerte</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Aaa</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AAA</w:t>
      </w:r>
      <w:r w:rsidR="00F63C64" w:rsidRPr="00CF1B34">
        <w:rPr>
          <w:rFonts w:ascii="Arial" w:hAnsi="Arial" w:cs="Arial"/>
          <w:color w:val="191B1C"/>
          <w:sz w:val="22"/>
          <w:szCs w:val="22"/>
          <w:lang w:val="es-ES_tradnl"/>
        </w:rPr>
        <w:tab/>
      </w:r>
      <w:r w:rsidR="00F63C64" w:rsidRPr="00CF1B34">
        <w:rPr>
          <w:rFonts w:ascii="Arial" w:hAnsi="Arial" w:cs="Arial"/>
          <w:color w:val="191B1C"/>
          <w:sz w:val="22"/>
          <w:szCs w:val="22"/>
          <w:lang w:val="es-ES_tradnl"/>
        </w:rPr>
        <w:tab/>
      </w:r>
      <w:r w:rsidRPr="00CF1B34">
        <w:rPr>
          <w:rFonts w:ascii="Arial" w:hAnsi="Arial" w:cs="Arial"/>
          <w:color w:val="191B1C"/>
          <w:sz w:val="22"/>
          <w:szCs w:val="22"/>
          <w:lang w:val="es-ES_tradnl"/>
        </w:rPr>
        <w:t>AAA</w:t>
      </w:r>
    </w:p>
    <w:p w14:paraId="6C7B059E" w14:textId="77777777" w:rsidR="00F63C64" w:rsidRPr="00CF1B34" w:rsidRDefault="00F63C64" w:rsidP="0005621A">
      <w:pPr>
        <w:shd w:val="clear" w:color="auto" w:fill="FFFFFF"/>
        <w:jc w:val="both"/>
        <w:rPr>
          <w:rFonts w:ascii="Arial" w:hAnsi="Arial" w:cs="Arial"/>
          <w:color w:val="191B1C"/>
          <w:sz w:val="22"/>
          <w:szCs w:val="22"/>
          <w:lang w:val="es-ES_tradnl"/>
        </w:rPr>
      </w:pPr>
    </w:p>
    <w:p w14:paraId="19C4227C" w14:textId="77777777" w:rsidR="00B61AFD" w:rsidRPr="00CF1B34" w:rsidRDefault="00B61AF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calificación crediticia es un indicador fundamental para los inversores, por ello las agencias de calificación crediticia tienen una enorme influencia económica en todo el mundo.</w:t>
      </w:r>
    </w:p>
    <w:p w14:paraId="146BAA18" w14:textId="77777777" w:rsidR="00B61AFD" w:rsidRPr="00CF1B34" w:rsidRDefault="00B61AFD"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 de tratarse de un indicador muy importante, esta calificación influye directamente en la prima de riesgo. Es decir, en caso de que la valoración crediticia no sea buena, la prima de riesgo se elevará y los inversores exigirán una rentabilidad mucho mayor a cambio de asumir ese riesgo.</w:t>
      </w:r>
    </w:p>
    <w:p w14:paraId="09384928" w14:textId="2A448AD6" w:rsidR="00F63C64" w:rsidRPr="00CF1B34" w:rsidRDefault="00B61AF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Además de</w:t>
      </w:r>
      <w:r w:rsidR="00E85946" w:rsidRPr="00CF1B34">
        <w:rPr>
          <w:rFonts w:ascii="Arial" w:hAnsi="Arial" w:cs="Arial"/>
          <w:sz w:val="22"/>
          <w:szCs w:val="22"/>
          <w:lang w:val="es-ES_tradnl"/>
        </w:rPr>
        <w:t xml:space="preserve"> </w:t>
      </w:r>
      <w:r w:rsidRPr="00CF1B34">
        <w:rPr>
          <w:rFonts w:ascii="Arial" w:hAnsi="Arial" w:cs="Arial"/>
          <w:i/>
          <w:iCs/>
          <w:sz w:val="22"/>
          <w:szCs w:val="22"/>
          <w:lang w:val="es-ES_tradnl"/>
        </w:rPr>
        <w:t>Investment Grade</w:t>
      </w:r>
      <w:r w:rsidR="00E85946" w:rsidRPr="00CF1B34">
        <w:rPr>
          <w:rFonts w:ascii="Arial" w:hAnsi="Arial" w:cs="Arial"/>
          <w:sz w:val="22"/>
          <w:szCs w:val="22"/>
          <w:lang w:val="es-ES_tradnl"/>
        </w:rPr>
        <w:t xml:space="preserve"> </w:t>
      </w:r>
      <w:r w:rsidRPr="00CF1B34">
        <w:rPr>
          <w:rFonts w:ascii="Arial" w:hAnsi="Arial" w:cs="Arial"/>
          <w:sz w:val="22"/>
          <w:szCs w:val="22"/>
          <w:lang w:val="es-ES_tradnl"/>
        </w:rPr>
        <w:t>o grado de inversión que, como hemos comentado engloba las calificaciones crediticias de bajo riesgo de impago, existen los bonos categorizados como grado especulativo que engloban todos aquellos cuya calificación crediticia es más baja y tienen un alto riesgo. Estos bonos se denominan también</w:t>
      </w:r>
      <w:r w:rsidR="00E85946" w:rsidRPr="00CF1B34">
        <w:rPr>
          <w:rFonts w:ascii="Arial" w:hAnsi="Arial" w:cs="Arial"/>
          <w:sz w:val="22"/>
          <w:szCs w:val="22"/>
          <w:lang w:val="es-ES_tradnl"/>
        </w:rPr>
        <w:t xml:space="preserve"> </w:t>
      </w:r>
      <w:r w:rsidRPr="00CF1B34">
        <w:rPr>
          <w:rFonts w:ascii="Arial" w:hAnsi="Arial" w:cs="Arial"/>
          <w:i/>
          <w:iCs/>
          <w:sz w:val="22"/>
          <w:szCs w:val="22"/>
          <w:lang w:val="es-ES_tradnl"/>
        </w:rPr>
        <w:t>high yield</w:t>
      </w:r>
      <w:r w:rsidR="00E85946" w:rsidRPr="00CF1B34">
        <w:rPr>
          <w:rFonts w:ascii="Arial" w:hAnsi="Arial" w:cs="Arial"/>
          <w:sz w:val="22"/>
          <w:szCs w:val="22"/>
          <w:lang w:val="es-ES_tradnl"/>
        </w:rPr>
        <w:t xml:space="preserve"> </w:t>
      </w:r>
      <w:r w:rsidRPr="00CF1B34">
        <w:rPr>
          <w:rFonts w:ascii="Arial" w:hAnsi="Arial" w:cs="Arial"/>
          <w:sz w:val="22"/>
          <w:szCs w:val="22"/>
          <w:lang w:val="es-ES_tradnl"/>
        </w:rPr>
        <w:t>o bonos basura</w:t>
      </w:r>
      <w:r w:rsidRPr="00CF1B34">
        <w:rPr>
          <w:rFonts w:ascii="Arial" w:hAnsi="Arial" w:cs="Arial"/>
          <w:i/>
          <w:iCs/>
          <w:sz w:val="22"/>
          <w:szCs w:val="22"/>
          <w:lang w:val="es-ES_tradnl"/>
        </w:rPr>
        <w:t>, y</w:t>
      </w:r>
      <w:r w:rsidRPr="00CF1B34">
        <w:rPr>
          <w:rFonts w:ascii="Arial" w:hAnsi="Arial" w:cs="Arial"/>
          <w:sz w:val="22"/>
          <w:szCs w:val="22"/>
          <w:lang w:val="es-ES_tradnl"/>
        </w:rPr>
        <w:t> se refieren a aquellos bonos cuya calificación es inferior a BBB según Standard &amp; Poor’s o de Baa3 según Moody’s.</w:t>
      </w:r>
    </w:p>
    <w:p w14:paraId="08A4831C" w14:textId="5337A7AB" w:rsidR="00C914BF" w:rsidRPr="00CF1B34" w:rsidRDefault="00E107F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w:t>
      </w:r>
      <w:r w:rsidR="00C914BF" w:rsidRPr="00CF1B34">
        <w:rPr>
          <w:rFonts w:ascii="Arial" w:hAnsi="Arial" w:cs="Arial"/>
          <w:b/>
          <w:bCs/>
          <w:color w:val="004773"/>
          <w:sz w:val="22"/>
          <w:szCs w:val="22"/>
          <w:lang w:val="es-ES_tradnl"/>
        </w:rPr>
        <w:t>PC</w:t>
      </w:r>
    </w:p>
    <w:p w14:paraId="3D617418" w14:textId="77777777" w:rsidR="00444FF4" w:rsidRPr="00CF1B34" w:rsidRDefault="00444FF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Indicador estadístico que mide la evolución de los precios de una canasta de bienes y servicios representativa del consumo familiar durante un período determinado. Para el cálculo del IPC se adopta un año de referencia, llamado año base, cuyo nivel inicial es 100, y se selecciona una lista representativa de los bienes y servicios que consumen los hogares (la canasta). Se determina la importancia relativa que tiene cada rubro en el gasto de consumo familiar, proporción que</w:t>
      </w:r>
      <w:r w:rsidRPr="00CF1B34">
        <w:rPr>
          <w:rFonts w:ascii="Arial" w:hAnsi="Arial" w:cs="Arial"/>
          <w:color w:val="000000"/>
          <w:sz w:val="26"/>
          <w:szCs w:val="26"/>
          <w:shd w:val="clear" w:color="auto" w:fill="FFFFFF"/>
          <w:lang w:val="es-ES_tradnl"/>
        </w:rPr>
        <w:t xml:space="preserve"> </w:t>
      </w:r>
      <w:r w:rsidRPr="00CF1B34">
        <w:rPr>
          <w:rFonts w:ascii="Arial" w:hAnsi="Arial" w:cs="Arial"/>
          <w:color w:val="000000"/>
          <w:sz w:val="22"/>
          <w:szCs w:val="22"/>
          <w:shd w:val="clear" w:color="auto" w:fill="FFFFFF"/>
          <w:lang w:val="es-ES_tradnl"/>
        </w:rPr>
        <w:t>en términos técnicos se denomina estructura de ponderaciones del IPC.</w:t>
      </w:r>
    </w:p>
    <w:p w14:paraId="21E8EC52" w14:textId="0809CD2B" w:rsidR="008A56B1" w:rsidRPr="00CF1B34" w:rsidRDefault="008A56B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IPC alquileres</w:t>
      </w:r>
    </w:p>
    <w:p w14:paraId="3A2B2393" w14:textId="166A6930" w:rsidR="008A56B1" w:rsidRPr="00CF1B34" w:rsidRDefault="008A56B1"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 xml:space="preserve">Saber </w:t>
      </w:r>
      <w:r w:rsidRPr="00CF1B34">
        <w:rPr>
          <w:rFonts w:ascii="Arial" w:hAnsi="Arial" w:cs="Arial"/>
          <w:sz w:val="22"/>
          <w:szCs w:val="22"/>
        </w:rPr>
        <w:t>como y cuando</w:t>
      </w:r>
      <w:r w:rsidR="00003C60" w:rsidRPr="00CF1B34">
        <w:rPr>
          <w:rFonts w:ascii="Arial" w:hAnsi="Arial" w:cs="Arial"/>
          <w:sz w:val="22"/>
          <w:szCs w:val="22"/>
        </w:rPr>
        <w:t xml:space="preserve"> debe actualizarse el alquilar </w:t>
      </w:r>
      <w:r w:rsidRPr="00CF1B34">
        <w:rPr>
          <w:rFonts w:ascii="Arial" w:hAnsi="Arial" w:cs="Arial"/>
          <w:color w:val="333333"/>
          <w:sz w:val="22"/>
          <w:szCs w:val="22"/>
          <w:shd w:val="clear" w:color="auto" w:fill="FFFFFF"/>
        </w:rPr>
        <w:t xml:space="preserve">de un piso es imprescindible para evitar problemas con el casero o el inquilino. En España, salvo acuerdos diferentes entre arrendador y arrendatario, es el </w:t>
      </w:r>
      <w:r w:rsidRPr="00CF1B34">
        <w:rPr>
          <w:rFonts w:ascii="Arial" w:hAnsi="Arial" w:cs="Arial"/>
          <w:b/>
          <w:bCs/>
          <w:color w:val="333333"/>
          <w:sz w:val="22"/>
          <w:szCs w:val="22"/>
          <w:shd w:val="clear" w:color="auto" w:fill="FFFFFF"/>
        </w:rPr>
        <w:t>IPC</w:t>
      </w:r>
      <w:r w:rsidRPr="00CF1B34">
        <w:rPr>
          <w:rFonts w:ascii="Arial" w:hAnsi="Arial" w:cs="Arial"/>
          <w:color w:val="333333"/>
          <w:sz w:val="22"/>
          <w:szCs w:val="22"/>
          <w:shd w:val="clear" w:color="auto" w:fill="FFFFFF"/>
        </w:rPr>
        <w:t xml:space="preserve"> el que marca la cuantía que subirá o bajará el alquiler.</w:t>
      </w:r>
    </w:p>
    <w:p w14:paraId="28B0B68A" w14:textId="02BA54D4" w:rsidR="008A56B1" w:rsidRPr="00CF1B34" w:rsidRDefault="008A56B1" w:rsidP="0005621A">
      <w:pPr>
        <w:ind w:left="708"/>
        <w:jc w:val="both"/>
        <w:rPr>
          <w:rFonts w:ascii="Arial" w:hAnsi="Arial" w:cs="Arial"/>
          <w:color w:val="333333"/>
          <w:sz w:val="22"/>
          <w:szCs w:val="22"/>
        </w:rPr>
      </w:pPr>
      <w:r w:rsidRPr="00CF1B34">
        <w:rPr>
          <w:rFonts w:ascii="Arial" w:hAnsi="Arial" w:cs="Arial"/>
          <w:color w:val="333333"/>
          <w:sz w:val="22"/>
          <w:szCs w:val="22"/>
        </w:rPr>
        <w:t xml:space="preserve">Al igual que la mayoría de rentas, es necesario actualizar los alquileres para que se ajusten a la evolución del coste de la vida. Esta actualización se hace de forma anual, pero a diferencia de la actualización del resto de rentas </w:t>
      </w:r>
      <w:r w:rsidRPr="00CF1B34">
        <w:rPr>
          <w:rFonts w:ascii="Arial" w:hAnsi="Arial" w:cs="Arial"/>
          <w:b/>
          <w:bCs/>
          <w:color w:val="333333"/>
          <w:sz w:val="22"/>
          <w:szCs w:val="22"/>
        </w:rPr>
        <w:t>no se lleva a cabo en el cambio de año</w:t>
      </w:r>
      <w:r w:rsidRPr="00CF1B34">
        <w:rPr>
          <w:rFonts w:ascii="Arial" w:hAnsi="Arial" w:cs="Arial"/>
          <w:color w:val="333333"/>
          <w:sz w:val="22"/>
          <w:szCs w:val="22"/>
        </w:rPr>
        <w:t>.</w:t>
      </w:r>
    </w:p>
    <w:p w14:paraId="5A30D850" w14:textId="0B5202B9" w:rsidR="008A56B1" w:rsidRPr="00CF1B34" w:rsidRDefault="008A56B1" w:rsidP="0005621A">
      <w:pPr>
        <w:ind w:left="708"/>
        <w:jc w:val="both"/>
        <w:rPr>
          <w:rFonts w:ascii="Arial" w:hAnsi="Arial" w:cs="Arial"/>
          <w:sz w:val="22"/>
          <w:szCs w:val="22"/>
        </w:rPr>
      </w:pPr>
      <w:r w:rsidRPr="00CF1B34">
        <w:rPr>
          <w:rStyle w:val="Textoennegrita"/>
          <w:rFonts w:ascii="Arial" w:hAnsi="Arial" w:cs="Arial"/>
          <w:color w:val="333333"/>
          <w:sz w:val="22"/>
          <w:szCs w:val="22"/>
          <w:shd w:val="clear" w:color="auto" w:fill="FFFFFF"/>
        </w:rPr>
        <w:t>Los alquileres se actualizan cuando se cumple un año desde su firma</w:t>
      </w:r>
      <w:r w:rsidRPr="00CF1B34">
        <w:rPr>
          <w:rFonts w:ascii="Arial" w:hAnsi="Arial" w:cs="Arial"/>
          <w:color w:val="333333"/>
          <w:sz w:val="22"/>
          <w:szCs w:val="22"/>
          <w:shd w:val="clear" w:color="auto" w:fill="FFFFFF"/>
        </w:rPr>
        <w:t>. Es decir, que</w:t>
      </w:r>
      <w:r w:rsidR="00003C60" w:rsidRPr="00CF1B34">
        <w:rPr>
          <w:rFonts w:ascii="Arial" w:hAnsi="Arial" w:cs="Arial"/>
          <w:color w:val="333333"/>
          <w:sz w:val="22"/>
          <w:szCs w:val="22"/>
          <w:shd w:val="clear" w:color="auto" w:fill="FFFFFF"/>
        </w:rPr>
        <w:t>,</w:t>
      </w:r>
      <w:r w:rsidRPr="00CF1B34">
        <w:rPr>
          <w:rFonts w:ascii="Arial" w:hAnsi="Arial" w:cs="Arial"/>
          <w:color w:val="333333"/>
          <w:sz w:val="22"/>
          <w:szCs w:val="22"/>
          <w:shd w:val="clear" w:color="auto" w:fill="FFFFFF"/>
        </w:rPr>
        <w:t xml:space="preserve"> si se firmó el contrato de alquiler en junio, junio será el mes en el que debamos renovar el precio del alquiler y </w:t>
      </w:r>
      <w:r w:rsidRPr="00CF1B34">
        <w:rPr>
          <w:rStyle w:val="Textoennegrita"/>
          <w:rFonts w:ascii="Arial" w:hAnsi="Arial" w:cs="Arial"/>
          <w:color w:val="333333"/>
          <w:sz w:val="22"/>
          <w:szCs w:val="22"/>
          <w:shd w:val="clear" w:color="auto" w:fill="FFFFFF"/>
        </w:rPr>
        <w:t>no a principio de año</w:t>
      </w:r>
      <w:r w:rsidRPr="00CF1B34">
        <w:rPr>
          <w:rFonts w:ascii="Arial" w:hAnsi="Arial" w:cs="Arial"/>
          <w:color w:val="333333"/>
          <w:sz w:val="22"/>
          <w:szCs w:val="22"/>
          <w:shd w:val="clear" w:color="auto" w:fill="FFFFFF"/>
        </w:rPr>
        <w:t xml:space="preserve"> como tienden a hacer muchos arrendadores.</w:t>
      </w:r>
    </w:p>
    <w:p w14:paraId="19F02D94" w14:textId="77777777" w:rsidR="008A56B1" w:rsidRPr="00CF1B34" w:rsidRDefault="008A56B1" w:rsidP="0005621A">
      <w:pPr>
        <w:ind w:left="708"/>
        <w:jc w:val="both"/>
        <w:rPr>
          <w:rFonts w:ascii="Arial" w:hAnsi="Arial" w:cs="Arial"/>
          <w:sz w:val="22"/>
          <w:szCs w:val="22"/>
        </w:rPr>
      </w:pPr>
      <w:r w:rsidRPr="00CF1B34">
        <w:rPr>
          <w:rStyle w:val="Textoennegrita"/>
          <w:rFonts w:ascii="Arial" w:hAnsi="Arial" w:cs="Arial"/>
          <w:color w:val="333333"/>
          <w:sz w:val="22"/>
          <w:szCs w:val="22"/>
          <w:shd w:val="clear" w:color="auto" w:fill="FFFFFF"/>
        </w:rPr>
        <w:t>El IPC será el índice utilizado para actualizar el alquiler</w:t>
      </w:r>
      <w:r w:rsidRPr="00CF1B34">
        <w:rPr>
          <w:rFonts w:ascii="Arial" w:hAnsi="Arial" w:cs="Arial"/>
          <w:color w:val="333333"/>
          <w:sz w:val="22"/>
          <w:szCs w:val="22"/>
          <w:shd w:val="clear" w:color="auto" w:fill="FFFFFF"/>
        </w:rPr>
        <w:t> por lo menos </w:t>
      </w:r>
      <w:r w:rsidRPr="00CF1B34">
        <w:rPr>
          <w:rStyle w:val="Textoennegrita"/>
          <w:rFonts w:ascii="Arial" w:hAnsi="Arial" w:cs="Arial"/>
          <w:color w:val="333333"/>
          <w:sz w:val="22"/>
          <w:szCs w:val="22"/>
          <w:shd w:val="clear" w:color="auto" w:fill="FFFFFF"/>
        </w:rPr>
        <w:t>durante los cinco primeros años de contrato</w:t>
      </w:r>
      <w:r w:rsidRPr="00CF1B34">
        <w:rPr>
          <w:rFonts w:ascii="Arial" w:hAnsi="Arial" w:cs="Arial"/>
          <w:color w:val="333333"/>
          <w:sz w:val="22"/>
          <w:szCs w:val="22"/>
          <w:shd w:val="clear" w:color="auto" w:fill="FFFFFF"/>
        </w:rPr>
        <w:t>, según se</w:t>
      </w:r>
      <w:r w:rsidRPr="00CF1B34">
        <w:rPr>
          <w:rStyle w:val="Textoennegrita"/>
          <w:rFonts w:ascii="Arial" w:hAnsi="Arial" w:cs="Arial"/>
          <w:color w:val="333333"/>
          <w:sz w:val="22"/>
          <w:szCs w:val="22"/>
          <w:shd w:val="clear" w:color="auto" w:fill="FFFFFF"/>
        </w:rPr>
        <w:t> especifica en la Ley de Arrendamiento Urbano o LAU</w:t>
      </w:r>
      <w:r w:rsidRPr="00CF1B34">
        <w:rPr>
          <w:rFonts w:ascii="Arial" w:hAnsi="Arial" w:cs="Arial"/>
          <w:color w:val="333333"/>
          <w:sz w:val="22"/>
          <w:szCs w:val="22"/>
          <w:shd w:val="clear" w:color="auto" w:fill="FFFFFF"/>
        </w:rPr>
        <w:t>.</w:t>
      </w:r>
    </w:p>
    <w:p w14:paraId="459B1174" w14:textId="61D95AFB" w:rsidR="008A56B1" w:rsidRPr="00CF1B34" w:rsidRDefault="008A56B1"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 xml:space="preserve">Una vez que tenemos </w:t>
      </w:r>
      <w:r w:rsidR="00003C60" w:rsidRPr="00CF1B34">
        <w:rPr>
          <w:rFonts w:ascii="Arial" w:hAnsi="Arial" w:cs="Arial"/>
          <w:color w:val="333333"/>
          <w:sz w:val="22"/>
          <w:szCs w:val="22"/>
        </w:rPr>
        <w:t>lo</w:t>
      </w:r>
      <w:r w:rsidRPr="00CF1B34">
        <w:rPr>
          <w:rFonts w:ascii="Arial" w:hAnsi="Arial" w:cs="Arial"/>
          <w:color w:val="333333"/>
          <w:sz w:val="22"/>
          <w:szCs w:val="22"/>
        </w:rPr>
        <w:t>s datos y con la cantidad de nuestro alquiler bastará con realizar</w:t>
      </w:r>
      <w:r w:rsidR="00003C60" w:rsidRPr="00CF1B34">
        <w:rPr>
          <w:rFonts w:ascii="Arial" w:hAnsi="Arial" w:cs="Arial"/>
          <w:color w:val="333333"/>
          <w:sz w:val="22"/>
          <w:szCs w:val="22"/>
        </w:rPr>
        <w:t xml:space="preserve"> </w:t>
      </w:r>
      <w:r w:rsidRPr="00CF1B34">
        <w:rPr>
          <w:rFonts w:ascii="Arial" w:hAnsi="Arial" w:cs="Arial"/>
          <w:b/>
          <w:bCs/>
          <w:color w:val="333333"/>
          <w:sz w:val="22"/>
          <w:szCs w:val="22"/>
        </w:rPr>
        <w:t>el siguiente calculo</w:t>
      </w:r>
      <w:r w:rsidRPr="00CF1B34">
        <w:rPr>
          <w:rFonts w:ascii="Arial" w:hAnsi="Arial" w:cs="Arial"/>
          <w:color w:val="333333"/>
          <w:sz w:val="22"/>
          <w:szCs w:val="22"/>
        </w:rPr>
        <w:t>:</w:t>
      </w:r>
    </w:p>
    <w:p w14:paraId="68F96CB9" w14:textId="77777777" w:rsidR="008A56B1" w:rsidRPr="00CF1B34" w:rsidRDefault="008A56B1" w:rsidP="004F7A62">
      <w:pPr>
        <w:numPr>
          <w:ilvl w:val="0"/>
          <w:numId w:val="183"/>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 xml:space="preserve">Cuota de Alquiler Actualizada = Cuota Alquiler Inicial x </w:t>
      </w:r>
      <w:proofErr w:type="gramStart"/>
      <w:r w:rsidRPr="00CF1B34">
        <w:rPr>
          <w:rFonts w:ascii="Arial" w:hAnsi="Arial" w:cs="Arial"/>
          <w:color w:val="333333"/>
          <w:sz w:val="22"/>
          <w:szCs w:val="22"/>
        </w:rPr>
        <w:t>( 1</w:t>
      </w:r>
      <w:proofErr w:type="gramEnd"/>
      <w:r w:rsidRPr="00CF1B34">
        <w:rPr>
          <w:rFonts w:ascii="Arial" w:hAnsi="Arial" w:cs="Arial"/>
          <w:color w:val="333333"/>
          <w:sz w:val="22"/>
          <w:szCs w:val="22"/>
        </w:rPr>
        <w:t xml:space="preserve"> + IPC)</w:t>
      </w:r>
    </w:p>
    <w:p w14:paraId="43CCF064" w14:textId="77777777" w:rsidR="008A56B1" w:rsidRPr="00CF1B34" w:rsidRDefault="008A56B1"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Para un alquiler de 1.000 euros en 2014, la cantidad actualizada a abril de 2019 sería:</w:t>
      </w:r>
    </w:p>
    <w:p w14:paraId="282EF77C" w14:textId="63661334" w:rsidR="008A56B1" w:rsidRPr="00CF1B34" w:rsidRDefault="008A56B1" w:rsidP="004F7A62">
      <w:pPr>
        <w:numPr>
          <w:ilvl w:val="0"/>
          <w:numId w:val="184"/>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Cuota de Alquiler Actualizada = 1000 +(1000*1,15%) = 1011,5 Euros</w:t>
      </w:r>
      <w:r w:rsidR="00003C60" w:rsidRPr="00CF1B34">
        <w:rPr>
          <w:rFonts w:ascii="Arial" w:hAnsi="Arial" w:cs="Arial"/>
          <w:color w:val="333333"/>
          <w:sz w:val="22"/>
          <w:szCs w:val="22"/>
        </w:rPr>
        <w:t>.</w:t>
      </w:r>
    </w:p>
    <w:p w14:paraId="67DD3F06" w14:textId="77777777" w:rsidR="00003C60" w:rsidRPr="00CF1B34" w:rsidRDefault="008A56B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rPr>
        <w:lastRenderedPageBreak/>
        <w:t>Hay que tener en cuenta que</w:t>
      </w:r>
      <w:r w:rsidR="00003C60" w:rsidRPr="00CF1B34">
        <w:rPr>
          <w:rFonts w:ascii="Arial" w:hAnsi="Arial" w:cs="Arial"/>
          <w:b/>
          <w:bCs/>
          <w:color w:val="333333"/>
          <w:sz w:val="22"/>
          <w:szCs w:val="22"/>
        </w:rPr>
        <w:t xml:space="preserve"> </w:t>
      </w:r>
      <w:r w:rsidRPr="00CF1B34">
        <w:rPr>
          <w:rFonts w:ascii="Arial" w:hAnsi="Arial" w:cs="Arial"/>
          <w:b/>
          <w:bCs/>
          <w:color w:val="333333"/>
          <w:sz w:val="22"/>
          <w:szCs w:val="22"/>
        </w:rPr>
        <w:t>la evolución del IPC puede ser positiva o negativa</w:t>
      </w:r>
      <w:r w:rsidRPr="00CF1B34">
        <w:rPr>
          <w:rFonts w:ascii="Arial" w:hAnsi="Arial" w:cs="Arial"/>
          <w:color w:val="333333"/>
          <w:sz w:val="22"/>
          <w:szCs w:val="22"/>
        </w:rPr>
        <w:t>. Es decir, que</w:t>
      </w:r>
      <w:r w:rsidR="00003C60" w:rsidRPr="00CF1B34">
        <w:rPr>
          <w:rFonts w:ascii="Arial" w:hAnsi="Arial" w:cs="Arial"/>
          <w:color w:val="333333"/>
          <w:sz w:val="22"/>
          <w:szCs w:val="22"/>
        </w:rPr>
        <w:t xml:space="preserve"> </w:t>
      </w:r>
      <w:r w:rsidRPr="00CF1B34">
        <w:rPr>
          <w:rFonts w:ascii="Arial" w:hAnsi="Arial" w:cs="Arial"/>
          <w:color w:val="333333"/>
          <w:sz w:val="22"/>
          <w:szCs w:val="22"/>
        </w:rPr>
        <w:t>la</w:t>
      </w:r>
      <w:r w:rsidR="00003C60" w:rsidRPr="00CF1B34">
        <w:rPr>
          <w:rFonts w:ascii="Arial" w:hAnsi="Arial" w:cs="Arial"/>
          <w:color w:val="333333"/>
          <w:sz w:val="22"/>
          <w:szCs w:val="22"/>
        </w:rPr>
        <w:t xml:space="preserve"> </w:t>
      </w:r>
      <w:r w:rsidRPr="00CF1B34">
        <w:rPr>
          <w:rFonts w:ascii="Arial" w:hAnsi="Arial" w:cs="Arial"/>
          <w:b/>
          <w:bCs/>
          <w:color w:val="333333"/>
          <w:sz w:val="22"/>
          <w:szCs w:val="22"/>
        </w:rPr>
        <w:t>inflación</w:t>
      </w:r>
      <w:r w:rsidR="00003C60" w:rsidRPr="00CF1B34">
        <w:rPr>
          <w:rFonts w:ascii="Arial" w:hAnsi="Arial" w:cs="Arial"/>
          <w:color w:val="333333"/>
          <w:sz w:val="22"/>
          <w:szCs w:val="22"/>
        </w:rPr>
        <w:t xml:space="preserve"> </w:t>
      </w:r>
      <w:r w:rsidRPr="00CF1B34">
        <w:rPr>
          <w:rFonts w:ascii="Arial" w:hAnsi="Arial" w:cs="Arial"/>
          <w:color w:val="333333"/>
          <w:sz w:val="22"/>
          <w:szCs w:val="22"/>
        </w:rPr>
        <w:t>no siempre tiene por qué subir.</w:t>
      </w:r>
    </w:p>
    <w:p w14:paraId="7B10A18A" w14:textId="1A8C832C" w:rsidR="008A56B1" w:rsidRPr="00CF1B34" w:rsidRDefault="00003C60"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rPr>
        <w:t>IPC pensiones</w:t>
      </w:r>
    </w:p>
    <w:p w14:paraId="19CE3412" w14:textId="79BA731D" w:rsidR="00003C60" w:rsidRPr="00CF1B34" w:rsidRDefault="00003C60"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 xml:space="preserve">Como cualquier renta, la </w:t>
      </w:r>
      <w:r w:rsidRPr="00CF1B34">
        <w:rPr>
          <w:rFonts w:ascii="Arial" w:hAnsi="Arial" w:cs="Arial"/>
          <w:b/>
          <w:bCs/>
          <w:sz w:val="22"/>
          <w:szCs w:val="22"/>
          <w:lang w:val="es-ES_tradnl"/>
        </w:rPr>
        <w:t>inflación</w:t>
      </w:r>
      <w:r w:rsidRPr="00CF1B34">
        <w:rPr>
          <w:rFonts w:ascii="Arial" w:hAnsi="Arial" w:cs="Arial"/>
          <w:sz w:val="22"/>
          <w:szCs w:val="22"/>
          <w:lang w:val="es-ES_tradnl"/>
        </w:rPr>
        <w:t xml:space="preserve"> también afecta a las </w:t>
      </w:r>
      <w:r w:rsidRPr="00CF1B34">
        <w:rPr>
          <w:rFonts w:ascii="Arial" w:hAnsi="Arial" w:cs="Arial"/>
          <w:b/>
          <w:bCs/>
          <w:sz w:val="22"/>
          <w:szCs w:val="22"/>
          <w:lang w:val="es-ES_tradnl"/>
        </w:rPr>
        <w:t xml:space="preserve">pensiones </w:t>
      </w:r>
      <w:r w:rsidRPr="00CF1B34">
        <w:rPr>
          <w:rFonts w:ascii="Arial" w:hAnsi="Arial" w:cs="Arial"/>
          <w:sz w:val="22"/>
          <w:szCs w:val="22"/>
          <w:lang w:val="es-ES_tradnl"/>
        </w:rPr>
        <w:t xml:space="preserve">de jubilación, invalidez, etc. Según señala la Seguridad Social, el </w:t>
      </w:r>
      <w:r w:rsidRPr="00CF1B34">
        <w:rPr>
          <w:rFonts w:ascii="Arial" w:hAnsi="Arial" w:cs="Arial"/>
          <w:b/>
          <w:bCs/>
          <w:sz w:val="22"/>
          <w:szCs w:val="22"/>
          <w:lang w:val="es-ES_tradnl"/>
        </w:rPr>
        <w:t>IPC de las Pensiones</w:t>
      </w:r>
      <w:r w:rsidRPr="00CF1B34">
        <w:rPr>
          <w:rFonts w:ascii="Arial" w:hAnsi="Arial" w:cs="Arial"/>
          <w:sz w:val="22"/>
          <w:szCs w:val="22"/>
          <w:lang w:val="es-ES_tradnl"/>
        </w:rPr>
        <w:t xml:space="preserve"> tiene como objetivo que este colectivo pueda mantener su poder adquisitivo año a año. Pero a efectos de calcular la subida de las pensiones no se utiliza el IPC de final de año, sino el IPC de </w:t>
      </w:r>
      <w:r w:rsidR="00D440EC" w:rsidRPr="00CF1B34">
        <w:rPr>
          <w:rFonts w:ascii="Arial" w:hAnsi="Arial" w:cs="Arial"/>
          <w:sz w:val="22"/>
          <w:szCs w:val="22"/>
          <w:lang w:val="es-ES_tradnl"/>
        </w:rPr>
        <w:t>n</w:t>
      </w:r>
      <w:r w:rsidRPr="00CF1B34">
        <w:rPr>
          <w:rFonts w:ascii="Arial" w:hAnsi="Arial" w:cs="Arial"/>
          <w:sz w:val="22"/>
          <w:szCs w:val="22"/>
          <w:lang w:val="es-ES_tradnl"/>
        </w:rPr>
        <w:t>oviembre.</w:t>
      </w:r>
    </w:p>
    <w:p w14:paraId="7059507A" w14:textId="77777777" w:rsidR="00D440EC" w:rsidRPr="00CF1B34" w:rsidRDefault="00D440E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 xml:space="preserve">La </w:t>
      </w:r>
      <w:r w:rsidRPr="00CF1B34">
        <w:rPr>
          <w:rFonts w:ascii="Arial" w:hAnsi="Arial" w:cs="Arial"/>
          <w:b/>
          <w:bCs/>
          <w:color w:val="333333"/>
          <w:sz w:val="22"/>
          <w:szCs w:val="22"/>
          <w:shd w:val="clear" w:color="auto" w:fill="FFFFFF"/>
        </w:rPr>
        <w:t>subida de las pensiones</w:t>
      </w:r>
      <w:r w:rsidRPr="00CF1B34">
        <w:rPr>
          <w:rFonts w:ascii="Arial" w:hAnsi="Arial" w:cs="Arial"/>
          <w:color w:val="333333"/>
          <w:sz w:val="22"/>
          <w:szCs w:val="22"/>
          <w:shd w:val="clear" w:color="auto" w:fill="FFFFFF"/>
        </w:rPr>
        <w:t xml:space="preserve"> se articula con los </w:t>
      </w:r>
      <w:r w:rsidRPr="00CF1B34">
        <w:rPr>
          <w:rFonts w:ascii="Arial" w:hAnsi="Arial" w:cs="Arial"/>
          <w:b/>
          <w:bCs/>
          <w:color w:val="333333"/>
          <w:sz w:val="22"/>
          <w:szCs w:val="22"/>
          <w:shd w:val="clear" w:color="auto" w:fill="FFFFFF"/>
        </w:rPr>
        <w:t>Presupuestos Generales del Estado (PGE)</w:t>
      </w:r>
      <w:r w:rsidRPr="00CF1B34">
        <w:rPr>
          <w:rFonts w:ascii="Arial" w:hAnsi="Arial" w:cs="Arial"/>
          <w:color w:val="333333"/>
          <w:sz w:val="22"/>
          <w:szCs w:val="22"/>
          <w:shd w:val="clear" w:color="auto" w:fill="FFFFFF"/>
        </w:rPr>
        <w:t>, que indican explícitamente la revalorización para este tipo de rentas. Es decir, indican cuanto dinero más ganarán los pensionistas a partir del 1 de enero.</w:t>
      </w:r>
    </w:p>
    <w:p w14:paraId="76602DEC" w14:textId="0208F4F5" w:rsidR="00D440EC" w:rsidRPr="00CF1B34" w:rsidRDefault="00D440EC"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 xml:space="preserve">IPC </w:t>
      </w:r>
      <w:r w:rsidR="0092560F" w:rsidRPr="00CF1B34">
        <w:rPr>
          <w:rFonts w:ascii="Arial" w:hAnsi="Arial" w:cs="Arial"/>
          <w:b/>
          <w:bCs/>
          <w:color w:val="2F5496" w:themeColor="accent1" w:themeShade="BF"/>
          <w:sz w:val="22"/>
          <w:szCs w:val="22"/>
        </w:rPr>
        <w:t>R</w:t>
      </w:r>
      <w:r w:rsidRPr="00CF1B34">
        <w:rPr>
          <w:rFonts w:ascii="Arial" w:hAnsi="Arial" w:cs="Arial"/>
          <w:b/>
          <w:bCs/>
          <w:color w:val="2F5496" w:themeColor="accent1" w:themeShade="BF"/>
          <w:sz w:val="22"/>
          <w:szCs w:val="22"/>
        </w:rPr>
        <w:t>eal</w:t>
      </w:r>
    </w:p>
    <w:p w14:paraId="7D020759" w14:textId="547133E6" w:rsidR="00D440EC" w:rsidRPr="00CF1B34" w:rsidRDefault="00D440EC" w:rsidP="0005621A">
      <w:pPr>
        <w:ind w:left="708"/>
        <w:jc w:val="both"/>
        <w:rPr>
          <w:rFonts w:ascii="Arial" w:hAnsi="Arial" w:cs="Arial"/>
          <w:color w:val="333333"/>
          <w:sz w:val="22"/>
          <w:szCs w:val="22"/>
          <w:shd w:val="clear" w:color="auto" w:fill="FFFFFF"/>
        </w:rPr>
      </w:pPr>
      <w:r w:rsidRPr="00CF1B34">
        <w:rPr>
          <w:rFonts w:ascii="Arial" w:hAnsi="Arial" w:cs="Arial"/>
          <w:color w:val="333333"/>
          <w:sz w:val="22"/>
          <w:szCs w:val="22"/>
          <w:shd w:val="clear" w:color="auto" w:fill="FFFFFF"/>
        </w:rPr>
        <w:t>El</w:t>
      </w:r>
      <w:r w:rsidR="0092560F" w:rsidRPr="00CF1B34">
        <w:rPr>
          <w:rFonts w:ascii="Arial" w:hAnsi="Arial" w:cs="Arial"/>
          <w:color w:val="333333"/>
          <w:sz w:val="22"/>
          <w:szCs w:val="22"/>
          <w:shd w:val="clear" w:color="auto" w:fill="FFFFFF"/>
        </w:rPr>
        <w:t xml:space="preserve"> </w:t>
      </w:r>
      <w:r w:rsidRPr="00CF1B34">
        <w:rPr>
          <w:rFonts w:ascii="Arial" w:hAnsi="Arial" w:cs="Arial"/>
          <w:b/>
          <w:bCs/>
          <w:color w:val="333333"/>
          <w:sz w:val="22"/>
          <w:szCs w:val="22"/>
          <w:shd w:val="clear" w:color="auto" w:fill="FFFFFF"/>
        </w:rPr>
        <w:t>IPC Real</w:t>
      </w:r>
      <w:r w:rsidRPr="00CF1B34">
        <w:rPr>
          <w:rFonts w:ascii="Arial" w:hAnsi="Arial" w:cs="Arial"/>
          <w:color w:val="333333"/>
          <w:sz w:val="22"/>
          <w:szCs w:val="22"/>
          <w:shd w:val="clear" w:color="auto" w:fill="FFFFFF"/>
        </w:rPr>
        <w:t>, el que afecta a nuestros bolsillos, muchas veces no coincide con el dato de IPC del INE. El dato del</w:t>
      </w:r>
      <w:r w:rsidR="0092560F" w:rsidRPr="00CF1B34">
        <w:rPr>
          <w:rFonts w:ascii="Arial" w:hAnsi="Arial" w:cs="Arial"/>
          <w:color w:val="333333"/>
          <w:sz w:val="22"/>
          <w:szCs w:val="22"/>
          <w:shd w:val="clear" w:color="auto" w:fill="FFFFFF"/>
        </w:rPr>
        <w:t xml:space="preserve"> IPC </w:t>
      </w:r>
      <w:r w:rsidRPr="00CF1B34">
        <w:rPr>
          <w:rFonts w:ascii="Arial" w:hAnsi="Arial" w:cs="Arial"/>
          <w:color w:val="333333"/>
          <w:sz w:val="22"/>
          <w:szCs w:val="22"/>
          <w:shd w:val="clear" w:color="auto" w:fill="FFFFFF"/>
        </w:rPr>
        <w:t xml:space="preserve">sirve para medir la evolución de los precios de una determinada cesta de productos generalmente considerados básicos. Por eso suele decirse que sirve para determinar el coste de la vida. </w:t>
      </w:r>
    </w:p>
    <w:p w14:paraId="5339E8B7" w14:textId="39B1A932" w:rsidR="00D440EC" w:rsidRPr="00CF1B34" w:rsidRDefault="00D440EC"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En cualquier caso,</w:t>
      </w:r>
      <w:r w:rsidR="0092560F" w:rsidRPr="00CF1B34">
        <w:rPr>
          <w:rFonts w:ascii="Arial" w:hAnsi="Arial" w:cs="Arial"/>
          <w:color w:val="333333"/>
          <w:sz w:val="22"/>
          <w:szCs w:val="22"/>
          <w:shd w:val="clear" w:color="auto" w:fill="FFFFFF"/>
        </w:rPr>
        <w:t xml:space="preserve"> </w:t>
      </w:r>
      <w:r w:rsidRPr="00CF1B34">
        <w:rPr>
          <w:rStyle w:val="Textoennegrita"/>
          <w:rFonts w:ascii="Arial" w:hAnsi="Arial" w:cs="Arial"/>
          <w:color w:val="333333"/>
          <w:sz w:val="22"/>
          <w:szCs w:val="22"/>
          <w:shd w:val="clear" w:color="auto" w:fill="FFFFFF"/>
        </w:rPr>
        <w:t>el problema del IPC y la inflación</w:t>
      </w:r>
      <w:r w:rsidR="0092560F" w:rsidRPr="00CF1B34">
        <w:rPr>
          <w:rFonts w:ascii="Arial" w:hAnsi="Arial" w:cs="Arial"/>
          <w:color w:val="333333"/>
          <w:sz w:val="22"/>
          <w:szCs w:val="22"/>
          <w:shd w:val="clear" w:color="auto" w:fill="FFFFFF"/>
        </w:rPr>
        <w:t xml:space="preserve"> </w:t>
      </w:r>
      <w:r w:rsidRPr="00CF1B34">
        <w:rPr>
          <w:rFonts w:ascii="Arial" w:hAnsi="Arial" w:cs="Arial"/>
          <w:color w:val="333333"/>
          <w:sz w:val="22"/>
          <w:szCs w:val="22"/>
          <w:shd w:val="clear" w:color="auto" w:fill="FFFFFF"/>
        </w:rPr>
        <w:t>en España va más allá del dato concreto que todos los meses facilita el Instituto Nacional de Estadísticas (INE) y que tiene que ver con el</w:t>
      </w:r>
      <w:r w:rsidR="0092560F" w:rsidRPr="00CF1B34">
        <w:rPr>
          <w:rStyle w:val="Textoennegrita"/>
          <w:rFonts w:ascii="Arial" w:hAnsi="Arial" w:cs="Arial"/>
          <w:color w:val="333333"/>
          <w:sz w:val="22"/>
          <w:szCs w:val="22"/>
          <w:shd w:val="clear" w:color="auto" w:fill="FFFFFF"/>
        </w:rPr>
        <w:t xml:space="preserve"> </w:t>
      </w:r>
      <w:r w:rsidRPr="00CF1B34">
        <w:rPr>
          <w:rStyle w:val="Textoennegrita"/>
          <w:rFonts w:ascii="Arial" w:hAnsi="Arial" w:cs="Arial"/>
          <w:color w:val="333333"/>
          <w:sz w:val="22"/>
          <w:szCs w:val="22"/>
          <w:shd w:val="clear" w:color="auto" w:fill="FFFFFF"/>
        </w:rPr>
        <w:t>poder adquisitivo real de los españoles</w:t>
      </w:r>
      <w:r w:rsidRPr="00CF1B34">
        <w:rPr>
          <w:rFonts w:ascii="Arial" w:hAnsi="Arial" w:cs="Arial"/>
          <w:color w:val="333333"/>
          <w:sz w:val="22"/>
          <w:szCs w:val="22"/>
          <w:shd w:val="clear" w:color="auto" w:fill="FFFFFF"/>
        </w:rPr>
        <w:t>.</w:t>
      </w:r>
    </w:p>
    <w:p w14:paraId="15974462" w14:textId="11FBC539" w:rsidR="0092560F" w:rsidRPr="00CF1B34" w:rsidRDefault="0092560F"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El mayor problema a la hora de calcular el IPVC real se puede resumir en qué productos incluir en la cesta del IPC. Por ejemplo, los alimentos tienen un peso cercano al 20%.</w:t>
      </w:r>
    </w:p>
    <w:p w14:paraId="46CC8BB1" w14:textId="77777777" w:rsidR="0092560F" w:rsidRPr="00CF1B34" w:rsidRDefault="0092560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La ‘pregunta del millón’ ahora es ¿cómo calculamos el IPC real? No hay una respuesta clara y es realmente complicado dar con una lista de productos básicos, así como establecer el peso de cada uno de ellos.</w:t>
      </w:r>
    </w:p>
    <w:p w14:paraId="5F7D3595" w14:textId="13DE2D2D" w:rsidR="0092560F" w:rsidRPr="00CF1B34" w:rsidRDefault="0092560F"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IPV (Índice de Precios de Vivienda)</w:t>
      </w:r>
    </w:p>
    <w:p w14:paraId="77C2C4CF" w14:textId="61C6B1EF" w:rsidR="000E2BBE" w:rsidRPr="00CF1B34" w:rsidRDefault="000E2BBE" w:rsidP="0005621A">
      <w:pPr>
        <w:ind w:left="708"/>
        <w:jc w:val="both"/>
        <w:rPr>
          <w:rFonts w:ascii="Arial" w:hAnsi="Arial" w:cs="Arial"/>
          <w:sz w:val="22"/>
          <w:szCs w:val="22"/>
        </w:rPr>
      </w:pPr>
      <w:r w:rsidRPr="00CF1B34">
        <w:rPr>
          <w:rStyle w:val="Textoennegrita"/>
          <w:rFonts w:ascii="Arial" w:hAnsi="Arial" w:cs="Arial"/>
          <w:color w:val="333333"/>
          <w:sz w:val="22"/>
          <w:szCs w:val="22"/>
          <w:shd w:val="clear" w:color="auto" w:fill="FFFFFF"/>
        </w:rPr>
        <w:t>IPV</w:t>
      </w:r>
      <w:r w:rsidRPr="00CF1B34">
        <w:rPr>
          <w:rFonts w:ascii="Arial" w:hAnsi="Arial" w:cs="Arial"/>
          <w:color w:val="333333"/>
          <w:sz w:val="22"/>
          <w:szCs w:val="22"/>
          <w:shd w:val="clear" w:color="auto" w:fill="FFFFFF"/>
        </w:rPr>
        <w:t xml:space="preserve"> es la abreviatura de </w:t>
      </w:r>
      <w:r w:rsidRPr="00CF1B34">
        <w:rPr>
          <w:rStyle w:val="Textoennegrita"/>
          <w:rFonts w:ascii="Arial" w:hAnsi="Arial" w:cs="Arial"/>
          <w:color w:val="333333"/>
          <w:sz w:val="22"/>
          <w:szCs w:val="22"/>
          <w:shd w:val="clear" w:color="auto" w:fill="FFFFFF"/>
        </w:rPr>
        <w:t>Índice de Precios de Vivienda</w:t>
      </w:r>
      <w:r w:rsidRPr="00CF1B34">
        <w:rPr>
          <w:rFonts w:ascii="Arial" w:hAnsi="Arial" w:cs="Arial"/>
          <w:color w:val="333333"/>
          <w:sz w:val="22"/>
          <w:szCs w:val="22"/>
          <w:shd w:val="clear" w:color="auto" w:fill="FFFFFF"/>
        </w:rPr>
        <w:t>. El nuevo indicador que INE, Instituto Nacional de Estadística comenzará a publicar. El IPV se basará en los registros notariales de transacciones realizadas, en los precios reales de compraventa, lo que los particulares estamos pagando por nuestras viviendas.</w:t>
      </w:r>
    </w:p>
    <w:p w14:paraId="114F2869" w14:textId="06FB3735" w:rsidR="000E2BBE" w:rsidRPr="00CF1B34" w:rsidRDefault="000E2BBE"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 xml:space="preserve">El IPV se confeccionará como el IPC, a partir de ciertos valores. </w:t>
      </w:r>
      <w:r w:rsidRPr="00CF1B34">
        <w:rPr>
          <w:rStyle w:val="Textoennegrita"/>
          <w:rFonts w:ascii="Arial" w:hAnsi="Arial" w:cs="Arial"/>
          <w:color w:val="333333"/>
          <w:sz w:val="22"/>
          <w:szCs w:val="22"/>
          <w:shd w:val="clear" w:color="auto" w:fill="FFFFFF"/>
        </w:rPr>
        <w:t>Su intención es dar a conocer el índice de precios de la vivienda nueva y usada, así como sus tasas de variación trimestral, anual y acumulada, y hará un desglose por comunidades autónomas de la evolución general</w:t>
      </w:r>
      <w:r w:rsidRPr="00CF1B34">
        <w:rPr>
          <w:rFonts w:ascii="Arial" w:hAnsi="Arial" w:cs="Arial"/>
          <w:color w:val="333333"/>
          <w:sz w:val="22"/>
          <w:szCs w:val="22"/>
          <w:shd w:val="clear" w:color="auto" w:fill="FFFFFF"/>
        </w:rPr>
        <w:t>.</w:t>
      </w:r>
    </w:p>
    <w:p w14:paraId="2A030235" w14:textId="77777777" w:rsidR="000E2BBE" w:rsidRPr="00CF1B34" w:rsidRDefault="000E2BBE"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Las viviendas protegidas estarán fuera de esta estadística ya que los precios están regulados y no se rigen por los mecanismos habituales del mercado.</w:t>
      </w:r>
    </w:p>
    <w:p w14:paraId="1FBDE8F7" w14:textId="77777777" w:rsidR="000E2BBE" w:rsidRPr="00CF1B34" w:rsidRDefault="000E2BB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rPr>
        <w:t>La publicación del IPV (Índice de Precios de Vivienda) será trimestral.</w:t>
      </w:r>
    </w:p>
    <w:p w14:paraId="6042E491" w14:textId="075C72B2" w:rsidR="00D440EC" w:rsidRPr="00CF1B34" w:rsidRDefault="000E2BBE"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IRPF</w:t>
      </w:r>
    </w:p>
    <w:p w14:paraId="65FE593B" w14:textId="77777777" w:rsidR="001C47C5" w:rsidRPr="00CF1B34" w:rsidRDefault="00283BB4"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shd w:val="clear" w:color="auto" w:fill="FFFFFF"/>
        </w:rPr>
        <w:t>IRPF</w:t>
      </w:r>
      <w:r w:rsidRPr="00CF1B34">
        <w:rPr>
          <w:rFonts w:ascii="Arial" w:hAnsi="Arial" w:cs="Arial"/>
          <w:color w:val="333333"/>
          <w:sz w:val="22"/>
          <w:szCs w:val="22"/>
          <w:shd w:val="clear" w:color="auto" w:fill="FFFFFF"/>
        </w:rPr>
        <w:t xml:space="preserve"> es el acrónimo de </w:t>
      </w:r>
      <w:r w:rsidRPr="00CF1B34">
        <w:rPr>
          <w:rStyle w:val="Textoennegrita"/>
          <w:rFonts w:ascii="Arial" w:hAnsi="Arial" w:cs="Arial"/>
          <w:color w:val="333333"/>
          <w:sz w:val="22"/>
          <w:szCs w:val="22"/>
          <w:shd w:val="clear" w:color="auto" w:fill="FFFFFF"/>
        </w:rPr>
        <w:t>Impuesto sobre la Renta de las Personas Físicas</w:t>
      </w:r>
      <w:r w:rsidRPr="00CF1B34">
        <w:rPr>
          <w:rFonts w:ascii="Arial" w:hAnsi="Arial" w:cs="Arial"/>
          <w:color w:val="333333"/>
          <w:sz w:val="22"/>
          <w:szCs w:val="22"/>
          <w:shd w:val="clear" w:color="auto" w:fill="FFFFFF"/>
        </w:rPr>
        <w:t xml:space="preserve"> y es el impuesto más conocido en España. Desde un punto de vista técnico, se trata de un tributo de carácter personal y directo que grava, según los principios de igualdad, generalidad y progresividad, la renta de las personas físicas de acuerdo con sus circunstancias personales y familiares. Es decir, este impuesto recae sobre cada persona (o unidad familiar) y las ganancias o rentas que obtenga. El IRPF es el prototipo de</w:t>
      </w:r>
      <w:r w:rsidR="001C47C5" w:rsidRPr="00CF1B34">
        <w:rPr>
          <w:rFonts w:ascii="Arial" w:hAnsi="Arial" w:cs="Arial"/>
          <w:color w:val="333333"/>
          <w:sz w:val="22"/>
          <w:szCs w:val="22"/>
          <w:shd w:val="clear" w:color="auto" w:fill="FFFFFF"/>
        </w:rPr>
        <w:t xml:space="preserve"> impuesto directo </w:t>
      </w:r>
      <w:r w:rsidRPr="00CF1B34">
        <w:rPr>
          <w:rFonts w:ascii="Arial" w:hAnsi="Arial" w:cs="Arial"/>
          <w:color w:val="333333"/>
          <w:sz w:val="22"/>
          <w:szCs w:val="22"/>
          <w:shd w:val="clear" w:color="auto" w:fill="FFFFFF"/>
        </w:rPr>
        <w:t>y está regulado por Ley</w:t>
      </w:r>
      <w:r w:rsidR="001C47C5" w:rsidRPr="00CF1B34">
        <w:rPr>
          <w:rFonts w:ascii="Arial" w:hAnsi="Arial" w:cs="Arial"/>
          <w:color w:val="333333"/>
          <w:sz w:val="22"/>
          <w:szCs w:val="22"/>
          <w:shd w:val="clear" w:color="auto" w:fill="FFFFFF"/>
        </w:rPr>
        <w:t>.</w:t>
      </w:r>
    </w:p>
    <w:p w14:paraId="145EE713" w14:textId="73C061E1" w:rsidR="008A56B1" w:rsidRPr="00CF1B34" w:rsidRDefault="00283BB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IRPH</w:t>
      </w:r>
    </w:p>
    <w:p w14:paraId="6ABB7237" w14:textId="170E5FD4" w:rsidR="001C47C5" w:rsidRPr="00CF1B34" w:rsidRDefault="001C47C5"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lastRenderedPageBreak/>
        <w:t>El tema de las hipotecas es sin dudas uno de los problemas más importantes que aquejan a los españoles, es que la adquisición de una vivienda es uno de los objetivos que la mayoría de las familias se ha proyectado hacia el futuro, cuando acudimos a una entidad financiera a solicitar un préstamo hipotecario nos ofrecen,</w:t>
      </w:r>
      <w:r w:rsidRPr="00CF1B34">
        <w:rPr>
          <w:rFonts w:ascii="Arial" w:hAnsi="Arial" w:cs="Arial"/>
          <w:b/>
          <w:bCs/>
          <w:color w:val="333333"/>
          <w:sz w:val="22"/>
          <w:szCs w:val="22"/>
          <w:shd w:val="clear" w:color="auto" w:fill="FFFFFF"/>
        </w:rPr>
        <w:t xml:space="preserve"> en la mayoría de los casos tipos de interés variable</w:t>
      </w:r>
      <w:r w:rsidRPr="00CF1B34">
        <w:rPr>
          <w:rFonts w:ascii="Arial" w:hAnsi="Arial" w:cs="Arial"/>
          <w:color w:val="333333"/>
          <w:sz w:val="22"/>
          <w:szCs w:val="22"/>
          <w:shd w:val="clear" w:color="auto" w:fill="FFFFFF"/>
        </w:rPr>
        <w:t>.</w:t>
      </w:r>
    </w:p>
    <w:p w14:paraId="493C397C" w14:textId="59A8F31C" w:rsidR="00DC67BF" w:rsidRPr="00CF1B34" w:rsidRDefault="001C47C5"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Por lo tanto</w:t>
      </w:r>
      <w:r w:rsidR="00DC67BF" w:rsidRPr="00CF1B34">
        <w:rPr>
          <w:rFonts w:ascii="Arial" w:hAnsi="Arial" w:cs="Arial"/>
          <w:color w:val="333333"/>
          <w:sz w:val="22"/>
          <w:szCs w:val="22"/>
          <w:shd w:val="clear" w:color="auto" w:fill="FFFFFF"/>
        </w:rPr>
        <w:t>,</w:t>
      </w:r>
      <w:r w:rsidRPr="00CF1B34">
        <w:rPr>
          <w:rFonts w:ascii="Arial" w:hAnsi="Arial" w:cs="Arial"/>
          <w:color w:val="333333"/>
          <w:sz w:val="22"/>
          <w:szCs w:val="22"/>
          <w:shd w:val="clear" w:color="auto" w:fill="FFFFFF"/>
        </w:rPr>
        <w:t xml:space="preserve"> tenemos una variedad de índices a los cuales las hipotecas está ligados y debemos conocerlos cuando estamos analizando solicitar un préstamo, tenemos</w:t>
      </w:r>
      <w:r w:rsidRPr="00CF1B34">
        <w:rPr>
          <w:rStyle w:val="Textoennegrita"/>
          <w:rFonts w:ascii="Arial" w:hAnsi="Arial" w:cs="Arial"/>
          <w:color w:val="333333"/>
          <w:sz w:val="22"/>
          <w:szCs w:val="22"/>
          <w:shd w:val="clear" w:color="auto" w:fill="FFFFFF"/>
        </w:rPr>
        <w:t xml:space="preserve"> tres opciones</w:t>
      </w:r>
      <w:r w:rsidRPr="00CF1B34">
        <w:rPr>
          <w:rFonts w:ascii="Arial" w:hAnsi="Arial" w:cs="Arial"/>
          <w:color w:val="333333"/>
          <w:sz w:val="22"/>
          <w:szCs w:val="22"/>
          <w:shd w:val="clear" w:color="auto" w:fill="FFFFFF"/>
        </w:rPr>
        <w:t xml:space="preserve"> a la hora de elegir uno </w:t>
      </w:r>
      <w:r w:rsidRPr="00CF1B34">
        <w:rPr>
          <w:rStyle w:val="Textoennegrita"/>
          <w:rFonts w:ascii="Arial" w:hAnsi="Arial" w:cs="Arial"/>
          <w:color w:val="333333"/>
          <w:sz w:val="22"/>
          <w:szCs w:val="22"/>
          <w:shd w:val="clear" w:color="auto" w:fill="FFFFFF"/>
        </w:rPr>
        <w:t xml:space="preserve">El IRPH, CECA y Euribor. </w:t>
      </w:r>
      <w:r w:rsidR="00DC67BF" w:rsidRPr="00CF1B34">
        <w:rPr>
          <w:rStyle w:val="Textoennegrita"/>
          <w:rFonts w:ascii="Arial" w:hAnsi="Arial" w:cs="Arial"/>
          <w:b w:val="0"/>
          <w:bCs w:val="0"/>
          <w:color w:val="333333"/>
          <w:sz w:val="22"/>
          <w:szCs w:val="22"/>
          <w:shd w:val="clear" w:color="auto" w:fill="FFFFFF"/>
        </w:rPr>
        <w:t>El IRPH es más alto que el Euribor, pero más bajo que el CECA, aunque quién mayores variaciones ofrece es el Euribo</w:t>
      </w:r>
      <w:r w:rsidR="00DC67BF" w:rsidRPr="00CF1B34">
        <w:rPr>
          <w:rFonts w:ascii="Arial" w:hAnsi="Arial" w:cs="Arial"/>
          <w:color w:val="333333"/>
          <w:sz w:val="22"/>
          <w:szCs w:val="22"/>
        </w:rPr>
        <w:t>El IRPH tiene tres modalidades:</w:t>
      </w:r>
    </w:p>
    <w:p w14:paraId="26763904" w14:textId="791148BF" w:rsidR="00DC67BF" w:rsidRPr="00CF1B34" w:rsidRDefault="00DC67BF" w:rsidP="004F7A62">
      <w:pPr>
        <w:numPr>
          <w:ilvl w:val="0"/>
          <w:numId w:val="185"/>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b/>
          <w:bCs/>
          <w:color w:val="333333"/>
          <w:sz w:val="22"/>
          <w:szCs w:val="22"/>
        </w:rPr>
        <w:t>IRPH de bancos</w:t>
      </w:r>
      <w:r w:rsidRPr="00CF1B34">
        <w:rPr>
          <w:rFonts w:ascii="Arial" w:hAnsi="Arial" w:cs="Arial"/>
          <w:color w:val="333333"/>
          <w:sz w:val="22"/>
          <w:szCs w:val="22"/>
        </w:rPr>
        <w:t>: se obtiene a partir de los tipos medios de interés de los préstamos hipotecarios con un plazo superior a tres años que han sido concedidos por los bancos durante el mes.</w:t>
      </w:r>
    </w:p>
    <w:p w14:paraId="207628AB" w14:textId="07B061F3" w:rsidR="00DC67BF" w:rsidRPr="00CF1B34" w:rsidRDefault="00DC67BF" w:rsidP="004F7A62">
      <w:pPr>
        <w:numPr>
          <w:ilvl w:val="0"/>
          <w:numId w:val="185"/>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b/>
          <w:bCs/>
          <w:color w:val="000000"/>
          <w:sz w:val="22"/>
          <w:szCs w:val="22"/>
        </w:rPr>
        <w:t>IRPH de cajas de ahorro:</w:t>
      </w:r>
      <w:r w:rsidRPr="00CF1B34">
        <w:rPr>
          <w:rFonts w:ascii="Arial" w:hAnsi="Arial" w:cs="Arial"/>
          <w:color w:val="000000"/>
          <w:sz w:val="22"/>
          <w:szCs w:val="22"/>
        </w:rPr>
        <w:t xml:space="preserve"> se calcula igual que el anterior, pero engloba los préstamos formalizados en las Cajas de Ahorros. Es el tipo medio de los préstamos hipotecarios a más de tres años que han sido concedidos por las Cajas de Ahorros.</w:t>
      </w:r>
    </w:p>
    <w:p w14:paraId="7002F645" w14:textId="77777777" w:rsidR="00DC67BF" w:rsidRPr="00CF1B34" w:rsidRDefault="00DC67BF" w:rsidP="004F7A62">
      <w:pPr>
        <w:numPr>
          <w:ilvl w:val="0"/>
          <w:numId w:val="185"/>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b/>
          <w:bCs/>
          <w:color w:val="000000"/>
          <w:sz w:val="22"/>
          <w:szCs w:val="22"/>
        </w:rPr>
        <w:t>IRPH del Conjunto de Entidades</w:t>
      </w:r>
      <w:r w:rsidRPr="00CF1B34">
        <w:rPr>
          <w:rFonts w:ascii="Arial" w:hAnsi="Arial" w:cs="Arial"/>
          <w:color w:val="000000"/>
          <w:sz w:val="22"/>
          <w:szCs w:val="22"/>
        </w:rPr>
        <w:t>: es una media de los dos índices anteriores.</w:t>
      </w:r>
    </w:p>
    <w:p w14:paraId="3CAEA037" w14:textId="7A5771A9" w:rsidR="00DC67BF" w:rsidRPr="00CF1B34" w:rsidRDefault="00DC67BF" w:rsidP="004F7A62">
      <w:pPr>
        <w:numPr>
          <w:ilvl w:val="0"/>
          <w:numId w:val="185"/>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b/>
          <w:bCs/>
          <w:color w:val="000000"/>
          <w:sz w:val="22"/>
          <w:szCs w:val="22"/>
        </w:rPr>
        <w:t xml:space="preserve">IRPH </w:t>
      </w:r>
      <w:r w:rsidRPr="00CF1B34">
        <w:rPr>
          <w:rFonts w:ascii="Arial" w:hAnsi="Arial" w:cs="Arial"/>
          <w:color w:val="000000"/>
          <w:sz w:val="22"/>
          <w:szCs w:val="22"/>
        </w:rPr>
        <w:t xml:space="preserve">de </w:t>
      </w:r>
      <w:r w:rsidRPr="00CF1B34">
        <w:rPr>
          <w:rFonts w:ascii="Arial" w:hAnsi="Arial" w:cs="Arial"/>
          <w:b/>
          <w:bCs/>
          <w:color w:val="000000"/>
          <w:sz w:val="22"/>
          <w:szCs w:val="22"/>
        </w:rPr>
        <w:t xml:space="preserve">Deuda Pública o rentabilidad semestral de los bonos del Tesoro </w:t>
      </w:r>
      <w:r w:rsidRPr="00CF1B34">
        <w:rPr>
          <w:rFonts w:ascii="Arial" w:hAnsi="Arial" w:cs="Arial"/>
          <w:color w:val="333333"/>
          <w:sz w:val="22"/>
          <w:szCs w:val="22"/>
        </w:rPr>
        <w:t>puede plantearse como otra modalidad.</w:t>
      </w:r>
    </w:p>
    <w:p w14:paraId="1B8D5CF0" w14:textId="2E678EA1" w:rsidR="00DC67BF" w:rsidRPr="00CF1B34" w:rsidRDefault="00DC67B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 xml:space="preserve">Sin embargo, </w:t>
      </w:r>
      <w:r w:rsidRPr="00CF1B34">
        <w:rPr>
          <w:rFonts w:ascii="Arial" w:hAnsi="Arial" w:cs="Arial"/>
          <w:b/>
          <w:bCs/>
          <w:color w:val="333333"/>
          <w:sz w:val="22"/>
          <w:szCs w:val="22"/>
          <w:shd w:val="clear" w:color="auto" w:fill="FFFFFF"/>
        </w:rPr>
        <w:t>el más utilizado es el Euribor</w:t>
      </w:r>
      <w:r w:rsidRPr="00CF1B34">
        <w:rPr>
          <w:rFonts w:ascii="Arial" w:hAnsi="Arial" w:cs="Arial"/>
          <w:color w:val="333333"/>
          <w:sz w:val="22"/>
          <w:szCs w:val="22"/>
          <w:shd w:val="clear" w:color="auto" w:fill="FFFFFF"/>
        </w:rPr>
        <w:t xml:space="preserve"> (reemplazó al Mibor). Este es el índice al cual las entidades financieras se prestan el dinero en el mercado interbancario de la moneda europea.</w:t>
      </w:r>
    </w:p>
    <w:p w14:paraId="6143CC4B" w14:textId="4EEBEC3C" w:rsidR="00B61AFD" w:rsidRPr="00CF1B34" w:rsidRDefault="00E8594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IRS (Interest Rate Swap)</w:t>
      </w:r>
    </w:p>
    <w:p w14:paraId="28070C70" w14:textId="168F3538" w:rsidR="003A41C3" w:rsidRPr="00CF1B34" w:rsidRDefault="003A41C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 una operación financiera en virtud de la cual dos partes acuerdan intercambiarse flujos de pagos en concepto de intereses sobre un importe determinado y un plazo fijado (una parte se compromete a pagar a la otra </w:t>
      </w:r>
      <w:r w:rsidR="00E107F2" w:rsidRPr="00CF1B34">
        <w:rPr>
          <w:rFonts w:ascii="Arial" w:hAnsi="Arial" w:cs="Arial"/>
          <w:color w:val="000000" w:themeColor="text1"/>
          <w:sz w:val="22"/>
          <w:szCs w:val="22"/>
          <w:lang w:val="es-ES_tradnl"/>
        </w:rPr>
        <w:t xml:space="preserve">los </w:t>
      </w:r>
      <w:r w:rsidRPr="00CF1B34">
        <w:rPr>
          <w:rFonts w:ascii="Arial" w:hAnsi="Arial" w:cs="Arial"/>
          <w:color w:val="000000" w:themeColor="text1"/>
          <w:sz w:val="22"/>
          <w:szCs w:val="22"/>
          <w:lang w:val="es-ES_tradnl"/>
        </w:rPr>
        <w:t>intereses calculados en base a un tipo fijo y a su vez recibir intereses calculados en base a tipos flotantes).</w:t>
      </w:r>
    </w:p>
    <w:p w14:paraId="0F3EDC25" w14:textId="69A68ECF" w:rsidR="00283BB4" w:rsidRPr="00CF1B34" w:rsidRDefault="00283B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ISI (industrialización por sustitución de importaciones)</w:t>
      </w:r>
    </w:p>
    <w:p w14:paraId="61EDEE87" w14:textId="77777777" w:rsidR="00DC67BF" w:rsidRPr="00CF1B34" w:rsidRDefault="00DC67BF" w:rsidP="0005621A">
      <w:pPr>
        <w:pStyle w:val="Sinespaciado"/>
        <w:ind w:left="708"/>
        <w:jc w:val="both"/>
        <w:rPr>
          <w:rFonts w:ascii="Arial" w:hAnsi="Arial" w:cs="Arial"/>
          <w:sz w:val="22"/>
          <w:szCs w:val="22"/>
        </w:rPr>
      </w:pPr>
      <w:r w:rsidRPr="00CF1B34">
        <w:rPr>
          <w:rFonts w:ascii="Arial" w:hAnsi="Arial" w:cs="Arial"/>
          <w:sz w:val="22"/>
          <w:szCs w:val="22"/>
        </w:rPr>
        <w:t>La llamada Industrialización por Sustitución de Importaciones, muchas veces conocida por sus siglas, ISI, es una estrategia acogida en el territorio latinoamericano y en otros lugares en desarrollo a partir de la segunda guerra mundial. Podemos definirlo como la sustitución de bienes que importa un país por unos que se fabrican en el país, es decir, nacionales.</w:t>
      </w:r>
    </w:p>
    <w:p w14:paraId="440EFD45" w14:textId="170F8FCF" w:rsidR="00656D5D" w:rsidRPr="00CF1B34" w:rsidRDefault="00683CDD" w:rsidP="0005621A">
      <w:pPr>
        <w:ind w:firstLine="708"/>
        <w:jc w:val="both"/>
        <w:rPr>
          <w:rFonts w:ascii="Arial" w:hAnsi="Arial" w:cs="Arial"/>
          <w:sz w:val="22"/>
          <w:szCs w:val="22"/>
        </w:rPr>
      </w:pPr>
      <w:r w:rsidRPr="00CF1B34">
        <w:rPr>
          <w:rFonts w:ascii="Arial" w:hAnsi="Arial" w:cs="Arial"/>
          <w:color w:val="333333"/>
          <w:sz w:val="22"/>
          <w:szCs w:val="22"/>
          <w:shd w:val="clear" w:color="auto" w:fill="FFFFFF"/>
        </w:rPr>
        <w:t>El objetivo de la misma era</w:t>
      </w:r>
      <w:r w:rsidR="00656D5D" w:rsidRPr="00CF1B34">
        <w:rPr>
          <w:rFonts w:ascii="Arial" w:hAnsi="Arial" w:cs="Arial"/>
          <w:color w:val="333333"/>
          <w:sz w:val="22"/>
          <w:szCs w:val="22"/>
          <w:shd w:val="clear" w:color="auto" w:fill="FFFFFF"/>
        </w:rPr>
        <w:t xml:space="preserve"> la industrialización.</w:t>
      </w:r>
    </w:p>
    <w:p w14:paraId="48C72BD6" w14:textId="19700FDE" w:rsidR="00683CDD" w:rsidRPr="00CF1B34" w:rsidRDefault="00656D5D" w:rsidP="0005621A">
      <w:pPr>
        <w:ind w:left="708"/>
        <w:jc w:val="both"/>
        <w:rPr>
          <w:rFonts w:ascii="Arial" w:hAnsi="Arial" w:cs="Arial"/>
          <w:sz w:val="22"/>
          <w:szCs w:val="22"/>
        </w:rPr>
      </w:pPr>
      <w:r w:rsidRPr="00CF1B34">
        <w:rPr>
          <w:rFonts w:ascii="Arial" w:hAnsi="Arial" w:cs="Arial"/>
          <w:sz w:val="22"/>
          <w:szCs w:val="22"/>
        </w:rPr>
        <w:t>En la segunda etapa se producirían bienes de mayor complejidad y bienes de capital, lo que representa una estrategia de nacionalismo económico (proteccionismo)</w:t>
      </w:r>
    </w:p>
    <w:p w14:paraId="58784A87" w14:textId="57325D34" w:rsidR="0015446E" w:rsidRPr="00CF1B34" w:rsidRDefault="0015446E" w:rsidP="0005621A">
      <w:pPr>
        <w:pStyle w:val="Sinespaciado"/>
        <w:ind w:firstLine="708"/>
        <w:jc w:val="both"/>
        <w:rPr>
          <w:rFonts w:ascii="Arial" w:hAnsi="Arial" w:cs="Arial"/>
          <w:sz w:val="22"/>
          <w:szCs w:val="22"/>
        </w:rPr>
      </w:pPr>
      <w:r w:rsidRPr="00CF1B34">
        <w:rPr>
          <w:rStyle w:val="Textoennegrita"/>
          <w:rFonts w:ascii="Arial" w:hAnsi="Arial" w:cs="Arial"/>
          <w:color w:val="333333"/>
          <w:sz w:val="22"/>
          <w:szCs w:val="22"/>
        </w:rPr>
        <w:t>Pilares de la ISI:</w:t>
      </w:r>
    </w:p>
    <w:p w14:paraId="1FE8F3C8" w14:textId="77777777" w:rsidR="0015446E" w:rsidRPr="00CF1B34" w:rsidRDefault="0015446E" w:rsidP="004F7A62">
      <w:pPr>
        <w:pStyle w:val="Sinespaciado"/>
        <w:numPr>
          <w:ilvl w:val="0"/>
          <w:numId w:val="186"/>
        </w:numPr>
        <w:jc w:val="both"/>
        <w:rPr>
          <w:rFonts w:ascii="Arial" w:hAnsi="Arial" w:cs="Arial"/>
          <w:color w:val="333333"/>
          <w:sz w:val="22"/>
          <w:szCs w:val="22"/>
        </w:rPr>
      </w:pPr>
      <w:r w:rsidRPr="00CF1B34">
        <w:rPr>
          <w:rStyle w:val="Textoennegrita"/>
          <w:rFonts w:ascii="Arial" w:hAnsi="Arial" w:cs="Arial"/>
          <w:color w:val="333333"/>
          <w:sz w:val="22"/>
          <w:szCs w:val="22"/>
        </w:rPr>
        <w:t>Política industrial activa</w:t>
      </w:r>
      <w:r w:rsidRPr="00CF1B34">
        <w:rPr>
          <w:rFonts w:ascii="Arial" w:hAnsi="Arial" w:cs="Arial"/>
          <w:sz w:val="22"/>
          <w:szCs w:val="22"/>
        </w:rPr>
        <w:t>: subsidios y dirección por el estado.</w:t>
      </w:r>
    </w:p>
    <w:p w14:paraId="6441CF35" w14:textId="422E6DBB" w:rsidR="0015446E" w:rsidRPr="00CF1B34" w:rsidRDefault="0015446E" w:rsidP="004F7A62">
      <w:pPr>
        <w:pStyle w:val="Sinespaciado"/>
        <w:numPr>
          <w:ilvl w:val="0"/>
          <w:numId w:val="186"/>
        </w:numPr>
        <w:jc w:val="both"/>
        <w:rPr>
          <w:rFonts w:ascii="Arial" w:hAnsi="Arial" w:cs="Arial"/>
          <w:color w:val="333333"/>
          <w:sz w:val="22"/>
          <w:szCs w:val="22"/>
        </w:rPr>
      </w:pPr>
      <w:r w:rsidRPr="00CF1B34">
        <w:rPr>
          <w:rStyle w:val="Textoennegrita"/>
          <w:rFonts w:ascii="Arial" w:hAnsi="Arial" w:cs="Arial"/>
          <w:color w:val="333333"/>
          <w:sz w:val="22"/>
          <w:szCs w:val="22"/>
        </w:rPr>
        <w:t>Barreras</w:t>
      </w:r>
      <w:r w:rsidRPr="00CF1B34">
        <w:rPr>
          <w:rFonts w:ascii="Arial" w:hAnsi="Arial" w:cs="Arial"/>
          <w:color w:val="333333"/>
          <w:sz w:val="22"/>
          <w:szCs w:val="22"/>
        </w:rPr>
        <w:t>: altos aranceles de importación</w:t>
      </w:r>
    </w:p>
    <w:p w14:paraId="0A34709C" w14:textId="03FD75E7" w:rsidR="0015446E" w:rsidRPr="00CF1B34" w:rsidRDefault="0015446E" w:rsidP="004F7A62">
      <w:pPr>
        <w:pStyle w:val="Sinespaciado"/>
        <w:numPr>
          <w:ilvl w:val="0"/>
          <w:numId w:val="186"/>
        </w:numPr>
        <w:jc w:val="both"/>
        <w:rPr>
          <w:rFonts w:ascii="Arial" w:hAnsi="Arial" w:cs="Arial"/>
          <w:color w:val="333333"/>
          <w:sz w:val="22"/>
          <w:szCs w:val="22"/>
        </w:rPr>
      </w:pPr>
      <w:r w:rsidRPr="00CF1B34">
        <w:rPr>
          <w:rStyle w:val="Textoennegrita"/>
          <w:rFonts w:ascii="Arial" w:hAnsi="Arial" w:cs="Arial"/>
          <w:color w:val="333333"/>
          <w:sz w:val="22"/>
          <w:szCs w:val="22"/>
        </w:rPr>
        <w:t>Política monetaria</w:t>
      </w:r>
      <w:r w:rsidRPr="00CF1B34">
        <w:rPr>
          <w:rFonts w:ascii="Arial" w:hAnsi="Arial" w:cs="Arial"/>
          <w:color w:val="333333"/>
          <w:sz w:val="22"/>
          <w:szCs w:val="22"/>
        </w:rPr>
        <w:t>: tipo de cambio Elevado.</w:t>
      </w:r>
    </w:p>
    <w:p w14:paraId="153EB9B5" w14:textId="77777777" w:rsidR="0015446E" w:rsidRPr="00CF1B34" w:rsidRDefault="0015446E" w:rsidP="004F7A62">
      <w:pPr>
        <w:pStyle w:val="Sinespaciado"/>
        <w:numPr>
          <w:ilvl w:val="0"/>
          <w:numId w:val="186"/>
        </w:numPr>
        <w:jc w:val="both"/>
        <w:rPr>
          <w:rFonts w:ascii="Arial" w:hAnsi="Arial" w:cs="Arial"/>
          <w:color w:val="333333"/>
          <w:sz w:val="22"/>
          <w:szCs w:val="22"/>
        </w:rPr>
      </w:pPr>
      <w:r w:rsidRPr="00CF1B34">
        <w:rPr>
          <w:rStyle w:val="Textoennegrita"/>
          <w:rFonts w:ascii="Arial" w:hAnsi="Arial" w:cs="Arial"/>
          <w:color w:val="333333"/>
          <w:sz w:val="22"/>
          <w:szCs w:val="22"/>
        </w:rPr>
        <w:t>Intervención en mercados</w:t>
      </w:r>
    </w:p>
    <w:p w14:paraId="2DA0DB9D" w14:textId="4A9D5173" w:rsidR="0015446E" w:rsidRPr="00CF1B34" w:rsidRDefault="0015446E" w:rsidP="004F7A62">
      <w:pPr>
        <w:pStyle w:val="Sinespaciado"/>
        <w:numPr>
          <w:ilvl w:val="0"/>
          <w:numId w:val="186"/>
        </w:numPr>
        <w:jc w:val="both"/>
        <w:rPr>
          <w:rFonts w:ascii="Arial" w:hAnsi="Arial" w:cs="Arial"/>
          <w:color w:val="333333"/>
          <w:sz w:val="22"/>
          <w:szCs w:val="22"/>
        </w:rPr>
      </w:pPr>
      <w:r w:rsidRPr="00CF1B34">
        <w:rPr>
          <w:rStyle w:val="Textoennegrita"/>
          <w:rFonts w:ascii="Arial" w:hAnsi="Arial" w:cs="Arial"/>
          <w:color w:val="333333"/>
          <w:sz w:val="22"/>
          <w:szCs w:val="22"/>
        </w:rPr>
        <w:t>Financiación:</w:t>
      </w:r>
      <w:r w:rsidRPr="00CF1B34">
        <w:rPr>
          <w:rFonts w:ascii="Arial" w:hAnsi="Arial" w:cs="Arial"/>
          <w:color w:val="333333"/>
          <w:sz w:val="22"/>
          <w:szCs w:val="22"/>
        </w:rPr>
        <w:t xml:space="preserve"> a determinados sectores clave</w:t>
      </w:r>
    </w:p>
    <w:p w14:paraId="59254B49" w14:textId="2A09E49E" w:rsidR="0015446E" w:rsidRPr="00CF1B34" w:rsidRDefault="0015446E" w:rsidP="0005621A">
      <w:pPr>
        <w:pStyle w:val="Sinespaciado"/>
        <w:jc w:val="both"/>
        <w:rPr>
          <w:rFonts w:ascii="Arial" w:hAnsi="Arial" w:cs="Arial"/>
          <w:color w:val="333333"/>
          <w:sz w:val="22"/>
          <w:szCs w:val="22"/>
        </w:rPr>
      </w:pPr>
    </w:p>
    <w:p w14:paraId="15C995D7" w14:textId="77777777" w:rsidR="0015446E" w:rsidRPr="00CF1B34" w:rsidRDefault="0015446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Pese a que no se obtuvo el resultado esperado, en muchos países </w:t>
      </w:r>
      <w:r w:rsidRPr="00CF1B34">
        <w:rPr>
          <w:rFonts w:ascii="Arial" w:hAnsi="Arial" w:cs="Arial"/>
          <w:b/>
          <w:bCs/>
          <w:color w:val="333333"/>
          <w:sz w:val="22"/>
          <w:szCs w:val="22"/>
          <w:shd w:val="clear" w:color="auto" w:fill="FFFFFF"/>
        </w:rPr>
        <w:t>se logró desarrollar una base firme en la industria siderúrgica, petroquímica, química, plástica, farmacéutica</w:t>
      </w:r>
      <w:r w:rsidRPr="00CF1B34">
        <w:rPr>
          <w:rFonts w:ascii="Arial" w:hAnsi="Arial" w:cs="Arial"/>
          <w:color w:val="333333"/>
          <w:sz w:val="22"/>
          <w:szCs w:val="22"/>
          <w:shd w:val="clear" w:color="auto" w:fill="FFFFFF"/>
        </w:rPr>
        <w:t xml:space="preserve">, etc. Asimismo, bienes de capital como la industria de maquinaria agrícola </w:t>
      </w:r>
      <w:r w:rsidRPr="00CF1B34">
        <w:rPr>
          <w:rFonts w:ascii="Arial" w:hAnsi="Arial" w:cs="Arial"/>
          <w:color w:val="333333"/>
          <w:sz w:val="22"/>
          <w:szCs w:val="22"/>
          <w:shd w:val="clear" w:color="auto" w:fill="FFFFFF"/>
        </w:rPr>
        <w:lastRenderedPageBreak/>
        <w:t>permitió el desarrollo de una nueva oleada de exportación de alimentos y materias primas; los cuales contrastaron la derrota de la ISI.</w:t>
      </w:r>
    </w:p>
    <w:p w14:paraId="6E646EE1" w14:textId="351728EF"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ISIN, International Security Identification Number</w:t>
      </w:r>
    </w:p>
    <w:p w14:paraId="1DFE8EC6"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Código único alfanumérico de doce caracteres que identifica internacionalmente una emisión o instrumento financiero. El código ISIN es ampliamente utilizado en la contratación, compensación y liquidación de valores tanto a nivel nacional como internacional. Está compuesto por el código de identificación del país, un número básico asignado por la agencia de codificación pertinente y un dígito de control. En España, los códigos ISIN son asignados por la Agencia Nacional de Codificación de Valores, dependiente de la Comisión Nacional del Mercado de Valores (CNMV).</w:t>
      </w:r>
    </w:p>
    <w:p w14:paraId="696AE52C" w14:textId="0699F3A5" w:rsidR="00637D33" w:rsidRPr="00CF1B34" w:rsidRDefault="00283BB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IVA devengado</w:t>
      </w:r>
    </w:p>
    <w:p w14:paraId="7FB6AE84" w14:textId="5104F21E" w:rsidR="009B6724" w:rsidRPr="00CF1B34" w:rsidRDefault="009B6724" w:rsidP="0005621A">
      <w:pPr>
        <w:ind w:left="708"/>
        <w:jc w:val="both"/>
        <w:rPr>
          <w:rFonts w:ascii="Arial" w:hAnsi="Arial" w:cs="Arial"/>
          <w:sz w:val="22"/>
          <w:szCs w:val="22"/>
        </w:rPr>
      </w:pPr>
      <w:r w:rsidRPr="00CF1B34">
        <w:rPr>
          <w:rStyle w:val="Textoennegrita"/>
          <w:rFonts w:ascii="Arial" w:hAnsi="Arial" w:cs="Arial"/>
          <w:color w:val="333333"/>
          <w:sz w:val="22"/>
          <w:szCs w:val="22"/>
          <w:shd w:val="clear" w:color="auto" w:fill="FFFFFF"/>
        </w:rPr>
        <w:t>El IVA devengado o IVA repercutido</w:t>
      </w:r>
      <w:r w:rsidRPr="00CF1B34">
        <w:rPr>
          <w:rFonts w:ascii="Arial" w:hAnsi="Arial" w:cs="Arial"/>
          <w:color w:val="333333"/>
          <w:sz w:val="22"/>
          <w:szCs w:val="22"/>
          <w:shd w:val="clear" w:color="auto" w:fill="FFFFFF"/>
        </w:rPr>
        <w:t xml:space="preserve"> es aquel que un empresario cobra a sus clientes al prestarles un servicio o venderles un producto. El IVA devengado forma parte del libro de contabilidad que los autónomos y empresas están obligados a presentar en caso de que fuese necesario y donde figuran los ingresos y gastos sobre los cuáles se hará después la declaración trimestral de IVA.</w:t>
      </w:r>
    </w:p>
    <w:p w14:paraId="7569B1FF" w14:textId="53407348" w:rsidR="009B6724" w:rsidRPr="00CF1B34" w:rsidRDefault="009B6724"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En el modelo 303 de liquidación de IVA las empresas y autónomos deberán rendir cuentas por ese IVA que han pagado y que han ingresado. Al rellenar</w:t>
      </w:r>
      <w:r w:rsidRPr="00CF1B34">
        <w:rPr>
          <w:rStyle w:val="Textoennegrita"/>
          <w:rFonts w:ascii="Arial" w:hAnsi="Arial" w:cs="Arial"/>
          <w:color w:val="333333"/>
          <w:sz w:val="22"/>
          <w:szCs w:val="22"/>
          <w:shd w:val="clear" w:color="auto" w:fill="FFFFFF"/>
        </w:rPr>
        <w:t xml:space="preserve"> el documento deberán distinguir entre los diferentes tipos de IVA de las facturas emitidas y también de las soportadas</w:t>
      </w:r>
      <w:r w:rsidRPr="00CF1B34">
        <w:rPr>
          <w:rFonts w:ascii="Arial" w:hAnsi="Arial" w:cs="Arial"/>
          <w:color w:val="333333"/>
          <w:sz w:val="22"/>
          <w:szCs w:val="22"/>
          <w:shd w:val="clear" w:color="auto" w:fill="FFFFFF"/>
        </w:rPr>
        <w:t>.</w:t>
      </w:r>
    </w:p>
    <w:p w14:paraId="4DD8CA0A" w14:textId="77777777" w:rsidR="009B6724" w:rsidRPr="00CF1B34" w:rsidRDefault="009B672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 xml:space="preserve">Un error de apreciación muy común hace que </w:t>
      </w:r>
      <w:r w:rsidRPr="00CF1B34">
        <w:rPr>
          <w:rStyle w:val="Textoennegrita"/>
          <w:rFonts w:ascii="Arial" w:hAnsi="Arial" w:cs="Arial"/>
          <w:color w:val="333333"/>
          <w:sz w:val="22"/>
          <w:szCs w:val="22"/>
          <w:shd w:val="clear" w:color="auto" w:fill="FFFFFF"/>
        </w:rPr>
        <w:t>muchas compañías consideren el IVA devengado como parte de los ingresos</w:t>
      </w:r>
      <w:r w:rsidRPr="00CF1B34">
        <w:rPr>
          <w:rFonts w:ascii="Arial" w:hAnsi="Arial" w:cs="Arial"/>
          <w:color w:val="333333"/>
          <w:sz w:val="22"/>
          <w:szCs w:val="22"/>
          <w:shd w:val="clear" w:color="auto" w:fill="FFFFFF"/>
        </w:rPr>
        <w:t xml:space="preserve">, cuando en realidad </w:t>
      </w:r>
      <w:r w:rsidRPr="00CF1B34">
        <w:rPr>
          <w:rStyle w:val="Textoennegrita"/>
          <w:rFonts w:ascii="Arial" w:hAnsi="Arial" w:cs="Arial"/>
          <w:color w:val="333333"/>
          <w:sz w:val="22"/>
          <w:szCs w:val="22"/>
          <w:shd w:val="clear" w:color="auto" w:fill="FFFFFF"/>
        </w:rPr>
        <w:t>esta cuantía no va a parar a la empresa, sino al Estado</w:t>
      </w:r>
      <w:r w:rsidRPr="00CF1B34">
        <w:rPr>
          <w:rFonts w:ascii="Arial" w:hAnsi="Arial" w:cs="Arial"/>
          <w:color w:val="333333"/>
          <w:sz w:val="22"/>
          <w:szCs w:val="22"/>
          <w:shd w:val="clear" w:color="auto" w:fill="FFFFFF"/>
        </w:rPr>
        <w:t>. De hecho, la sociedad sólo ejerce de intermediario o recaudador del impuesto, que después debe enviar a Hacienda en función del resultado de la declaración trimestral de IVA tras restar el IVA soportado.</w:t>
      </w:r>
    </w:p>
    <w:p w14:paraId="4A57CE56" w14:textId="14B22B7E" w:rsidR="00283BB4" w:rsidRPr="00CF1B34" w:rsidRDefault="00283BB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IVA</w:t>
      </w:r>
    </w:p>
    <w:p w14:paraId="271856C6" w14:textId="536EBC5B" w:rsidR="009B6724" w:rsidRPr="00CF1B34" w:rsidRDefault="009B6724" w:rsidP="0005621A">
      <w:pPr>
        <w:ind w:left="708"/>
        <w:jc w:val="both"/>
        <w:rPr>
          <w:rFonts w:ascii="Arial" w:hAnsi="Arial" w:cs="Arial"/>
          <w:sz w:val="22"/>
          <w:szCs w:val="22"/>
        </w:rPr>
      </w:pPr>
      <w:r w:rsidRPr="00CF1B34">
        <w:rPr>
          <w:rFonts w:ascii="Arial" w:hAnsi="Arial" w:cs="Arial"/>
          <w:color w:val="4A4A4A"/>
          <w:sz w:val="22"/>
          <w:szCs w:val="22"/>
          <w:shd w:val="clear" w:color="auto" w:fill="FFFFFF"/>
        </w:rPr>
        <w:t>El</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IVA</w:t>
      </w:r>
      <w:r w:rsidR="009B5569" w:rsidRPr="00CF1B34">
        <w:rPr>
          <w:rStyle w:val="Textoennegrita"/>
          <w:rFonts w:ascii="Arial" w:hAnsi="Arial" w:cs="Arial"/>
          <w:color w:val="4A4A4A"/>
          <w:sz w:val="22"/>
          <w:szCs w:val="22"/>
          <w:shd w:val="clear" w:color="auto" w:fill="FFFFFF"/>
        </w:rPr>
        <w:t xml:space="preserve"> </w:t>
      </w:r>
      <w:r w:rsidRPr="00CF1B34">
        <w:rPr>
          <w:rFonts w:ascii="Arial" w:hAnsi="Arial" w:cs="Arial"/>
          <w:color w:val="4A4A4A"/>
          <w:sz w:val="22"/>
          <w:szCs w:val="22"/>
          <w:shd w:val="clear" w:color="auto" w:fill="FFFFFF"/>
        </w:rPr>
        <w:t>o</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Impuesto sobre el Valor Añadido</w:t>
      </w:r>
      <w:r w:rsidR="009B5569" w:rsidRPr="00CF1B34">
        <w:rPr>
          <w:rFonts w:ascii="Arial" w:hAnsi="Arial" w:cs="Arial"/>
          <w:color w:val="4A4A4A"/>
          <w:sz w:val="22"/>
          <w:szCs w:val="22"/>
          <w:shd w:val="clear" w:color="auto" w:fill="FFFFFF"/>
        </w:rPr>
        <w:t xml:space="preserve"> </w:t>
      </w:r>
      <w:r w:rsidRPr="00CF1B34">
        <w:rPr>
          <w:rFonts w:ascii="Arial" w:hAnsi="Arial" w:cs="Arial"/>
          <w:color w:val="4A4A4A"/>
          <w:sz w:val="22"/>
          <w:szCs w:val="22"/>
          <w:shd w:val="clear" w:color="auto" w:fill="FFFFFF"/>
        </w:rPr>
        <w:t>es un tipo de impuesto que básicamente recae sobre el consumo y “</w:t>
      </w:r>
      <w:r w:rsidRPr="00CF1B34">
        <w:rPr>
          <w:rStyle w:val="Textoennegrita"/>
          <w:rFonts w:ascii="Arial" w:hAnsi="Arial" w:cs="Arial"/>
          <w:color w:val="4A4A4A"/>
          <w:sz w:val="22"/>
          <w:szCs w:val="22"/>
          <w:shd w:val="clear" w:color="auto" w:fill="FFFFFF"/>
        </w:rPr>
        <w:t xml:space="preserve">grava las entregas de bienes y prestaciones de servicios efectuadas por empresarios y profesionales, las adquisiciones intracomunitarias y las importaciones de </w:t>
      </w:r>
      <w:proofErr w:type="gramStart"/>
      <w:r w:rsidRPr="00CF1B34">
        <w:rPr>
          <w:rStyle w:val="Textoennegrita"/>
          <w:rFonts w:ascii="Arial" w:hAnsi="Arial" w:cs="Arial"/>
          <w:color w:val="4A4A4A"/>
          <w:sz w:val="22"/>
          <w:szCs w:val="22"/>
          <w:shd w:val="clear" w:color="auto" w:fill="FFFFFF"/>
        </w:rPr>
        <w:t>bienes</w:t>
      </w:r>
      <w:r w:rsidRPr="00CF1B34">
        <w:rPr>
          <w:rFonts w:ascii="Arial" w:hAnsi="Arial" w:cs="Arial"/>
          <w:color w:val="4A4A4A"/>
          <w:sz w:val="22"/>
          <w:szCs w:val="22"/>
          <w:shd w:val="clear" w:color="auto" w:fill="FFFFFF"/>
        </w:rPr>
        <w:t>“</w:t>
      </w:r>
      <w:proofErr w:type="gramEnd"/>
      <w:r w:rsidRPr="00CF1B34">
        <w:rPr>
          <w:rFonts w:ascii="Arial" w:hAnsi="Arial" w:cs="Arial"/>
          <w:color w:val="4A4A4A"/>
          <w:sz w:val="22"/>
          <w:szCs w:val="22"/>
          <w:shd w:val="clear" w:color="auto" w:fill="FFFFFF"/>
        </w:rPr>
        <w:t>, según la definición de la Agencia Tributaria.</w:t>
      </w:r>
    </w:p>
    <w:p w14:paraId="777089E3" w14:textId="400B155A" w:rsidR="009B6724" w:rsidRPr="00CF1B34" w:rsidRDefault="009B6724" w:rsidP="0005621A">
      <w:pPr>
        <w:ind w:left="708"/>
        <w:jc w:val="both"/>
        <w:rPr>
          <w:rFonts w:ascii="Arial" w:hAnsi="Arial" w:cs="Arial"/>
          <w:sz w:val="22"/>
          <w:szCs w:val="22"/>
        </w:rPr>
      </w:pPr>
      <w:r w:rsidRPr="00CF1B34">
        <w:rPr>
          <w:rFonts w:ascii="Arial" w:hAnsi="Arial" w:cs="Arial"/>
          <w:color w:val="4A4A4A"/>
          <w:sz w:val="22"/>
          <w:szCs w:val="22"/>
          <w:shd w:val="clear" w:color="auto" w:fill="FFFFFF"/>
        </w:rPr>
        <w:t>El</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IVA</w:t>
      </w:r>
      <w:r w:rsidR="009B5569" w:rsidRPr="00CF1B34">
        <w:rPr>
          <w:rStyle w:val="Textoennegrita"/>
          <w:rFonts w:ascii="Arial" w:hAnsi="Arial" w:cs="Arial"/>
          <w:color w:val="4A4A4A"/>
          <w:sz w:val="22"/>
          <w:szCs w:val="22"/>
          <w:shd w:val="clear" w:color="auto" w:fill="FFFFFF"/>
        </w:rPr>
        <w:t xml:space="preserve"> </w:t>
      </w:r>
      <w:r w:rsidRPr="00CF1B34">
        <w:rPr>
          <w:rFonts w:ascii="Arial" w:hAnsi="Arial" w:cs="Arial"/>
          <w:color w:val="4A4A4A"/>
          <w:sz w:val="22"/>
          <w:szCs w:val="22"/>
          <w:shd w:val="clear" w:color="auto" w:fill="FFFFFF"/>
        </w:rPr>
        <w:t>es el mejor</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exponente de los impuestos indirectos</w:t>
      </w:r>
      <w:r w:rsidRPr="00CF1B34">
        <w:rPr>
          <w:rFonts w:ascii="Arial" w:hAnsi="Arial" w:cs="Arial"/>
          <w:color w:val="4A4A4A"/>
          <w:sz w:val="22"/>
          <w:szCs w:val="22"/>
          <w:shd w:val="clear" w:color="auto" w:fill="FFFFFF"/>
        </w:rPr>
        <w:t>, aquellos que se aplican sobre una manifestación indirecta de la capacidad económica y</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gravan la producción, el tráfico o el consumo.</w:t>
      </w:r>
    </w:p>
    <w:p w14:paraId="0BA001DB" w14:textId="2BB9F76D" w:rsidR="009B6724" w:rsidRPr="00CF1B34" w:rsidRDefault="009B6724" w:rsidP="0005621A">
      <w:pPr>
        <w:ind w:left="708"/>
        <w:jc w:val="both"/>
        <w:rPr>
          <w:rFonts w:ascii="Arial" w:hAnsi="Arial" w:cs="Arial"/>
          <w:color w:val="4A4A4A"/>
          <w:sz w:val="22"/>
          <w:szCs w:val="22"/>
          <w:shd w:val="clear" w:color="auto" w:fill="FFFFFF"/>
        </w:rPr>
      </w:pPr>
      <w:r w:rsidRPr="00CF1B34">
        <w:rPr>
          <w:rFonts w:ascii="Arial" w:hAnsi="Arial" w:cs="Arial"/>
          <w:color w:val="4A4A4A"/>
          <w:sz w:val="22"/>
          <w:szCs w:val="22"/>
          <w:shd w:val="clear" w:color="auto" w:fill="FFFFFF"/>
        </w:rPr>
        <w:t>La</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Unión Europea establece un IVA general mínimo del 15%</w:t>
      </w:r>
      <w:r w:rsidR="009B5569" w:rsidRPr="00CF1B34">
        <w:rPr>
          <w:rFonts w:ascii="Arial" w:hAnsi="Arial" w:cs="Arial"/>
          <w:color w:val="4A4A4A"/>
          <w:sz w:val="22"/>
          <w:szCs w:val="22"/>
          <w:shd w:val="clear" w:color="auto" w:fill="FFFFFF"/>
        </w:rPr>
        <w:t xml:space="preserve"> </w:t>
      </w:r>
      <w:r w:rsidRPr="00CF1B34">
        <w:rPr>
          <w:rFonts w:ascii="Arial" w:hAnsi="Arial" w:cs="Arial"/>
          <w:color w:val="4A4A4A"/>
          <w:sz w:val="22"/>
          <w:szCs w:val="22"/>
          <w:shd w:val="clear" w:color="auto" w:fill="FFFFFF"/>
        </w:rPr>
        <w:t>para todos sus miembros.</w:t>
      </w:r>
    </w:p>
    <w:p w14:paraId="5E5EAF73" w14:textId="3BA6158F" w:rsidR="009B6724" w:rsidRPr="00CF1B34" w:rsidRDefault="009B6724" w:rsidP="0005621A">
      <w:pPr>
        <w:ind w:left="708"/>
        <w:jc w:val="both"/>
        <w:rPr>
          <w:rFonts w:ascii="Arial" w:hAnsi="Arial" w:cs="Arial"/>
          <w:sz w:val="22"/>
          <w:szCs w:val="22"/>
        </w:rPr>
      </w:pPr>
      <w:r w:rsidRPr="00CF1B34">
        <w:rPr>
          <w:rFonts w:ascii="Arial" w:hAnsi="Arial" w:cs="Arial"/>
          <w:color w:val="4A4A4A"/>
          <w:sz w:val="22"/>
          <w:szCs w:val="22"/>
          <w:shd w:val="clear" w:color="auto" w:fill="FFFFFF"/>
        </w:rPr>
        <w:t>Actualmente pueden distinguirse</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tres tipos de IVA</w:t>
      </w:r>
      <w:r w:rsidRPr="00CF1B34">
        <w:rPr>
          <w:rFonts w:ascii="Arial" w:hAnsi="Arial" w:cs="Arial"/>
          <w:color w:val="4A4A4A"/>
          <w:sz w:val="22"/>
          <w:szCs w:val="22"/>
          <w:shd w:val="clear" w:color="auto" w:fill="FFFFFF"/>
        </w:rPr>
        <w:t>: el</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general</w:t>
      </w:r>
      <w:r w:rsidR="009B5569" w:rsidRPr="00CF1B34">
        <w:rPr>
          <w:rFonts w:ascii="Arial" w:hAnsi="Arial" w:cs="Arial"/>
          <w:color w:val="4A4A4A"/>
          <w:sz w:val="22"/>
          <w:szCs w:val="22"/>
          <w:shd w:val="clear" w:color="auto" w:fill="FFFFFF"/>
        </w:rPr>
        <w:t xml:space="preserve"> </w:t>
      </w:r>
      <w:r w:rsidRPr="00CF1B34">
        <w:rPr>
          <w:rFonts w:ascii="Arial" w:hAnsi="Arial" w:cs="Arial"/>
          <w:color w:val="4A4A4A"/>
          <w:sz w:val="22"/>
          <w:szCs w:val="22"/>
          <w:shd w:val="clear" w:color="auto" w:fill="FFFFFF"/>
        </w:rPr>
        <w:t>(21%), el</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reducido</w:t>
      </w:r>
      <w:r w:rsidR="009B5569" w:rsidRPr="00CF1B34">
        <w:rPr>
          <w:rStyle w:val="Textoennegrita"/>
          <w:rFonts w:ascii="Arial" w:hAnsi="Arial" w:cs="Arial"/>
          <w:color w:val="4A4A4A"/>
          <w:sz w:val="22"/>
          <w:szCs w:val="22"/>
          <w:shd w:val="clear" w:color="auto" w:fill="FFFFFF"/>
        </w:rPr>
        <w:t xml:space="preserve"> </w:t>
      </w:r>
      <w:r w:rsidRPr="00CF1B34">
        <w:rPr>
          <w:rFonts w:ascii="Arial" w:hAnsi="Arial" w:cs="Arial"/>
          <w:color w:val="4A4A4A"/>
          <w:sz w:val="22"/>
          <w:szCs w:val="22"/>
          <w:shd w:val="clear" w:color="auto" w:fill="FFFFFF"/>
        </w:rPr>
        <w:t>(10%), y el</w:t>
      </w:r>
      <w:r w:rsidR="009B5569" w:rsidRPr="00CF1B34">
        <w:rPr>
          <w:rFonts w:ascii="Arial" w:hAnsi="Arial" w:cs="Arial"/>
          <w:color w:val="4A4A4A"/>
          <w:sz w:val="22"/>
          <w:szCs w:val="22"/>
          <w:shd w:val="clear" w:color="auto" w:fill="FFFFFF"/>
        </w:rPr>
        <w:t xml:space="preserve"> </w:t>
      </w:r>
      <w:r w:rsidRPr="00CF1B34">
        <w:rPr>
          <w:rStyle w:val="Textoennegrita"/>
          <w:rFonts w:ascii="Arial" w:hAnsi="Arial" w:cs="Arial"/>
          <w:color w:val="4A4A4A"/>
          <w:sz w:val="22"/>
          <w:szCs w:val="22"/>
          <w:shd w:val="clear" w:color="auto" w:fill="FFFFFF"/>
        </w:rPr>
        <w:t>superreducido</w:t>
      </w:r>
      <w:r w:rsidR="009B5569" w:rsidRPr="00CF1B34">
        <w:rPr>
          <w:rFonts w:ascii="Arial" w:hAnsi="Arial" w:cs="Arial"/>
          <w:color w:val="4A4A4A"/>
          <w:sz w:val="22"/>
          <w:szCs w:val="22"/>
          <w:shd w:val="clear" w:color="auto" w:fill="FFFFFF"/>
        </w:rPr>
        <w:t xml:space="preserve"> </w:t>
      </w:r>
      <w:r w:rsidRPr="00CF1B34">
        <w:rPr>
          <w:rFonts w:ascii="Arial" w:hAnsi="Arial" w:cs="Arial"/>
          <w:color w:val="4A4A4A"/>
          <w:sz w:val="22"/>
          <w:szCs w:val="22"/>
          <w:shd w:val="clear" w:color="auto" w:fill="FFFFFF"/>
        </w:rPr>
        <w:t>(4%). El porcentaje de IVA se debe a la supuesta necesidad de cada producto.</w:t>
      </w:r>
    </w:p>
    <w:p w14:paraId="681FE37C" w14:textId="7D440831" w:rsidR="009B5569" w:rsidRPr="00CF1B34" w:rsidRDefault="009B5569" w:rsidP="0005621A">
      <w:pPr>
        <w:ind w:left="708"/>
        <w:jc w:val="both"/>
        <w:rPr>
          <w:rFonts w:ascii="Arial" w:hAnsi="Arial" w:cs="Arial"/>
          <w:sz w:val="22"/>
          <w:szCs w:val="22"/>
        </w:rPr>
      </w:pPr>
      <w:r w:rsidRPr="00CF1B34">
        <w:rPr>
          <w:rFonts w:ascii="Arial" w:hAnsi="Arial" w:cs="Arial"/>
          <w:color w:val="4A4A4A"/>
          <w:sz w:val="22"/>
          <w:szCs w:val="22"/>
          <w:shd w:val="clear" w:color="auto" w:fill="FFFFFF"/>
        </w:rPr>
        <w:t>el IVA se va sumando durante toda la cadena de producción de un artículo. Cada p</w:t>
      </w:r>
      <w:r w:rsidRPr="00CF1B34">
        <w:rPr>
          <w:rStyle w:val="Textoennegrita"/>
          <w:rFonts w:ascii="Arial" w:hAnsi="Arial" w:cs="Arial"/>
          <w:color w:val="4A4A4A"/>
          <w:sz w:val="22"/>
          <w:szCs w:val="22"/>
          <w:shd w:val="clear" w:color="auto" w:fill="FFFFFF"/>
        </w:rPr>
        <w:t>articipante intermedio paga un IVA en los productos que compra</w:t>
      </w:r>
      <w:r w:rsidRPr="00CF1B34">
        <w:rPr>
          <w:rFonts w:ascii="Arial" w:hAnsi="Arial" w:cs="Arial"/>
          <w:color w:val="4A4A4A"/>
          <w:sz w:val="22"/>
          <w:szCs w:val="22"/>
          <w:shd w:val="clear" w:color="auto" w:fill="FFFFFF"/>
        </w:rPr>
        <w:t xml:space="preserve"> (esto se conoce como </w:t>
      </w:r>
      <w:r w:rsidRPr="00CF1B34">
        <w:rPr>
          <w:rStyle w:val="Textoennegrita"/>
          <w:rFonts w:ascii="Arial" w:hAnsi="Arial" w:cs="Arial"/>
          <w:color w:val="4A4A4A"/>
          <w:sz w:val="22"/>
          <w:szCs w:val="22"/>
          <w:shd w:val="clear" w:color="auto" w:fill="FFFFFF"/>
        </w:rPr>
        <w:t>IVA soportado</w:t>
      </w:r>
      <w:r w:rsidRPr="00CF1B34">
        <w:rPr>
          <w:rFonts w:ascii="Arial" w:hAnsi="Arial" w:cs="Arial"/>
          <w:color w:val="4A4A4A"/>
          <w:sz w:val="22"/>
          <w:szCs w:val="22"/>
          <w:shd w:val="clear" w:color="auto" w:fill="FFFFFF"/>
        </w:rPr>
        <w:t xml:space="preserve">) y </w:t>
      </w:r>
      <w:r w:rsidRPr="00CF1B34">
        <w:rPr>
          <w:rStyle w:val="Textoennegrita"/>
          <w:rFonts w:ascii="Arial" w:hAnsi="Arial" w:cs="Arial"/>
          <w:color w:val="4A4A4A"/>
          <w:sz w:val="22"/>
          <w:szCs w:val="22"/>
          <w:shd w:val="clear" w:color="auto" w:fill="FFFFFF"/>
        </w:rPr>
        <w:t xml:space="preserve">cobra un IVA por los que vende </w:t>
      </w:r>
      <w:r w:rsidRPr="00CF1B34">
        <w:rPr>
          <w:rFonts w:ascii="Arial" w:hAnsi="Arial" w:cs="Arial"/>
          <w:color w:val="4A4A4A"/>
          <w:sz w:val="22"/>
          <w:szCs w:val="22"/>
          <w:shd w:val="clear" w:color="auto" w:fill="FFFFFF"/>
        </w:rPr>
        <w:t xml:space="preserve">(llamado </w:t>
      </w:r>
      <w:r w:rsidRPr="00CF1B34">
        <w:rPr>
          <w:rStyle w:val="Textoennegrita"/>
          <w:rFonts w:ascii="Arial" w:hAnsi="Arial" w:cs="Arial"/>
          <w:color w:val="4A4A4A"/>
          <w:sz w:val="22"/>
          <w:szCs w:val="22"/>
          <w:shd w:val="clear" w:color="auto" w:fill="FFFFFF"/>
        </w:rPr>
        <w:t>IVA repercutido</w:t>
      </w:r>
      <w:r w:rsidRPr="00CF1B34">
        <w:rPr>
          <w:rFonts w:ascii="Arial" w:hAnsi="Arial" w:cs="Arial"/>
          <w:color w:val="4A4A4A"/>
          <w:sz w:val="22"/>
          <w:szCs w:val="22"/>
          <w:shd w:val="clear" w:color="auto" w:fill="FFFFFF"/>
        </w:rPr>
        <w:t xml:space="preserve">). Dado que el IVA recae sobre el cliente final, </w:t>
      </w:r>
      <w:r w:rsidRPr="00CF1B34">
        <w:rPr>
          <w:rStyle w:val="Textoennegrita"/>
          <w:rFonts w:ascii="Arial" w:hAnsi="Arial" w:cs="Arial"/>
          <w:color w:val="4A4A4A"/>
          <w:sz w:val="22"/>
          <w:szCs w:val="22"/>
          <w:shd w:val="clear" w:color="auto" w:fill="FFFFFF"/>
        </w:rPr>
        <w:t>las empresas y autónomos tiene derecho a deducir el IVA que pagan contra el que cobran</w:t>
      </w:r>
      <w:r w:rsidRPr="00CF1B34">
        <w:rPr>
          <w:rFonts w:ascii="Arial" w:hAnsi="Arial" w:cs="Arial"/>
          <w:color w:val="4A4A4A"/>
          <w:sz w:val="22"/>
          <w:szCs w:val="22"/>
          <w:shd w:val="clear" w:color="auto" w:fill="FFFFFF"/>
        </w:rPr>
        <w:t>. Es decir, restan el IVA soportado al IVA repercutido y la diferencia es lo que deben pagar al estado en la declaración trimestral del IVA. De esta forma, sólo pagan el IVA que resulta del valor añadido de lo que venden.</w:t>
      </w:r>
    </w:p>
    <w:p w14:paraId="52C5232B" w14:textId="40FE1275" w:rsidR="009B5569" w:rsidRPr="00CF1B34" w:rsidRDefault="009B5569" w:rsidP="0005621A">
      <w:pPr>
        <w:ind w:left="708"/>
        <w:jc w:val="both"/>
        <w:rPr>
          <w:rFonts w:ascii="Arial" w:hAnsi="Arial" w:cs="Arial"/>
          <w:sz w:val="22"/>
          <w:szCs w:val="22"/>
        </w:rPr>
      </w:pPr>
      <w:r w:rsidRPr="00CF1B34">
        <w:rPr>
          <w:rStyle w:val="Textoennegrita"/>
          <w:rFonts w:ascii="Arial" w:hAnsi="Arial" w:cs="Arial"/>
          <w:color w:val="4A4A4A"/>
          <w:sz w:val="22"/>
          <w:szCs w:val="22"/>
          <w:shd w:val="clear" w:color="auto" w:fill="FFFFFF"/>
        </w:rPr>
        <w:t>El pago de este impuesto se hace de manera trimestral,</w:t>
      </w:r>
      <w:r w:rsidRPr="00CF1B34">
        <w:rPr>
          <w:rFonts w:ascii="Arial" w:hAnsi="Arial" w:cs="Arial"/>
          <w:color w:val="4A4A4A"/>
          <w:sz w:val="22"/>
          <w:szCs w:val="22"/>
          <w:shd w:val="clear" w:color="auto" w:fill="FFFFFF"/>
        </w:rPr>
        <w:t xml:space="preserve"> aunque desde el Gobierno actual se planteó este que las empresas y autónomos pudieran pagar el IVA en el momento del cobro de la factura ya que en ocasiones la demora de estas</w:t>
      </w:r>
      <w:r w:rsidR="000C22F4" w:rsidRPr="00CF1B34">
        <w:rPr>
          <w:rFonts w:ascii="Arial" w:hAnsi="Arial" w:cs="Arial"/>
          <w:color w:val="4A4A4A"/>
          <w:sz w:val="22"/>
          <w:szCs w:val="22"/>
          <w:shd w:val="clear" w:color="auto" w:fill="FFFFFF"/>
        </w:rPr>
        <w:t>,</w:t>
      </w:r>
      <w:r w:rsidRPr="00CF1B34">
        <w:rPr>
          <w:rFonts w:ascii="Arial" w:hAnsi="Arial" w:cs="Arial"/>
          <w:color w:val="4A4A4A"/>
          <w:sz w:val="22"/>
          <w:szCs w:val="22"/>
          <w:shd w:val="clear" w:color="auto" w:fill="FFFFFF"/>
        </w:rPr>
        <w:t xml:space="preserve"> afecta realmente a quienes pagan un IVA que por otro lado todavía no han cobrado.</w:t>
      </w:r>
    </w:p>
    <w:p w14:paraId="014A7413" w14:textId="77777777" w:rsidR="000C22F4" w:rsidRPr="00CF1B34" w:rsidRDefault="009B556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4A4A4A"/>
          <w:sz w:val="22"/>
          <w:szCs w:val="22"/>
        </w:rPr>
        <w:lastRenderedPageBreak/>
        <w:t xml:space="preserve">Existen varios modelos de IVA que se han de pagar en función si este es de régimen general o simplificado. Aquellos autónomos en </w:t>
      </w:r>
      <w:r w:rsidRPr="00CF1B34">
        <w:rPr>
          <w:rFonts w:ascii="Arial" w:hAnsi="Arial" w:cs="Arial"/>
          <w:b/>
          <w:bCs/>
          <w:color w:val="4A4A4A"/>
          <w:sz w:val="22"/>
          <w:szCs w:val="22"/>
        </w:rPr>
        <w:t>régimen general de IVA deben presentar los modelos 303, el modelo 340 y el 390 antes de la fecha límite (Abril, Julio, Octubre y Enero).</w:t>
      </w:r>
      <w:r w:rsidRPr="00CF1B34">
        <w:rPr>
          <w:rFonts w:ascii="Arial" w:hAnsi="Arial" w:cs="Arial"/>
          <w:color w:val="4A4A4A"/>
          <w:sz w:val="22"/>
          <w:szCs w:val="22"/>
        </w:rPr>
        <w:t xml:space="preserve"> Si has de presentar el modelo de </w:t>
      </w:r>
      <w:r w:rsidRPr="00CF1B34">
        <w:rPr>
          <w:rFonts w:ascii="Arial" w:hAnsi="Arial" w:cs="Arial"/>
          <w:b/>
          <w:bCs/>
          <w:color w:val="4A4A4A"/>
          <w:sz w:val="22"/>
          <w:szCs w:val="22"/>
        </w:rPr>
        <w:t>IVA simplificado debes presentar el Modelo 310, Modelo 311 y Modelo 390 antes de la fecha establecida (Abril, Julio, Octubre).</w:t>
      </w:r>
    </w:p>
    <w:p w14:paraId="200A1DD7" w14:textId="6AF3A3B1" w:rsidR="00283BB4" w:rsidRPr="00CF1B34" w:rsidRDefault="00283BB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IVA (hipotecas)</w:t>
      </w:r>
    </w:p>
    <w:p w14:paraId="69FC7325" w14:textId="2F21723F" w:rsidR="0076582D" w:rsidRPr="00CF1B34" w:rsidRDefault="0076582D" w:rsidP="0005621A">
      <w:pPr>
        <w:pStyle w:val="Sinespaciado"/>
        <w:ind w:left="708"/>
        <w:jc w:val="both"/>
        <w:rPr>
          <w:rFonts w:ascii="Arial" w:hAnsi="Arial" w:cs="Arial"/>
          <w:sz w:val="22"/>
          <w:szCs w:val="22"/>
          <w:lang w:val="es-ES_tradnl"/>
        </w:rPr>
      </w:pPr>
      <w:r w:rsidRPr="00CF1B34">
        <w:rPr>
          <w:rFonts w:ascii="Arial" w:hAnsi="Arial" w:cs="Arial"/>
          <w:b/>
          <w:bCs/>
          <w:sz w:val="22"/>
          <w:szCs w:val="22"/>
          <w:lang w:val="es-ES_tradnl"/>
        </w:rPr>
        <w:t>No todos los pisos tienen el mismo IVA</w:t>
      </w:r>
      <w:r w:rsidRPr="00CF1B34">
        <w:rPr>
          <w:rFonts w:ascii="Arial" w:hAnsi="Arial" w:cs="Arial"/>
          <w:sz w:val="22"/>
          <w:szCs w:val="22"/>
          <w:lang w:val="es-ES_tradnl"/>
        </w:rPr>
        <w:t>.</w:t>
      </w:r>
      <w:r w:rsidR="00A039F6" w:rsidRPr="00CF1B34">
        <w:rPr>
          <w:rFonts w:ascii="Arial" w:hAnsi="Arial" w:cs="Arial"/>
          <w:sz w:val="22"/>
          <w:szCs w:val="22"/>
          <w:lang w:val="es-ES_tradnl"/>
        </w:rPr>
        <w:t xml:space="preserve"> </w:t>
      </w:r>
      <w:r w:rsidRPr="00CF1B34">
        <w:rPr>
          <w:rFonts w:ascii="Arial" w:hAnsi="Arial" w:cs="Arial"/>
          <w:sz w:val="22"/>
          <w:szCs w:val="22"/>
          <w:lang w:val="es-ES_tradnl"/>
        </w:rPr>
        <w:t>El sector inmobiliario ha sido uno de los más subvencionados en España y esto se ha traducido en una amalgama de tipologías de vivienda protegida o subvencionada con fondos públicos. A efectos de IVA</w:t>
      </w:r>
      <w:r w:rsidR="00A039F6" w:rsidRPr="00CF1B34">
        <w:rPr>
          <w:rFonts w:ascii="Arial" w:hAnsi="Arial" w:cs="Arial"/>
          <w:sz w:val="22"/>
          <w:szCs w:val="22"/>
          <w:lang w:val="es-ES_tradnl"/>
        </w:rPr>
        <w:t xml:space="preserve"> </w:t>
      </w:r>
      <w:r w:rsidRPr="00CF1B34">
        <w:rPr>
          <w:rFonts w:ascii="Arial" w:hAnsi="Arial" w:cs="Arial"/>
          <w:b/>
          <w:bCs/>
          <w:sz w:val="22"/>
          <w:szCs w:val="22"/>
          <w:lang w:val="es-ES_tradnl"/>
        </w:rPr>
        <w:t>hay que distinguir entre la vivienda libre -la ‘normal’ que compra cualquier ciudadano- y la vivienda protegida, más conocida como Vivienda de Protección Oficial o VPO</w:t>
      </w:r>
      <w:r w:rsidRPr="00CF1B34">
        <w:rPr>
          <w:rFonts w:ascii="Arial" w:hAnsi="Arial" w:cs="Arial"/>
          <w:sz w:val="22"/>
          <w:szCs w:val="22"/>
          <w:lang w:val="es-ES_tradnl"/>
        </w:rPr>
        <w:t>.</w:t>
      </w:r>
    </w:p>
    <w:p w14:paraId="4D6FAB1E" w14:textId="444FF05A" w:rsidR="00A039F6" w:rsidRPr="00CF1B34" w:rsidRDefault="00D83530" w:rsidP="0005621A">
      <w:pPr>
        <w:pStyle w:val="NormalWeb"/>
        <w:shd w:val="clear" w:color="auto" w:fill="FFFFFF"/>
        <w:spacing w:before="0" w:beforeAutospacing="0" w:after="165" w:afterAutospacing="0"/>
        <w:ind w:left="708"/>
        <w:jc w:val="both"/>
        <w:rPr>
          <w:rFonts w:ascii="Arial" w:hAnsi="Arial" w:cs="Arial"/>
          <w:color w:val="333333"/>
          <w:sz w:val="22"/>
          <w:szCs w:val="22"/>
          <w:lang w:val="es-ES_tradnl"/>
        </w:rPr>
      </w:pPr>
      <w:hyperlink r:id="rId268" w:history="1">
        <w:r w:rsidR="00A039F6" w:rsidRPr="00CF1B34">
          <w:rPr>
            <w:rStyle w:val="Hipervnculo"/>
            <w:rFonts w:ascii="Arial" w:hAnsi="Arial" w:cs="Arial"/>
            <w:b/>
            <w:bCs/>
            <w:color w:val="DC143C"/>
            <w:sz w:val="22"/>
            <w:szCs w:val="22"/>
            <w:lang w:val="es-ES_tradnl"/>
          </w:rPr>
          <w:t>El IVA sobre vivienda nueva</w:t>
        </w:r>
      </w:hyperlink>
      <w:r w:rsidR="00A039F6" w:rsidRPr="00CF1B34">
        <w:rPr>
          <w:rStyle w:val="Textoennegrita"/>
          <w:rFonts w:ascii="Arial" w:hAnsi="Arial" w:cs="Arial"/>
          <w:color w:val="333333"/>
          <w:sz w:val="22"/>
          <w:szCs w:val="22"/>
          <w:lang w:val="es-ES_tradnl"/>
        </w:rPr>
        <w:t xml:space="preserve"> se encuentra fijado en el 10% y se paga sobre el precio total de la casa en el momento de su entrega</w:t>
      </w:r>
      <w:r w:rsidR="00A039F6" w:rsidRPr="00CF1B34">
        <w:rPr>
          <w:rFonts w:ascii="Arial" w:hAnsi="Arial" w:cs="Arial"/>
          <w:color w:val="333333"/>
          <w:sz w:val="22"/>
          <w:szCs w:val="22"/>
          <w:lang w:val="es-ES_tradnl"/>
        </w:rPr>
        <w:t xml:space="preserve">. Sin embargo, tal y como ocurre con la mayoría de productos, </w:t>
      </w:r>
      <w:r w:rsidR="00A039F6" w:rsidRPr="00CF1B34">
        <w:rPr>
          <w:rFonts w:ascii="Arial" w:hAnsi="Arial" w:cs="Arial"/>
          <w:b/>
          <w:bCs/>
          <w:color w:val="333333"/>
          <w:sz w:val="22"/>
          <w:szCs w:val="22"/>
          <w:lang w:val="es-ES_tradnl"/>
        </w:rPr>
        <w:t xml:space="preserve">el IVA se incluye ya en el precio de las promociones. </w:t>
      </w:r>
    </w:p>
    <w:p w14:paraId="6B624BC1" w14:textId="77777777" w:rsidR="00F008BC" w:rsidRPr="00CF1B34" w:rsidRDefault="00A039F6"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t xml:space="preserve">Y esta rebaja no es la única que puede aplicarse, ya que en función del tipo de vivienda existen tipos de IVA más reducidos. Así, </w:t>
      </w:r>
      <w:r w:rsidRPr="00CF1B34">
        <w:rPr>
          <w:rStyle w:val="Textoennegrita"/>
          <w:rFonts w:ascii="Arial" w:hAnsi="Arial" w:cs="Arial"/>
          <w:color w:val="333333"/>
          <w:sz w:val="22"/>
          <w:szCs w:val="22"/>
          <w:lang w:val="es-ES_tradnl"/>
        </w:rPr>
        <w:t>el gravamen es sólo del 4% cuando se trata de una vivienda de protección oficial</w:t>
      </w:r>
      <w:r w:rsidRPr="00CF1B34">
        <w:rPr>
          <w:rFonts w:ascii="Arial" w:hAnsi="Arial" w:cs="Arial"/>
          <w:sz w:val="22"/>
          <w:szCs w:val="22"/>
          <w:lang w:val="es-ES_tradnl"/>
        </w:rPr>
        <w:t> (VPO) siempre que las entregas se efectúen por sus promotores, incluidos los garajes y anexos. El arrendamiento con opción de compra de estas viviendas también se grava con un IVA del 4%.</w:t>
      </w:r>
    </w:p>
    <w:p w14:paraId="62EC5E25" w14:textId="44938BAD" w:rsidR="00F008BC" w:rsidRPr="00CF1B34" w:rsidRDefault="00F008BC" w:rsidP="0005621A">
      <w:pPr>
        <w:pStyle w:val="Sinespaciado"/>
        <w:ind w:firstLine="708"/>
        <w:jc w:val="both"/>
        <w:rPr>
          <w:rFonts w:ascii="Arial" w:hAnsi="Arial" w:cs="Arial"/>
          <w:sz w:val="22"/>
          <w:szCs w:val="22"/>
        </w:rPr>
      </w:pPr>
      <w:r w:rsidRPr="00CF1B34">
        <w:rPr>
          <w:rStyle w:val="nfasis"/>
          <w:rFonts w:ascii="Arial" w:hAnsi="Arial" w:cs="Arial"/>
          <w:color w:val="333333"/>
          <w:sz w:val="22"/>
          <w:szCs w:val="22"/>
        </w:rPr>
        <w:t>Para viviendas de segunda mano</w:t>
      </w:r>
      <w:r w:rsidRPr="00CF1B34">
        <w:rPr>
          <w:rFonts w:ascii="Arial" w:hAnsi="Arial" w:cs="Arial"/>
          <w:sz w:val="22"/>
          <w:szCs w:val="22"/>
        </w:rPr>
        <w:t>:</w:t>
      </w:r>
    </w:p>
    <w:p w14:paraId="20E4ABA7" w14:textId="77777777" w:rsidR="00F008BC" w:rsidRPr="00CF1B34" w:rsidRDefault="00F008BC" w:rsidP="0005621A">
      <w:pPr>
        <w:pStyle w:val="Sinespaciado"/>
        <w:ind w:left="708"/>
        <w:jc w:val="both"/>
        <w:rPr>
          <w:rFonts w:ascii="Arial" w:hAnsi="Arial" w:cs="Arial"/>
          <w:sz w:val="22"/>
          <w:szCs w:val="22"/>
        </w:rPr>
      </w:pPr>
      <w:r w:rsidRPr="00CF1B34">
        <w:rPr>
          <w:rStyle w:val="Textoennegrita"/>
          <w:rFonts w:ascii="Arial" w:hAnsi="Arial" w:cs="Arial"/>
          <w:color w:val="333333"/>
          <w:sz w:val="22"/>
          <w:szCs w:val="22"/>
        </w:rPr>
        <w:t>ITP (impuesto sobre transmisiones patrimoniales)</w:t>
      </w:r>
      <w:r w:rsidRPr="00CF1B34">
        <w:rPr>
          <w:rFonts w:ascii="Arial" w:hAnsi="Arial" w:cs="Arial"/>
          <w:sz w:val="22"/>
          <w:szCs w:val="22"/>
        </w:rPr>
        <w:t> Este impuesto se aplica sobre la cantidad que consta en la escritura de compraventa.</w:t>
      </w:r>
    </w:p>
    <w:p w14:paraId="6BCB34A4" w14:textId="77777777" w:rsidR="00F008BC" w:rsidRPr="00CF1B34" w:rsidRDefault="00F008BC"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rPr>
        <w:t>AJD (impuesto sobre actos jurídicos documentados)</w:t>
      </w:r>
      <w:r w:rsidRPr="00CF1B34">
        <w:rPr>
          <w:rFonts w:ascii="Arial" w:hAnsi="Arial" w:cs="Arial"/>
          <w:sz w:val="22"/>
          <w:szCs w:val="22"/>
        </w:rPr>
        <w:t> La compraventa sujeta a ITP está exenta de este impuesto.</w:t>
      </w:r>
    </w:p>
    <w:p w14:paraId="32C34F2E" w14:textId="43EC46F3" w:rsidR="00283BB4" w:rsidRPr="00CF1B34" w:rsidRDefault="00283BB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IVA deducible</w:t>
      </w:r>
    </w:p>
    <w:p w14:paraId="46B2D2F2" w14:textId="28F8F898" w:rsidR="00F008BC" w:rsidRPr="00CF1B34" w:rsidRDefault="00F008BC" w:rsidP="0005621A">
      <w:pPr>
        <w:pStyle w:val="NormalWeb"/>
        <w:shd w:val="clear" w:color="auto" w:fill="FFFFFF"/>
        <w:spacing w:before="0" w:beforeAutospacing="0" w:after="165" w:afterAutospacing="0"/>
        <w:ind w:firstLine="360"/>
        <w:jc w:val="both"/>
        <w:rPr>
          <w:rFonts w:ascii="Arial" w:hAnsi="Arial" w:cs="Arial"/>
          <w:color w:val="333333"/>
          <w:sz w:val="22"/>
          <w:szCs w:val="22"/>
        </w:rPr>
      </w:pPr>
      <w:r w:rsidRPr="00CF1B34">
        <w:rPr>
          <w:rStyle w:val="Textoennegrita"/>
          <w:rFonts w:ascii="Arial" w:hAnsi="Arial" w:cs="Arial"/>
          <w:color w:val="333333"/>
          <w:sz w:val="22"/>
          <w:szCs w:val="22"/>
        </w:rPr>
        <w:t>Requisitos formales</w:t>
      </w:r>
      <w:r w:rsidRPr="00CF1B34">
        <w:rPr>
          <w:rFonts w:ascii="Arial" w:hAnsi="Arial" w:cs="Arial"/>
          <w:color w:val="333333"/>
          <w:sz w:val="22"/>
          <w:szCs w:val="22"/>
        </w:rPr>
        <w:t xml:space="preserve"> que debe reunir para que sea</w:t>
      </w:r>
      <w:r w:rsidRPr="00CF1B34">
        <w:rPr>
          <w:rStyle w:val="Textoennegrita"/>
          <w:rFonts w:ascii="Arial" w:hAnsi="Arial" w:cs="Arial"/>
          <w:color w:val="333333"/>
          <w:sz w:val="22"/>
          <w:szCs w:val="22"/>
        </w:rPr>
        <w:t xml:space="preserve"> IVA deducible:</w:t>
      </w:r>
    </w:p>
    <w:p w14:paraId="555361C2" w14:textId="77777777" w:rsidR="00F008BC" w:rsidRPr="00CF1B34" w:rsidRDefault="00F008BC" w:rsidP="0005621A">
      <w:pPr>
        <w:pStyle w:val="NormalWeb"/>
        <w:shd w:val="clear" w:color="auto" w:fill="FFFFFF"/>
        <w:spacing w:before="0" w:beforeAutospacing="0" w:after="165" w:afterAutospacing="0"/>
        <w:ind w:left="360"/>
        <w:jc w:val="both"/>
        <w:rPr>
          <w:rFonts w:ascii="Arial" w:hAnsi="Arial" w:cs="Arial"/>
          <w:color w:val="333333"/>
          <w:sz w:val="22"/>
          <w:szCs w:val="22"/>
        </w:rPr>
      </w:pPr>
      <w:r w:rsidRPr="00CF1B34">
        <w:rPr>
          <w:rFonts w:ascii="Arial" w:hAnsi="Arial" w:cs="Arial"/>
          <w:color w:val="333333"/>
          <w:sz w:val="22"/>
          <w:szCs w:val="22"/>
        </w:rPr>
        <w:t>– No podrán se objeto de deducción, en ninguna medida ni cuantía, las cuotas soportadas o satisfechas por las adquisiciones o importaciones de bienes o servicios efectuadas sin la intención de utilizarlos en la realización de actividades empresariales o profesionales, aunque ulteriormente dichos bienes o servicios se afecten total o parcialmente a las citadas actividades.</w:t>
      </w:r>
    </w:p>
    <w:p w14:paraId="7ADA3321" w14:textId="77777777" w:rsidR="00F008BC" w:rsidRPr="00CF1B34" w:rsidRDefault="00F008BC" w:rsidP="0005621A">
      <w:pPr>
        <w:pStyle w:val="NormalWeb"/>
        <w:shd w:val="clear" w:color="auto" w:fill="FFFFFF"/>
        <w:spacing w:before="0" w:beforeAutospacing="0" w:after="165" w:afterAutospacing="0"/>
        <w:ind w:left="360"/>
        <w:jc w:val="both"/>
        <w:rPr>
          <w:rFonts w:ascii="Arial" w:hAnsi="Arial" w:cs="Arial"/>
          <w:color w:val="333333"/>
          <w:sz w:val="22"/>
          <w:szCs w:val="22"/>
        </w:rPr>
      </w:pPr>
      <w:r w:rsidRPr="00CF1B34">
        <w:rPr>
          <w:rFonts w:ascii="Arial" w:hAnsi="Arial" w:cs="Arial"/>
          <w:color w:val="333333"/>
          <w:sz w:val="22"/>
          <w:szCs w:val="22"/>
        </w:rPr>
        <w:t>– El IVA soportado debe venir de las compras realizadas por el empresario en operaciones interiores, en adquisiciones intracomunitarias de bienes o en importaciones.</w:t>
      </w:r>
    </w:p>
    <w:p w14:paraId="1FE86929" w14:textId="77777777" w:rsidR="00F008BC" w:rsidRPr="00CF1B34" w:rsidRDefault="00F008BC" w:rsidP="0005621A">
      <w:pPr>
        <w:pStyle w:val="NormalWeb"/>
        <w:shd w:val="clear" w:color="auto" w:fill="FFFFFF"/>
        <w:spacing w:before="0" w:beforeAutospacing="0" w:after="165" w:afterAutospacing="0"/>
        <w:ind w:left="360"/>
        <w:jc w:val="both"/>
        <w:rPr>
          <w:rFonts w:ascii="Arial" w:hAnsi="Arial" w:cs="Arial"/>
          <w:color w:val="333333"/>
          <w:sz w:val="22"/>
          <w:szCs w:val="22"/>
        </w:rPr>
      </w:pPr>
      <w:r w:rsidRPr="00CF1B34">
        <w:rPr>
          <w:rFonts w:ascii="Arial" w:hAnsi="Arial" w:cs="Arial"/>
          <w:color w:val="333333"/>
          <w:sz w:val="22"/>
          <w:szCs w:val="22"/>
        </w:rPr>
        <w:t>– Las compras que generan IVA soportado deben incorporares a las ventas no exentas o a las ventas exentas plenas.</w:t>
      </w:r>
    </w:p>
    <w:p w14:paraId="3216FA39" w14:textId="77777777" w:rsidR="00F008BC" w:rsidRPr="00CF1B34" w:rsidRDefault="00F008BC" w:rsidP="0005621A">
      <w:pPr>
        <w:pStyle w:val="NormalWeb"/>
        <w:shd w:val="clear" w:color="auto" w:fill="FFFFFF"/>
        <w:spacing w:before="0" w:beforeAutospacing="0" w:after="165" w:afterAutospacing="0"/>
        <w:ind w:left="360"/>
        <w:jc w:val="both"/>
        <w:rPr>
          <w:rFonts w:ascii="Arial" w:hAnsi="Arial" w:cs="Arial"/>
          <w:color w:val="333333"/>
          <w:sz w:val="22"/>
          <w:szCs w:val="22"/>
        </w:rPr>
      </w:pPr>
      <w:r w:rsidRPr="00CF1B34">
        <w:rPr>
          <w:rFonts w:ascii="Arial" w:hAnsi="Arial" w:cs="Arial"/>
          <w:color w:val="333333"/>
          <w:sz w:val="22"/>
          <w:szCs w:val="22"/>
        </w:rPr>
        <w:t>– El IVA deducible debe justificarse mediante una factura oficial y correcta. Si bien existen otros tipos de documentos, como:</w:t>
      </w:r>
    </w:p>
    <w:p w14:paraId="368A3C9E" w14:textId="77777777" w:rsidR="00F008BC" w:rsidRPr="00CF1B34" w:rsidRDefault="00F008BC" w:rsidP="004F7A62">
      <w:pPr>
        <w:numPr>
          <w:ilvl w:val="0"/>
          <w:numId w:val="187"/>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En las adquisiciones intracomunitarias de bienes: la autofactura o documento equivalente.</w:t>
      </w:r>
    </w:p>
    <w:p w14:paraId="7044400E" w14:textId="77777777" w:rsidR="00F008BC" w:rsidRPr="00CF1B34" w:rsidRDefault="00F008BC" w:rsidP="004F7A62">
      <w:pPr>
        <w:numPr>
          <w:ilvl w:val="0"/>
          <w:numId w:val="187"/>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En las importaciones: documento de pago que acreditan en la aduana.</w:t>
      </w:r>
    </w:p>
    <w:p w14:paraId="055A3DF1" w14:textId="77777777" w:rsidR="00F008BC" w:rsidRPr="00CF1B34" w:rsidRDefault="00F008BC" w:rsidP="004F7A62">
      <w:pPr>
        <w:numPr>
          <w:ilvl w:val="0"/>
          <w:numId w:val="187"/>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En el régimen especial de los agricultores: el recibo firmado por el agricultor cuando realizó compras a los agricultores</w:t>
      </w:r>
    </w:p>
    <w:p w14:paraId="72070CE8" w14:textId="1892432E" w:rsidR="00F008BC" w:rsidRPr="00CF1B34" w:rsidRDefault="00F008BC"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CF1B34">
        <w:rPr>
          <w:rFonts w:ascii="Arial" w:hAnsi="Arial" w:cs="Arial"/>
          <w:color w:val="333333"/>
          <w:sz w:val="22"/>
          <w:szCs w:val="22"/>
        </w:rPr>
        <w:t xml:space="preserve">Un punto a destacar es que el derecho a la deducción </w:t>
      </w:r>
      <w:r w:rsidRPr="00CF1B34">
        <w:rPr>
          <w:rStyle w:val="Textoennegrita"/>
          <w:rFonts w:ascii="Arial" w:hAnsi="Arial" w:cs="Arial"/>
          <w:color w:val="333333"/>
          <w:sz w:val="22"/>
          <w:szCs w:val="22"/>
        </w:rPr>
        <w:t xml:space="preserve">caduca </w:t>
      </w:r>
      <w:r w:rsidRPr="00CF1B34">
        <w:rPr>
          <w:rFonts w:ascii="Arial" w:hAnsi="Arial" w:cs="Arial"/>
          <w:color w:val="333333"/>
          <w:sz w:val="22"/>
          <w:szCs w:val="22"/>
        </w:rPr>
        <w:t xml:space="preserve">cuando el titular no hubiese ejercitado su derecho en el plazo de </w:t>
      </w:r>
      <w:r w:rsidRPr="00CF1B34">
        <w:rPr>
          <w:rStyle w:val="Textoennegrita"/>
          <w:rFonts w:ascii="Arial" w:hAnsi="Arial" w:cs="Arial"/>
          <w:color w:val="333333"/>
          <w:sz w:val="22"/>
          <w:szCs w:val="22"/>
        </w:rPr>
        <w:t>cuatro año</w:t>
      </w:r>
      <w:r w:rsidRPr="00CF1B34">
        <w:rPr>
          <w:rFonts w:ascii="Arial" w:hAnsi="Arial" w:cs="Arial"/>
          <w:color w:val="333333"/>
          <w:sz w:val="22"/>
          <w:szCs w:val="22"/>
        </w:rPr>
        <w:t>s.</w:t>
      </w:r>
    </w:p>
    <w:p w14:paraId="356184FE" w14:textId="15C5D363" w:rsidR="00A11E1C" w:rsidRPr="00CF1B34" w:rsidRDefault="00A11E1C" w:rsidP="0005621A">
      <w:pPr>
        <w:shd w:val="clear" w:color="auto" w:fill="FFFFFF"/>
        <w:spacing w:after="165"/>
        <w:ind w:firstLine="708"/>
        <w:jc w:val="both"/>
        <w:rPr>
          <w:rFonts w:ascii="Arial" w:hAnsi="Arial" w:cs="Arial"/>
          <w:color w:val="333333"/>
          <w:sz w:val="22"/>
          <w:szCs w:val="22"/>
        </w:rPr>
      </w:pPr>
      <w:r w:rsidRPr="00CF1B34">
        <w:rPr>
          <w:rFonts w:ascii="Arial" w:hAnsi="Arial" w:cs="Arial"/>
          <w:i/>
          <w:iCs/>
          <w:color w:val="333333"/>
          <w:sz w:val="22"/>
          <w:szCs w:val="22"/>
        </w:rPr>
        <w:lastRenderedPageBreak/>
        <w:t xml:space="preserve">Ahora veamos qué adquisiciones </w:t>
      </w:r>
      <w:r w:rsidRPr="00CF1B34">
        <w:rPr>
          <w:rFonts w:ascii="Arial" w:hAnsi="Arial" w:cs="Arial"/>
          <w:b/>
          <w:bCs/>
          <w:i/>
          <w:iCs/>
          <w:color w:val="333333"/>
          <w:sz w:val="22"/>
          <w:szCs w:val="22"/>
        </w:rPr>
        <w:t>no generan IVA deducible:</w:t>
      </w:r>
    </w:p>
    <w:p w14:paraId="7937E1C8" w14:textId="77777777" w:rsidR="00A11E1C" w:rsidRPr="00CF1B34" w:rsidRDefault="00A11E1C" w:rsidP="0005621A">
      <w:pPr>
        <w:shd w:val="clear" w:color="auto" w:fill="FFFFFF"/>
        <w:spacing w:after="165"/>
        <w:ind w:firstLine="708"/>
        <w:jc w:val="both"/>
        <w:rPr>
          <w:rFonts w:ascii="Arial" w:hAnsi="Arial" w:cs="Arial"/>
          <w:color w:val="333333"/>
          <w:sz w:val="22"/>
          <w:szCs w:val="22"/>
        </w:rPr>
      </w:pPr>
      <w:r w:rsidRPr="00CF1B34">
        <w:rPr>
          <w:rFonts w:ascii="Arial" w:hAnsi="Arial" w:cs="Arial"/>
          <w:color w:val="333333"/>
          <w:sz w:val="22"/>
          <w:szCs w:val="22"/>
        </w:rPr>
        <w:t>– Adquisiciones que se utilizan para fines particulares o privados.</w:t>
      </w:r>
    </w:p>
    <w:p w14:paraId="6FDDA9DE" w14:textId="3316B29C"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 El IVA soportado por la compra de bienes que no se registren en la contabilidad.</w:t>
      </w:r>
    </w:p>
    <w:p w14:paraId="25CA9F5D" w14:textId="77777777"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 El IVA soportado en las adquisiciones de viajes o de servicios, de hostelería y restauración salvo que sea gasto deducible en el Impuesto sobre Sociedades.</w:t>
      </w:r>
    </w:p>
    <w:p w14:paraId="6950740C" w14:textId="77777777"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 El IVA por la compra de motocicletas, aeronaves, y embarcaciones deportivas o de recreo.</w:t>
      </w:r>
    </w:p>
    <w:p w14:paraId="4E80D237" w14:textId="77777777"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 El IVA soportado en la adquisición de alimentos bebidas, tabaco, espectáculos públicos y juegos recreativos.</w:t>
      </w:r>
    </w:p>
    <w:p w14:paraId="3F0D6A5D" w14:textId="77777777"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 El IVA soportado en la adquisición de joyas, objetos de arte y antigüedades, tampoco el deducible.</w:t>
      </w:r>
    </w:p>
    <w:p w14:paraId="00B63839" w14:textId="77777777"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 El IVA por adquisiciones de bienes o servicios destinados a atenciones a clientes, trabajadores, etc.</w:t>
      </w:r>
    </w:p>
    <w:p w14:paraId="69978C4A" w14:textId="77777777" w:rsidR="00A11E1C" w:rsidRPr="00CF1B34" w:rsidRDefault="00A11E1C" w:rsidP="0005621A">
      <w:pPr>
        <w:shd w:val="clear" w:color="auto" w:fill="FFFFFF"/>
        <w:spacing w:after="165"/>
        <w:ind w:firstLine="708"/>
        <w:jc w:val="both"/>
        <w:rPr>
          <w:rFonts w:ascii="Arial" w:hAnsi="Arial" w:cs="Arial"/>
          <w:color w:val="333333"/>
          <w:sz w:val="22"/>
          <w:szCs w:val="22"/>
        </w:rPr>
      </w:pPr>
      <w:r w:rsidRPr="00CF1B34">
        <w:rPr>
          <w:rFonts w:ascii="Arial" w:hAnsi="Arial" w:cs="Arial"/>
          <w:b/>
          <w:bCs/>
          <w:color w:val="333333"/>
          <w:sz w:val="22"/>
          <w:szCs w:val="22"/>
        </w:rPr>
        <w:t>Prorrateo:</w:t>
      </w:r>
    </w:p>
    <w:p w14:paraId="75EDEBD1" w14:textId="4BA48AAB"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Existe una </w:t>
      </w:r>
      <w:r w:rsidRPr="00CF1B34">
        <w:rPr>
          <w:rFonts w:ascii="Arial" w:hAnsi="Arial" w:cs="Arial"/>
          <w:b/>
          <w:bCs/>
          <w:color w:val="333333"/>
          <w:sz w:val="22"/>
          <w:szCs w:val="22"/>
        </w:rPr>
        <w:t>limitación general</w:t>
      </w:r>
      <w:r w:rsidRPr="00CF1B34">
        <w:rPr>
          <w:rFonts w:ascii="Arial" w:hAnsi="Arial" w:cs="Arial"/>
          <w:color w:val="333333"/>
          <w:sz w:val="22"/>
          <w:szCs w:val="22"/>
        </w:rPr>
        <w:t xml:space="preserve"> que establece que los empresarios o profesionales no podrán deducir las cuotas soportadas o satisfechas por las adquisiciones o importaciones de bienes o servicios </w:t>
      </w:r>
      <w:r w:rsidRPr="00CF1B34">
        <w:rPr>
          <w:rFonts w:ascii="Arial" w:hAnsi="Arial" w:cs="Arial"/>
          <w:b/>
          <w:bCs/>
          <w:color w:val="333333"/>
          <w:sz w:val="22"/>
          <w:szCs w:val="22"/>
        </w:rPr>
        <w:t xml:space="preserve">que no se afecten directa y exclusivamente a su actividad empresarial o profesional. </w:t>
      </w:r>
      <w:r w:rsidRPr="00CF1B34">
        <w:rPr>
          <w:rFonts w:ascii="Arial" w:hAnsi="Arial" w:cs="Arial"/>
          <w:color w:val="333333"/>
          <w:sz w:val="22"/>
          <w:szCs w:val="22"/>
        </w:rPr>
        <w:t>Se entiende que la afectación no es directa ni exclusiva cuando el bien se utiliza simultánea o alternativamente para la actividad y otras de naturaleza no empresarial o profesional o para necesidades privadas.</w:t>
      </w:r>
    </w:p>
    <w:p w14:paraId="437C9CAC" w14:textId="02689D17"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 xml:space="preserve">Por lo tanto, en ciertos casos se hará un </w:t>
      </w:r>
      <w:r w:rsidRPr="00CF1B34">
        <w:rPr>
          <w:rFonts w:ascii="Arial" w:hAnsi="Arial" w:cs="Arial"/>
          <w:b/>
          <w:bCs/>
          <w:color w:val="333333"/>
          <w:sz w:val="22"/>
          <w:szCs w:val="22"/>
        </w:rPr>
        <w:t>prorrateo</w:t>
      </w:r>
      <w:r w:rsidRPr="00CF1B34">
        <w:rPr>
          <w:rFonts w:ascii="Arial" w:hAnsi="Arial" w:cs="Arial"/>
          <w:color w:val="333333"/>
          <w:sz w:val="22"/>
          <w:szCs w:val="22"/>
        </w:rPr>
        <w:t xml:space="preserve">, es decir por ejemplo en el caso compras de bienes de inversión, la deducción se hará en la medida en que se vayan a utilizar en el desarrollo de actividades empresariales o profesionales, o, lo que es lo mismo, </w:t>
      </w:r>
      <w:r w:rsidRPr="00CF1B34">
        <w:rPr>
          <w:rFonts w:ascii="Arial" w:hAnsi="Arial" w:cs="Arial"/>
          <w:b/>
          <w:bCs/>
          <w:color w:val="333333"/>
          <w:sz w:val="22"/>
          <w:szCs w:val="22"/>
        </w:rPr>
        <w:t>en proporción a la afectación</w:t>
      </w:r>
      <w:r w:rsidRPr="00CF1B34">
        <w:rPr>
          <w:rFonts w:ascii="Arial" w:hAnsi="Arial" w:cs="Arial"/>
          <w:color w:val="333333"/>
          <w:sz w:val="22"/>
          <w:szCs w:val="22"/>
        </w:rPr>
        <w:t>.</w:t>
      </w:r>
    </w:p>
    <w:p w14:paraId="1E93541E" w14:textId="77777777"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Un caso especial es el de los vehículos de turismo y sus remolques, ciclomotores y motocicletas. Estos elementos se presumen afectos en un 50%, salvo prueba en contrario.</w:t>
      </w:r>
    </w:p>
    <w:p w14:paraId="150ED061" w14:textId="77777777" w:rsidR="00A11E1C" w:rsidRPr="00CF1B34" w:rsidRDefault="00A11E1C" w:rsidP="0005621A">
      <w:pPr>
        <w:shd w:val="clear" w:color="auto" w:fill="FFFFFF"/>
        <w:spacing w:after="165"/>
        <w:ind w:left="708"/>
        <w:jc w:val="both"/>
        <w:rPr>
          <w:rFonts w:ascii="Arial" w:hAnsi="Arial" w:cs="Arial"/>
          <w:color w:val="333333"/>
          <w:sz w:val="22"/>
          <w:szCs w:val="22"/>
        </w:rPr>
      </w:pPr>
      <w:r w:rsidRPr="00CF1B34">
        <w:rPr>
          <w:rFonts w:ascii="Arial" w:hAnsi="Arial" w:cs="Arial"/>
          <w:color w:val="333333"/>
          <w:sz w:val="22"/>
          <w:szCs w:val="22"/>
        </w:rPr>
        <w:t>No obstante, se presumen afectos al 100% los vehículos mixtos, taxis, vehículos de auto-escuela, vehículos de vigilancia y los utilizados por los fabricantes en ensayos o pruebas, así como los utilizados en los desplazamientos profesionales de los representantes y agentes comerciales. En la misma proporción serán deducibles los bienes, accesorios, piezas de recambio de los mencionados vehículos, combustibles, carburantes, lubricantes, servicios de aparcamiento, renovación y reparación de aquéllos.</w:t>
      </w:r>
    </w:p>
    <w:p w14:paraId="577BAF22" w14:textId="77777777" w:rsidR="00A11E1C" w:rsidRPr="00CF1B34" w:rsidRDefault="00A11E1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rPr>
        <w:t>Por lo expuesto, es importante al momento de liquidar el IVA tener en cuenta todos los aspectos antes señalados, para no cometer errores, que luego os traigan un problema mayor.</w:t>
      </w:r>
    </w:p>
    <w:p w14:paraId="076C74C3" w14:textId="445A628E" w:rsidR="00283BB4" w:rsidRPr="00CF1B34" w:rsidRDefault="00283BB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IVA Intracomunitario</w:t>
      </w:r>
    </w:p>
    <w:p w14:paraId="322D724C" w14:textId="047228BB" w:rsidR="008B788C" w:rsidRPr="00CF1B34" w:rsidRDefault="008B788C" w:rsidP="0005621A">
      <w:pPr>
        <w:pStyle w:val="Sinespaciado"/>
        <w:ind w:left="708"/>
        <w:jc w:val="both"/>
        <w:rPr>
          <w:rFonts w:ascii="Arial" w:hAnsi="Arial" w:cs="Arial"/>
          <w:sz w:val="22"/>
          <w:szCs w:val="22"/>
        </w:rPr>
      </w:pPr>
      <w:r w:rsidRPr="00CF1B34">
        <w:rPr>
          <w:rFonts w:ascii="Arial" w:hAnsi="Arial" w:cs="Arial"/>
          <w:sz w:val="22"/>
          <w:szCs w:val="22"/>
        </w:rPr>
        <w:t>Cada vez son más las pymes que exportan e importan dentro de la Unión Europea</w:t>
      </w:r>
      <w:r w:rsidR="00035D27" w:rsidRPr="00CF1B34">
        <w:rPr>
          <w:rFonts w:ascii="Arial" w:hAnsi="Arial" w:cs="Arial"/>
          <w:sz w:val="22"/>
          <w:szCs w:val="22"/>
        </w:rPr>
        <w:t>.</w:t>
      </w:r>
    </w:p>
    <w:p w14:paraId="2A15DE67" w14:textId="0187E2E1" w:rsidR="00035D27" w:rsidRPr="00CF1B34" w:rsidRDefault="00035D27" w:rsidP="0005621A">
      <w:pPr>
        <w:pStyle w:val="Sinespaciado"/>
        <w:ind w:left="708"/>
        <w:jc w:val="both"/>
        <w:rPr>
          <w:rFonts w:ascii="Arial" w:hAnsi="Arial" w:cs="Arial"/>
        </w:rPr>
      </w:pPr>
      <w:r w:rsidRPr="00CF1B34">
        <w:rPr>
          <w:rFonts w:ascii="Arial" w:hAnsi="Arial" w:cs="Arial"/>
        </w:rPr>
        <w:t>Cómo funciona el IVA Intracomunitario, qué gastos deducir y cuáles no y cómo hacerlo, también el IVA que repercutir y cuándo hacerlo</w:t>
      </w:r>
    </w:p>
    <w:p w14:paraId="12BBD9CA" w14:textId="2B208CB2" w:rsidR="00035D27" w:rsidRPr="00CF1B34" w:rsidRDefault="00035D27"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CF1B34">
        <w:rPr>
          <w:rFonts w:ascii="Arial" w:hAnsi="Arial" w:cs="Arial"/>
          <w:color w:val="333333"/>
          <w:sz w:val="22"/>
          <w:szCs w:val="22"/>
        </w:rPr>
        <w:t xml:space="preserve">Lo primero que se debe saber es que </w:t>
      </w:r>
      <w:r w:rsidRPr="00CF1B34">
        <w:rPr>
          <w:rStyle w:val="Textoennegrita"/>
          <w:rFonts w:ascii="Arial" w:hAnsi="Arial" w:cs="Arial"/>
          <w:color w:val="333333"/>
          <w:sz w:val="22"/>
          <w:szCs w:val="22"/>
        </w:rPr>
        <w:t>existen diferentes tipos de operaciones intracomunitarias: la entrega y la adquisición de bienes y servicios.</w:t>
      </w:r>
    </w:p>
    <w:p w14:paraId="4B9EE370" w14:textId="0E7B4984" w:rsidR="00035D27" w:rsidRPr="00CF1B34" w:rsidRDefault="00035D27" w:rsidP="004F7A62">
      <w:pPr>
        <w:numPr>
          <w:ilvl w:val="0"/>
          <w:numId w:val="188"/>
        </w:numPr>
        <w:shd w:val="clear" w:color="auto" w:fill="FFFFFF"/>
        <w:spacing w:before="100" w:beforeAutospacing="1" w:after="100" w:afterAutospacing="1"/>
        <w:jc w:val="both"/>
        <w:rPr>
          <w:rFonts w:ascii="Arial" w:hAnsi="Arial" w:cs="Arial"/>
          <w:color w:val="333333"/>
          <w:sz w:val="22"/>
          <w:szCs w:val="22"/>
        </w:rPr>
      </w:pPr>
      <w:r w:rsidRPr="00CF1B34">
        <w:rPr>
          <w:rStyle w:val="Textoennegrita"/>
          <w:rFonts w:ascii="Arial" w:hAnsi="Arial" w:cs="Arial"/>
          <w:color w:val="333333"/>
          <w:sz w:val="22"/>
          <w:szCs w:val="22"/>
        </w:rPr>
        <w:lastRenderedPageBreak/>
        <w:t>Entrega intracomunitaria de bienes</w:t>
      </w:r>
      <w:r w:rsidRPr="00CF1B34">
        <w:rPr>
          <w:rFonts w:ascii="Arial" w:hAnsi="Arial" w:cs="Arial"/>
          <w:color w:val="333333"/>
          <w:sz w:val="22"/>
          <w:szCs w:val="22"/>
        </w:rPr>
        <w:t>. En este caso es tu pyme la que exporta sus productos y deberá diferenciar cuando trabaja como una empresa o cuando lo hace con el consumidor final. En el caso de las empresas, como norma general no deberás repercutir IVA en tu factura. Sin embargo, cuando el destinatario es un particular sí tendrás que incluir el IVA del país de origen -el ecommerce marca la excepción</w:t>
      </w:r>
      <w:r w:rsidR="00970DC5" w:rsidRPr="00CF1B34">
        <w:rPr>
          <w:rFonts w:ascii="Arial" w:hAnsi="Arial" w:cs="Arial"/>
          <w:color w:val="333333"/>
          <w:sz w:val="22"/>
          <w:szCs w:val="22"/>
        </w:rPr>
        <w:t>-.</w:t>
      </w:r>
    </w:p>
    <w:p w14:paraId="2A6CED06" w14:textId="70BF67FA" w:rsidR="00035D27" w:rsidRPr="00CF1B34" w:rsidRDefault="00035D27" w:rsidP="004F7A62">
      <w:pPr>
        <w:pStyle w:val="Sinespaciado"/>
        <w:numPr>
          <w:ilvl w:val="0"/>
          <w:numId w:val="188"/>
        </w:numPr>
        <w:jc w:val="both"/>
        <w:rPr>
          <w:rFonts w:ascii="Arial" w:hAnsi="Arial" w:cs="Arial"/>
        </w:rPr>
      </w:pPr>
      <w:r w:rsidRPr="00CF1B34">
        <w:rPr>
          <w:rStyle w:val="Textoennegrita"/>
          <w:rFonts w:ascii="Arial" w:hAnsi="Arial" w:cs="Arial"/>
          <w:color w:val="333333"/>
          <w:sz w:val="22"/>
          <w:szCs w:val="22"/>
        </w:rPr>
        <w:t>Adquisición intracomunitaria de bienes</w:t>
      </w:r>
      <w:r w:rsidRPr="00CF1B34">
        <w:rPr>
          <w:rFonts w:ascii="Arial" w:hAnsi="Arial" w:cs="Arial"/>
        </w:rPr>
        <w:t>. En este caso eres tú quien importa un bien o contrata un servicio de una empresa de la Unión Europea y aquí sí deberás pagar IVA Intracomunitario, aunque lo harás de forma diferente a como trabajas con el IVA nacional al aplicar lo que se conoce como inversión del sujeto pasivo</w:t>
      </w:r>
      <w:r w:rsidR="00773163" w:rsidRPr="00CF1B34">
        <w:rPr>
          <w:rFonts w:ascii="Arial" w:hAnsi="Arial" w:cs="Arial"/>
        </w:rPr>
        <w:t>.</w:t>
      </w:r>
    </w:p>
    <w:p w14:paraId="030C8F43" w14:textId="708EF582" w:rsidR="00773163" w:rsidRPr="00CF1B34" w:rsidRDefault="00773163"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Pero para que una operación sea considerada intra</w:t>
      </w:r>
      <w:r w:rsidR="00970DC5" w:rsidRPr="00CF1B34">
        <w:rPr>
          <w:rFonts w:ascii="Arial" w:hAnsi="Arial" w:cs="Arial"/>
          <w:color w:val="333333"/>
          <w:sz w:val="22"/>
          <w:szCs w:val="22"/>
          <w:shd w:val="clear" w:color="auto" w:fill="FFFFFF"/>
        </w:rPr>
        <w:t>c</w:t>
      </w:r>
      <w:r w:rsidRPr="00CF1B34">
        <w:rPr>
          <w:rFonts w:ascii="Arial" w:hAnsi="Arial" w:cs="Arial"/>
          <w:color w:val="333333"/>
          <w:sz w:val="22"/>
          <w:szCs w:val="22"/>
          <w:shd w:val="clear" w:color="auto" w:fill="FFFFFF"/>
        </w:rPr>
        <w:t>omunitaria no vale que las dos empresas estén ubicadas dentro de la UE. Además, deberán cumplir una serie de requisitos.</w:t>
      </w:r>
    </w:p>
    <w:p w14:paraId="5A83CB75" w14:textId="78BB40C3" w:rsidR="00283BB4" w:rsidRPr="00CF1B34" w:rsidRDefault="00773163" w:rsidP="0005621A">
      <w:pPr>
        <w:ind w:left="708"/>
        <w:jc w:val="both"/>
        <w:rPr>
          <w:rFonts w:ascii="Arial" w:hAnsi="Arial" w:cs="Arial"/>
          <w:b/>
          <w:bCs/>
          <w:color w:val="000000" w:themeColor="text1"/>
          <w:sz w:val="22"/>
          <w:szCs w:val="22"/>
          <w:lang w:val="es-ES_tradnl"/>
        </w:rPr>
      </w:pPr>
      <w:r w:rsidRPr="00CF1B34">
        <w:rPr>
          <w:rFonts w:ascii="Arial" w:hAnsi="Arial" w:cs="Arial"/>
          <w:b/>
          <w:bCs/>
          <w:color w:val="000000" w:themeColor="text1"/>
          <w:sz w:val="22"/>
          <w:szCs w:val="22"/>
          <w:lang w:val="es-ES_tradnl"/>
        </w:rPr>
        <w:t xml:space="preserve">Número de Operador Intracomunitario: </w:t>
      </w:r>
      <w:r w:rsidRPr="00CF1B34">
        <w:rPr>
          <w:rFonts w:ascii="Arial" w:hAnsi="Arial" w:cs="Arial"/>
          <w:color w:val="000000" w:themeColor="text1"/>
          <w:sz w:val="22"/>
          <w:szCs w:val="22"/>
          <w:lang w:val="es-ES_tradnl"/>
        </w:rPr>
        <w:t>se puede definir como un NIF a efectos comunitarios. Para verificar el NOI de otros empresarios en Europa, se puede hacer en la base de datos “VIES”, habiéndose dado de alta previamente en el ROI (Registro de Operadores Intracomunitarios)</w:t>
      </w:r>
    </w:p>
    <w:p w14:paraId="4C9DEB5A" w14:textId="016F652B" w:rsidR="00283BB4" w:rsidRPr="00CF1B34" w:rsidRDefault="00773163" w:rsidP="0005621A">
      <w:pPr>
        <w:ind w:left="708"/>
        <w:jc w:val="both"/>
        <w:rPr>
          <w:rFonts w:ascii="Arial" w:hAnsi="Arial" w:cs="Arial"/>
          <w:color w:val="000000" w:themeColor="text1"/>
          <w:sz w:val="22"/>
          <w:szCs w:val="22"/>
          <w:lang w:val="es-ES_tradnl"/>
        </w:rPr>
      </w:pPr>
      <w:r w:rsidRPr="00CF1B34">
        <w:rPr>
          <w:rFonts w:ascii="Arial" w:hAnsi="Arial" w:cs="Arial"/>
          <w:b/>
          <w:bCs/>
          <w:color w:val="000000" w:themeColor="text1"/>
          <w:sz w:val="22"/>
          <w:szCs w:val="22"/>
          <w:lang w:val="es-ES_tradnl"/>
        </w:rPr>
        <w:t>Transporte:</w:t>
      </w:r>
      <w:r w:rsidR="00970DC5" w:rsidRPr="00CF1B34">
        <w:rPr>
          <w:rFonts w:ascii="Arial" w:hAnsi="Arial" w:cs="Arial"/>
          <w:b/>
          <w:bCs/>
          <w:color w:val="000000" w:themeColor="text1"/>
          <w:sz w:val="22"/>
          <w:szCs w:val="22"/>
          <w:lang w:val="es-ES_tradnl"/>
        </w:rPr>
        <w:t xml:space="preserve"> </w:t>
      </w:r>
      <w:r w:rsidR="00970DC5" w:rsidRPr="00CF1B34">
        <w:rPr>
          <w:rFonts w:ascii="Arial" w:hAnsi="Arial" w:cs="Arial"/>
          <w:color w:val="000000" w:themeColor="text1"/>
          <w:sz w:val="22"/>
          <w:szCs w:val="22"/>
          <w:lang w:val="es-ES_tradnl"/>
        </w:rPr>
        <w:t>hay que demostrar que la mercancía salió del país de origen y es transportada al país de destino. Se deben conservar los documentos del transportista.</w:t>
      </w:r>
    </w:p>
    <w:p w14:paraId="74590544" w14:textId="77777777" w:rsidR="00970DC5" w:rsidRPr="00CF1B34" w:rsidRDefault="00970DC5" w:rsidP="0005621A">
      <w:pPr>
        <w:ind w:left="708"/>
        <w:jc w:val="both"/>
        <w:rPr>
          <w:rFonts w:ascii="Arial" w:hAnsi="Arial" w:cs="Arial"/>
          <w:sz w:val="22"/>
          <w:szCs w:val="22"/>
        </w:rPr>
      </w:pPr>
      <w:r w:rsidRPr="00CF1B34">
        <w:rPr>
          <w:rFonts w:ascii="Arial" w:hAnsi="Arial" w:cs="Arial"/>
          <w:b/>
          <w:bCs/>
          <w:color w:val="000000" w:themeColor="text1"/>
          <w:sz w:val="22"/>
          <w:szCs w:val="22"/>
          <w:lang w:val="es-ES_tradnl"/>
        </w:rPr>
        <w:t xml:space="preserve">Autofactura: </w:t>
      </w:r>
      <w:r w:rsidRPr="00CF1B34">
        <w:rPr>
          <w:rFonts w:ascii="Arial" w:hAnsi="Arial" w:cs="Arial"/>
          <w:sz w:val="22"/>
          <w:szCs w:val="22"/>
        </w:rPr>
        <w:t>Al adquirir bienes de otro país comunitario se requiere anotar en el libro de registro de facturas recibidas, la factura original que fue expedida por el empresario o profesional del otro estado miembro y hay que consignar la adquisición intracomunitaria de bienes en la declaración-liquidación que corresponda al periodo en el que se haya realizado la misma además de incluir la operación como mayor IVA soportado y repercutido.</w:t>
      </w:r>
    </w:p>
    <w:p w14:paraId="791AD89E" w14:textId="6372CE5A" w:rsidR="003643C1" w:rsidRPr="00CF1B34" w:rsidRDefault="00970DC5" w:rsidP="0005621A">
      <w:pPr>
        <w:ind w:left="708"/>
        <w:jc w:val="both"/>
        <w:rPr>
          <w:rFonts w:ascii="Arial" w:hAnsi="Arial" w:cs="Arial"/>
        </w:rPr>
      </w:pPr>
      <w:r w:rsidRPr="00CF1B34">
        <w:rPr>
          <w:rFonts w:ascii="Arial" w:hAnsi="Arial" w:cs="Arial"/>
          <w:sz w:val="22"/>
          <w:szCs w:val="22"/>
        </w:rPr>
        <w:t>A efectos prácticos, esto es lo que se conoce como inversión del sujeto pasivo y que básicamente hace que el empresario se autorepercuta el IVA en el caso de las operaciones intracomunitarias mediante una autofactura. De esta forma conseguirás que el</w:t>
      </w:r>
      <w:r w:rsidR="003643C1" w:rsidRPr="00CF1B34">
        <w:rPr>
          <w:rFonts w:ascii="Arial" w:hAnsi="Arial" w:cs="Arial"/>
          <w:sz w:val="22"/>
          <w:szCs w:val="22"/>
        </w:rPr>
        <w:t xml:space="preserve"> </w:t>
      </w:r>
      <w:r w:rsidR="003643C1" w:rsidRPr="00CF1B34">
        <w:rPr>
          <w:rFonts w:ascii="Arial" w:hAnsi="Arial" w:cs="Arial"/>
          <w:color w:val="333333"/>
          <w:sz w:val="22"/>
          <w:szCs w:val="22"/>
          <w:shd w:val="clear" w:color="auto" w:fill="FFFFFF"/>
        </w:rPr>
        <w:t>impuesto con otros países sea nulo al añadir IVA repercutido y soportado a la compra.</w:t>
      </w:r>
    </w:p>
    <w:p w14:paraId="3F0F922D" w14:textId="7A33922F" w:rsidR="003643C1" w:rsidRPr="00CF1B34" w:rsidRDefault="003643C1" w:rsidP="0005621A">
      <w:pPr>
        <w:ind w:left="708"/>
        <w:jc w:val="both"/>
        <w:rPr>
          <w:rFonts w:ascii="Arial" w:hAnsi="Arial" w:cs="Arial"/>
          <w:color w:val="333333"/>
          <w:sz w:val="22"/>
          <w:szCs w:val="22"/>
          <w:shd w:val="clear" w:color="auto" w:fill="FFFFFF"/>
        </w:rPr>
      </w:pPr>
      <w:r w:rsidRPr="00CF1B34">
        <w:rPr>
          <w:rFonts w:ascii="Arial" w:hAnsi="Arial" w:cs="Arial"/>
          <w:b/>
          <w:bCs/>
          <w:sz w:val="22"/>
          <w:szCs w:val="22"/>
        </w:rPr>
        <w:t xml:space="preserve">Modelo 349. Declaración Recapitulativa de Operaciones Intracomunitarias: </w:t>
      </w:r>
      <w:r w:rsidRPr="00CF1B34">
        <w:rPr>
          <w:rFonts w:ascii="Arial" w:hAnsi="Arial" w:cs="Arial"/>
          <w:color w:val="333333"/>
          <w:sz w:val="22"/>
          <w:szCs w:val="22"/>
          <w:shd w:val="clear" w:color="auto" w:fill="FFFFFF"/>
        </w:rPr>
        <w:t>Aquellos que llevan a cabo operaciones como estas deberán de presentar el modelo 349, además de un resumen de las operaciones intracomunitarias que se hayan hecho.</w:t>
      </w:r>
    </w:p>
    <w:p w14:paraId="408DE1BB" w14:textId="0DCE9822" w:rsidR="004919ED" w:rsidRPr="00CF1B34" w:rsidRDefault="003643C1" w:rsidP="0005621A">
      <w:pPr>
        <w:ind w:left="708"/>
        <w:jc w:val="both"/>
        <w:rPr>
          <w:rFonts w:ascii="Arial" w:hAnsi="Arial" w:cs="Arial"/>
          <w:sz w:val="22"/>
          <w:szCs w:val="22"/>
        </w:rPr>
      </w:pPr>
      <w:r w:rsidRPr="00CF1B34">
        <w:rPr>
          <w:rFonts w:ascii="Arial" w:hAnsi="Arial" w:cs="Arial"/>
          <w:b/>
          <w:bCs/>
          <w:color w:val="000000" w:themeColor="text1"/>
          <w:sz w:val="22"/>
          <w:szCs w:val="22"/>
          <w:shd w:val="clear" w:color="auto" w:fill="FFFFFF"/>
        </w:rPr>
        <w:t xml:space="preserve">Inscripción en el ROI: </w:t>
      </w:r>
      <w:r w:rsidR="004919ED" w:rsidRPr="00CF1B34">
        <w:rPr>
          <w:rFonts w:ascii="Arial" w:hAnsi="Arial" w:cs="Arial"/>
          <w:sz w:val="22"/>
          <w:szCs w:val="22"/>
        </w:rPr>
        <w:t>Se trata de un trámite relativamente sencillo que podrás hacer a través de la página web de Hacienda o en cualquiera de sus oficinas.</w:t>
      </w:r>
    </w:p>
    <w:p w14:paraId="1E198E50" w14:textId="77777777" w:rsidR="004919ED" w:rsidRPr="00CF1B34" w:rsidRDefault="004919ED" w:rsidP="0005621A">
      <w:pPr>
        <w:ind w:left="708"/>
        <w:jc w:val="both"/>
        <w:rPr>
          <w:rFonts w:ascii="Arial" w:hAnsi="Arial" w:cs="Arial"/>
          <w:sz w:val="22"/>
          <w:szCs w:val="22"/>
        </w:rPr>
      </w:pPr>
      <w:r w:rsidRPr="00CF1B34">
        <w:rPr>
          <w:rFonts w:ascii="Arial" w:hAnsi="Arial" w:cs="Arial"/>
          <w:sz w:val="22"/>
          <w:szCs w:val="22"/>
        </w:rPr>
        <w:t>Para inscribirte en el ROI </w:t>
      </w:r>
      <w:r w:rsidRPr="00CF1B34">
        <w:rPr>
          <w:rFonts w:ascii="Arial" w:hAnsi="Arial" w:cs="Arial"/>
          <w:b/>
          <w:bCs/>
          <w:sz w:val="22"/>
          <w:szCs w:val="22"/>
        </w:rPr>
        <w:t>tendrás que rellenar el Modelo 360 de la AEAT y más concretamente la casilla 582</w:t>
      </w:r>
      <w:r w:rsidRPr="00CF1B34">
        <w:rPr>
          <w:rFonts w:ascii="Arial" w:hAnsi="Arial" w:cs="Arial"/>
          <w:sz w:val="22"/>
          <w:szCs w:val="22"/>
        </w:rPr>
        <w:t> solicitando el alta como operador intracomunitrario. A continuación, deberás indicar la fecha estimada en la que se realizará la primera operación y ya sólo tendrás que esperar a recibir tu número de operador.</w:t>
      </w:r>
    </w:p>
    <w:p w14:paraId="02E6361B" w14:textId="1835502E" w:rsidR="00970DC5" w:rsidRPr="00CF1B34" w:rsidRDefault="004919ED" w:rsidP="0005621A">
      <w:pPr>
        <w:ind w:left="708"/>
        <w:jc w:val="both"/>
        <w:rPr>
          <w:rFonts w:ascii="Arial" w:hAnsi="Arial" w:cs="Arial"/>
          <w:color w:val="000000" w:themeColor="text1"/>
          <w:sz w:val="22"/>
          <w:szCs w:val="22"/>
        </w:rPr>
      </w:pPr>
      <w:r w:rsidRPr="00CF1B34">
        <w:rPr>
          <w:rFonts w:ascii="Arial" w:hAnsi="Arial" w:cs="Arial"/>
          <w:color w:val="000000" w:themeColor="text1"/>
          <w:sz w:val="22"/>
          <w:szCs w:val="22"/>
        </w:rPr>
        <w:t>Si quieres comprobar que tu proveedor está registrado en el ROI, solo tendrás que  de consulta para que compruebes el CIF de tu proveedor. Recuerda que es obligación de quién emite la factura comprobar que la otra parte está registrada en el ROI.</w:t>
      </w:r>
    </w:p>
    <w:p w14:paraId="027C4BAE" w14:textId="1662BE71" w:rsidR="004919ED" w:rsidRPr="00CF1B34" w:rsidRDefault="004919ED" w:rsidP="0005621A">
      <w:pPr>
        <w:ind w:left="708"/>
        <w:jc w:val="both"/>
        <w:rPr>
          <w:rFonts w:ascii="Arial" w:hAnsi="Arial" w:cs="Arial"/>
          <w:color w:val="000000" w:themeColor="text1"/>
          <w:sz w:val="22"/>
          <w:szCs w:val="22"/>
        </w:rPr>
      </w:pPr>
      <w:r w:rsidRPr="00CF1B34">
        <w:rPr>
          <w:rFonts w:ascii="Arial" w:hAnsi="Arial" w:cs="Arial"/>
          <w:color w:val="000000" w:themeColor="text1"/>
          <w:sz w:val="22"/>
          <w:szCs w:val="22"/>
        </w:rPr>
        <w:t xml:space="preserve">Además </w:t>
      </w:r>
      <w:r w:rsidR="00BE0646" w:rsidRPr="00CF1B34">
        <w:rPr>
          <w:rFonts w:ascii="Arial" w:hAnsi="Arial" w:cs="Arial"/>
          <w:color w:val="000000" w:themeColor="text1"/>
          <w:sz w:val="22"/>
          <w:szCs w:val="22"/>
        </w:rPr>
        <w:t xml:space="preserve">del modelo 349 de la AET (sobre compras o ventas intracomunitarias), que se hace trimestral o anualmente, también habrá que incluir en el Modelo 303, la declaración trimestral del IVA, el importe de las operaciones intracomunitarias. </w:t>
      </w:r>
    </w:p>
    <w:p w14:paraId="5E2713BF" w14:textId="77777777" w:rsidR="004149C8" w:rsidRPr="00CF1B34" w:rsidRDefault="00BE0646" w:rsidP="0005621A">
      <w:pPr>
        <w:pBdr>
          <w:bottom w:val="dotted" w:sz="12" w:space="12" w:color="666666"/>
        </w:pBdr>
        <w:spacing w:after="240"/>
        <w:ind w:left="720"/>
        <w:jc w:val="both"/>
        <w:rPr>
          <w:rFonts w:ascii="Arial" w:hAnsi="Arial" w:cs="Arial"/>
          <w:color w:val="212529"/>
          <w:sz w:val="22"/>
          <w:szCs w:val="22"/>
          <w:lang w:val="es-ES_tradnl"/>
        </w:rPr>
      </w:pPr>
      <w:proofErr w:type="gramStart"/>
      <w:r w:rsidRPr="00CF1B34">
        <w:rPr>
          <w:rFonts w:ascii="Arial" w:hAnsi="Arial" w:cs="Arial"/>
          <w:color w:val="000000" w:themeColor="text1"/>
          <w:sz w:val="22"/>
          <w:szCs w:val="22"/>
        </w:rPr>
        <w:t>Si</w:t>
      </w:r>
      <w:proofErr w:type="gramEnd"/>
      <w:r w:rsidRPr="00CF1B34">
        <w:rPr>
          <w:rFonts w:ascii="Arial" w:hAnsi="Arial" w:cs="Arial"/>
          <w:color w:val="000000" w:themeColor="text1"/>
          <w:sz w:val="22"/>
          <w:szCs w:val="22"/>
        </w:rPr>
        <w:t xml:space="preserve"> por otro lado, se quiere recuperar el IVA pagado en las exportaciones, se debe rellenar el Modelo 360 de la AET, con los datos del proveedor y la factura pe</w:t>
      </w:r>
      <w:r w:rsidR="004149C8" w:rsidRPr="00CF1B34">
        <w:rPr>
          <w:rFonts w:ascii="Arial" w:hAnsi="Arial" w:cs="Arial"/>
          <w:color w:val="000000" w:themeColor="text1"/>
          <w:sz w:val="22"/>
          <w:szCs w:val="22"/>
        </w:rPr>
        <w:t>r</w:t>
      </w:r>
      <w:r w:rsidRPr="00CF1B34">
        <w:rPr>
          <w:rFonts w:ascii="Arial" w:hAnsi="Arial" w:cs="Arial"/>
          <w:color w:val="000000" w:themeColor="text1"/>
          <w:sz w:val="22"/>
          <w:szCs w:val="22"/>
        </w:rPr>
        <w:t>tinente</w:t>
      </w:r>
      <w:r w:rsidR="004149C8" w:rsidRPr="00CF1B34">
        <w:rPr>
          <w:rFonts w:ascii="Arial" w:hAnsi="Arial" w:cs="Arial"/>
          <w:color w:val="000000" w:themeColor="text1"/>
          <w:sz w:val="22"/>
          <w:szCs w:val="22"/>
        </w:rPr>
        <w:t>.</w:t>
      </w:r>
    </w:p>
    <w:p w14:paraId="6CDD36A6" w14:textId="570D2E38" w:rsidR="00283BB4" w:rsidRPr="00CF1B34" w:rsidRDefault="00283BB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IVA Repercutido</w:t>
      </w:r>
    </w:p>
    <w:p w14:paraId="002CDCAF" w14:textId="77777777" w:rsidR="004149C8" w:rsidRPr="00CF1B34" w:rsidRDefault="004149C8"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Si nos referimos al IVA soportado como aquel al que el trabajador autónomo tiene que hacer frente por los servicios y bienes que necesita para llevar a cabo su actividad profesional,</w:t>
      </w:r>
      <w:r w:rsidRPr="00CF1B34">
        <w:rPr>
          <w:rStyle w:val="Textoennegrita"/>
          <w:rFonts w:ascii="Arial" w:hAnsi="Arial" w:cs="Arial"/>
          <w:color w:val="333333"/>
          <w:sz w:val="22"/>
          <w:szCs w:val="22"/>
          <w:shd w:val="clear" w:color="auto" w:fill="FFFFFF"/>
        </w:rPr>
        <w:t xml:space="preserve"> el IVA repercutido o IVA devengado</w:t>
      </w:r>
      <w:r w:rsidRPr="00CF1B34">
        <w:rPr>
          <w:rFonts w:ascii="Arial" w:hAnsi="Arial" w:cs="Arial"/>
          <w:color w:val="333333"/>
          <w:sz w:val="22"/>
          <w:szCs w:val="22"/>
          <w:shd w:val="clear" w:color="auto" w:fill="FFFFFF"/>
        </w:rPr>
        <w:t xml:space="preserve"> será lo contrario. Así, desde un punto de vista contable podría definirse como </w:t>
      </w:r>
      <w:r w:rsidRPr="00CF1B34">
        <w:rPr>
          <w:rStyle w:val="Textoennegrita"/>
          <w:rFonts w:ascii="Arial" w:hAnsi="Arial" w:cs="Arial"/>
          <w:color w:val="333333"/>
          <w:sz w:val="22"/>
          <w:szCs w:val="22"/>
          <w:shd w:val="clear" w:color="auto" w:fill="FFFFFF"/>
        </w:rPr>
        <w:t>aquel que el autónomo o empresario cobra por los servicios prestados o los bienes vendidos a terceras personas, tanto empresas como consumidores finales</w:t>
      </w:r>
      <w:r w:rsidRPr="00CF1B34">
        <w:rPr>
          <w:rFonts w:ascii="Arial" w:hAnsi="Arial" w:cs="Arial"/>
          <w:color w:val="333333"/>
          <w:sz w:val="22"/>
          <w:szCs w:val="22"/>
          <w:shd w:val="clear" w:color="auto" w:fill="FFFFFF"/>
        </w:rPr>
        <w:t>.</w:t>
      </w:r>
    </w:p>
    <w:p w14:paraId="541ACD5C" w14:textId="77777777" w:rsidR="004149C8" w:rsidRPr="00CF1B34" w:rsidRDefault="004149C8" w:rsidP="0005621A">
      <w:pPr>
        <w:ind w:left="708"/>
        <w:jc w:val="both"/>
        <w:rPr>
          <w:rFonts w:ascii="Arial" w:hAnsi="Arial" w:cs="Arial"/>
          <w:color w:val="333333"/>
          <w:sz w:val="22"/>
          <w:szCs w:val="22"/>
          <w:shd w:val="clear" w:color="auto" w:fill="FFFFFF"/>
        </w:rPr>
      </w:pPr>
      <w:r w:rsidRPr="00CF1B34">
        <w:rPr>
          <w:rFonts w:ascii="Arial" w:hAnsi="Arial" w:cs="Arial"/>
          <w:color w:val="333333"/>
          <w:sz w:val="22"/>
          <w:szCs w:val="22"/>
          <w:shd w:val="clear" w:color="auto" w:fill="FFFFFF"/>
        </w:rPr>
        <w:lastRenderedPageBreak/>
        <w:t>Dicho de otra forma, </w:t>
      </w:r>
      <w:r w:rsidRPr="00CF1B34">
        <w:rPr>
          <w:rFonts w:ascii="Arial" w:hAnsi="Arial" w:cs="Arial"/>
          <w:b/>
          <w:bCs/>
          <w:color w:val="333333"/>
          <w:sz w:val="22"/>
          <w:szCs w:val="22"/>
          <w:shd w:val="clear" w:color="auto" w:fill="FFFFFF"/>
        </w:rPr>
        <w:t>estamos hablando del IVA que repercute o incluye en sus facturas</w:t>
      </w:r>
      <w:r w:rsidRPr="00CF1B34">
        <w:rPr>
          <w:rFonts w:ascii="Arial" w:hAnsi="Arial" w:cs="Arial"/>
          <w:color w:val="333333"/>
          <w:sz w:val="22"/>
          <w:szCs w:val="22"/>
          <w:shd w:val="clear" w:color="auto" w:fill="FFFFFF"/>
        </w:rPr>
        <w:t xml:space="preserve"> y que por tanto debe incluir como un ingreso en su libro de contabilidad. Esta cantidad será la que se tenga en cuenta como base para la </w:t>
      </w:r>
      <w:r w:rsidRPr="00CF1B34">
        <w:rPr>
          <w:rFonts w:ascii="Arial" w:hAnsi="Arial" w:cs="Arial"/>
          <w:b/>
          <w:bCs/>
          <w:color w:val="333333"/>
          <w:sz w:val="22"/>
          <w:szCs w:val="22"/>
          <w:shd w:val="clear" w:color="auto" w:fill="FFFFFF"/>
        </w:rPr>
        <w:t>declaración trimestral d IVA</w:t>
      </w:r>
      <w:r w:rsidRPr="00CF1B34">
        <w:rPr>
          <w:rFonts w:ascii="Arial" w:hAnsi="Arial" w:cs="Arial"/>
          <w:color w:val="333333"/>
          <w:sz w:val="22"/>
          <w:szCs w:val="22"/>
          <w:shd w:val="clear" w:color="auto" w:fill="FFFFFF"/>
        </w:rPr>
        <w:t xml:space="preserve"> que deberá presentar a la Agencia Tributaria a través del Modelo 303 de forma trimestral y del Modelo 390 en la declaración anual de IVA.</w:t>
      </w:r>
    </w:p>
    <w:p w14:paraId="23452D93" w14:textId="77777777" w:rsidR="004149C8" w:rsidRPr="00CF1B34" w:rsidRDefault="004149C8" w:rsidP="0005621A">
      <w:pPr>
        <w:shd w:val="clear" w:color="auto" w:fill="FFFFFF"/>
        <w:spacing w:after="165"/>
        <w:ind w:firstLine="708"/>
        <w:jc w:val="both"/>
        <w:rPr>
          <w:rFonts w:ascii="Arial" w:hAnsi="Arial" w:cs="Arial"/>
          <w:color w:val="333333"/>
        </w:rPr>
      </w:pPr>
      <w:r w:rsidRPr="00CF1B34">
        <w:rPr>
          <w:rFonts w:ascii="Arial" w:hAnsi="Arial" w:cs="Arial"/>
          <w:color w:val="333333"/>
          <w:sz w:val="22"/>
          <w:szCs w:val="22"/>
        </w:rPr>
        <w:t>Estos son los tipos den la UE y en el resto del mundo</w:t>
      </w:r>
      <w:r w:rsidRPr="00CF1B34">
        <w:rPr>
          <w:rFonts w:ascii="Arial" w:hAnsi="Arial" w:cs="Arial"/>
          <w:color w:val="333333"/>
        </w:rPr>
        <w:t>:</w:t>
      </w:r>
    </w:p>
    <w:tbl>
      <w:tblPr>
        <w:tblW w:w="0" w:type="auto"/>
        <w:tblInd w:w="709" w:type="dxa"/>
        <w:shd w:val="clear" w:color="auto" w:fill="FFFFFF"/>
        <w:tblCellMar>
          <w:top w:w="15" w:type="dxa"/>
          <w:left w:w="15" w:type="dxa"/>
          <w:bottom w:w="15" w:type="dxa"/>
          <w:right w:w="15" w:type="dxa"/>
        </w:tblCellMar>
        <w:tblLook w:val="04A0" w:firstRow="1" w:lastRow="0" w:firstColumn="1" w:lastColumn="0" w:noHBand="0" w:noVBand="1"/>
      </w:tblPr>
      <w:tblGrid>
        <w:gridCol w:w="1335"/>
        <w:gridCol w:w="1388"/>
        <w:gridCol w:w="3469"/>
      </w:tblGrid>
      <w:tr w:rsidR="004149C8" w:rsidRPr="00CF1B34" w14:paraId="205DD3A5" w14:textId="77777777" w:rsidTr="0085182C">
        <w:tc>
          <w:tcPr>
            <w:tcW w:w="1076" w:type="dxa"/>
            <w:shd w:val="clear" w:color="auto" w:fill="FFFFFF"/>
            <w:tcMar>
              <w:top w:w="0" w:type="dxa"/>
              <w:left w:w="0" w:type="dxa"/>
              <w:bottom w:w="0" w:type="dxa"/>
              <w:right w:w="0" w:type="dxa"/>
            </w:tcMar>
            <w:vAlign w:val="center"/>
            <w:hideMark/>
          </w:tcPr>
          <w:p w14:paraId="2FF21886" w14:textId="77777777" w:rsidR="004149C8" w:rsidRPr="00CF1B34" w:rsidRDefault="004149C8" w:rsidP="0005621A">
            <w:pPr>
              <w:pStyle w:val="Sinespaciado"/>
              <w:jc w:val="both"/>
              <w:rPr>
                <w:rFonts w:ascii="Arial" w:hAnsi="Arial" w:cs="Arial"/>
              </w:rPr>
            </w:pPr>
            <w:r w:rsidRPr="00CF1B34">
              <w:rPr>
                <w:rFonts w:ascii="Arial" w:hAnsi="Arial" w:cs="Arial"/>
              </w:rPr>
              <w:t>País</w:t>
            </w:r>
          </w:p>
        </w:tc>
        <w:tc>
          <w:tcPr>
            <w:tcW w:w="0" w:type="auto"/>
            <w:shd w:val="clear" w:color="auto" w:fill="FFFFFF"/>
            <w:tcMar>
              <w:top w:w="0" w:type="dxa"/>
              <w:left w:w="0" w:type="dxa"/>
              <w:bottom w:w="0" w:type="dxa"/>
              <w:right w:w="0" w:type="dxa"/>
            </w:tcMar>
            <w:vAlign w:val="center"/>
            <w:hideMark/>
          </w:tcPr>
          <w:p w14:paraId="75A3A864" w14:textId="77777777" w:rsidR="004149C8" w:rsidRPr="00CF1B34" w:rsidRDefault="004149C8" w:rsidP="0005621A">
            <w:pPr>
              <w:pStyle w:val="Sinespaciado"/>
              <w:jc w:val="both"/>
              <w:rPr>
                <w:rFonts w:ascii="Arial" w:hAnsi="Arial" w:cs="Arial"/>
              </w:rPr>
            </w:pPr>
            <w:r w:rsidRPr="00CF1B34">
              <w:rPr>
                <w:rFonts w:ascii="Arial" w:hAnsi="Arial" w:cs="Arial"/>
              </w:rPr>
              <w:t>Tipo General</w:t>
            </w:r>
          </w:p>
        </w:tc>
        <w:tc>
          <w:tcPr>
            <w:tcW w:w="0" w:type="auto"/>
            <w:shd w:val="clear" w:color="auto" w:fill="FFFFFF"/>
            <w:tcMar>
              <w:top w:w="0" w:type="dxa"/>
              <w:left w:w="0" w:type="dxa"/>
              <w:bottom w:w="0" w:type="dxa"/>
              <w:right w:w="0" w:type="dxa"/>
            </w:tcMar>
            <w:vAlign w:val="center"/>
            <w:hideMark/>
          </w:tcPr>
          <w:p w14:paraId="227FEAC2" w14:textId="77777777" w:rsidR="004149C8" w:rsidRPr="00CF1B34" w:rsidRDefault="004149C8" w:rsidP="0005621A">
            <w:pPr>
              <w:pStyle w:val="Sinespaciado"/>
              <w:jc w:val="both"/>
              <w:rPr>
                <w:rFonts w:ascii="Arial" w:hAnsi="Arial" w:cs="Arial"/>
              </w:rPr>
            </w:pPr>
            <w:r w:rsidRPr="00CF1B34">
              <w:rPr>
                <w:rFonts w:ascii="Arial" w:hAnsi="Arial" w:cs="Arial"/>
              </w:rPr>
              <w:t>Tipo Reducido / Superreducido</w:t>
            </w:r>
          </w:p>
        </w:tc>
      </w:tr>
      <w:tr w:rsidR="004149C8" w:rsidRPr="00CF1B34" w14:paraId="2ADAF677" w14:textId="77777777" w:rsidTr="0085182C">
        <w:tc>
          <w:tcPr>
            <w:tcW w:w="1076" w:type="dxa"/>
            <w:shd w:val="clear" w:color="auto" w:fill="FFFFFF"/>
            <w:tcMar>
              <w:top w:w="0" w:type="dxa"/>
              <w:left w:w="0" w:type="dxa"/>
              <w:bottom w:w="0" w:type="dxa"/>
              <w:right w:w="0" w:type="dxa"/>
            </w:tcMar>
            <w:vAlign w:val="center"/>
            <w:hideMark/>
          </w:tcPr>
          <w:p w14:paraId="4A8D1923" w14:textId="77777777" w:rsidR="004149C8" w:rsidRPr="00CF1B34" w:rsidRDefault="004149C8" w:rsidP="0005621A">
            <w:pPr>
              <w:pStyle w:val="Sinespaciado"/>
              <w:jc w:val="both"/>
              <w:rPr>
                <w:rFonts w:ascii="Arial" w:hAnsi="Arial" w:cs="Arial"/>
              </w:rPr>
            </w:pPr>
            <w:r w:rsidRPr="00CF1B34">
              <w:rPr>
                <w:rFonts w:ascii="Arial" w:hAnsi="Arial" w:cs="Arial"/>
              </w:rPr>
              <w:t>Alemania</w:t>
            </w:r>
          </w:p>
        </w:tc>
        <w:tc>
          <w:tcPr>
            <w:tcW w:w="0" w:type="auto"/>
            <w:shd w:val="clear" w:color="auto" w:fill="FFFFFF"/>
            <w:tcMar>
              <w:top w:w="0" w:type="dxa"/>
              <w:left w:w="0" w:type="dxa"/>
              <w:bottom w:w="0" w:type="dxa"/>
              <w:right w:w="0" w:type="dxa"/>
            </w:tcMar>
            <w:vAlign w:val="center"/>
            <w:hideMark/>
          </w:tcPr>
          <w:p w14:paraId="220A3666" w14:textId="77777777" w:rsidR="004149C8" w:rsidRPr="00CF1B34" w:rsidRDefault="004149C8" w:rsidP="0005621A">
            <w:pPr>
              <w:pStyle w:val="Sinespaciado"/>
              <w:jc w:val="both"/>
              <w:rPr>
                <w:rFonts w:ascii="Arial" w:hAnsi="Arial" w:cs="Arial"/>
              </w:rPr>
            </w:pPr>
            <w:r w:rsidRPr="00CF1B34">
              <w:rPr>
                <w:rFonts w:ascii="Arial" w:hAnsi="Arial" w:cs="Arial"/>
              </w:rPr>
              <w:t>19%</w:t>
            </w:r>
          </w:p>
        </w:tc>
        <w:tc>
          <w:tcPr>
            <w:tcW w:w="0" w:type="auto"/>
            <w:shd w:val="clear" w:color="auto" w:fill="FFFFFF"/>
            <w:tcMar>
              <w:top w:w="0" w:type="dxa"/>
              <w:left w:w="0" w:type="dxa"/>
              <w:bottom w:w="0" w:type="dxa"/>
              <w:right w:w="0" w:type="dxa"/>
            </w:tcMar>
            <w:vAlign w:val="center"/>
            <w:hideMark/>
          </w:tcPr>
          <w:p w14:paraId="7CD5A2FE" w14:textId="77777777" w:rsidR="004149C8" w:rsidRPr="00CF1B34" w:rsidRDefault="004149C8" w:rsidP="0005621A">
            <w:pPr>
              <w:pStyle w:val="Sinespaciado"/>
              <w:jc w:val="both"/>
              <w:rPr>
                <w:rFonts w:ascii="Arial" w:hAnsi="Arial" w:cs="Arial"/>
              </w:rPr>
            </w:pPr>
            <w:r w:rsidRPr="00CF1B34">
              <w:rPr>
                <w:rFonts w:ascii="Arial" w:hAnsi="Arial" w:cs="Arial"/>
              </w:rPr>
              <w:t>7%</w:t>
            </w:r>
          </w:p>
        </w:tc>
      </w:tr>
      <w:tr w:rsidR="004149C8" w:rsidRPr="00CF1B34" w14:paraId="5577BD8A" w14:textId="77777777" w:rsidTr="0085182C">
        <w:tc>
          <w:tcPr>
            <w:tcW w:w="1076" w:type="dxa"/>
            <w:shd w:val="clear" w:color="auto" w:fill="FFFFFF"/>
            <w:tcMar>
              <w:top w:w="0" w:type="dxa"/>
              <w:left w:w="0" w:type="dxa"/>
              <w:bottom w:w="0" w:type="dxa"/>
              <w:right w:w="0" w:type="dxa"/>
            </w:tcMar>
            <w:vAlign w:val="center"/>
            <w:hideMark/>
          </w:tcPr>
          <w:p w14:paraId="2D2E0760" w14:textId="77777777" w:rsidR="004149C8" w:rsidRPr="00CF1B34" w:rsidRDefault="004149C8" w:rsidP="0005621A">
            <w:pPr>
              <w:pStyle w:val="Sinespaciado"/>
              <w:jc w:val="both"/>
              <w:rPr>
                <w:rFonts w:ascii="Arial" w:hAnsi="Arial" w:cs="Arial"/>
              </w:rPr>
            </w:pPr>
            <w:r w:rsidRPr="00CF1B34">
              <w:rPr>
                <w:rFonts w:ascii="Arial" w:hAnsi="Arial" w:cs="Arial"/>
              </w:rPr>
              <w:t>Austria</w:t>
            </w:r>
          </w:p>
        </w:tc>
        <w:tc>
          <w:tcPr>
            <w:tcW w:w="0" w:type="auto"/>
            <w:shd w:val="clear" w:color="auto" w:fill="FFFFFF"/>
            <w:tcMar>
              <w:top w:w="0" w:type="dxa"/>
              <w:left w:w="0" w:type="dxa"/>
              <w:bottom w:w="0" w:type="dxa"/>
              <w:right w:w="0" w:type="dxa"/>
            </w:tcMar>
            <w:vAlign w:val="center"/>
            <w:hideMark/>
          </w:tcPr>
          <w:p w14:paraId="59DDC70A" w14:textId="77777777" w:rsidR="004149C8" w:rsidRPr="00CF1B34" w:rsidRDefault="004149C8" w:rsidP="0005621A">
            <w:pPr>
              <w:pStyle w:val="Sinespaciado"/>
              <w:jc w:val="both"/>
              <w:rPr>
                <w:rFonts w:ascii="Arial" w:hAnsi="Arial" w:cs="Arial"/>
              </w:rPr>
            </w:pPr>
            <w:r w:rsidRPr="00CF1B34">
              <w:rPr>
                <w:rFonts w:ascii="Arial" w:hAnsi="Arial" w:cs="Arial"/>
              </w:rPr>
              <w:t>20%</w:t>
            </w:r>
          </w:p>
        </w:tc>
        <w:tc>
          <w:tcPr>
            <w:tcW w:w="0" w:type="auto"/>
            <w:shd w:val="clear" w:color="auto" w:fill="FFFFFF"/>
            <w:tcMar>
              <w:top w:w="0" w:type="dxa"/>
              <w:left w:w="0" w:type="dxa"/>
              <w:bottom w:w="0" w:type="dxa"/>
              <w:right w:w="0" w:type="dxa"/>
            </w:tcMar>
            <w:vAlign w:val="center"/>
            <w:hideMark/>
          </w:tcPr>
          <w:p w14:paraId="2C29AA51" w14:textId="77777777" w:rsidR="004149C8" w:rsidRPr="00CF1B34" w:rsidRDefault="004149C8" w:rsidP="0005621A">
            <w:pPr>
              <w:pStyle w:val="Sinespaciado"/>
              <w:jc w:val="both"/>
              <w:rPr>
                <w:rFonts w:ascii="Arial" w:hAnsi="Arial" w:cs="Arial"/>
              </w:rPr>
            </w:pPr>
            <w:r w:rsidRPr="00CF1B34">
              <w:rPr>
                <w:rFonts w:ascii="Arial" w:hAnsi="Arial" w:cs="Arial"/>
              </w:rPr>
              <w:t>10% (12% Parking)</w:t>
            </w:r>
          </w:p>
        </w:tc>
      </w:tr>
      <w:tr w:rsidR="004149C8" w:rsidRPr="00CF1B34" w14:paraId="671E378A" w14:textId="77777777" w:rsidTr="0085182C">
        <w:tc>
          <w:tcPr>
            <w:tcW w:w="1076" w:type="dxa"/>
            <w:shd w:val="clear" w:color="auto" w:fill="FFFFFF"/>
            <w:tcMar>
              <w:top w:w="0" w:type="dxa"/>
              <w:left w:w="0" w:type="dxa"/>
              <w:bottom w:w="0" w:type="dxa"/>
              <w:right w:w="0" w:type="dxa"/>
            </w:tcMar>
            <w:vAlign w:val="center"/>
            <w:hideMark/>
          </w:tcPr>
          <w:p w14:paraId="6DAF4859" w14:textId="77777777" w:rsidR="004149C8" w:rsidRPr="00CF1B34" w:rsidRDefault="004149C8" w:rsidP="0005621A">
            <w:pPr>
              <w:pStyle w:val="Sinespaciado"/>
              <w:jc w:val="both"/>
              <w:rPr>
                <w:rFonts w:ascii="Arial" w:hAnsi="Arial" w:cs="Arial"/>
              </w:rPr>
            </w:pPr>
            <w:r w:rsidRPr="00CF1B34">
              <w:rPr>
                <w:rFonts w:ascii="Arial" w:hAnsi="Arial" w:cs="Arial"/>
              </w:rPr>
              <w:t>Bélgica</w:t>
            </w:r>
          </w:p>
        </w:tc>
        <w:tc>
          <w:tcPr>
            <w:tcW w:w="0" w:type="auto"/>
            <w:shd w:val="clear" w:color="auto" w:fill="FFFFFF"/>
            <w:tcMar>
              <w:top w:w="0" w:type="dxa"/>
              <w:left w:w="0" w:type="dxa"/>
              <w:bottom w:w="0" w:type="dxa"/>
              <w:right w:w="0" w:type="dxa"/>
            </w:tcMar>
            <w:vAlign w:val="center"/>
            <w:hideMark/>
          </w:tcPr>
          <w:p w14:paraId="787769C7" w14:textId="77777777" w:rsidR="004149C8" w:rsidRPr="00CF1B34" w:rsidRDefault="004149C8" w:rsidP="0005621A">
            <w:pPr>
              <w:pStyle w:val="Sinespaciado"/>
              <w:jc w:val="both"/>
              <w:rPr>
                <w:rFonts w:ascii="Arial" w:hAnsi="Arial" w:cs="Arial"/>
              </w:rPr>
            </w:pPr>
            <w:r w:rsidRPr="00CF1B34">
              <w:rPr>
                <w:rFonts w:ascii="Arial" w:hAnsi="Arial" w:cs="Arial"/>
              </w:rPr>
              <w:t>21%</w:t>
            </w:r>
          </w:p>
        </w:tc>
        <w:tc>
          <w:tcPr>
            <w:tcW w:w="0" w:type="auto"/>
            <w:shd w:val="clear" w:color="auto" w:fill="FFFFFF"/>
            <w:tcMar>
              <w:top w:w="0" w:type="dxa"/>
              <w:left w:w="0" w:type="dxa"/>
              <w:bottom w:w="0" w:type="dxa"/>
              <w:right w:w="0" w:type="dxa"/>
            </w:tcMar>
            <w:vAlign w:val="center"/>
            <w:hideMark/>
          </w:tcPr>
          <w:p w14:paraId="1821E36B" w14:textId="77777777" w:rsidR="004149C8" w:rsidRPr="00CF1B34" w:rsidRDefault="004149C8" w:rsidP="0005621A">
            <w:pPr>
              <w:pStyle w:val="Sinespaciado"/>
              <w:jc w:val="both"/>
              <w:rPr>
                <w:rFonts w:ascii="Arial" w:hAnsi="Arial" w:cs="Arial"/>
              </w:rPr>
            </w:pPr>
            <w:r w:rsidRPr="00CF1B34">
              <w:rPr>
                <w:rFonts w:ascii="Arial" w:hAnsi="Arial" w:cs="Arial"/>
              </w:rPr>
              <w:t>6% (12% Parking)</w:t>
            </w:r>
          </w:p>
        </w:tc>
      </w:tr>
      <w:tr w:rsidR="004149C8" w:rsidRPr="00CF1B34" w14:paraId="59742605" w14:textId="77777777" w:rsidTr="0085182C">
        <w:tc>
          <w:tcPr>
            <w:tcW w:w="1076" w:type="dxa"/>
            <w:shd w:val="clear" w:color="auto" w:fill="FFFFFF"/>
            <w:tcMar>
              <w:top w:w="0" w:type="dxa"/>
              <w:left w:w="0" w:type="dxa"/>
              <w:bottom w:w="0" w:type="dxa"/>
              <w:right w:w="0" w:type="dxa"/>
            </w:tcMar>
            <w:vAlign w:val="center"/>
            <w:hideMark/>
          </w:tcPr>
          <w:p w14:paraId="0D45A7C4" w14:textId="77777777" w:rsidR="004149C8" w:rsidRPr="00CF1B34" w:rsidRDefault="004149C8" w:rsidP="0005621A">
            <w:pPr>
              <w:pStyle w:val="Sinespaciado"/>
              <w:jc w:val="both"/>
              <w:rPr>
                <w:rFonts w:ascii="Arial" w:hAnsi="Arial" w:cs="Arial"/>
              </w:rPr>
            </w:pPr>
            <w:r w:rsidRPr="00CF1B34">
              <w:rPr>
                <w:rFonts w:ascii="Arial" w:hAnsi="Arial" w:cs="Arial"/>
              </w:rPr>
              <w:t>Bulgaria</w:t>
            </w:r>
          </w:p>
        </w:tc>
        <w:tc>
          <w:tcPr>
            <w:tcW w:w="0" w:type="auto"/>
            <w:shd w:val="clear" w:color="auto" w:fill="FFFFFF"/>
            <w:tcMar>
              <w:top w:w="0" w:type="dxa"/>
              <w:left w:w="0" w:type="dxa"/>
              <w:bottom w:w="0" w:type="dxa"/>
              <w:right w:w="0" w:type="dxa"/>
            </w:tcMar>
            <w:vAlign w:val="center"/>
            <w:hideMark/>
          </w:tcPr>
          <w:p w14:paraId="4441BCA1" w14:textId="77777777" w:rsidR="004149C8" w:rsidRPr="00CF1B34" w:rsidRDefault="004149C8" w:rsidP="0005621A">
            <w:pPr>
              <w:pStyle w:val="Sinespaciado"/>
              <w:jc w:val="both"/>
              <w:rPr>
                <w:rFonts w:ascii="Arial" w:hAnsi="Arial" w:cs="Arial"/>
              </w:rPr>
            </w:pPr>
            <w:r w:rsidRPr="00CF1B34">
              <w:rPr>
                <w:rFonts w:ascii="Arial" w:hAnsi="Arial" w:cs="Arial"/>
              </w:rPr>
              <w:t>20%</w:t>
            </w:r>
          </w:p>
        </w:tc>
        <w:tc>
          <w:tcPr>
            <w:tcW w:w="0" w:type="auto"/>
            <w:shd w:val="clear" w:color="auto" w:fill="FFFFFF"/>
            <w:tcMar>
              <w:top w:w="0" w:type="dxa"/>
              <w:left w:w="0" w:type="dxa"/>
              <w:bottom w:w="0" w:type="dxa"/>
              <w:right w:w="0" w:type="dxa"/>
            </w:tcMar>
            <w:vAlign w:val="center"/>
            <w:hideMark/>
          </w:tcPr>
          <w:p w14:paraId="28EE4FB2" w14:textId="77777777" w:rsidR="004149C8" w:rsidRPr="00CF1B34" w:rsidRDefault="004149C8" w:rsidP="0005621A">
            <w:pPr>
              <w:pStyle w:val="Sinespaciado"/>
              <w:jc w:val="both"/>
              <w:rPr>
                <w:rFonts w:ascii="Arial" w:hAnsi="Arial" w:cs="Arial"/>
              </w:rPr>
            </w:pPr>
            <w:r w:rsidRPr="00CF1B34">
              <w:rPr>
                <w:rFonts w:ascii="Arial" w:hAnsi="Arial" w:cs="Arial"/>
              </w:rPr>
              <w:t>N/A</w:t>
            </w:r>
          </w:p>
        </w:tc>
      </w:tr>
      <w:tr w:rsidR="004149C8" w:rsidRPr="00CF1B34" w14:paraId="389F6C13" w14:textId="77777777" w:rsidTr="0085182C">
        <w:tc>
          <w:tcPr>
            <w:tcW w:w="1076" w:type="dxa"/>
            <w:shd w:val="clear" w:color="auto" w:fill="FFFFFF"/>
            <w:tcMar>
              <w:top w:w="0" w:type="dxa"/>
              <w:left w:w="0" w:type="dxa"/>
              <w:bottom w:w="0" w:type="dxa"/>
              <w:right w:w="0" w:type="dxa"/>
            </w:tcMar>
            <w:vAlign w:val="center"/>
            <w:hideMark/>
          </w:tcPr>
          <w:p w14:paraId="57E37D29" w14:textId="77777777" w:rsidR="004149C8" w:rsidRPr="00CF1B34" w:rsidRDefault="004149C8" w:rsidP="0005621A">
            <w:pPr>
              <w:pStyle w:val="Sinespaciado"/>
              <w:jc w:val="both"/>
              <w:rPr>
                <w:rFonts w:ascii="Arial" w:hAnsi="Arial" w:cs="Arial"/>
              </w:rPr>
            </w:pPr>
            <w:r w:rsidRPr="00CF1B34">
              <w:rPr>
                <w:rFonts w:ascii="Arial" w:hAnsi="Arial" w:cs="Arial"/>
              </w:rPr>
              <w:t>Chipre</w:t>
            </w:r>
          </w:p>
        </w:tc>
        <w:tc>
          <w:tcPr>
            <w:tcW w:w="0" w:type="auto"/>
            <w:shd w:val="clear" w:color="auto" w:fill="FFFFFF"/>
            <w:tcMar>
              <w:top w:w="0" w:type="dxa"/>
              <w:left w:w="0" w:type="dxa"/>
              <w:bottom w:w="0" w:type="dxa"/>
              <w:right w:w="0" w:type="dxa"/>
            </w:tcMar>
            <w:vAlign w:val="center"/>
            <w:hideMark/>
          </w:tcPr>
          <w:p w14:paraId="4D456496" w14:textId="77777777" w:rsidR="004149C8" w:rsidRPr="00CF1B34" w:rsidRDefault="004149C8" w:rsidP="0005621A">
            <w:pPr>
              <w:pStyle w:val="Sinespaciado"/>
              <w:jc w:val="both"/>
              <w:rPr>
                <w:rFonts w:ascii="Arial" w:hAnsi="Arial" w:cs="Arial"/>
              </w:rPr>
            </w:pPr>
            <w:r w:rsidRPr="00CF1B34">
              <w:rPr>
                <w:rFonts w:ascii="Arial" w:hAnsi="Arial" w:cs="Arial"/>
              </w:rPr>
              <w:t>19%</w:t>
            </w:r>
          </w:p>
        </w:tc>
        <w:tc>
          <w:tcPr>
            <w:tcW w:w="0" w:type="auto"/>
            <w:shd w:val="clear" w:color="auto" w:fill="FFFFFF"/>
            <w:tcMar>
              <w:top w:w="0" w:type="dxa"/>
              <w:left w:w="0" w:type="dxa"/>
              <w:bottom w:w="0" w:type="dxa"/>
              <w:right w:w="0" w:type="dxa"/>
            </w:tcMar>
            <w:vAlign w:val="center"/>
            <w:hideMark/>
          </w:tcPr>
          <w:p w14:paraId="7A30AE66" w14:textId="77777777" w:rsidR="004149C8" w:rsidRPr="00CF1B34" w:rsidRDefault="004149C8" w:rsidP="0005621A">
            <w:pPr>
              <w:pStyle w:val="Sinespaciado"/>
              <w:jc w:val="both"/>
              <w:rPr>
                <w:rFonts w:ascii="Arial" w:hAnsi="Arial" w:cs="Arial"/>
              </w:rPr>
            </w:pPr>
            <w:r w:rsidRPr="00CF1B34">
              <w:rPr>
                <w:rFonts w:ascii="Arial" w:hAnsi="Arial" w:cs="Arial"/>
              </w:rPr>
              <w:t>5%</w:t>
            </w:r>
          </w:p>
        </w:tc>
      </w:tr>
      <w:tr w:rsidR="004149C8" w:rsidRPr="00CF1B34" w14:paraId="2273B353" w14:textId="77777777" w:rsidTr="0085182C">
        <w:tc>
          <w:tcPr>
            <w:tcW w:w="1076" w:type="dxa"/>
            <w:shd w:val="clear" w:color="auto" w:fill="FFFFFF"/>
            <w:tcMar>
              <w:top w:w="0" w:type="dxa"/>
              <w:left w:w="0" w:type="dxa"/>
              <w:bottom w:w="0" w:type="dxa"/>
              <w:right w:w="0" w:type="dxa"/>
            </w:tcMar>
            <w:vAlign w:val="center"/>
            <w:hideMark/>
          </w:tcPr>
          <w:p w14:paraId="5701F9D4" w14:textId="77777777" w:rsidR="004149C8" w:rsidRPr="00CF1B34" w:rsidRDefault="004149C8" w:rsidP="0005621A">
            <w:pPr>
              <w:pStyle w:val="Sinespaciado"/>
              <w:jc w:val="both"/>
              <w:rPr>
                <w:rFonts w:ascii="Arial" w:hAnsi="Arial" w:cs="Arial"/>
              </w:rPr>
            </w:pPr>
            <w:r w:rsidRPr="00CF1B34">
              <w:rPr>
                <w:rFonts w:ascii="Arial" w:hAnsi="Arial" w:cs="Arial"/>
              </w:rPr>
              <w:t>Croacia</w:t>
            </w:r>
          </w:p>
        </w:tc>
        <w:tc>
          <w:tcPr>
            <w:tcW w:w="0" w:type="auto"/>
            <w:shd w:val="clear" w:color="auto" w:fill="FFFFFF"/>
            <w:tcMar>
              <w:top w:w="0" w:type="dxa"/>
              <w:left w:w="0" w:type="dxa"/>
              <w:bottom w:w="0" w:type="dxa"/>
              <w:right w:w="0" w:type="dxa"/>
            </w:tcMar>
            <w:vAlign w:val="center"/>
            <w:hideMark/>
          </w:tcPr>
          <w:p w14:paraId="01DA2D8F" w14:textId="77777777" w:rsidR="004149C8" w:rsidRPr="00CF1B34" w:rsidRDefault="004149C8" w:rsidP="0005621A">
            <w:pPr>
              <w:pStyle w:val="Sinespaciado"/>
              <w:jc w:val="both"/>
              <w:rPr>
                <w:rFonts w:ascii="Arial" w:hAnsi="Arial" w:cs="Arial"/>
              </w:rPr>
            </w:pPr>
            <w:r w:rsidRPr="00CF1B34">
              <w:rPr>
                <w:rFonts w:ascii="Arial" w:hAnsi="Arial" w:cs="Arial"/>
              </w:rPr>
              <w:t>25%</w:t>
            </w:r>
          </w:p>
        </w:tc>
        <w:tc>
          <w:tcPr>
            <w:tcW w:w="0" w:type="auto"/>
            <w:shd w:val="clear" w:color="auto" w:fill="FFFFFF"/>
            <w:tcMar>
              <w:top w:w="0" w:type="dxa"/>
              <w:left w:w="0" w:type="dxa"/>
              <w:bottom w:w="0" w:type="dxa"/>
              <w:right w:w="0" w:type="dxa"/>
            </w:tcMar>
            <w:vAlign w:val="center"/>
            <w:hideMark/>
          </w:tcPr>
          <w:p w14:paraId="2A127DE0" w14:textId="77777777" w:rsidR="004149C8" w:rsidRPr="00CF1B34" w:rsidRDefault="004149C8" w:rsidP="0005621A">
            <w:pPr>
              <w:pStyle w:val="Sinespaciado"/>
              <w:jc w:val="both"/>
              <w:rPr>
                <w:rFonts w:ascii="Arial" w:hAnsi="Arial" w:cs="Arial"/>
              </w:rPr>
            </w:pPr>
            <w:r w:rsidRPr="00CF1B34">
              <w:rPr>
                <w:rFonts w:ascii="Arial" w:hAnsi="Arial" w:cs="Arial"/>
              </w:rPr>
              <w:t>10% / 5%</w:t>
            </w:r>
          </w:p>
        </w:tc>
      </w:tr>
      <w:tr w:rsidR="004149C8" w:rsidRPr="00CF1B34" w14:paraId="3C598BDC" w14:textId="77777777" w:rsidTr="0085182C">
        <w:tc>
          <w:tcPr>
            <w:tcW w:w="1076" w:type="dxa"/>
            <w:shd w:val="clear" w:color="auto" w:fill="FFFFFF"/>
            <w:tcMar>
              <w:top w:w="0" w:type="dxa"/>
              <w:left w:w="0" w:type="dxa"/>
              <w:bottom w:w="0" w:type="dxa"/>
              <w:right w:w="0" w:type="dxa"/>
            </w:tcMar>
            <w:vAlign w:val="center"/>
            <w:hideMark/>
          </w:tcPr>
          <w:p w14:paraId="4BB3436E" w14:textId="77777777" w:rsidR="004149C8" w:rsidRPr="00CF1B34" w:rsidRDefault="004149C8" w:rsidP="0005621A">
            <w:pPr>
              <w:pStyle w:val="Sinespaciado"/>
              <w:jc w:val="both"/>
              <w:rPr>
                <w:rFonts w:ascii="Arial" w:hAnsi="Arial" w:cs="Arial"/>
              </w:rPr>
            </w:pPr>
            <w:r w:rsidRPr="00CF1B34">
              <w:rPr>
                <w:rFonts w:ascii="Arial" w:hAnsi="Arial" w:cs="Arial"/>
              </w:rPr>
              <w:t>Dinamarca</w:t>
            </w:r>
          </w:p>
        </w:tc>
        <w:tc>
          <w:tcPr>
            <w:tcW w:w="0" w:type="auto"/>
            <w:shd w:val="clear" w:color="auto" w:fill="FFFFFF"/>
            <w:tcMar>
              <w:top w:w="0" w:type="dxa"/>
              <w:left w:w="0" w:type="dxa"/>
              <w:bottom w:w="0" w:type="dxa"/>
              <w:right w:w="0" w:type="dxa"/>
            </w:tcMar>
            <w:vAlign w:val="center"/>
            <w:hideMark/>
          </w:tcPr>
          <w:p w14:paraId="372EA95B" w14:textId="77777777" w:rsidR="004149C8" w:rsidRPr="00CF1B34" w:rsidRDefault="004149C8" w:rsidP="0005621A">
            <w:pPr>
              <w:pStyle w:val="Sinespaciado"/>
              <w:jc w:val="both"/>
              <w:rPr>
                <w:rFonts w:ascii="Arial" w:hAnsi="Arial" w:cs="Arial"/>
              </w:rPr>
            </w:pPr>
            <w:r w:rsidRPr="00CF1B34">
              <w:rPr>
                <w:rFonts w:ascii="Arial" w:hAnsi="Arial" w:cs="Arial"/>
              </w:rPr>
              <w:t>25%</w:t>
            </w:r>
          </w:p>
        </w:tc>
        <w:tc>
          <w:tcPr>
            <w:tcW w:w="0" w:type="auto"/>
            <w:shd w:val="clear" w:color="auto" w:fill="FFFFFF"/>
            <w:tcMar>
              <w:top w:w="0" w:type="dxa"/>
              <w:left w:w="0" w:type="dxa"/>
              <w:bottom w:w="0" w:type="dxa"/>
              <w:right w:w="0" w:type="dxa"/>
            </w:tcMar>
            <w:vAlign w:val="center"/>
            <w:hideMark/>
          </w:tcPr>
          <w:p w14:paraId="1423CC19" w14:textId="77777777" w:rsidR="004149C8" w:rsidRPr="00CF1B34" w:rsidRDefault="004149C8" w:rsidP="0005621A">
            <w:pPr>
              <w:pStyle w:val="Sinespaciado"/>
              <w:jc w:val="both"/>
              <w:rPr>
                <w:rFonts w:ascii="Arial" w:hAnsi="Arial" w:cs="Arial"/>
              </w:rPr>
            </w:pPr>
            <w:r w:rsidRPr="00CF1B34">
              <w:rPr>
                <w:rFonts w:ascii="Arial" w:hAnsi="Arial" w:cs="Arial"/>
              </w:rPr>
              <w:t>N/A</w:t>
            </w:r>
          </w:p>
        </w:tc>
      </w:tr>
      <w:tr w:rsidR="004149C8" w:rsidRPr="00CF1B34" w14:paraId="008EF12A" w14:textId="77777777" w:rsidTr="0085182C">
        <w:tc>
          <w:tcPr>
            <w:tcW w:w="1076" w:type="dxa"/>
            <w:shd w:val="clear" w:color="auto" w:fill="FFFFFF"/>
            <w:tcMar>
              <w:top w:w="0" w:type="dxa"/>
              <w:left w:w="0" w:type="dxa"/>
              <w:bottom w:w="0" w:type="dxa"/>
              <w:right w:w="0" w:type="dxa"/>
            </w:tcMar>
            <w:vAlign w:val="center"/>
            <w:hideMark/>
          </w:tcPr>
          <w:p w14:paraId="52575A47" w14:textId="77777777" w:rsidR="004149C8" w:rsidRPr="00CF1B34" w:rsidRDefault="004149C8" w:rsidP="0005621A">
            <w:pPr>
              <w:pStyle w:val="Sinespaciado"/>
              <w:jc w:val="both"/>
              <w:rPr>
                <w:rFonts w:ascii="Arial" w:hAnsi="Arial" w:cs="Arial"/>
              </w:rPr>
            </w:pPr>
            <w:r w:rsidRPr="00CF1B34">
              <w:rPr>
                <w:rFonts w:ascii="Arial" w:hAnsi="Arial" w:cs="Arial"/>
              </w:rPr>
              <w:t>Eslovaquia</w:t>
            </w:r>
          </w:p>
        </w:tc>
        <w:tc>
          <w:tcPr>
            <w:tcW w:w="0" w:type="auto"/>
            <w:shd w:val="clear" w:color="auto" w:fill="FFFFFF"/>
            <w:tcMar>
              <w:top w:w="0" w:type="dxa"/>
              <w:left w:w="0" w:type="dxa"/>
              <w:bottom w:w="0" w:type="dxa"/>
              <w:right w:w="0" w:type="dxa"/>
            </w:tcMar>
            <w:vAlign w:val="center"/>
            <w:hideMark/>
          </w:tcPr>
          <w:p w14:paraId="7C2F2A15" w14:textId="77777777" w:rsidR="004149C8" w:rsidRPr="00CF1B34" w:rsidRDefault="004149C8" w:rsidP="0005621A">
            <w:pPr>
              <w:pStyle w:val="Sinespaciado"/>
              <w:jc w:val="both"/>
              <w:rPr>
                <w:rFonts w:ascii="Arial" w:hAnsi="Arial" w:cs="Arial"/>
              </w:rPr>
            </w:pPr>
            <w:r w:rsidRPr="00CF1B34">
              <w:rPr>
                <w:rFonts w:ascii="Arial" w:hAnsi="Arial" w:cs="Arial"/>
              </w:rPr>
              <w:t>20%</w:t>
            </w:r>
          </w:p>
        </w:tc>
        <w:tc>
          <w:tcPr>
            <w:tcW w:w="0" w:type="auto"/>
            <w:shd w:val="clear" w:color="auto" w:fill="FFFFFF"/>
            <w:tcMar>
              <w:top w:w="0" w:type="dxa"/>
              <w:left w:w="0" w:type="dxa"/>
              <w:bottom w:w="0" w:type="dxa"/>
              <w:right w:w="0" w:type="dxa"/>
            </w:tcMar>
            <w:vAlign w:val="center"/>
            <w:hideMark/>
          </w:tcPr>
          <w:p w14:paraId="386E7518" w14:textId="77777777" w:rsidR="004149C8" w:rsidRPr="00CF1B34" w:rsidRDefault="004149C8" w:rsidP="0005621A">
            <w:pPr>
              <w:pStyle w:val="Sinespaciado"/>
              <w:jc w:val="both"/>
              <w:rPr>
                <w:rFonts w:ascii="Arial" w:hAnsi="Arial" w:cs="Arial"/>
              </w:rPr>
            </w:pPr>
            <w:r w:rsidRPr="00CF1B34">
              <w:rPr>
                <w:rFonts w:ascii="Arial" w:hAnsi="Arial" w:cs="Arial"/>
              </w:rPr>
              <w:t>10%</w:t>
            </w:r>
          </w:p>
        </w:tc>
      </w:tr>
      <w:tr w:rsidR="004149C8" w:rsidRPr="00CF1B34" w14:paraId="6805FFC8" w14:textId="77777777" w:rsidTr="0085182C">
        <w:tc>
          <w:tcPr>
            <w:tcW w:w="1076" w:type="dxa"/>
            <w:shd w:val="clear" w:color="auto" w:fill="FFFFFF"/>
            <w:tcMar>
              <w:top w:w="0" w:type="dxa"/>
              <w:left w:w="0" w:type="dxa"/>
              <w:bottom w:w="0" w:type="dxa"/>
              <w:right w:w="0" w:type="dxa"/>
            </w:tcMar>
            <w:vAlign w:val="center"/>
            <w:hideMark/>
          </w:tcPr>
          <w:p w14:paraId="06C68AC3" w14:textId="77777777" w:rsidR="004149C8" w:rsidRPr="00CF1B34" w:rsidRDefault="004149C8" w:rsidP="0005621A">
            <w:pPr>
              <w:pStyle w:val="Sinespaciado"/>
              <w:jc w:val="both"/>
              <w:rPr>
                <w:rFonts w:ascii="Arial" w:hAnsi="Arial" w:cs="Arial"/>
              </w:rPr>
            </w:pPr>
            <w:r w:rsidRPr="00CF1B34">
              <w:rPr>
                <w:rFonts w:ascii="Arial" w:hAnsi="Arial" w:cs="Arial"/>
              </w:rPr>
              <w:t>Eslovenia</w:t>
            </w:r>
          </w:p>
        </w:tc>
        <w:tc>
          <w:tcPr>
            <w:tcW w:w="0" w:type="auto"/>
            <w:shd w:val="clear" w:color="auto" w:fill="FFFFFF"/>
            <w:tcMar>
              <w:top w:w="0" w:type="dxa"/>
              <w:left w:w="0" w:type="dxa"/>
              <w:bottom w:w="0" w:type="dxa"/>
              <w:right w:w="0" w:type="dxa"/>
            </w:tcMar>
            <w:vAlign w:val="center"/>
            <w:hideMark/>
          </w:tcPr>
          <w:p w14:paraId="09C61EA8" w14:textId="77777777" w:rsidR="004149C8" w:rsidRPr="00CF1B34" w:rsidRDefault="004149C8" w:rsidP="0005621A">
            <w:pPr>
              <w:pStyle w:val="Sinespaciado"/>
              <w:jc w:val="both"/>
              <w:rPr>
                <w:rFonts w:ascii="Arial" w:hAnsi="Arial" w:cs="Arial"/>
              </w:rPr>
            </w:pPr>
            <w:r w:rsidRPr="00CF1B34">
              <w:rPr>
                <w:rFonts w:ascii="Arial" w:hAnsi="Arial" w:cs="Arial"/>
              </w:rPr>
              <w:t>22%</w:t>
            </w:r>
          </w:p>
        </w:tc>
        <w:tc>
          <w:tcPr>
            <w:tcW w:w="0" w:type="auto"/>
            <w:shd w:val="clear" w:color="auto" w:fill="FFFFFF"/>
            <w:tcMar>
              <w:top w:w="0" w:type="dxa"/>
              <w:left w:w="0" w:type="dxa"/>
              <w:bottom w:w="0" w:type="dxa"/>
              <w:right w:w="0" w:type="dxa"/>
            </w:tcMar>
            <w:vAlign w:val="center"/>
            <w:hideMark/>
          </w:tcPr>
          <w:p w14:paraId="1092BA69" w14:textId="77777777" w:rsidR="004149C8" w:rsidRPr="00CF1B34" w:rsidRDefault="004149C8" w:rsidP="0005621A">
            <w:pPr>
              <w:pStyle w:val="Sinespaciado"/>
              <w:jc w:val="both"/>
              <w:rPr>
                <w:rFonts w:ascii="Arial" w:hAnsi="Arial" w:cs="Arial"/>
              </w:rPr>
            </w:pPr>
            <w:r w:rsidRPr="00CF1B34">
              <w:rPr>
                <w:rFonts w:ascii="Arial" w:hAnsi="Arial" w:cs="Arial"/>
              </w:rPr>
              <w:t>9,5%</w:t>
            </w:r>
          </w:p>
        </w:tc>
      </w:tr>
      <w:tr w:rsidR="004149C8" w:rsidRPr="00CF1B34" w14:paraId="09BAC906" w14:textId="77777777" w:rsidTr="0085182C">
        <w:tc>
          <w:tcPr>
            <w:tcW w:w="1076" w:type="dxa"/>
            <w:shd w:val="clear" w:color="auto" w:fill="FFFFFF"/>
            <w:tcMar>
              <w:top w:w="0" w:type="dxa"/>
              <w:left w:w="0" w:type="dxa"/>
              <w:bottom w:w="0" w:type="dxa"/>
              <w:right w:w="0" w:type="dxa"/>
            </w:tcMar>
            <w:vAlign w:val="center"/>
            <w:hideMark/>
          </w:tcPr>
          <w:p w14:paraId="4932959A" w14:textId="77777777" w:rsidR="004149C8" w:rsidRPr="00CF1B34" w:rsidRDefault="004149C8" w:rsidP="0005621A">
            <w:pPr>
              <w:pStyle w:val="Sinespaciado"/>
              <w:jc w:val="both"/>
              <w:rPr>
                <w:rFonts w:ascii="Arial" w:hAnsi="Arial" w:cs="Arial"/>
              </w:rPr>
            </w:pPr>
            <w:r w:rsidRPr="00CF1B34">
              <w:rPr>
                <w:rFonts w:ascii="Arial" w:hAnsi="Arial" w:cs="Arial"/>
              </w:rPr>
              <w:t>España</w:t>
            </w:r>
          </w:p>
        </w:tc>
        <w:tc>
          <w:tcPr>
            <w:tcW w:w="0" w:type="auto"/>
            <w:shd w:val="clear" w:color="auto" w:fill="FFFFFF"/>
            <w:tcMar>
              <w:top w:w="0" w:type="dxa"/>
              <w:left w:w="0" w:type="dxa"/>
              <w:bottom w:w="0" w:type="dxa"/>
              <w:right w:w="0" w:type="dxa"/>
            </w:tcMar>
            <w:vAlign w:val="center"/>
            <w:hideMark/>
          </w:tcPr>
          <w:p w14:paraId="34A2135B" w14:textId="77777777" w:rsidR="004149C8" w:rsidRPr="00CF1B34" w:rsidRDefault="004149C8" w:rsidP="0005621A">
            <w:pPr>
              <w:pStyle w:val="Sinespaciado"/>
              <w:jc w:val="both"/>
              <w:rPr>
                <w:rFonts w:ascii="Arial" w:hAnsi="Arial" w:cs="Arial"/>
              </w:rPr>
            </w:pPr>
            <w:r w:rsidRPr="00CF1B34">
              <w:rPr>
                <w:rFonts w:ascii="Arial" w:hAnsi="Arial" w:cs="Arial"/>
              </w:rPr>
              <w:t>21%</w:t>
            </w:r>
          </w:p>
        </w:tc>
        <w:tc>
          <w:tcPr>
            <w:tcW w:w="0" w:type="auto"/>
            <w:shd w:val="clear" w:color="auto" w:fill="FFFFFF"/>
            <w:tcMar>
              <w:top w:w="0" w:type="dxa"/>
              <w:left w:w="0" w:type="dxa"/>
              <w:bottom w:w="0" w:type="dxa"/>
              <w:right w:w="0" w:type="dxa"/>
            </w:tcMar>
            <w:vAlign w:val="center"/>
            <w:hideMark/>
          </w:tcPr>
          <w:p w14:paraId="48CD5ECD" w14:textId="77777777" w:rsidR="004149C8" w:rsidRPr="00CF1B34" w:rsidRDefault="004149C8" w:rsidP="0005621A">
            <w:pPr>
              <w:pStyle w:val="Sinespaciado"/>
              <w:jc w:val="both"/>
              <w:rPr>
                <w:rFonts w:ascii="Arial" w:hAnsi="Arial" w:cs="Arial"/>
              </w:rPr>
            </w:pPr>
            <w:r w:rsidRPr="00CF1B34">
              <w:rPr>
                <w:rFonts w:ascii="Arial" w:hAnsi="Arial" w:cs="Arial"/>
              </w:rPr>
              <w:t>10% / 4%</w:t>
            </w:r>
          </w:p>
        </w:tc>
      </w:tr>
      <w:tr w:rsidR="004149C8" w:rsidRPr="00CF1B34" w14:paraId="2A08935F" w14:textId="77777777" w:rsidTr="0085182C">
        <w:tc>
          <w:tcPr>
            <w:tcW w:w="1076" w:type="dxa"/>
            <w:shd w:val="clear" w:color="auto" w:fill="FFFFFF"/>
            <w:tcMar>
              <w:top w:w="0" w:type="dxa"/>
              <w:left w:w="0" w:type="dxa"/>
              <w:bottom w:w="0" w:type="dxa"/>
              <w:right w:w="0" w:type="dxa"/>
            </w:tcMar>
            <w:vAlign w:val="center"/>
            <w:hideMark/>
          </w:tcPr>
          <w:p w14:paraId="5DBEA9E5" w14:textId="77777777" w:rsidR="004149C8" w:rsidRPr="00CF1B34" w:rsidRDefault="004149C8" w:rsidP="0005621A">
            <w:pPr>
              <w:pStyle w:val="Sinespaciado"/>
              <w:jc w:val="both"/>
              <w:rPr>
                <w:rFonts w:ascii="Arial" w:hAnsi="Arial" w:cs="Arial"/>
              </w:rPr>
            </w:pPr>
            <w:r w:rsidRPr="00CF1B34">
              <w:rPr>
                <w:rFonts w:ascii="Arial" w:hAnsi="Arial" w:cs="Arial"/>
              </w:rPr>
              <w:t>Estonia</w:t>
            </w:r>
          </w:p>
        </w:tc>
        <w:tc>
          <w:tcPr>
            <w:tcW w:w="0" w:type="auto"/>
            <w:shd w:val="clear" w:color="auto" w:fill="FFFFFF"/>
            <w:tcMar>
              <w:top w:w="0" w:type="dxa"/>
              <w:left w:w="0" w:type="dxa"/>
              <w:bottom w:w="0" w:type="dxa"/>
              <w:right w:w="0" w:type="dxa"/>
            </w:tcMar>
            <w:vAlign w:val="center"/>
            <w:hideMark/>
          </w:tcPr>
          <w:p w14:paraId="7688914D" w14:textId="77777777" w:rsidR="004149C8" w:rsidRPr="00CF1B34" w:rsidRDefault="004149C8" w:rsidP="0005621A">
            <w:pPr>
              <w:pStyle w:val="Sinespaciado"/>
              <w:jc w:val="both"/>
              <w:rPr>
                <w:rFonts w:ascii="Arial" w:hAnsi="Arial" w:cs="Arial"/>
              </w:rPr>
            </w:pPr>
            <w:r w:rsidRPr="00CF1B34">
              <w:rPr>
                <w:rFonts w:ascii="Arial" w:hAnsi="Arial" w:cs="Arial"/>
              </w:rPr>
              <w:t>20%</w:t>
            </w:r>
          </w:p>
        </w:tc>
        <w:tc>
          <w:tcPr>
            <w:tcW w:w="0" w:type="auto"/>
            <w:shd w:val="clear" w:color="auto" w:fill="FFFFFF"/>
            <w:tcMar>
              <w:top w:w="0" w:type="dxa"/>
              <w:left w:w="0" w:type="dxa"/>
              <w:bottom w:w="0" w:type="dxa"/>
              <w:right w:w="0" w:type="dxa"/>
            </w:tcMar>
            <w:vAlign w:val="center"/>
            <w:hideMark/>
          </w:tcPr>
          <w:p w14:paraId="703B3260" w14:textId="77777777" w:rsidR="004149C8" w:rsidRPr="00CF1B34" w:rsidRDefault="004149C8" w:rsidP="0005621A">
            <w:pPr>
              <w:pStyle w:val="Sinespaciado"/>
              <w:jc w:val="both"/>
              <w:rPr>
                <w:rFonts w:ascii="Arial" w:hAnsi="Arial" w:cs="Arial"/>
              </w:rPr>
            </w:pPr>
            <w:r w:rsidRPr="00CF1B34">
              <w:rPr>
                <w:rFonts w:ascii="Arial" w:hAnsi="Arial" w:cs="Arial"/>
              </w:rPr>
              <w:t>9%</w:t>
            </w:r>
          </w:p>
        </w:tc>
      </w:tr>
      <w:tr w:rsidR="004149C8" w:rsidRPr="00CF1B34" w14:paraId="1EA5834D" w14:textId="77777777" w:rsidTr="0085182C">
        <w:tc>
          <w:tcPr>
            <w:tcW w:w="1076" w:type="dxa"/>
            <w:shd w:val="clear" w:color="auto" w:fill="FFFFFF"/>
            <w:tcMar>
              <w:top w:w="0" w:type="dxa"/>
              <w:left w:w="0" w:type="dxa"/>
              <w:bottom w:w="0" w:type="dxa"/>
              <w:right w:w="0" w:type="dxa"/>
            </w:tcMar>
            <w:vAlign w:val="center"/>
            <w:hideMark/>
          </w:tcPr>
          <w:p w14:paraId="260A7F27" w14:textId="77777777" w:rsidR="004149C8" w:rsidRPr="00CF1B34" w:rsidRDefault="004149C8" w:rsidP="0005621A">
            <w:pPr>
              <w:pStyle w:val="Sinespaciado"/>
              <w:jc w:val="both"/>
              <w:rPr>
                <w:rFonts w:ascii="Arial" w:hAnsi="Arial" w:cs="Arial"/>
              </w:rPr>
            </w:pPr>
            <w:r w:rsidRPr="00CF1B34">
              <w:rPr>
                <w:rFonts w:ascii="Arial" w:hAnsi="Arial" w:cs="Arial"/>
              </w:rPr>
              <w:t>Finlandia</w:t>
            </w:r>
          </w:p>
        </w:tc>
        <w:tc>
          <w:tcPr>
            <w:tcW w:w="0" w:type="auto"/>
            <w:shd w:val="clear" w:color="auto" w:fill="FFFFFF"/>
            <w:tcMar>
              <w:top w:w="0" w:type="dxa"/>
              <w:left w:w="0" w:type="dxa"/>
              <w:bottom w:w="0" w:type="dxa"/>
              <w:right w:w="0" w:type="dxa"/>
            </w:tcMar>
            <w:vAlign w:val="center"/>
            <w:hideMark/>
          </w:tcPr>
          <w:p w14:paraId="7BBCB443" w14:textId="77777777" w:rsidR="004149C8" w:rsidRPr="00CF1B34" w:rsidRDefault="004149C8" w:rsidP="0005621A">
            <w:pPr>
              <w:pStyle w:val="Sinespaciado"/>
              <w:jc w:val="both"/>
              <w:rPr>
                <w:rFonts w:ascii="Arial" w:hAnsi="Arial" w:cs="Arial"/>
              </w:rPr>
            </w:pPr>
            <w:r w:rsidRPr="00CF1B34">
              <w:rPr>
                <w:rFonts w:ascii="Arial" w:hAnsi="Arial" w:cs="Arial"/>
              </w:rPr>
              <w:t>24%</w:t>
            </w:r>
          </w:p>
        </w:tc>
        <w:tc>
          <w:tcPr>
            <w:tcW w:w="0" w:type="auto"/>
            <w:shd w:val="clear" w:color="auto" w:fill="FFFFFF"/>
            <w:tcMar>
              <w:top w:w="0" w:type="dxa"/>
              <w:left w:w="0" w:type="dxa"/>
              <w:bottom w:w="0" w:type="dxa"/>
              <w:right w:w="0" w:type="dxa"/>
            </w:tcMar>
            <w:vAlign w:val="center"/>
            <w:hideMark/>
          </w:tcPr>
          <w:p w14:paraId="115C57EB" w14:textId="77777777" w:rsidR="004149C8" w:rsidRPr="00CF1B34" w:rsidRDefault="004149C8" w:rsidP="0005621A">
            <w:pPr>
              <w:pStyle w:val="Sinespaciado"/>
              <w:jc w:val="both"/>
              <w:rPr>
                <w:rFonts w:ascii="Arial" w:hAnsi="Arial" w:cs="Arial"/>
              </w:rPr>
            </w:pPr>
            <w:r w:rsidRPr="00CF1B34">
              <w:rPr>
                <w:rFonts w:ascii="Arial" w:hAnsi="Arial" w:cs="Arial"/>
              </w:rPr>
              <w:t>14% u 10%</w:t>
            </w:r>
          </w:p>
        </w:tc>
      </w:tr>
      <w:tr w:rsidR="004149C8" w:rsidRPr="00CF1B34" w14:paraId="5C944950" w14:textId="77777777" w:rsidTr="0085182C">
        <w:tc>
          <w:tcPr>
            <w:tcW w:w="1076" w:type="dxa"/>
            <w:shd w:val="clear" w:color="auto" w:fill="FFFFFF"/>
            <w:tcMar>
              <w:top w:w="0" w:type="dxa"/>
              <w:left w:w="0" w:type="dxa"/>
              <w:bottom w:w="0" w:type="dxa"/>
              <w:right w:w="0" w:type="dxa"/>
            </w:tcMar>
            <w:vAlign w:val="center"/>
            <w:hideMark/>
          </w:tcPr>
          <w:p w14:paraId="4EAAEBE6" w14:textId="77777777" w:rsidR="004149C8" w:rsidRPr="00CF1B34" w:rsidRDefault="004149C8" w:rsidP="0005621A">
            <w:pPr>
              <w:pStyle w:val="Sinespaciado"/>
              <w:jc w:val="both"/>
              <w:rPr>
                <w:rFonts w:ascii="Arial" w:hAnsi="Arial" w:cs="Arial"/>
              </w:rPr>
            </w:pPr>
            <w:r w:rsidRPr="00CF1B34">
              <w:rPr>
                <w:rFonts w:ascii="Arial" w:hAnsi="Arial" w:cs="Arial"/>
              </w:rPr>
              <w:t>Francia</w:t>
            </w:r>
          </w:p>
        </w:tc>
        <w:tc>
          <w:tcPr>
            <w:tcW w:w="0" w:type="auto"/>
            <w:shd w:val="clear" w:color="auto" w:fill="FFFFFF"/>
            <w:tcMar>
              <w:top w:w="0" w:type="dxa"/>
              <w:left w:w="0" w:type="dxa"/>
              <w:bottom w:w="0" w:type="dxa"/>
              <w:right w:w="0" w:type="dxa"/>
            </w:tcMar>
            <w:vAlign w:val="center"/>
            <w:hideMark/>
          </w:tcPr>
          <w:p w14:paraId="0E28C8F9" w14:textId="77777777" w:rsidR="004149C8" w:rsidRPr="00CF1B34" w:rsidRDefault="004149C8" w:rsidP="0005621A">
            <w:pPr>
              <w:pStyle w:val="Sinespaciado"/>
              <w:jc w:val="both"/>
              <w:rPr>
                <w:rFonts w:ascii="Arial" w:hAnsi="Arial" w:cs="Arial"/>
              </w:rPr>
            </w:pPr>
            <w:r w:rsidRPr="00CF1B34">
              <w:rPr>
                <w:rFonts w:ascii="Arial" w:hAnsi="Arial" w:cs="Arial"/>
              </w:rPr>
              <w:t>20%</w:t>
            </w:r>
          </w:p>
        </w:tc>
        <w:tc>
          <w:tcPr>
            <w:tcW w:w="0" w:type="auto"/>
            <w:shd w:val="clear" w:color="auto" w:fill="FFFFFF"/>
            <w:tcMar>
              <w:top w:w="0" w:type="dxa"/>
              <w:left w:w="0" w:type="dxa"/>
              <w:bottom w:w="0" w:type="dxa"/>
              <w:right w:w="0" w:type="dxa"/>
            </w:tcMar>
            <w:vAlign w:val="center"/>
            <w:hideMark/>
          </w:tcPr>
          <w:p w14:paraId="4DB2B9F2" w14:textId="77777777" w:rsidR="004149C8" w:rsidRPr="00CF1B34" w:rsidRDefault="004149C8" w:rsidP="0005621A">
            <w:pPr>
              <w:pStyle w:val="Sinespaciado"/>
              <w:jc w:val="both"/>
              <w:rPr>
                <w:rFonts w:ascii="Arial" w:hAnsi="Arial" w:cs="Arial"/>
              </w:rPr>
            </w:pPr>
            <w:r w:rsidRPr="00CF1B34">
              <w:rPr>
                <w:rFonts w:ascii="Arial" w:hAnsi="Arial" w:cs="Arial"/>
              </w:rPr>
              <w:t>10% u 5,5% / 2,1%</w:t>
            </w:r>
          </w:p>
        </w:tc>
      </w:tr>
      <w:tr w:rsidR="004149C8" w:rsidRPr="00CF1B34" w14:paraId="702D84C5" w14:textId="77777777" w:rsidTr="0085182C">
        <w:tc>
          <w:tcPr>
            <w:tcW w:w="1076" w:type="dxa"/>
            <w:shd w:val="clear" w:color="auto" w:fill="FFFFFF"/>
            <w:tcMar>
              <w:top w:w="0" w:type="dxa"/>
              <w:left w:w="0" w:type="dxa"/>
              <w:bottom w:w="0" w:type="dxa"/>
              <w:right w:w="0" w:type="dxa"/>
            </w:tcMar>
            <w:vAlign w:val="center"/>
            <w:hideMark/>
          </w:tcPr>
          <w:p w14:paraId="3FCD5815" w14:textId="77777777" w:rsidR="004149C8" w:rsidRPr="00CF1B34" w:rsidRDefault="004149C8" w:rsidP="0005621A">
            <w:pPr>
              <w:pStyle w:val="Sinespaciado"/>
              <w:jc w:val="both"/>
              <w:rPr>
                <w:rFonts w:ascii="Arial" w:hAnsi="Arial" w:cs="Arial"/>
              </w:rPr>
            </w:pPr>
            <w:r w:rsidRPr="00CF1B34">
              <w:rPr>
                <w:rFonts w:ascii="Arial" w:hAnsi="Arial" w:cs="Arial"/>
              </w:rPr>
              <w:t>Grecia</w:t>
            </w:r>
          </w:p>
        </w:tc>
        <w:tc>
          <w:tcPr>
            <w:tcW w:w="0" w:type="auto"/>
            <w:shd w:val="clear" w:color="auto" w:fill="FFFFFF"/>
            <w:tcMar>
              <w:top w:w="0" w:type="dxa"/>
              <w:left w:w="0" w:type="dxa"/>
              <w:bottom w:w="0" w:type="dxa"/>
              <w:right w:w="0" w:type="dxa"/>
            </w:tcMar>
            <w:vAlign w:val="center"/>
            <w:hideMark/>
          </w:tcPr>
          <w:p w14:paraId="43B8E52F" w14:textId="77777777" w:rsidR="004149C8" w:rsidRPr="00CF1B34" w:rsidRDefault="004149C8" w:rsidP="0005621A">
            <w:pPr>
              <w:pStyle w:val="Sinespaciado"/>
              <w:jc w:val="both"/>
              <w:rPr>
                <w:rFonts w:ascii="Arial" w:hAnsi="Arial" w:cs="Arial"/>
              </w:rPr>
            </w:pPr>
            <w:r w:rsidRPr="00CF1B34">
              <w:rPr>
                <w:rFonts w:ascii="Arial" w:hAnsi="Arial" w:cs="Arial"/>
              </w:rPr>
              <w:t>23%</w:t>
            </w:r>
          </w:p>
        </w:tc>
        <w:tc>
          <w:tcPr>
            <w:tcW w:w="0" w:type="auto"/>
            <w:shd w:val="clear" w:color="auto" w:fill="FFFFFF"/>
            <w:tcMar>
              <w:top w:w="0" w:type="dxa"/>
              <w:left w:w="0" w:type="dxa"/>
              <w:bottom w:w="0" w:type="dxa"/>
              <w:right w:w="0" w:type="dxa"/>
            </w:tcMar>
            <w:vAlign w:val="center"/>
            <w:hideMark/>
          </w:tcPr>
          <w:p w14:paraId="273D27D3" w14:textId="77777777" w:rsidR="004149C8" w:rsidRPr="00CF1B34" w:rsidRDefault="004149C8" w:rsidP="0005621A">
            <w:pPr>
              <w:pStyle w:val="Sinespaciado"/>
              <w:jc w:val="both"/>
              <w:rPr>
                <w:rFonts w:ascii="Arial" w:hAnsi="Arial" w:cs="Arial"/>
              </w:rPr>
            </w:pPr>
            <w:r w:rsidRPr="00CF1B34">
              <w:rPr>
                <w:rFonts w:ascii="Arial" w:hAnsi="Arial" w:cs="Arial"/>
              </w:rPr>
              <w:t>13% / 6,5%</w:t>
            </w:r>
          </w:p>
        </w:tc>
      </w:tr>
      <w:tr w:rsidR="004149C8" w:rsidRPr="00CF1B34" w14:paraId="73858D6C" w14:textId="77777777" w:rsidTr="0085182C">
        <w:tc>
          <w:tcPr>
            <w:tcW w:w="1076" w:type="dxa"/>
            <w:shd w:val="clear" w:color="auto" w:fill="FFFFFF"/>
            <w:tcMar>
              <w:top w:w="0" w:type="dxa"/>
              <w:left w:w="0" w:type="dxa"/>
              <w:bottom w:w="0" w:type="dxa"/>
              <w:right w:w="0" w:type="dxa"/>
            </w:tcMar>
            <w:vAlign w:val="center"/>
            <w:hideMark/>
          </w:tcPr>
          <w:p w14:paraId="1D4B5F79" w14:textId="77777777" w:rsidR="004149C8" w:rsidRPr="00CF1B34" w:rsidRDefault="004149C8" w:rsidP="0005621A">
            <w:pPr>
              <w:pStyle w:val="Sinespaciado"/>
              <w:jc w:val="both"/>
              <w:rPr>
                <w:rFonts w:ascii="Arial" w:hAnsi="Arial" w:cs="Arial"/>
              </w:rPr>
            </w:pPr>
            <w:r w:rsidRPr="00CF1B34">
              <w:rPr>
                <w:rFonts w:ascii="Arial" w:hAnsi="Arial" w:cs="Arial"/>
              </w:rPr>
              <w:t>Hungría</w:t>
            </w:r>
          </w:p>
        </w:tc>
        <w:tc>
          <w:tcPr>
            <w:tcW w:w="0" w:type="auto"/>
            <w:shd w:val="clear" w:color="auto" w:fill="FFFFFF"/>
            <w:tcMar>
              <w:top w:w="0" w:type="dxa"/>
              <w:left w:w="0" w:type="dxa"/>
              <w:bottom w:w="0" w:type="dxa"/>
              <w:right w:w="0" w:type="dxa"/>
            </w:tcMar>
            <w:vAlign w:val="center"/>
            <w:hideMark/>
          </w:tcPr>
          <w:p w14:paraId="6F9A59A1" w14:textId="77777777" w:rsidR="004149C8" w:rsidRPr="00CF1B34" w:rsidRDefault="004149C8" w:rsidP="0005621A">
            <w:pPr>
              <w:pStyle w:val="Sinespaciado"/>
              <w:jc w:val="both"/>
              <w:rPr>
                <w:rFonts w:ascii="Arial" w:hAnsi="Arial" w:cs="Arial"/>
              </w:rPr>
            </w:pPr>
            <w:r w:rsidRPr="00CF1B34">
              <w:rPr>
                <w:rFonts w:ascii="Arial" w:hAnsi="Arial" w:cs="Arial"/>
              </w:rPr>
              <w:t>27%</w:t>
            </w:r>
          </w:p>
        </w:tc>
        <w:tc>
          <w:tcPr>
            <w:tcW w:w="0" w:type="auto"/>
            <w:shd w:val="clear" w:color="auto" w:fill="FFFFFF"/>
            <w:tcMar>
              <w:top w:w="0" w:type="dxa"/>
              <w:left w:w="0" w:type="dxa"/>
              <w:bottom w:w="0" w:type="dxa"/>
              <w:right w:w="0" w:type="dxa"/>
            </w:tcMar>
            <w:vAlign w:val="center"/>
            <w:hideMark/>
          </w:tcPr>
          <w:p w14:paraId="0F6D69EE" w14:textId="77777777" w:rsidR="004149C8" w:rsidRPr="00CF1B34" w:rsidRDefault="004149C8" w:rsidP="0005621A">
            <w:pPr>
              <w:pStyle w:val="Sinespaciado"/>
              <w:jc w:val="both"/>
              <w:rPr>
                <w:rFonts w:ascii="Arial" w:hAnsi="Arial" w:cs="Arial"/>
              </w:rPr>
            </w:pPr>
            <w:r w:rsidRPr="00CF1B34">
              <w:rPr>
                <w:rFonts w:ascii="Arial" w:hAnsi="Arial" w:cs="Arial"/>
              </w:rPr>
              <w:t>18% u 5%</w:t>
            </w:r>
          </w:p>
        </w:tc>
      </w:tr>
      <w:tr w:rsidR="004149C8" w:rsidRPr="00CF1B34" w14:paraId="7A856013" w14:textId="77777777" w:rsidTr="0085182C">
        <w:tc>
          <w:tcPr>
            <w:tcW w:w="1076" w:type="dxa"/>
            <w:shd w:val="clear" w:color="auto" w:fill="FFFFFF"/>
            <w:tcMar>
              <w:top w:w="0" w:type="dxa"/>
              <w:left w:w="0" w:type="dxa"/>
              <w:bottom w:w="0" w:type="dxa"/>
              <w:right w:w="0" w:type="dxa"/>
            </w:tcMar>
            <w:vAlign w:val="center"/>
            <w:hideMark/>
          </w:tcPr>
          <w:p w14:paraId="658F70C0" w14:textId="77777777" w:rsidR="004149C8" w:rsidRPr="00CF1B34" w:rsidRDefault="004149C8" w:rsidP="0005621A">
            <w:pPr>
              <w:pStyle w:val="Sinespaciado"/>
              <w:jc w:val="both"/>
              <w:rPr>
                <w:rFonts w:ascii="Arial" w:hAnsi="Arial" w:cs="Arial"/>
              </w:rPr>
            </w:pPr>
            <w:r w:rsidRPr="00CF1B34">
              <w:rPr>
                <w:rFonts w:ascii="Arial" w:hAnsi="Arial" w:cs="Arial"/>
              </w:rPr>
              <w:t>Irlanda</w:t>
            </w:r>
          </w:p>
        </w:tc>
        <w:tc>
          <w:tcPr>
            <w:tcW w:w="0" w:type="auto"/>
            <w:shd w:val="clear" w:color="auto" w:fill="FFFFFF"/>
            <w:tcMar>
              <w:top w:w="0" w:type="dxa"/>
              <w:left w:w="0" w:type="dxa"/>
              <w:bottom w:w="0" w:type="dxa"/>
              <w:right w:w="0" w:type="dxa"/>
            </w:tcMar>
            <w:vAlign w:val="center"/>
            <w:hideMark/>
          </w:tcPr>
          <w:p w14:paraId="4AE57427" w14:textId="77777777" w:rsidR="004149C8" w:rsidRPr="00CF1B34" w:rsidRDefault="004149C8" w:rsidP="0005621A">
            <w:pPr>
              <w:pStyle w:val="Sinespaciado"/>
              <w:jc w:val="both"/>
              <w:rPr>
                <w:rFonts w:ascii="Arial" w:hAnsi="Arial" w:cs="Arial"/>
              </w:rPr>
            </w:pPr>
            <w:r w:rsidRPr="00CF1B34">
              <w:rPr>
                <w:rFonts w:ascii="Arial" w:hAnsi="Arial" w:cs="Arial"/>
              </w:rPr>
              <w:t>23%</w:t>
            </w:r>
          </w:p>
        </w:tc>
        <w:tc>
          <w:tcPr>
            <w:tcW w:w="0" w:type="auto"/>
            <w:shd w:val="clear" w:color="auto" w:fill="FFFFFF"/>
            <w:tcMar>
              <w:top w:w="0" w:type="dxa"/>
              <w:left w:w="0" w:type="dxa"/>
              <w:bottom w:w="0" w:type="dxa"/>
              <w:right w:w="0" w:type="dxa"/>
            </w:tcMar>
            <w:vAlign w:val="center"/>
            <w:hideMark/>
          </w:tcPr>
          <w:p w14:paraId="5FA5E66A" w14:textId="77777777" w:rsidR="004149C8" w:rsidRPr="00CF1B34" w:rsidRDefault="004149C8" w:rsidP="0005621A">
            <w:pPr>
              <w:pStyle w:val="Sinespaciado"/>
              <w:jc w:val="both"/>
              <w:rPr>
                <w:rFonts w:ascii="Arial" w:hAnsi="Arial" w:cs="Arial"/>
              </w:rPr>
            </w:pPr>
            <w:r w:rsidRPr="00CF1B34">
              <w:rPr>
                <w:rFonts w:ascii="Arial" w:hAnsi="Arial" w:cs="Arial"/>
              </w:rPr>
              <w:t>13.5% u 9.0% u 4.8% u 0% / 0%</w:t>
            </w:r>
          </w:p>
        </w:tc>
      </w:tr>
      <w:tr w:rsidR="004149C8" w:rsidRPr="00CF1B34" w14:paraId="19E3C95F" w14:textId="77777777" w:rsidTr="0085182C">
        <w:tc>
          <w:tcPr>
            <w:tcW w:w="1076" w:type="dxa"/>
            <w:shd w:val="clear" w:color="auto" w:fill="FFFFFF"/>
            <w:tcMar>
              <w:top w:w="0" w:type="dxa"/>
              <w:left w:w="0" w:type="dxa"/>
              <w:bottom w:w="0" w:type="dxa"/>
              <w:right w:w="0" w:type="dxa"/>
            </w:tcMar>
            <w:vAlign w:val="center"/>
            <w:hideMark/>
          </w:tcPr>
          <w:p w14:paraId="69C3A47F" w14:textId="77777777" w:rsidR="004149C8" w:rsidRPr="00CF1B34" w:rsidRDefault="004149C8" w:rsidP="0005621A">
            <w:pPr>
              <w:pStyle w:val="Sinespaciado"/>
              <w:jc w:val="both"/>
              <w:rPr>
                <w:rFonts w:ascii="Arial" w:hAnsi="Arial" w:cs="Arial"/>
              </w:rPr>
            </w:pPr>
            <w:r w:rsidRPr="00CF1B34">
              <w:rPr>
                <w:rFonts w:ascii="Arial" w:hAnsi="Arial" w:cs="Arial"/>
              </w:rPr>
              <w:t>Italia</w:t>
            </w:r>
          </w:p>
        </w:tc>
        <w:tc>
          <w:tcPr>
            <w:tcW w:w="0" w:type="auto"/>
            <w:shd w:val="clear" w:color="auto" w:fill="FFFFFF"/>
            <w:tcMar>
              <w:top w:w="0" w:type="dxa"/>
              <w:left w:w="0" w:type="dxa"/>
              <w:bottom w:w="0" w:type="dxa"/>
              <w:right w:w="0" w:type="dxa"/>
            </w:tcMar>
            <w:vAlign w:val="center"/>
            <w:hideMark/>
          </w:tcPr>
          <w:p w14:paraId="118A960C" w14:textId="77777777" w:rsidR="004149C8" w:rsidRPr="00CF1B34" w:rsidRDefault="004149C8" w:rsidP="0005621A">
            <w:pPr>
              <w:pStyle w:val="Sinespaciado"/>
              <w:jc w:val="both"/>
              <w:rPr>
                <w:rFonts w:ascii="Arial" w:hAnsi="Arial" w:cs="Arial"/>
              </w:rPr>
            </w:pPr>
            <w:r w:rsidRPr="00CF1B34">
              <w:rPr>
                <w:rFonts w:ascii="Arial" w:hAnsi="Arial" w:cs="Arial"/>
              </w:rPr>
              <w:t>22%</w:t>
            </w:r>
          </w:p>
        </w:tc>
        <w:tc>
          <w:tcPr>
            <w:tcW w:w="0" w:type="auto"/>
            <w:shd w:val="clear" w:color="auto" w:fill="FFFFFF"/>
            <w:tcMar>
              <w:top w:w="0" w:type="dxa"/>
              <w:left w:w="0" w:type="dxa"/>
              <w:bottom w:w="0" w:type="dxa"/>
              <w:right w:w="0" w:type="dxa"/>
            </w:tcMar>
            <w:vAlign w:val="center"/>
            <w:hideMark/>
          </w:tcPr>
          <w:p w14:paraId="0CAB1225" w14:textId="77777777" w:rsidR="004149C8" w:rsidRPr="00CF1B34" w:rsidRDefault="004149C8" w:rsidP="0005621A">
            <w:pPr>
              <w:pStyle w:val="Sinespaciado"/>
              <w:jc w:val="both"/>
              <w:rPr>
                <w:rFonts w:ascii="Arial" w:hAnsi="Arial" w:cs="Arial"/>
              </w:rPr>
            </w:pPr>
            <w:r w:rsidRPr="00CF1B34">
              <w:rPr>
                <w:rFonts w:ascii="Arial" w:hAnsi="Arial" w:cs="Arial"/>
              </w:rPr>
              <w:t>10% / 4%</w:t>
            </w:r>
          </w:p>
        </w:tc>
      </w:tr>
      <w:tr w:rsidR="004149C8" w:rsidRPr="00CF1B34" w14:paraId="2BC6EFC5" w14:textId="77777777" w:rsidTr="0085182C">
        <w:tc>
          <w:tcPr>
            <w:tcW w:w="1076" w:type="dxa"/>
            <w:shd w:val="clear" w:color="auto" w:fill="FFFFFF"/>
            <w:tcMar>
              <w:top w:w="0" w:type="dxa"/>
              <w:left w:w="0" w:type="dxa"/>
              <w:bottom w:w="0" w:type="dxa"/>
              <w:right w:w="0" w:type="dxa"/>
            </w:tcMar>
            <w:vAlign w:val="center"/>
            <w:hideMark/>
          </w:tcPr>
          <w:p w14:paraId="52B0F044" w14:textId="77777777" w:rsidR="004149C8" w:rsidRPr="00CF1B34" w:rsidRDefault="004149C8" w:rsidP="0005621A">
            <w:pPr>
              <w:pStyle w:val="Sinespaciado"/>
              <w:jc w:val="both"/>
              <w:rPr>
                <w:rFonts w:ascii="Arial" w:hAnsi="Arial" w:cs="Arial"/>
              </w:rPr>
            </w:pPr>
            <w:r w:rsidRPr="00CF1B34">
              <w:rPr>
                <w:rFonts w:ascii="Arial" w:hAnsi="Arial" w:cs="Arial"/>
              </w:rPr>
              <w:t>Letonia</w:t>
            </w:r>
          </w:p>
        </w:tc>
        <w:tc>
          <w:tcPr>
            <w:tcW w:w="0" w:type="auto"/>
            <w:shd w:val="clear" w:color="auto" w:fill="FFFFFF"/>
            <w:tcMar>
              <w:top w:w="0" w:type="dxa"/>
              <w:left w:w="0" w:type="dxa"/>
              <w:bottom w:w="0" w:type="dxa"/>
              <w:right w:w="0" w:type="dxa"/>
            </w:tcMar>
            <w:vAlign w:val="center"/>
            <w:hideMark/>
          </w:tcPr>
          <w:p w14:paraId="68FE47BA" w14:textId="77777777" w:rsidR="004149C8" w:rsidRPr="00CF1B34" w:rsidRDefault="004149C8" w:rsidP="0005621A">
            <w:pPr>
              <w:pStyle w:val="Sinespaciado"/>
              <w:jc w:val="both"/>
              <w:rPr>
                <w:rFonts w:ascii="Arial" w:hAnsi="Arial" w:cs="Arial"/>
              </w:rPr>
            </w:pPr>
            <w:r w:rsidRPr="00CF1B34">
              <w:rPr>
                <w:rFonts w:ascii="Arial" w:hAnsi="Arial" w:cs="Arial"/>
              </w:rPr>
              <w:t>21%</w:t>
            </w:r>
          </w:p>
        </w:tc>
        <w:tc>
          <w:tcPr>
            <w:tcW w:w="0" w:type="auto"/>
            <w:shd w:val="clear" w:color="auto" w:fill="FFFFFF"/>
            <w:tcMar>
              <w:top w:w="0" w:type="dxa"/>
              <w:left w:w="0" w:type="dxa"/>
              <w:bottom w:w="0" w:type="dxa"/>
              <w:right w:w="0" w:type="dxa"/>
            </w:tcMar>
            <w:vAlign w:val="center"/>
            <w:hideMark/>
          </w:tcPr>
          <w:p w14:paraId="7E12A167" w14:textId="77777777" w:rsidR="004149C8" w:rsidRPr="00CF1B34" w:rsidRDefault="004149C8" w:rsidP="0005621A">
            <w:pPr>
              <w:pStyle w:val="Sinespaciado"/>
              <w:jc w:val="both"/>
              <w:rPr>
                <w:rFonts w:ascii="Arial" w:hAnsi="Arial" w:cs="Arial"/>
              </w:rPr>
            </w:pPr>
            <w:r w:rsidRPr="00CF1B34">
              <w:rPr>
                <w:rFonts w:ascii="Arial" w:hAnsi="Arial" w:cs="Arial"/>
              </w:rPr>
              <w:t>12% u 0%</w:t>
            </w:r>
          </w:p>
        </w:tc>
      </w:tr>
      <w:tr w:rsidR="004149C8" w:rsidRPr="00CF1B34" w14:paraId="4BFF1B35" w14:textId="77777777" w:rsidTr="0085182C">
        <w:tc>
          <w:tcPr>
            <w:tcW w:w="1076" w:type="dxa"/>
            <w:shd w:val="clear" w:color="auto" w:fill="FFFFFF"/>
            <w:tcMar>
              <w:top w:w="0" w:type="dxa"/>
              <w:left w:w="0" w:type="dxa"/>
              <w:bottom w:w="0" w:type="dxa"/>
              <w:right w:w="0" w:type="dxa"/>
            </w:tcMar>
            <w:vAlign w:val="center"/>
            <w:hideMark/>
          </w:tcPr>
          <w:p w14:paraId="09E91C15" w14:textId="77777777" w:rsidR="004149C8" w:rsidRPr="00CF1B34" w:rsidRDefault="004149C8" w:rsidP="0005621A">
            <w:pPr>
              <w:pStyle w:val="Sinespaciado"/>
              <w:jc w:val="both"/>
              <w:rPr>
                <w:rFonts w:ascii="Arial" w:hAnsi="Arial" w:cs="Arial"/>
              </w:rPr>
            </w:pPr>
            <w:r w:rsidRPr="00CF1B34">
              <w:rPr>
                <w:rFonts w:ascii="Arial" w:hAnsi="Arial" w:cs="Arial"/>
              </w:rPr>
              <w:t>Lituania</w:t>
            </w:r>
          </w:p>
        </w:tc>
        <w:tc>
          <w:tcPr>
            <w:tcW w:w="0" w:type="auto"/>
            <w:shd w:val="clear" w:color="auto" w:fill="FFFFFF"/>
            <w:tcMar>
              <w:top w:w="0" w:type="dxa"/>
              <w:left w:w="0" w:type="dxa"/>
              <w:bottom w:w="0" w:type="dxa"/>
              <w:right w:w="0" w:type="dxa"/>
            </w:tcMar>
            <w:vAlign w:val="center"/>
            <w:hideMark/>
          </w:tcPr>
          <w:p w14:paraId="4EE6F7FE" w14:textId="77777777" w:rsidR="004149C8" w:rsidRPr="00CF1B34" w:rsidRDefault="004149C8" w:rsidP="0005621A">
            <w:pPr>
              <w:pStyle w:val="Sinespaciado"/>
              <w:jc w:val="both"/>
              <w:rPr>
                <w:rFonts w:ascii="Arial" w:hAnsi="Arial" w:cs="Arial"/>
              </w:rPr>
            </w:pPr>
            <w:r w:rsidRPr="00CF1B34">
              <w:rPr>
                <w:rFonts w:ascii="Arial" w:hAnsi="Arial" w:cs="Arial"/>
              </w:rPr>
              <w:t>21%</w:t>
            </w:r>
          </w:p>
        </w:tc>
        <w:tc>
          <w:tcPr>
            <w:tcW w:w="0" w:type="auto"/>
            <w:shd w:val="clear" w:color="auto" w:fill="FFFFFF"/>
            <w:tcMar>
              <w:top w:w="0" w:type="dxa"/>
              <w:left w:w="0" w:type="dxa"/>
              <w:bottom w:w="0" w:type="dxa"/>
              <w:right w:w="0" w:type="dxa"/>
            </w:tcMar>
            <w:vAlign w:val="center"/>
            <w:hideMark/>
          </w:tcPr>
          <w:p w14:paraId="0DC4A51E" w14:textId="77777777" w:rsidR="004149C8" w:rsidRPr="00CF1B34" w:rsidRDefault="004149C8" w:rsidP="0005621A">
            <w:pPr>
              <w:pStyle w:val="Sinespaciado"/>
              <w:jc w:val="both"/>
              <w:rPr>
                <w:rFonts w:ascii="Arial" w:hAnsi="Arial" w:cs="Arial"/>
              </w:rPr>
            </w:pPr>
            <w:r w:rsidRPr="00CF1B34">
              <w:rPr>
                <w:rFonts w:ascii="Arial" w:hAnsi="Arial" w:cs="Arial"/>
              </w:rPr>
              <w:t>9% u 0,5%</w:t>
            </w:r>
          </w:p>
        </w:tc>
      </w:tr>
      <w:tr w:rsidR="004149C8" w:rsidRPr="00CF1B34" w14:paraId="1C601CDB" w14:textId="77777777" w:rsidTr="0085182C">
        <w:tc>
          <w:tcPr>
            <w:tcW w:w="1076" w:type="dxa"/>
            <w:shd w:val="clear" w:color="auto" w:fill="FFFFFF"/>
            <w:tcMar>
              <w:top w:w="0" w:type="dxa"/>
              <w:left w:w="0" w:type="dxa"/>
              <w:bottom w:w="0" w:type="dxa"/>
              <w:right w:w="0" w:type="dxa"/>
            </w:tcMar>
            <w:vAlign w:val="center"/>
            <w:hideMark/>
          </w:tcPr>
          <w:p w14:paraId="14C399A5" w14:textId="77777777" w:rsidR="004149C8" w:rsidRPr="00CF1B34" w:rsidRDefault="004149C8" w:rsidP="0005621A">
            <w:pPr>
              <w:pStyle w:val="Sinespaciado"/>
              <w:jc w:val="both"/>
              <w:rPr>
                <w:rFonts w:ascii="Arial" w:hAnsi="Arial" w:cs="Arial"/>
              </w:rPr>
            </w:pPr>
            <w:r w:rsidRPr="00CF1B34">
              <w:rPr>
                <w:rFonts w:ascii="Arial" w:hAnsi="Arial" w:cs="Arial"/>
              </w:rPr>
              <w:t>Luxemburgo</w:t>
            </w:r>
          </w:p>
        </w:tc>
        <w:tc>
          <w:tcPr>
            <w:tcW w:w="0" w:type="auto"/>
            <w:shd w:val="clear" w:color="auto" w:fill="FFFFFF"/>
            <w:tcMar>
              <w:top w:w="0" w:type="dxa"/>
              <w:left w:w="0" w:type="dxa"/>
              <w:bottom w:w="0" w:type="dxa"/>
              <w:right w:w="0" w:type="dxa"/>
            </w:tcMar>
            <w:vAlign w:val="center"/>
            <w:hideMark/>
          </w:tcPr>
          <w:p w14:paraId="2EEA1D2B" w14:textId="77777777" w:rsidR="004149C8" w:rsidRPr="00CF1B34" w:rsidRDefault="004149C8" w:rsidP="0005621A">
            <w:pPr>
              <w:pStyle w:val="Sinespaciado"/>
              <w:jc w:val="both"/>
              <w:rPr>
                <w:rFonts w:ascii="Arial" w:hAnsi="Arial" w:cs="Arial"/>
              </w:rPr>
            </w:pPr>
            <w:r w:rsidRPr="00CF1B34">
              <w:rPr>
                <w:rFonts w:ascii="Arial" w:hAnsi="Arial" w:cs="Arial"/>
              </w:rPr>
              <w:t>15%</w:t>
            </w:r>
          </w:p>
        </w:tc>
        <w:tc>
          <w:tcPr>
            <w:tcW w:w="0" w:type="auto"/>
            <w:shd w:val="clear" w:color="auto" w:fill="FFFFFF"/>
            <w:tcMar>
              <w:top w:w="0" w:type="dxa"/>
              <w:left w:w="0" w:type="dxa"/>
              <w:bottom w:w="0" w:type="dxa"/>
              <w:right w:w="0" w:type="dxa"/>
            </w:tcMar>
            <w:vAlign w:val="center"/>
            <w:hideMark/>
          </w:tcPr>
          <w:p w14:paraId="666DC65F" w14:textId="77777777" w:rsidR="004149C8" w:rsidRPr="00CF1B34" w:rsidRDefault="004149C8" w:rsidP="0005621A">
            <w:pPr>
              <w:pStyle w:val="Sinespaciado"/>
              <w:jc w:val="both"/>
              <w:rPr>
                <w:rFonts w:ascii="Arial" w:hAnsi="Arial" w:cs="Arial"/>
              </w:rPr>
            </w:pPr>
            <w:r w:rsidRPr="00CF1B34">
              <w:rPr>
                <w:rFonts w:ascii="Arial" w:hAnsi="Arial" w:cs="Arial"/>
              </w:rPr>
              <w:t>6% / 3% (12% Parking)</w:t>
            </w:r>
          </w:p>
        </w:tc>
      </w:tr>
      <w:tr w:rsidR="004149C8" w:rsidRPr="00CF1B34" w14:paraId="0C2B2BD7" w14:textId="77777777" w:rsidTr="0085182C">
        <w:tc>
          <w:tcPr>
            <w:tcW w:w="1076" w:type="dxa"/>
            <w:shd w:val="clear" w:color="auto" w:fill="FFFFFF"/>
            <w:tcMar>
              <w:top w:w="0" w:type="dxa"/>
              <w:left w:w="0" w:type="dxa"/>
              <w:bottom w:w="0" w:type="dxa"/>
              <w:right w:w="0" w:type="dxa"/>
            </w:tcMar>
            <w:vAlign w:val="center"/>
            <w:hideMark/>
          </w:tcPr>
          <w:p w14:paraId="2E3FB814" w14:textId="77777777" w:rsidR="004149C8" w:rsidRPr="00CF1B34" w:rsidRDefault="004149C8" w:rsidP="0005621A">
            <w:pPr>
              <w:pStyle w:val="Sinespaciado"/>
              <w:jc w:val="both"/>
              <w:rPr>
                <w:rFonts w:ascii="Arial" w:hAnsi="Arial" w:cs="Arial"/>
              </w:rPr>
            </w:pPr>
            <w:r w:rsidRPr="00CF1B34">
              <w:rPr>
                <w:rFonts w:ascii="Arial" w:hAnsi="Arial" w:cs="Arial"/>
              </w:rPr>
              <w:t>Malta</w:t>
            </w:r>
          </w:p>
        </w:tc>
        <w:tc>
          <w:tcPr>
            <w:tcW w:w="0" w:type="auto"/>
            <w:shd w:val="clear" w:color="auto" w:fill="FFFFFF"/>
            <w:tcMar>
              <w:top w:w="0" w:type="dxa"/>
              <w:left w:w="0" w:type="dxa"/>
              <w:bottom w:w="0" w:type="dxa"/>
              <w:right w:w="0" w:type="dxa"/>
            </w:tcMar>
            <w:vAlign w:val="center"/>
            <w:hideMark/>
          </w:tcPr>
          <w:p w14:paraId="5D85ABC9" w14:textId="77777777" w:rsidR="004149C8" w:rsidRPr="00CF1B34" w:rsidRDefault="004149C8" w:rsidP="0005621A">
            <w:pPr>
              <w:pStyle w:val="Sinespaciado"/>
              <w:jc w:val="both"/>
              <w:rPr>
                <w:rFonts w:ascii="Arial" w:hAnsi="Arial" w:cs="Arial"/>
              </w:rPr>
            </w:pPr>
            <w:r w:rsidRPr="00CF1B34">
              <w:rPr>
                <w:rFonts w:ascii="Arial" w:hAnsi="Arial" w:cs="Arial"/>
              </w:rPr>
              <w:t>18%</w:t>
            </w:r>
          </w:p>
        </w:tc>
        <w:tc>
          <w:tcPr>
            <w:tcW w:w="0" w:type="auto"/>
            <w:shd w:val="clear" w:color="auto" w:fill="FFFFFF"/>
            <w:tcMar>
              <w:top w:w="0" w:type="dxa"/>
              <w:left w:w="0" w:type="dxa"/>
              <w:bottom w:w="0" w:type="dxa"/>
              <w:right w:w="0" w:type="dxa"/>
            </w:tcMar>
            <w:vAlign w:val="center"/>
            <w:hideMark/>
          </w:tcPr>
          <w:p w14:paraId="6C1C13A9" w14:textId="77777777" w:rsidR="004149C8" w:rsidRPr="00CF1B34" w:rsidRDefault="004149C8" w:rsidP="0005621A">
            <w:pPr>
              <w:pStyle w:val="Sinespaciado"/>
              <w:jc w:val="both"/>
              <w:rPr>
                <w:rFonts w:ascii="Arial" w:hAnsi="Arial" w:cs="Arial"/>
              </w:rPr>
            </w:pPr>
            <w:r w:rsidRPr="00CF1B34">
              <w:rPr>
                <w:rFonts w:ascii="Arial" w:hAnsi="Arial" w:cs="Arial"/>
              </w:rPr>
              <w:t>5%</w:t>
            </w:r>
          </w:p>
        </w:tc>
      </w:tr>
      <w:tr w:rsidR="004149C8" w:rsidRPr="00CF1B34" w14:paraId="58AB5910" w14:textId="77777777" w:rsidTr="0085182C">
        <w:tc>
          <w:tcPr>
            <w:tcW w:w="1076" w:type="dxa"/>
            <w:shd w:val="clear" w:color="auto" w:fill="FFFFFF"/>
            <w:tcMar>
              <w:top w:w="0" w:type="dxa"/>
              <w:left w:w="0" w:type="dxa"/>
              <w:bottom w:w="0" w:type="dxa"/>
              <w:right w:w="0" w:type="dxa"/>
            </w:tcMar>
            <w:vAlign w:val="center"/>
            <w:hideMark/>
          </w:tcPr>
          <w:p w14:paraId="6F3D8AE1" w14:textId="77777777" w:rsidR="004149C8" w:rsidRPr="00CF1B34" w:rsidRDefault="004149C8" w:rsidP="0005621A">
            <w:pPr>
              <w:pStyle w:val="Sinespaciado"/>
              <w:jc w:val="both"/>
              <w:rPr>
                <w:rFonts w:ascii="Arial" w:hAnsi="Arial" w:cs="Arial"/>
              </w:rPr>
            </w:pPr>
            <w:r w:rsidRPr="00CF1B34">
              <w:rPr>
                <w:rFonts w:ascii="Arial" w:hAnsi="Arial" w:cs="Arial"/>
              </w:rPr>
              <w:t>Países Bajos</w:t>
            </w:r>
          </w:p>
        </w:tc>
        <w:tc>
          <w:tcPr>
            <w:tcW w:w="0" w:type="auto"/>
            <w:shd w:val="clear" w:color="auto" w:fill="FFFFFF"/>
            <w:tcMar>
              <w:top w:w="0" w:type="dxa"/>
              <w:left w:w="0" w:type="dxa"/>
              <w:bottom w:w="0" w:type="dxa"/>
              <w:right w:w="0" w:type="dxa"/>
            </w:tcMar>
            <w:vAlign w:val="center"/>
            <w:hideMark/>
          </w:tcPr>
          <w:p w14:paraId="2705C749" w14:textId="77777777" w:rsidR="004149C8" w:rsidRPr="00CF1B34" w:rsidRDefault="004149C8" w:rsidP="0005621A">
            <w:pPr>
              <w:pStyle w:val="Sinespaciado"/>
              <w:jc w:val="both"/>
              <w:rPr>
                <w:rFonts w:ascii="Arial" w:hAnsi="Arial" w:cs="Arial"/>
              </w:rPr>
            </w:pPr>
            <w:r w:rsidRPr="00CF1B34">
              <w:rPr>
                <w:rFonts w:ascii="Arial" w:hAnsi="Arial" w:cs="Arial"/>
              </w:rPr>
              <w:t>21%</w:t>
            </w:r>
          </w:p>
        </w:tc>
        <w:tc>
          <w:tcPr>
            <w:tcW w:w="0" w:type="auto"/>
            <w:shd w:val="clear" w:color="auto" w:fill="FFFFFF"/>
            <w:tcMar>
              <w:top w:w="0" w:type="dxa"/>
              <w:left w:w="0" w:type="dxa"/>
              <w:bottom w:w="0" w:type="dxa"/>
              <w:right w:w="0" w:type="dxa"/>
            </w:tcMar>
            <w:vAlign w:val="center"/>
            <w:hideMark/>
          </w:tcPr>
          <w:p w14:paraId="23BB0494" w14:textId="77777777" w:rsidR="004149C8" w:rsidRPr="00CF1B34" w:rsidRDefault="004149C8" w:rsidP="0005621A">
            <w:pPr>
              <w:pStyle w:val="Sinespaciado"/>
              <w:jc w:val="both"/>
              <w:rPr>
                <w:rFonts w:ascii="Arial" w:hAnsi="Arial" w:cs="Arial"/>
              </w:rPr>
            </w:pPr>
            <w:r w:rsidRPr="00CF1B34">
              <w:rPr>
                <w:rFonts w:ascii="Arial" w:hAnsi="Arial" w:cs="Arial"/>
              </w:rPr>
              <w:t>6%</w:t>
            </w:r>
          </w:p>
        </w:tc>
      </w:tr>
      <w:tr w:rsidR="004149C8" w:rsidRPr="00CF1B34" w14:paraId="5C4BC022" w14:textId="77777777" w:rsidTr="0085182C">
        <w:tc>
          <w:tcPr>
            <w:tcW w:w="1076" w:type="dxa"/>
            <w:shd w:val="clear" w:color="auto" w:fill="FFFFFF"/>
            <w:tcMar>
              <w:top w:w="0" w:type="dxa"/>
              <w:left w:w="0" w:type="dxa"/>
              <w:bottom w:w="0" w:type="dxa"/>
              <w:right w:w="0" w:type="dxa"/>
            </w:tcMar>
            <w:vAlign w:val="center"/>
            <w:hideMark/>
          </w:tcPr>
          <w:p w14:paraId="4084969A" w14:textId="77777777" w:rsidR="004149C8" w:rsidRPr="00CF1B34" w:rsidRDefault="004149C8" w:rsidP="0005621A">
            <w:pPr>
              <w:pStyle w:val="Sinespaciado"/>
              <w:jc w:val="both"/>
              <w:rPr>
                <w:rFonts w:ascii="Arial" w:hAnsi="Arial" w:cs="Arial"/>
              </w:rPr>
            </w:pPr>
            <w:r w:rsidRPr="00CF1B34">
              <w:rPr>
                <w:rFonts w:ascii="Arial" w:hAnsi="Arial" w:cs="Arial"/>
              </w:rPr>
              <w:t>Polonia</w:t>
            </w:r>
          </w:p>
        </w:tc>
        <w:tc>
          <w:tcPr>
            <w:tcW w:w="0" w:type="auto"/>
            <w:shd w:val="clear" w:color="auto" w:fill="FFFFFF"/>
            <w:tcMar>
              <w:top w:w="0" w:type="dxa"/>
              <w:left w:w="0" w:type="dxa"/>
              <w:bottom w:w="0" w:type="dxa"/>
              <w:right w:w="0" w:type="dxa"/>
            </w:tcMar>
            <w:vAlign w:val="center"/>
            <w:hideMark/>
          </w:tcPr>
          <w:p w14:paraId="399258FA" w14:textId="77777777" w:rsidR="004149C8" w:rsidRPr="00CF1B34" w:rsidRDefault="004149C8" w:rsidP="0005621A">
            <w:pPr>
              <w:pStyle w:val="Sinespaciado"/>
              <w:jc w:val="both"/>
              <w:rPr>
                <w:rFonts w:ascii="Arial" w:hAnsi="Arial" w:cs="Arial"/>
              </w:rPr>
            </w:pPr>
            <w:r w:rsidRPr="00CF1B34">
              <w:rPr>
                <w:rFonts w:ascii="Arial" w:hAnsi="Arial" w:cs="Arial"/>
              </w:rPr>
              <w:t>23%</w:t>
            </w:r>
          </w:p>
        </w:tc>
        <w:tc>
          <w:tcPr>
            <w:tcW w:w="0" w:type="auto"/>
            <w:shd w:val="clear" w:color="auto" w:fill="FFFFFF"/>
            <w:tcMar>
              <w:top w:w="0" w:type="dxa"/>
              <w:left w:w="0" w:type="dxa"/>
              <w:bottom w:w="0" w:type="dxa"/>
              <w:right w:w="0" w:type="dxa"/>
            </w:tcMar>
            <w:vAlign w:val="center"/>
            <w:hideMark/>
          </w:tcPr>
          <w:p w14:paraId="3E6C5027" w14:textId="77777777" w:rsidR="004149C8" w:rsidRPr="00CF1B34" w:rsidRDefault="004149C8" w:rsidP="0005621A">
            <w:pPr>
              <w:pStyle w:val="Sinespaciado"/>
              <w:jc w:val="both"/>
              <w:rPr>
                <w:rFonts w:ascii="Arial" w:hAnsi="Arial" w:cs="Arial"/>
              </w:rPr>
            </w:pPr>
            <w:r w:rsidRPr="00CF1B34">
              <w:rPr>
                <w:rFonts w:ascii="Arial" w:hAnsi="Arial" w:cs="Arial"/>
              </w:rPr>
              <w:t>8% / 5%</w:t>
            </w:r>
          </w:p>
        </w:tc>
      </w:tr>
      <w:tr w:rsidR="004149C8" w:rsidRPr="00CF1B34" w14:paraId="40C7781B" w14:textId="77777777" w:rsidTr="0085182C">
        <w:tc>
          <w:tcPr>
            <w:tcW w:w="1076" w:type="dxa"/>
            <w:shd w:val="clear" w:color="auto" w:fill="FFFFFF"/>
            <w:tcMar>
              <w:top w:w="0" w:type="dxa"/>
              <w:left w:w="0" w:type="dxa"/>
              <w:bottom w:w="0" w:type="dxa"/>
              <w:right w:w="0" w:type="dxa"/>
            </w:tcMar>
            <w:vAlign w:val="center"/>
            <w:hideMark/>
          </w:tcPr>
          <w:p w14:paraId="6116BBA1" w14:textId="77777777" w:rsidR="004149C8" w:rsidRPr="00CF1B34" w:rsidRDefault="004149C8" w:rsidP="0005621A">
            <w:pPr>
              <w:pStyle w:val="Sinespaciado"/>
              <w:jc w:val="both"/>
              <w:rPr>
                <w:rFonts w:ascii="Arial" w:hAnsi="Arial" w:cs="Arial"/>
              </w:rPr>
            </w:pPr>
            <w:r w:rsidRPr="00CF1B34">
              <w:rPr>
                <w:rFonts w:ascii="Arial" w:hAnsi="Arial" w:cs="Arial"/>
              </w:rPr>
              <w:t>Portugal</w:t>
            </w:r>
          </w:p>
        </w:tc>
        <w:tc>
          <w:tcPr>
            <w:tcW w:w="0" w:type="auto"/>
            <w:shd w:val="clear" w:color="auto" w:fill="FFFFFF"/>
            <w:tcMar>
              <w:top w:w="0" w:type="dxa"/>
              <w:left w:w="0" w:type="dxa"/>
              <w:bottom w:w="0" w:type="dxa"/>
              <w:right w:w="0" w:type="dxa"/>
            </w:tcMar>
            <w:vAlign w:val="center"/>
            <w:hideMark/>
          </w:tcPr>
          <w:p w14:paraId="4029032E" w14:textId="77777777" w:rsidR="004149C8" w:rsidRPr="00CF1B34" w:rsidRDefault="004149C8" w:rsidP="0005621A">
            <w:pPr>
              <w:pStyle w:val="Sinespaciado"/>
              <w:jc w:val="both"/>
              <w:rPr>
                <w:rFonts w:ascii="Arial" w:hAnsi="Arial" w:cs="Arial"/>
              </w:rPr>
            </w:pPr>
            <w:r w:rsidRPr="00CF1B34">
              <w:rPr>
                <w:rFonts w:ascii="Arial" w:hAnsi="Arial" w:cs="Arial"/>
              </w:rPr>
              <w:t>23%</w:t>
            </w:r>
          </w:p>
        </w:tc>
        <w:tc>
          <w:tcPr>
            <w:tcW w:w="0" w:type="auto"/>
            <w:shd w:val="clear" w:color="auto" w:fill="FFFFFF"/>
            <w:tcMar>
              <w:top w:w="0" w:type="dxa"/>
              <w:left w:w="0" w:type="dxa"/>
              <w:bottom w:w="0" w:type="dxa"/>
              <w:right w:w="0" w:type="dxa"/>
            </w:tcMar>
            <w:vAlign w:val="center"/>
            <w:hideMark/>
          </w:tcPr>
          <w:p w14:paraId="006BC093" w14:textId="77777777" w:rsidR="004149C8" w:rsidRPr="00CF1B34" w:rsidRDefault="004149C8" w:rsidP="0005621A">
            <w:pPr>
              <w:pStyle w:val="Sinespaciado"/>
              <w:jc w:val="both"/>
              <w:rPr>
                <w:rFonts w:ascii="Arial" w:hAnsi="Arial" w:cs="Arial"/>
              </w:rPr>
            </w:pPr>
            <w:r w:rsidRPr="00CF1B34">
              <w:rPr>
                <w:rFonts w:ascii="Arial" w:hAnsi="Arial" w:cs="Arial"/>
              </w:rPr>
              <w:t>13% u 6%</w:t>
            </w:r>
          </w:p>
        </w:tc>
      </w:tr>
      <w:tr w:rsidR="004149C8" w:rsidRPr="00CF1B34" w14:paraId="1D165003" w14:textId="77777777" w:rsidTr="0085182C">
        <w:tc>
          <w:tcPr>
            <w:tcW w:w="1076" w:type="dxa"/>
            <w:shd w:val="clear" w:color="auto" w:fill="FFFFFF"/>
            <w:tcMar>
              <w:top w:w="0" w:type="dxa"/>
              <w:left w:w="0" w:type="dxa"/>
              <w:bottom w:w="0" w:type="dxa"/>
              <w:right w:w="0" w:type="dxa"/>
            </w:tcMar>
            <w:vAlign w:val="center"/>
            <w:hideMark/>
          </w:tcPr>
          <w:p w14:paraId="3F578032" w14:textId="77777777" w:rsidR="004149C8" w:rsidRPr="00CF1B34" w:rsidRDefault="004149C8" w:rsidP="0005621A">
            <w:pPr>
              <w:pStyle w:val="Sinespaciado"/>
              <w:jc w:val="both"/>
              <w:rPr>
                <w:rFonts w:ascii="Arial" w:hAnsi="Arial" w:cs="Arial"/>
              </w:rPr>
            </w:pPr>
            <w:r w:rsidRPr="00CF1B34">
              <w:rPr>
                <w:rFonts w:ascii="Arial" w:hAnsi="Arial" w:cs="Arial"/>
              </w:rPr>
              <w:t>Reino Unido</w:t>
            </w:r>
          </w:p>
        </w:tc>
        <w:tc>
          <w:tcPr>
            <w:tcW w:w="0" w:type="auto"/>
            <w:shd w:val="clear" w:color="auto" w:fill="FFFFFF"/>
            <w:tcMar>
              <w:top w:w="0" w:type="dxa"/>
              <w:left w:w="0" w:type="dxa"/>
              <w:bottom w:w="0" w:type="dxa"/>
              <w:right w:w="0" w:type="dxa"/>
            </w:tcMar>
            <w:vAlign w:val="center"/>
            <w:hideMark/>
          </w:tcPr>
          <w:p w14:paraId="1ADDE20C" w14:textId="77777777" w:rsidR="004149C8" w:rsidRPr="00CF1B34" w:rsidRDefault="004149C8" w:rsidP="0005621A">
            <w:pPr>
              <w:pStyle w:val="Sinespaciado"/>
              <w:jc w:val="both"/>
              <w:rPr>
                <w:rFonts w:ascii="Arial" w:hAnsi="Arial" w:cs="Arial"/>
              </w:rPr>
            </w:pPr>
            <w:r w:rsidRPr="00CF1B34">
              <w:rPr>
                <w:rFonts w:ascii="Arial" w:hAnsi="Arial" w:cs="Arial"/>
              </w:rPr>
              <w:t>20%</w:t>
            </w:r>
          </w:p>
        </w:tc>
        <w:tc>
          <w:tcPr>
            <w:tcW w:w="0" w:type="auto"/>
            <w:shd w:val="clear" w:color="auto" w:fill="FFFFFF"/>
            <w:tcMar>
              <w:top w:w="0" w:type="dxa"/>
              <w:left w:w="0" w:type="dxa"/>
              <w:bottom w:w="0" w:type="dxa"/>
              <w:right w:w="0" w:type="dxa"/>
            </w:tcMar>
            <w:vAlign w:val="center"/>
            <w:hideMark/>
          </w:tcPr>
          <w:p w14:paraId="4D359EB4" w14:textId="77777777" w:rsidR="004149C8" w:rsidRPr="00CF1B34" w:rsidRDefault="004149C8" w:rsidP="0005621A">
            <w:pPr>
              <w:pStyle w:val="Sinespaciado"/>
              <w:jc w:val="both"/>
              <w:rPr>
                <w:rFonts w:ascii="Arial" w:hAnsi="Arial" w:cs="Arial"/>
              </w:rPr>
            </w:pPr>
            <w:r w:rsidRPr="00CF1B34">
              <w:rPr>
                <w:rFonts w:ascii="Arial" w:hAnsi="Arial" w:cs="Arial"/>
              </w:rPr>
              <w:t>5% u 0%</w:t>
            </w:r>
          </w:p>
        </w:tc>
      </w:tr>
      <w:tr w:rsidR="004149C8" w:rsidRPr="00CF1B34" w14:paraId="7C6264E8" w14:textId="77777777" w:rsidTr="0085182C">
        <w:tc>
          <w:tcPr>
            <w:tcW w:w="1076" w:type="dxa"/>
            <w:shd w:val="clear" w:color="auto" w:fill="FFFFFF"/>
            <w:tcMar>
              <w:top w:w="0" w:type="dxa"/>
              <w:left w:w="0" w:type="dxa"/>
              <w:bottom w:w="0" w:type="dxa"/>
              <w:right w:w="0" w:type="dxa"/>
            </w:tcMar>
            <w:vAlign w:val="center"/>
            <w:hideMark/>
          </w:tcPr>
          <w:p w14:paraId="7C0836C9" w14:textId="77777777" w:rsidR="004149C8" w:rsidRPr="00CF1B34" w:rsidRDefault="004149C8" w:rsidP="0005621A">
            <w:pPr>
              <w:pStyle w:val="Sinespaciado"/>
              <w:jc w:val="both"/>
              <w:rPr>
                <w:rFonts w:ascii="Arial" w:hAnsi="Arial" w:cs="Arial"/>
              </w:rPr>
            </w:pPr>
            <w:r w:rsidRPr="00CF1B34">
              <w:rPr>
                <w:rFonts w:ascii="Arial" w:hAnsi="Arial" w:cs="Arial"/>
              </w:rPr>
              <w:t>República Checa</w:t>
            </w:r>
          </w:p>
        </w:tc>
        <w:tc>
          <w:tcPr>
            <w:tcW w:w="0" w:type="auto"/>
            <w:shd w:val="clear" w:color="auto" w:fill="FFFFFF"/>
            <w:tcMar>
              <w:top w:w="0" w:type="dxa"/>
              <w:left w:w="0" w:type="dxa"/>
              <w:bottom w:w="0" w:type="dxa"/>
              <w:right w:w="0" w:type="dxa"/>
            </w:tcMar>
            <w:vAlign w:val="center"/>
            <w:hideMark/>
          </w:tcPr>
          <w:p w14:paraId="622AC9F5" w14:textId="77777777" w:rsidR="004149C8" w:rsidRPr="00CF1B34" w:rsidRDefault="004149C8" w:rsidP="0005621A">
            <w:pPr>
              <w:pStyle w:val="Sinespaciado"/>
              <w:jc w:val="both"/>
              <w:rPr>
                <w:rFonts w:ascii="Arial" w:hAnsi="Arial" w:cs="Arial"/>
              </w:rPr>
            </w:pPr>
            <w:r w:rsidRPr="00CF1B34">
              <w:rPr>
                <w:rFonts w:ascii="Arial" w:hAnsi="Arial" w:cs="Arial"/>
              </w:rPr>
              <w:t>20%</w:t>
            </w:r>
          </w:p>
        </w:tc>
        <w:tc>
          <w:tcPr>
            <w:tcW w:w="0" w:type="auto"/>
            <w:shd w:val="clear" w:color="auto" w:fill="FFFFFF"/>
            <w:tcMar>
              <w:top w:w="0" w:type="dxa"/>
              <w:left w:w="0" w:type="dxa"/>
              <w:bottom w:w="0" w:type="dxa"/>
              <w:right w:w="0" w:type="dxa"/>
            </w:tcMar>
            <w:vAlign w:val="center"/>
            <w:hideMark/>
          </w:tcPr>
          <w:p w14:paraId="1E92AF79" w14:textId="77777777" w:rsidR="004149C8" w:rsidRPr="00CF1B34" w:rsidRDefault="004149C8" w:rsidP="0005621A">
            <w:pPr>
              <w:pStyle w:val="Sinespaciado"/>
              <w:jc w:val="both"/>
              <w:rPr>
                <w:rFonts w:ascii="Arial" w:hAnsi="Arial" w:cs="Arial"/>
              </w:rPr>
            </w:pPr>
            <w:r w:rsidRPr="00CF1B34">
              <w:rPr>
                <w:rFonts w:ascii="Arial" w:hAnsi="Arial" w:cs="Arial"/>
              </w:rPr>
              <w:t>14%</w:t>
            </w:r>
          </w:p>
        </w:tc>
      </w:tr>
      <w:tr w:rsidR="004149C8" w:rsidRPr="00CF1B34" w14:paraId="28CF1A05" w14:textId="77777777" w:rsidTr="0085182C">
        <w:tc>
          <w:tcPr>
            <w:tcW w:w="1076" w:type="dxa"/>
            <w:shd w:val="clear" w:color="auto" w:fill="FFFFFF"/>
            <w:tcMar>
              <w:top w:w="0" w:type="dxa"/>
              <w:left w:w="0" w:type="dxa"/>
              <w:bottom w:w="0" w:type="dxa"/>
              <w:right w:w="0" w:type="dxa"/>
            </w:tcMar>
            <w:vAlign w:val="center"/>
            <w:hideMark/>
          </w:tcPr>
          <w:p w14:paraId="65C62213" w14:textId="77777777" w:rsidR="004149C8" w:rsidRPr="00CF1B34" w:rsidRDefault="004149C8" w:rsidP="0005621A">
            <w:pPr>
              <w:pStyle w:val="Sinespaciado"/>
              <w:jc w:val="both"/>
              <w:rPr>
                <w:rFonts w:ascii="Arial" w:hAnsi="Arial" w:cs="Arial"/>
              </w:rPr>
            </w:pPr>
            <w:r w:rsidRPr="00CF1B34">
              <w:rPr>
                <w:rFonts w:ascii="Arial" w:hAnsi="Arial" w:cs="Arial"/>
              </w:rPr>
              <w:t>Rumanía</w:t>
            </w:r>
          </w:p>
        </w:tc>
        <w:tc>
          <w:tcPr>
            <w:tcW w:w="0" w:type="auto"/>
            <w:shd w:val="clear" w:color="auto" w:fill="FFFFFF"/>
            <w:tcMar>
              <w:top w:w="0" w:type="dxa"/>
              <w:left w:w="0" w:type="dxa"/>
              <w:bottom w:w="0" w:type="dxa"/>
              <w:right w:w="0" w:type="dxa"/>
            </w:tcMar>
            <w:vAlign w:val="center"/>
            <w:hideMark/>
          </w:tcPr>
          <w:p w14:paraId="7D160E3D" w14:textId="77777777" w:rsidR="004149C8" w:rsidRPr="00CF1B34" w:rsidRDefault="004149C8" w:rsidP="0005621A">
            <w:pPr>
              <w:pStyle w:val="Sinespaciado"/>
              <w:jc w:val="both"/>
              <w:rPr>
                <w:rFonts w:ascii="Arial" w:hAnsi="Arial" w:cs="Arial"/>
              </w:rPr>
            </w:pPr>
            <w:r w:rsidRPr="00CF1B34">
              <w:rPr>
                <w:rFonts w:ascii="Arial" w:hAnsi="Arial" w:cs="Arial"/>
              </w:rPr>
              <w:t>24%</w:t>
            </w:r>
          </w:p>
        </w:tc>
        <w:tc>
          <w:tcPr>
            <w:tcW w:w="0" w:type="auto"/>
            <w:shd w:val="clear" w:color="auto" w:fill="FFFFFF"/>
            <w:tcMar>
              <w:top w:w="0" w:type="dxa"/>
              <w:left w:w="0" w:type="dxa"/>
              <w:bottom w:w="0" w:type="dxa"/>
              <w:right w:w="0" w:type="dxa"/>
            </w:tcMar>
            <w:vAlign w:val="center"/>
            <w:hideMark/>
          </w:tcPr>
          <w:p w14:paraId="522D241C" w14:textId="77777777" w:rsidR="004149C8" w:rsidRPr="00CF1B34" w:rsidRDefault="004149C8" w:rsidP="0005621A">
            <w:pPr>
              <w:pStyle w:val="Sinespaciado"/>
              <w:jc w:val="both"/>
              <w:rPr>
                <w:rFonts w:ascii="Arial" w:hAnsi="Arial" w:cs="Arial"/>
              </w:rPr>
            </w:pPr>
            <w:r w:rsidRPr="00CF1B34">
              <w:rPr>
                <w:rFonts w:ascii="Arial" w:hAnsi="Arial" w:cs="Arial"/>
              </w:rPr>
              <w:t>9%</w:t>
            </w:r>
          </w:p>
        </w:tc>
      </w:tr>
      <w:tr w:rsidR="004149C8" w:rsidRPr="00CF1B34" w14:paraId="7EEB58A0" w14:textId="77777777" w:rsidTr="0085182C">
        <w:tc>
          <w:tcPr>
            <w:tcW w:w="1076" w:type="dxa"/>
            <w:shd w:val="clear" w:color="auto" w:fill="FFFFFF"/>
            <w:tcMar>
              <w:top w:w="0" w:type="dxa"/>
              <w:left w:w="0" w:type="dxa"/>
              <w:bottom w:w="0" w:type="dxa"/>
              <w:right w:w="0" w:type="dxa"/>
            </w:tcMar>
            <w:vAlign w:val="center"/>
            <w:hideMark/>
          </w:tcPr>
          <w:p w14:paraId="2C25EF1C" w14:textId="77777777" w:rsidR="004149C8" w:rsidRPr="00CF1B34" w:rsidRDefault="004149C8" w:rsidP="0005621A">
            <w:pPr>
              <w:pStyle w:val="Sinespaciado"/>
              <w:jc w:val="both"/>
              <w:rPr>
                <w:rFonts w:ascii="Arial" w:hAnsi="Arial" w:cs="Arial"/>
              </w:rPr>
            </w:pPr>
            <w:r w:rsidRPr="00CF1B34">
              <w:rPr>
                <w:rFonts w:ascii="Arial" w:hAnsi="Arial" w:cs="Arial"/>
              </w:rPr>
              <w:t>Suecia</w:t>
            </w:r>
          </w:p>
        </w:tc>
        <w:tc>
          <w:tcPr>
            <w:tcW w:w="0" w:type="auto"/>
            <w:shd w:val="clear" w:color="auto" w:fill="FFFFFF"/>
            <w:tcMar>
              <w:top w:w="0" w:type="dxa"/>
              <w:left w:w="0" w:type="dxa"/>
              <w:bottom w:w="0" w:type="dxa"/>
              <w:right w:w="0" w:type="dxa"/>
            </w:tcMar>
            <w:vAlign w:val="center"/>
            <w:hideMark/>
          </w:tcPr>
          <w:p w14:paraId="4652CEFA" w14:textId="77777777" w:rsidR="004149C8" w:rsidRPr="00CF1B34" w:rsidRDefault="004149C8" w:rsidP="0005621A">
            <w:pPr>
              <w:pStyle w:val="Sinespaciado"/>
              <w:jc w:val="both"/>
              <w:rPr>
                <w:rFonts w:ascii="Arial" w:hAnsi="Arial" w:cs="Arial"/>
              </w:rPr>
            </w:pPr>
            <w:r w:rsidRPr="00CF1B34">
              <w:rPr>
                <w:rFonts w:ascii="Arial" w:hAnsi="Arial" w:cs="Arial"/>
              </w:rPr>
              <w:t>25%</w:t>
            </w:r>
          </w:p>
        </w:tc>
        <w:tc>
          <w:tcPr>
            <w:tcW w:w="0" w:type="auto"/>
            <w:shd w:val="clear" w:color="auto" w:fill="FFFFFF"/>
            <w:tcMar>
              <w:top w:w="0" w:type="dxa"/>
              <w:left w:w="0" w:type="dxa"/>
              <w:bottom w:w="0" w:type="dxa"/>
              <w:right w:w="0" w:type="dxa"/>
            </w:tcMar>
            <w:vAlign w:val="center"/>
            <w:hideMark/>
          </w:tcPr>
          <w:p w14:paraId="71DB236F" w14:textId="77777777" w:rsidR="004149C8" w:rsidRPr="00CF1B34" w:rsidRDefault="004149C8" w:rsidP="0005621A">
            <w:pPr>
              <w:pStyle w:val="Sinespaciado"/>
              <w:jc w:val="both"/>
              <w:rPr>
                <w:rFonts w:ascii="Arial" w:hAnsi="Arial" w:cs="Arial"/>
              </w:rPr>
            </w:pPr>
            <w:r w:rsidRPr="00CF1B34">
              <w:rPr>
                <w:rFonts w:ascii="Arial" w:hAnsi="Arial" w:cs="Arial"/>
              </w:rPr>
              <w:t>12% u 6%</w:t>
            </w:r>
          </w:p>
        </w:tc>
      </w:tr>
      <w:tr w:rsidR="004149C8" w:rsidRPr="00CF1B34" w14:paraId="2DE65895" w14:textId="77777777" w:rsidTr="0085182C">
        <w:tc>
          <w:tcPr>
            <w:tcW w:w="1076" w:type="dxa"/>
            <w:shd w:val="clear" w:color="auto" w:fill="FFFFFF"/>
            <w:tcMar>
              <w:top w:w="0" w:type="dxa"/>
              <w:left w:w="0" w:type="dxa"/>
              <w:bottom w:w="0" w:type="dxa"/>
              <w:right w:w="0" w:type="dxa"/>
            </w:tcMar>
            <w:vAlign w:val="center"/>
            <w:hideMark/>
          </w:tcPr>
          <w:p w14:paraId="25B3E358" w14:textId="77777777" w:rsidR="004149C8" w:rsidRPr="00CF1B34" w:rsidRDefault="004149C8" w:rsidP="0005621A">
            <w:pPr>
              <w:pStyle w:val="Sinespaciado"/>
              <w:jc w:val="both"/>
              <w:rPr>
                <w:rFonts w:ascii="Arial" w:hAnsi="Arial" w:cs="Arial"/>
              </w:rPr>
            </w:pPr>
            <w:r w:rsidRPr="00CF1B34">
              <w:rPr>
                <w:rFonts w:ascii="Arial" w:hAnsi="Arial" w:cs="Arial"/>
              </w:rPr>
              <w:t>Argentina</w:t>
            </w:r>
          </w:p>
        </w:tc>
        <w:tc>
          <w:tcPr>
            <w:tcW w:w="0" w:type="auto"/>
            <w:shd w:val="clear" w:color="auto" w:fill="FFFFFF"/>
            <w:tcMar>
              <w:top w:w="0" w:type="dxa"/>
              <w:left w:w="0" w:type="dxa"/>
              <w:bottom w:w="0" w:type="dxa"/>
              <w:right w:w="0" w:type="dxa"/>
            </w:tcMar>
            <w:vAlign w:val="center"/>
            <w:hideMark/>
          </w:tcPr>
          <w:p w14:paraId="01256C22" w14:textId="77777777" w:rsidR="004149C8" w:rsidRPr="00CF1B34" w:rsidRDefault="004149C8" w:rsidP="0005621A">
            <w:pPr>
              <w:pStyle w:val="Sinespaciado"/>
              <w:jc w:val="both"/>
              <w:rPr>
                <w:rFonts w:ascii="Arial" w:hAnsi="Arial" w:cs="Arial"/>
              </w:rPr>
            </w:pPr>
            <w:r w:rsidRPr="00CF1B34">
              <w:rPr>
                <w:rFonts w:ascii="Arial" w:hAnsi="Arial" w:cs="Arial"/>
              </w:rPr>
              <w:t>21%</w:t>
            </w:r>
          </w:p>
        </w:tc>
        <w:tc>
          <w:tcPr>
            <w:tcW w:w="0" w:type="auto"/>
            <w:shd w:val="clear" w:color="auto" w:fill="FFFFFF"/>
            <w:tcMar>
              <w:top w:w="0" w:type="dxa"/>
              <w:left w:w="0" w:type="dxa"/>
              <w:bottom w:w="0" w:type="dxa"/>
              <w:right w:w="0" w:type="dxa"/>
            </w:tcMar>
            <w:vAlign w:val="center"/>
            <w:hideMark/>
          </w:tcPr>
          <w:p w14:paraId="13B1FA91" w14:textId="77777777" w:rsidR="004149C8" w:rsidRPr="00CF1B34" w:rsidRDefault="004149C8" w:rsidP="0005621A">
            <w:pPr>
              <w:pStyle w:val="Sinespaciado"/>
              <w:jc w:val="both"/>
              <w:rPr>
                <w:rFonts w:ascii="Arial" w:hAnsi="Arial" w:cs="Arial"/>
              </w:rPr>
            </w:pPr>
            <w:r w:rsidRPr="00CF1B34">
              <w:rPr>
                <w:rFonts w:ascii="Arial" w:hAnsi="Arial" w:cs="Arial"/>
              </w:rPr>
              <w:t>10%</w:t>
            </w:r>
          </w:p>
        </w:tc>
      </w:tr>
      <w:tr w:rsidR="004149C8" w:rsidRPr="00CF1B34" w14:paraId="289708D6" w14:textId="77777777" w:rsidTr="0085182C">
        <w:tc>
          <w:tcPr>
            <w:tcW w:w="1076" w:type="dxa"/>
            <w:shd w:val="clear" w:color="auto" w:fill="FFFFFF"/>
            <w:tcMar>
              <w:top w:w="0" w:type="dxa"/>
              <w:left w:w="0" w:type="dxa"/>
              <w:bottom w:w="0" w:type="dxa"/>
              <w:right w:w="0" w:type="dxa"/>
            </w:tcMar>
            <w:vAlign w:val="center"/>
            <w:hideMark/>
          </w:tcPr>
          <w:p w14:paraId="78E10B2E" w14:textId="77777777" w:rsidR="004149C8" w:rsidRPr="00CF1B34" w:rsidRDefault="004149C8" w:rsidP="0005621A">
            <w:pPr>
              <w:pStyle w:val="Sinespaciado"/>
              <w:jc w:val="both"/>
              <w:rPr>
                <w:rFonts w:ascii="Arial" w:hAnsi="Arial" w:cs="Arial"/>
              </w:rPr>
            </w:pPr>
            <w:r w:rsidRPr="00CF1B34">
              <w:rPr>
                <w:rFonts w:ascii="Arial" w:hAnsi="Arial" w:cs="Arial"/>
              </w:rPr>
              <w:t>Andorra</w:t>
            </w:r>
          </w:p>
        </w:tc>
        <w:tc>
          <w:tcPr>
            <w:tcW w:w="0" w:type="auto"/>
            <w:shd w:val="clear" w:color="auto" w:fill="FFFFFF"/>
            <w:tcMar>
              <w:top w:w="0" w:type="dxa"/>
              <w:left w:w="0" w:type="dxa"/>
              <w:bottom w:w="0" w:type="dxa"/>
              <w:right w:w="0" w:type="dxa"/>
            </w:tcMar>
            <w:vAlign w:val="center"/>
            <w:hideMark/>
          </w:tcPr>
          <w:p w14:paraId="6C76CAFF" w14:textId="77777777" w:rsidR="004149C8" w:rsidRPr="00CF1B34" w:rsidRDefault="004149C8" w:rsidP="0005621A">
            <w:pPr>
              <w:pStyle w:val="Sinespaciado"/>
              <w:jc w:val="both"/>
              <w:rPr>
                <w:rFonts w:ascii="Arial" w:hAnsi="Arial" w:cs="Arial"/>
              </w:rPr>
            </w:pPr>
            <w:r w:rsidRPr="00CF1B34">
              <w:rPr>
                <w:rFonts w:ascii="Arial" w:hAnsi="Arial" w:cs="Arial"/>
              </w:rPr>
              <w:t>4,5%</w:t>
            </w:r>
          </w:p>
        </w:tc>
        <w:tc>
          <w:tcPr>
            <w:tcW w:w="0" w:type="auto"/>
            <w:shd w:val="clear" w:color="auto" w:fill="FFFFFF"/>
            <w:tcMar>
              <w:top w:w="0" w:type="dxa"/>
              <w:left w:w="0" w:type="dxa"/>
              <w:bottom w:w="0" w:type="dxa"/>
              <w:right w:w="0" w:type="dxa"/>
            </w:tcMar>
            <w:vAlign w:val="center"/>
            <w:hideMark/>
          </w:tcPr>
          <w:p w14:paraId="245694CB" w14:textId="77777777" w:rsidR="004149C8" w:rsidRPr="00CF1B34" w:rsidRDefault="004149C8" w:rsidP="0005621A">
            <w:pPr>
              <w:pStyle w:val="Sinespaciado"/>
              <w:jc w:val="both"/>
              <w:rPr>
                <w:rFonts w:ascii="Arial" w:hAnsi="Arial" w:cs="Arial"/>
              </w:rPr>
            </w:pPr>
            <w:r w:rsidRPr="00CF1B34">
              <w:rPr>
                <w:rFonts w:ascii="Arial" w:hAnsi="Arial" w:cs="Arial"/>
              </w:rPr>
              <w:t>1%</w:t>
            </w:r>
          </w:p>
        </w:tc>
      </w:tr>
      <w:tr w:rsidR="004149C8" w:rsidRPr="00CF1B34" w14:paraId="53F6129E" w14:textId="77777777" w:rsidTr="0085182C">
        <w:tc>
          <w:tcPr>
            <w:tcW w:w="1076" w:type="dxa"/>
            <w:shd w:val="clear" w:color="auto" w:fill="FFFFFF"/>
            <w:tcMar>
              <w:top w:w="0" w:type="dxa"/>
              <w:left w:w="0" w:type="dxa"/>
              <w:bottom w:w="0" w:type="dxa"/>
              <w:right w:w="0" w:type="dxa"/>
            </w:tcMar>
            <w:vAlign w:val="center"/>
            <w:hideMark/>
          </w:tcPr>
          <w:p w14:paraId="453AD275" w14:textId="77777777" w:rsidR="004149C8" w:rsidRPr="00CF1B34" w:rsidRDefault="004149C8" w:rsidP="0005621A">
            <w:pPr>
              <w:pStyle w:val="Sinespaciado"/>
              <w:jc w:val="both"/>
              <w:rPr>
                <w:rFonts w:ascii="Arial" w:hAnsi="Arial" w:cs="Arial"/>
              </w:rPr>
            </w:pPr>
            <w:r w:rsidRPr="00CF1B34">
              <w:rPr>
                <w:rFonts w:ascii="Arial" w:hAnsi="Arial" w:cs="Arial"/>
              </w:rPr>
              <w:t>Australia</w:t>
            </w:r>
          </w:p>
        </w:tc>
        <w:tc>
          <w:tcPr>
            <w:tcW w:w="0" w:type="auto"/>
            <w:shd w:val="clear" w:color="auto" w:fill="FFFFFF"/>
            <w:tcMar>
              <w:top w:w="0" w:type="dxa"/>
              <w:left w:w="0" w:type="dxa"/>
              <w:bottom w:w="0" w:type="dxa"/>
              <w:right w:w="0" w:type="dxa"/>
            </w:tcMar>
            <w:vAlign w:val="center"/>
            <w:hideMark/>
          </w:tcPr>
          <w:p w14:paraId="7CA8AEBD" w14:textId="77777777" w:rsidR="004149C8" w:rsidRPr="00CF1B34" w:rsidRDefault="004149C8" w:rsidP="0005621A">
            <w:pPr>
              <w:pStyle w:val="Sinespaciado"/>
              <w:jc w:val="both"/>
              <w:rPr>
                <w:rFonts w:ascii="Arial" w:hAnsi="Arial" w:cs="Arial"/>
              </w:rPr>
            </w:pPr>
            <w:r w:rsidRPr="00CF1B34">
              <w:rPr>
                <w:rFonts w:ascii="Arial" w:hAnsi="Arial" w:cs="Arial"/>
              </w:rPr>
              <w:t>10%</w:t>
            </w:r>
          </w:p>
        </w:tc>
        <w:tc>
          <w:tcPr>
            <w:tcW w:w="0" w:type="auto"/>
            <w:shd w:val="clear" w:color="auto" w:fill="FFFFFF"/>
            <w:tcMar>
              <w:top w:w="0" w:type="dxa"/>
              <w:left w:w="0" w:type="dxa"/>
              <w:bottom w:w="0" w:type="dxa"/>
              <w:right w:w="0" w:type="dxa"/>
            </w:tcMar>
            <w:vAlign w:val="center"/>
            <w:hideMark/>
          </w:tcPr>
          <w:p w14:paraId="6E447980" w14:textId="77777777" w:rsidR="004149C8" w:rsidRPr="00CF1B34" w:rsidRDefault="004149C8" w:rsidP="0005621A">
            <w:pPr>
              <w:pStyle w:val="Sinespaciado"/>
              <w:jc w:val="both"/>
              <w:rPr>
                <w:rFonts w:ascii="Arial" w:hAnsi="Arial" w:cs="Arial"/>
              </w:rPr>
            </w:pPr>
            <w:r w:rsidRPr="00CF1B34">
              <w:rPr>
                <w:rFonts w:ascii="Arial" w:hAnsi="Arial" w:cs="Arial"/>
              </w:rPr>
              <w:t>0%</w:t>
            </w:r>
          </w:p>
        </w:tc>
      </w:tr>
      <w:tr w:rsidR="004149C8" w:rsidRPr="00CF1B34" w14:paraId="013160CD" w14:textId="77777777" w:rsidTr="0085182C">
        <w:tc>
          <w:tcPr>
            <w:tcW w:w="1076" w:type="dxa"/>
            <w:shd w:val="clear" w:color="auto" w:fill="FFFFFF"/>
            <w:tcMar>
              <w:top w:w="0" w:type="dxa"/>
              <w:left w:w="0" w:type="dxa"/>
              <w:bottom w:w="0" w:type="dxa"/>
              <w:right w:w="0" w:type="dxa"/>
            </w:tcMar>
            <w:vAlign w:val="center"/>
            <w:hideMark/>
          </w:tcPr>
          <w:p w14:paraId="22351FA0" w14:textId="77777777" w:rsidR="004149C8" w:rsidRPr="00CF1B34" w:rsidRDefault="004149C8" w:rsidP="0005621A">
            <w:pPr>
              <w:pStyle w:val="Sinespaciado"/>
              <w:jc w:val="both"/>
              <w:rPr>
                <w:rFonts w:ascii="Arial" w:hAnsi="Arial" w:cs="Arial"/>
              </w:rPr>
            </w:pPr>
            <w:r w:rsidRPr="00CF1B34">
              <w:rPr>
                <w:rFonts w:ascii="Arial" w:hAnsi="Arial" w:cs="Arial"/>
              </w:rPr>
              <w:t>Brasil</w:t>
            </w:r>
          </w:p>
        </w:tc>
        <w:tc>
          <w:tcPr>
            <w:tcW w:w="0" w:type="auto"/>
            <w:shd w:val="clear" w:color="auto" w:fill="FFFFFF"/>
            <w:tcMar>
              <w:top w:w="0" w:type="dxa"/>
              <w:left w:w="0" w:type="dxa"/>
              <w:bottom w:w="0" w:type="dxa"/>
              <w:right w:w="0" w:type="dxa"/>
            </w:tcMar>
            <w:vAlign w:val="center"/>
            <w:hideMark/>
          </w:tcPr>
          <w:p w14:paraId="6B0B0A00" w14:textId="77777777" w:rsidR="004149C8" w:rsidRPr="00CF1B34" w:rsidRDefault="004149C8" w:rsidP="0005621A">
            <w:pPr>
              <w:pStyle w:val="Sinespaciado"/>
              <w:jc w:val="both"/>
              <w:rPr>
                <w:rFonts w:ascii="Arial" w:hAnsi="Arial" w:cs="Arial"/>
              </w:rPr>
            </w:pPr>
            <w:r w:rsidRPr="00CF1B34">
              <w:rPr>
                <w:rFonts w:ascii="Arial" w:hAnsi="Arial" w:cs="Arial"/>
              </w:rPr>
              <w:t>12%</w:t>
            </w:r>
          </w:p>
        </w:tc>
        <w:tc>
          <w:tcPr>
            <w:tcW w:w="0" w:type="auto"/>
            <w:shd w:val="clear" w:color="auto" w:fill="FFFFFF"/>
            <w:tcMar>
              <w:top w:w="0" w:type="dxa"/>
              <w:left w:w="0" w:type="dxa"/>
              <w:bottom w:w="0" w:type="dxa"/>
              <w:right w:w="0" w:type="dxa"/>
            </w:tcMar>
            <w:vAlign w:val="center"/>
            <w:hideMark/>
          </w:tcPr>
          <w:p w14:paraId="218B89C7" w14:textId="77777777" w:rsidR="004149C8" w:rsidRPr="00CF1B34" w:rsidRDefault="004149C8" w:rsidP="0005621A">
            <w:pPr>
              <w:pStyle w:val="Sinespaciado"/>
              <w:jc w:val="both"/>
              <w:rPr>
                <w:rFonts w:ascii="Arial" w:hAnsi="Arial" w:cs="Arial"/>
              </w:rPr>
            </w:pPr>
            <w:r w:rsidRPr="00CF1B34">
              <w:rPr>
                <w:rFonts w:ascii="Arial" w:hAnsi="Arial" w:cs="Arial"/>
              </w:rPr>
              <w:t>+ 25% + 7% + 5%</w:t>
            </w:r>
          </w:p>
        </w:tc>
      </w:tr>
      <w:tr w:rsidR="004149C8" w:rsidRPr="00CF1B34" w14:paraId="4036BF4E" w14:textId="77777777" w:rsidTr="0085182C">
        <w:tc>
          <w:tcPr>
            <w:tcW w:w="1076" w:type="dxa"/>
            <w:shd w:val="clear" w:color="auto" w:fill="FFFFFF"/>
            <w:tcMar>
              <w:top w:w="0" w:type="dxa"/>
              <w:left w:w="0" w:type="dxa"/>
              <w:bottom w:w="0" w:type="dxa"/>
              <w:right w:w="0" w:type="dxa"/>
            </w:tcMar>
            <w:vAlign w:val="center"/>
            <w:hideMark/>
          </w:tcPr>
          <w:p w14:paraId="5E5B5337" w14:textId="77777777" w:rsidR="004149C8" w:rsidRPr="00CF1B34" w:rsidRDefault="004149C8" w:rsidP="0005621A">
            <w:pPr>
              <w:pStyle w:val="Sinespaciado"/>
              <w:jc w:val="both"/>
              <w:rPr>
                <w:rFonts w:ascii="Arial" w:hAnsi="Arial" w:cs="Arial"/>
              </w:rPr>
            </w:pPr>
            <w:r w:rsidRPr="00CF1B34">
              <w:rPr>
                <w:rFonts w:ascii="Arial" w:hAnsi="Arial" w:cs="Arial"/>
              </w:rPr>
              <w:t>Canadá</w:t>
            </w:r>
          </w:p>
        </w:tc>
        <w:tc>
          <w:tcPr>
            <w:tcW w:w="0" w:type="auto"/>
            <w:shd w:val="clear" w:color="auto" w:fill="FFFFFF"/>
            <w:tcMar>
              <w:top w:w="0" w:type="dxa"/>
              <w:left w:w="0" w:type="dxa"/>
              <w:bottom w:w="0" w:type="dxa"/>
              <w:right w:w="0" w:type="dxa"/>
            </w:tcMar>
            <w:vAlign w:val="center"/>
            <w:hideMark/>
          </w:tcPr>
          <w:p w14:paraId="70944E67" w14:textId="77777777" w:rsidR="004149C8" w:rsidRPr="00CF1B34" w:rsidRDefault="004149C8" w:rsidP="0005621A">
            <w:pPr>
              <w:pStyle w:val="Sinespaciado"/>
              <w:jc w:val="both"/>
              <w:rPr>
                <w:rFonts w:ascii="Arial" w:hAnsi="Arial" w:cs="Arial"/>
              </w:rPr>
            </w:pPr>
            <w:r w:rsidRPr="00CF1B34">
              <w:rPr>
                <w:rFonts w:ascii="Arial" w:hAnsi="Arial" w:cs="Arial"/>
              </w:rPr>
              <w:t>5%</w:t>
            </w:r>
          </w:p>
        </w:tc>
        <w:tc>
          <w:tcPr>
            <w:tcW w:w="0" w:type="auto"/>
            <w:shd w:val="clear" w:color="auto" w:fill="FFFFFF"/>
            <w:tcMar>
              <w:top w:w="0" w:type="dxa"/>
              <w:left w:w="0" w:type="dxa"/>
              <w:bottom w:w="0" w:type="dxa"/>
              <w:right w:w="0" w:type="dxa"/>
            </w:tcMar>
            <w:vAlign w:val="center"/>
            <w:hideMark/>
          </w:tcPr>
          <w:p w14:paraId="0490C087" w14:textId="77777777" w:rsidR="004149C8" w:rsidRPr="00CF1B34" w:rsidRDefault="004149C8" w:rsidP="0005621A">
            <w:pPr>
              <w:pStyle w:val="Sinespaciado"/>
              <w:jc w:val="both"/>
              <w:rPr>
                <w:rFonts w:ascii="Arial" w:hAnsi="Arial" w:cs="Arial"/>
              </w:rPr>
            </w:pPr>
            <w:r w:rsidRPr="00CF1B34">
              <w:rPr>
                <w:rFonts w:ascii="Arial" w:hAnsi="Arial" w:cs="Arial"/>
              </w:rPr>
              <w:t>4,5%</w:t>
            </w:r>
          </w:p>
        </w:tc>
      </w:tr>
      <w:tr w:rsidR="004149C8" w:rsidRPr="00CF1B34" w14:paraId="650CBEEF" w14:textId="77777777" w:rsidTr="0085182C">
        <w:tc>
          <w:tcPr>
            <w:tcW w:w="1076" w:type="dxa"/>
            <w:shd w:val="clear" w:color="auto" w:fill="FFFFFF"/>
            <w:tcMar>
              <w:top w:w="0" w:type="dxa"/>
              <w:left w:w="0" w:type="dxa"/>
              <w:bottom w:w="0" w:type="dxa"/>
              <w:right w:w="0" w:type="dxa"/>
            </w:tcMar>
            <w:vAlign w:val="center"/>
            <w:hideMark/>
          </w:tcPr>
          <w:p w14:paraId="0F55D906" w14:textId="77777777" w:rsidR="004149C8" w:rsidRPr="00CF1B34" w:rsidRDefault="004149C8" w:rsidP="0005621A">
            <w:pPr>
              <w:pStyle w:val="Sinespaciado"/>
              <w:jc w:val="both"/>
              <w:rPr>
                <w:rFonts w:ascii="Arial" w:hAnsi="Arial" w:cs="Arial"/>
              </w:rPr>
            </w:pPr>
            <w:r w:rsidRPr="00CF1B34">
              <w:rPr>
                <w:rFonts w:ascii="Arial" w:hAnsi="Arial" w:cs="Arial"/>
              </w:rPr>
              <w:t>China</w:t>
            </w:r>
          </w:p>
        </w:tc>
        <w:tc>
          <w:tcPr>
            <w:tcW w:w="0" w:type="auto"/>
            <w:shd w:val="clear" w:color="auto" w:fill="FFFFFF"/>
            <w:tcMar>
              <w:top w:w="0" w:type="dxa"/>
              <w:left w:w="0" w:type="dxa"/>
              <w:bottom w:w="0" w:type="dxa"/>
              <w:right w:w="0" w:type="dxa"/>
            </w:tcMar>
            <w:vAlign w:val="center"/>
            <w:hideMark/>
          </w:tcPr>
          <w:p w14:paraId="6B736BCE" w14:textId="77777777" w:rsidR="004149C8" w:rsidRPr="00CF1B34" w:rsidRDefault="004149C8" w:rsidP="0005621A">
            <w:pPr>
              <w:pStyle w:val="Sinespaciado"/>
              <w:jc w:val="both"/>
              <w:rPr>
                <w:rFonts w:ascii="Arial" w:hAnsi="Arial" w:cs="Arial"/>
              </w:rPr>
            </w:pPr>
            <w:r w:rsidRPr="00CF1B34">
              <w:rPr>
                <w:rFonts w:ascii="Arial" w:hAnsi="Arial" w:cs="Arial"/>
              </w:rPr>
              <w:t>17%</w:t>
            </w:r>
          </w:p>
        </w:tc>
        <w:tc>
          <w:tcPr>
            <w:tcW w:w="0" w:type="auto"/>
            <w:shd w:val="clear" w:color="auto" w:fill="FFFFFF"/>
            <w:tcMar>
              <w:top w:w="0" w:type="dxa"/>
              <w:left w:w="0" w:type="dxa"/>
              <w:bottom w:w="0" w:type="dxa"/>
              <w:right w:w="0" w:type="dxa"/>
            </w:tcMar>
            <w:vAlign w:val="center"/>
            <w:hideMark/>
          </w:tcPr>
          <w:p w14:paraId="45FBB99E" w14:textId="77777777" w:rsidR="004149C8" w:rsidRPr="00CF1B34" w:rsidRDefault="004149C8" w:rsidP="0005621A">
            <w:pPr>
              <w:pStyle w:val="Sinespaciado"/>
              <w:jc w:val="both"/>
              <w:rPr>
                <w:rFonts w:ascii="Arial" w:hAnsi="Arial" w:cs="Arial"/>
              </w:rPr>
            </w:pPr>
            <w:r w:rsidRPr="00CF1B34">
              <w:rPr>
                <w:rFonts w:ascii="Arial" w:hAnsi="Arial" w:cs="Arial"/>
              </w:rPr>
              <w:t>6% u 3%</w:t>
            </w:r>
          </w:p>
        </w:tc>
      </w:tr>
      <w:tr w:rsidR="004149C8" w:rsidRPr="00CF1B34" w14:paraId="0C34D0C9" w14:textId="77777777" w:rsidTr="0085182C">
        <w:tc>
          <w:tcPr>
            <w:tcW w:w="1076" w:type="dxa"/>
            <w:shd w:val="clear" w:color="auto" w:fill="FFFFFF"/>
            <w:tcMar>
              <w:top w:w="0" w:type="dxa"/>
              <w:left w:w="0" w:type="dxa"/>
              <w:bottom w:w="0" w:type="dxa"/>
              <w:right w:w="0" w:type="dxa"/>
            </w:tcMar>
            <w:vAlign w:val="center"/>
            <w:hideMark/>
          </w:tcPr>
          <w:p w14:paraId="3505BD2D" w14:textId="77777777" w:rsidR="004149C8" w:rsidRPr="00CF1B34" w:rsidRDefault="004149C8" w:rsidP="0005621A">
            <w:pPr>
              <w:pStyle w:val="Sinespaciado"/>
              <w:jc w:val="both"/>
              <w:rPr>
                <w:rFonts w:ascii="Arial" w:hAnsi="Arial" w:cs="Arial"/>
              </w:rPr>
            </w:pPr>
            <w:r w:rsidRPr="00CF1B34">
              <w:rPr>
                <w:rFonts w:ascii="Arial" w:hAnsi="Arial" w:cs="Arial"/>
              </w:rPr>
              <w:t>India</w:t>
            </w:r>
          </w:p>
        </w:tc>
        <w:tc>
          <w:tcPr>
            <w:tcW w:w="0" w:type="auto"/>
            <w:shd w:val="clear" w:color="auto" w:fill="FFFFFF"/>
            <w:tcMar>
              <w:top w:w="0" w:type="dxa"/>
              <w:left w:w="0" w:type="dxa"/>
              <w:bottom w:w="0" w:type="dxa"/>
              <w:right w:w="0" w:type="dxa"/>
            </w:tcMar>
            <w:vAlign w:val="center"/>
            <w:hideMark/>
          </w:tcPr>
          <w:p w14:paraId="383745D5" w14:textId="77777777" w:rsidR="004149C8" w:rsidRPr="00CF1B34" w:rsidRDefault="004149C8" w:rsidP="0005621A">
            <w:pPr>
              <w:pStyle w:val="Sinespaciado"/>
              <w:jc w:val="both"/>
              <w:rPr>
                <w:rFonts w:ascii="Arial" w:hAnsi="Arial" w:cs="Arial"/>
              </w:rPr>
            </w:pPr>
            <w:r w:rsidRPr="00CF1B34">
              <w:rPr>
                <w:rFonts w:ascii="Arial" w:hAnsi="Arial" w:cs="Arial"/>
              </w:rPr>
              <w:t>12,5%</w:t>
            </w:r>
          </w:p>
        </w:tc>
        <w:tc>
          <w:tcPr>
            <w:tcW w:w="0" w:type="auto"/>
            <w:shd w:val="clear" w:color="auto" w:fill="FFFFFF"/>
            <w:tcMar>
              <w:top w:w="0" w:type="dxa"/>
              <w:left w:w="0" w:type="dxa"/>
              <w:bottom w:w="0" w:type="dxa"/>
              <w:right w:w="0" w:type="dxa"/>
            </w:tcMar>
            <w:vAlign w:val="center"/>
            <w:hideMark/>
          </w:tcPr>
          <w:p w14:paraId="3B7ED817" w14:textId="77777777" w:rsidR="004149C8" w:rsidRPr="00CF1B34" w:rsidRDefault="004149C8" w:rsidP="0005621A">
            <w:pPr>
              <w:pStyle w:val="Sinespaciado"/>
              <w:jc w:val="both"/>
              <w:rPr>
                <w:rFonts w:ascii="Arial" w:hAnsi="Arial" w:cs="Arial"/>
              </w:rPr>
            </w:pPr>
            <w:r w:rsidRPr="00CF1B34">
              <w:rPr>
                <w:rFonts w:ascii="Arial" w:hAnsi="Arial" w:cs="Arial"/>
              </w:rPr>
              <w:t>4% u 1%</w:t>
            </w:r>
          </w:p>
        </w:tc>
      </w:tr>
      <w:tr w:rsidR="004149C8" w:rsidRPr="00CF1B34" w14:paraId="7B25EF82" w14:textId="77777777" w:rsidTr="0085182C">
        <w:tc>
          <w:tcPr>
            <w:tcW w:w="1076" w:type="dxa"/>
            <w:shd w:val="clear" w:color="auto" w:fill="FFFFFF"/>
            <w:tcMar>
              <w:top w:w="0" w:type="dxa"/>
              <w:left w:w="0" w:type="dxa"/>
              <w:bottom w:w="0" w:type="dxa"/>
              <w:right w:w="0" w:type="dxa"/>
            </w:tcMar>
            <w:vAlign w:val="center"/>
            <w:hideMark/>
          </w:tcPr>
          <w:p w14:paraId="613A6E1C" w14:textId="77777777" w:rsidR="004149C8" w:rsidRPr="00CF1B34" w:rsidRDefault="004149C8" w:rsidP="0005621A">
            <w:pPr>
              <w:pStyle w:val="Sinespaciado"/>
              <w:jc w:val="both"/>
              <w:rPr>
                <w:rFonts w:ascii="Arial" w:hAnsi="Arial" w:cs="Arial"/>
              </w:rPr>
            </w:pPr>
            <w:r w:rsidRPr="00CF1B34">
              <w:rPr>
                <w:rFonts w:ascii="Arial" w:hAnsi="Arial" w:cs="Arial"/>
              </w:rPr>
              <w:t>Japón</w:t>
            </w:r>
          </w:p>
        </w:tc>
        <w:tc>
          <w:tcPr>
            <w:tcW w:w="0" w:type="auto"/>
            <w:shd w:val="clear" w:color="auto" w:fill="FFFFFF"/>
            <w:tcMar>
              <w:top w:w="0" w:type="dxa"/>
              <w:left w:w="0" w:type="dxa"/>
              <w:bottom w:w="0" w:type="dxa"/>
              <w:right w:w="0" w:type="dxa"/>
            </w:tcMar>
            <w:vAlign w:val="center"/>
            <w:hideMark/>
          </w:tcPr>
          <w:p w14:paraId="199EFFC4" w14:textId="77777777" w:rsidR="004149C8" w:rsidRPr="00CF1B34" w:rsidRDefault="004149C8" w:rsidP="0005621A">
            <w:pPr>
              <w:pStyle w:val="Sinespaciado"/>
              <w:jc w:val="both"/>
              <w:rPr>
                <w:rFonts w:ascii="Arial" w:hAnsi="Arial" w:cs="Arial"/>
              </w:rPr>
            </w:pPr>
            <w:r w:rsidRPr="00CF1B34">
              <w:rPr>
                <w:rFonts w:ascii="Arial" w:hAnsi="Arial" w:cs="Arial"/>
              </w:rPr>
              <w:t>5%</w:t>
            </w:r>
          </w:p>
        </w:tc>
        <w:tc>
          <w:tcPr>
            <w:tcW w:w="0" w:type="auto"/>
            <w:shd w:val="clear" w:color="auto" w:fill="FFFFFF"/>
            <w:tcMar>
              <w:top w:w="0" w:type="dxa"/>
              <w:left w:w="0" w:type="dxa"/>
              <w:bottom w:w="0" w:type="dxa"/>
              <w:right w:w="0" w:type="dxa"/>
            </w:tcMar>
            <w:vAlign w:val="center"/>
            <w:hideMark/>
          </w:tcPr>
          <w:p w14:paraId="03C6C2A5" w14:textId="77777777" w:rsidR="004149C8" w:rsidRPr="00CF1B34" w:rsidRDefault="004149C8" w:rsidP="0005621A">
            <w:pPr>
              <w:pStyle w:val="Sinespaciado"/>
              <w:jc w:val="both"/>
              <w:rPr>
                <w:rFonts w:ascii="Arial" w:hAnsi="Arial" w:cs="Arial"/>
              </w:rPr>
            </w:pPr>
            <w:r w:rsidRPr="00CF1B34">
              <w:rPr>
                <w:rFonts w:ascii="Arial" w:hAnsi="Arial" w:cs="Arial"/>
              </w:rPr>
              <w:t>N/A</w:t>
            </w:r>
          </w:p>
        </w:tc>
      </w:tr>
      <w:tr w:rsidR="004149C8" w:rsidRPr="00CF1B34" w14:paraId="3DACD98F" w14:textId="77777777" w:rsidTr="0085182C">
        <w:tc>
          <w:tcPr>
            <w:tcW w:w="1076" w:type="dxa"/>
            <w:shd w:val="clear" w:color="auto" w:fill="FFFFFF"/>
            <w:tcMar>
              <w:top w:w="0" w:type="dxa"/>
              <w:left w:w="0" w:type="dxa"/>
              <w:bottom w:w="0" w:type="dxa"/>
              <w:right w:w="0" w:type="dxa"/>
            </w:tcMar>
            <w:vAlign w:val="center"/>
            <w:hideMark/>
          </w:tcPr>
          <w:p w14:paraId="79623793" w14:textId="77777777" w:rsidR="004149C8" w:rsidRPr="00CF1B34" w:rsidRDefault="004149C8" w:rsidP="0005621A">
            <w:pPr>
              <w:pStyle w:val="Sinespaciado"/>
              <w:jc w:val="both"/>
              <w:rPr>
                <w:rFonts w:ascii="Arial" w:hAnsi="Arial" w:cs="Arial"/>
              </w:rPr>
            </w:pPr>
            <w:r w:rsidRPr="00CF1B34">
              <w:rPr>
                <w:rFonts w:ascii="Arial" w:hAnsi="Arial" w:cs="Arial"/>
              </w:rPr>
              <w:t>México</w:t>
            </w:r>
          </w:p>
        </w:tc>
        <w:tc>
          <w:tcPr>
            <w:tcW w:w="0" w:type="auto"/>
            <w:shd w:val="clear" w:color="auto" w:fill="FFFFFF"/>
            <w:tcMar>
              <w:top w:w="0" w:type="dxa"/>
              <w:left w:w="0" w:type="dxa"/>
              <w:bottom w:w="0" w:type="dxa"/>
              <w:right w:w="0" w:type="dxa"/>
            </w:tcMar>
            <w:vAlign w:val="center"/>
            <w:hideMark/>
          </w:tcPr>
          <w:p w14:paraId="47FAEB3A" w14:textId="77777777" w:rsidR="004149C8" w:rsidRPr="00CF1B34" w:rsidRDefault="004149C8" w:rsidP="0005621A">
            <w:pPr>
              <w:pStyle w:val="Sinespaciado"/>
              <w:jc w:val="both"/>
              <w:rPr>
                <w:rFonts w:ascii="Arial" w:hAnsi="Arial" w:cs="Arial"/>
              </w:rPr>
            </w:pPr>
            <w:r w:rsidRPr="00CF1B34">
              <w:rPr>
                <w:rFonts w:ascii="Arial" w:hAnsi="Arial" w:cs="Arial"/>
              </w:rPr>
              <w:t>16%</w:t>
            </w:r>
          </w:p>
        </w:tc>
        <w:tc>
          <w:tcPr>
            <w:tcW w:w="0" w:type="auto"/>
            <w:shd w:val="clear" w:color="auto" w:fill="FFFFFF"/>
            <w:tcMar>
              <w:top w:w="0" w:type="dxa"/>
              <w:left w:w="0" w:type="dxa"/>
              <w:bottom w:w="0" w:type="dxa"/>
              <w:right w:w="0" w:type="dxa"/>
            </w:tcMar>
            <w:vAlign w:val="center"/>
            <w:hideMark/>
          </w:tcPr>
          <w:p w14:paraId="001EEE69" w14:textId="77777777" w:rsidR="004149C8" w:rsidRPr="00CF1B34" w:rsidRDefault="004149C8" w:rsidP="0005621A">
            <w:pPr>
              <w:pStyle w:val="Sinespaciado"/>
              <w:jc w:val="both"/>
              <w:rPr>
                <w:rFonts w:ascii="Arial" w:hAnsi="Arial" w:cs="Arial"/>
              </w:rPr>
            </w:pPr>
            <w:r w:rsidRPr="00CF1B34">
              <w:rPr>
                <w:rFonts w:ascii="Arial" w:hAnsi="Arial" w:cs="Arial"/>
              </w:rPr>
              <w:t>16% u 0%</w:t>
            </w:r>
          </w:p>
        </w:tc>
      </w:tr>
      <w:tr w:rsidR="004149C8" w:rsidRPr="00CF1B34" w14:paraId="7FE6B72D" w14:textId="77777777" w:rsidTr="0085182C">
        <w:tc>
          <w:tcPr>
            <w:tcW w:w="1076" w:type="dxa"/>
            <w:shd w:val="clear" w:color="auto" w:fill="FFFFFF"/>
            <w:tcMar>
              <w:top w:w="0" w:type="dxa"/>
              <w:left w:w="0" w:type="dxa"/>
              <w:bottom w:w="0" w:type="dxa"/>
              <w:right w:w="0" w:type="dxa"/>
            </w:tcMar>
            <w:vAlign w:val="center"/>
            <w:hideMark/>
          </w:tcPr>
          <w:p w14:paraId="2B230B42" w14:textId="77777777" w:rsidR="004149C8" w:rsidRPr="00CF1B34" w:rsidRDefault="004149C8" w:rsidP="0005621A">
            <w:pPr>
              <w:pStyle w:val="Sinespaciado"/>
              <w:jc w:val="both"/>
              <w:rPr>
                <w:rFonts w:ascii="Arial" w:hAnsi="Arial" w:cs="Arial"/>
              </w:rPr>
            </w:pPr>
            <w:r w:rsidRPr="00CF1B34">
              <w:rPr>
                <w:rFonts w:ascii="Arial" w:hAnsi="Arial" w:cs="Arial"/>
              </w:rPr>
              <w:t>Noruega</w:t>
            </w:r>
          </w:p>
        </w:tc>
        <w:tc>
          <w:tcPr>
            <w:tcW w:w="0" w:type="auto"/>
            <w:shd w:val="clear" w:color="auto" w:fill="FFFFFF"/>
            <w:tcMar>
              <w:top w:w="0" w:type="dxa"/>
              <w:left w:w="0" w:type="dxa"/>
              <w:bottom w:w="0" w:type="dxa"/>
              <w:right w:w="0" w:type="dxa"/>
            </w:tcMar>
            <w:vAlign w:val="center"/>
            <w:hideMark/>
          </w:tcPr>
          <w:p w14:paraId="7A73AFB3" w14:textId="77777777" w:rsidR="004149C8" w:rsidRPr="00CF1B34" w:rsidRDefault="004149C8" w:rsidP="0005621A">
            <w:pPr>
              <w:pStyle w:val="Sinespaciado"/>
              <w:jc w:val="both"/>
              <w:rPr>
                <w:rFonts w:ascii="Arial" w:hAnsi="Arial" w:cs="Arial"/>
              </w:rPr>
            </w:pPr>
            <w:r w:rsidRPr="00CF1B34">
              <w:rPr>
                <w:rFonts w:ascii="Arial" w:hAnsi="Arial" w:cs="Arial"/>
              </w:rPr>
              <w:t>25%</w:t>
            </w:r>
          </w:p>
        </w:tc>
        <w:tc>
          <w:tcPr>
            <w:tcW w:w="0" w:type="auto"/>
            <w:shd w:val="clear" w:color="auto" w:fill="FFFFFF"/>
            <w:tcMar>
              <w:top w:w="0" w:type="dxa"/>
              <w:left w:w="0" w:type="dxa"/>
              <w:bottom w:w="0" w:type="dxa"/>
              <w:right w:w="0" w:type="dxa"/>
            </w:tcMar>
            <w:vAlign w:val="center"/>
            <w:hideMark/>
          </w:tcPr>
          <w:p w14:paraId="4328663B" w14:textId="77777777" w:rsidR="004149C8" w:rsidRPr="00CF1B34" w:rsidRDefault="004149C8" w:rsidP="0005621A">
            <w:pPr>
              <w:pStyle w:val="Sinespaciado"/>
              <w:jc w:val="both"/>
              <w:rPr>
                <w:rFonts w:ascii="Arial" w:hAnsi="Arial" w:cs="Arial"/>
              </w:rPr>
            </w:pPr>
            <w:r w:rsidRPr="00CF1B34">
              <w:rPr>
                <w:rFonts w:ascii="Arial" w:hAnsi="Arial" w:cs="Arial"/>
              </w:rPr>
              <w:t>14% u 8%</w:t>
            </w:r>
          </w:p>
        </w:tc>
      </w:tr>
      <w:tr w:rsidR="004149C8" w:rsidRPr="00CF1B34" w14:paraId="0F1D98C8" w14:textId="77777777" w:rsidTr="0085182C">
        <w:tc>
          <w:tcPr>
            <w:tcW w:w="1076" w:type="dxa"/>
            <w:shd w:val="clear" w:color="auto" w:fill="FFFFFF"/>
            <w:tcMar>
              <w:top w:w="0" w:type="dxa"/>
              <w:left w:w="0" w:type="dxa"/>
              <w:bottom w:w="0" w:type="dxa"/>
              <w:right w:w="0" w:type="dxa"/>
            </w:tcMar>
            <w:vAlign w:val="center"/>
            <w:hideMark/>
          </w:tcPr>
          <w:p w14:paraId="510E4011" w14:textId="77777777" w:rsidR="004149C8" w:rsidRPr="00CF1B34" w:rsidRDefault="004149C8" w:rsidP="0005621A">
            <w:pPr>
              <w:pStyle w:val="Sinespaciado"/>
              <w:jc w:val="both"/>
              <w:rPr>
                <w:rFonts w:ascii="Arial" w:hAnsi="Arial" w:cs="Arial"/>
              </w:rPr>
            </w:pPr>
            <w:r w:rsidRPr="00CF1B34">
              <w:rPr>
                <w:rFonts w:ascii="Arial" w:hAnsi="Arial" w:cs="Arial"/>
              </w:rPr>
              <w:t>Rusia</w:t>
            </w:r>
          </w:p>
        </w:tc>
        <w:tc>
          <w:tcPr>
            <w:tcW w:w="0" w:type="auto"/>
            <w:shd w:val="clear" w:color="auto" w:fill="FFFFFF"/>
            <w:tcMar>
              <w:top w:w="0" w:type="dxa"/>
              <w:left w:w="0" w:type="dxa"/>
              <w:bottom w:w="0" w:type="dxa"/>
              <w:right w:w="0" w:type="dxa"/>
            </w:tcMar>
            <w:vAlign w:val="center"/>
            <w:hideMark/>
          </w:tcPr>
          <w:p w14:paraId="2ABCBCCB" w14:textId="77777777" w:rsidR="004149C8" w:rsidRPr="00CF1B34" w:rsidRDefault="004149C8" w:rsidP="0005621A">
            <w:pPr>
              <w:pStyle w:val="Sinespaciado"/>
              <w:jc w:val="both"/>
              <w:rPr>
                <w:rFonts w:ascii="Arial" w:hAnsi="Arial" w:cs="Arial"/>
              </w:rPr>
            </w:pPr>
            <w:r w:rsidRPr="00CF1B34">
              <w:rPr>
                <w:rFonts w:ascii="Arial" w:hAnsi="Arial" w:cs="Arial"/>
              </w:rPr>
              <w:t>18%</w:t>
            </w:r>
          </w:p>
        </w:tc>
        <w:tc>
          <w:tcPr>
            <w:tcW w:w="0" w:type="auto"/>
            <w:shd w:val="clear" w:color="auto" w:fill="FFFFFF"/>
            <w:tcMar>
              <w:top w:w="0" w:type="dxa"/>
              <w:left w:w="0" w:type="dxa"/>
              <w:bottom w:w="0" w:type="dxa"/>
              <w:right w:w="0" w:type="dxa"/>
            </w:tcMar>
            <w:vAlign w:val="center"/>
            <w:hideMark/>
          </w:tcPr>
          <w:p w14:paraId="25A391D0" w14:textId="77777777" w:rsidR="004149C8" w:rsidRPr="00CF1B34" w:rsidRDefault="004149C8" w:rsidP="0005621A">
            <w:pPr>
              <w:pStyle w:val="Sinespaciado"/>
              <w:jc w:val="both"/>
              <w:rPr>
                <w:rFonts w:ascii="Arial" w:hAnsi="Arial" w:cs="Arial"/>
              </w:rPr>
            </w:pPr>
            <w:r w:rsidRPr="00CF1B34">
              <w:rPr>
                <w:rFonts w:ascii="Arial" w:hAnsi="Arial" w:cs="Arial"/>
              </w:rPr>
              <w:t>10% u 0%</w:t>
            </w:r>
          </w:p>
        </w:tc>
      </w:tr>
      <w:tr w:rsidR="004149C8" w:rsidRPr="00CF1B34" w14:paraId="37DD8D8A" w14:textId="77777777" w:rsidTr="0085182C">
        <w:tc>
          <w:tcPr>
            <w:tcW w:w="1076" w:type="dxa"/>
            <w:shd w:val="clear" w:color="auto" w:fill="FFFFFF"/>
            <w:tcMar>
              <w:top w:w="0" w:type="dxa"/>
              <w:left w:w="0" w:type="dxa"/>
              <w:bottom w:w="0" w:type="dxa"/>
              <w:right w:w="0" w:type="dxa"/>
            </w:tcMar>
            <w:vAlign w:val="center"/>
            <w:hideMark/>
          </w:tcPr>
          <w:p w14:paraId="7D7AD751" w14:textId="77777777" w:rsidR="004149C8" w:rsidRPr="00CF1B34" w:rsidRDefault="004149C8" w:rsidP="0005621A">
            <w:pPr>
              <w:pStyle w:val="Sinespaciado"/>
              <w:jc w:val="both"/>
              <w:rPr>
                <w:rFonts w:ascii="Arial" w:hAnsi="Arial" w:cs="Arial"/>
              </w:rPr>
            </w:pPr>
            <w:r w:rsidRPr="00CF1B34">
              <w:rPr>
                <w:rFonts w:ascii="Arial" w:hAnsi="Arial" w:cs="Arial"/>
              </w:rPr>
              <w:t>Serbia</w:t>
            </w:r>
          </w:p>
        </w:tc>
        <w:tc>
          <w:tcPr>
            <w:tcW w:w="0" w:type="auto"/>
            <w:shd w:val="clear" w:color="auto" w:fill="FFFFFF"/>
            <w:tcMar>
              <w:top w:w="0" w:type="dxa"/>
              <w:left w:w="0" w:type="dxa"/>
              <w:bottom w:w="0" w:type="dxa"/>
              <w:right w:w="0" w:type="dxa"/>
            </w:tcMar>
            <w:vAlign w:val="center"/>
            <w:hideMark/>
          </w:tcPr>
          <w:p w14:paraId="6CA33423" w14:textId="77777777" w:rsidR="004149C8" w:rsidRPr="00CF1B34" w:rsidRDefault="004149C8" w:rsidP="0005621A">
            <w:pPr>
              <w:pStyle w:val="Sinespaciado"/>
              <w:jc w:val="both"/>
              <w:rPr>
                <w:rFonts w:ascii="Arial" w:hAnsi="Arial" w:cs="Arial"/>
              </w:rPr>
            </w:pPr>
            <w:r w:rsidRPr="00CF1B34">
              <w:rPr>
                <w:rFonts w:ascii="Arial" w:hAnsi="Arial" w:cs="Arial"/>
              </w:rPr>
              <w:t>19%</w:t>
            </w:r>
          </w:p>
        </w:tc>
        <w:tc>
          <w:tcPr>
            <w:tcW w:w="0" w:type="auto"/>
            <w:shd w:val="clear" w:color="auto" w:fill="FFFFFF"/>
            <w:tcMar>
              <w:top w:w="0" w:type="dxa"/>
              <w:left w:w="0" w:type="dxa"/>
              <w:bottom w:w="0" w:type="dxa"/>
              <w:right w:w="0" w:type="dxa"/>
            </w:tcMar>
            <w:vAlign w:val="center"/>
            <w:hideMark/>
          </w:tcPr>
          <w:p w14:paraId="4C140A57" w14:textId="77777777" w:rsidR="004149C8" w:rsidRPr="00CF1B34" w:rsidRDefault="004149C8" w:rsidP="0005621A">
            <w:pPr>
              <w:pStyle w:val="Sinespaciado"/>
              <w:jc w:val="both"/>
              <w:rPr>
                <w:rFonts w:ascii="Arial" w:hAnsi="Arial" w:cs="Arial"/>
              </w:rPr>
            </w:pPr>
            <w:r w:rsidRPr="00CF1B34">
              <w:rPr>
                <w:rFonts w:ascii="Arial" w:hAnsi="Arial" w:cs="Arial"/>
              </w:rPr>
              <w:t>8% u 0%</w:t>
            </w:r>
          </w:p>
        </w:tc>
      </w:tr>
      <w:tr w:rsidR="004149C8" w:rsidRPr="00CF1B34" w14:paraId="3FF9FA9F" w14:textId="77777777" w:rsidTr="0085182C">
        <w:tc>
          <w:tcPr>
            <w:tcW w:w="1076" w:type="dxa"/>
            <w:shd w:val="clear" w:color="auto" w:fill="FFFFFF"/>
            <w:tcMar>
              <w:top w:w="0" w:type="dxa"/>
              <w:left w:w="0" w:type="dxa"/>
              <w:bottom w:w="0" w:type="dxa"/>
              <w:right w:w="0" w:type="dxa"/>
            </w:tcMar>
            <w:vAlign w:val="center"/>
            <w:hideMark/>
          </w:tcPr>
          <w:p w14:paraId="498BAA1E" w14:textId="77777777" w:rsidR="004149C8" w:rsidRPr="00CF1B34" w:rsidRDefault="004149C8" w:rsidP="0005621A">
            <w:pPr>
              <w:pStyle w:val="Sinespaciado"/>
              <w:jc w:val="both"/>
              <w:rPr>
                <w:rFonts w:ascii="Arial" w:hAnsi="Arial" w:cs="Arial"/>
              </w:rPr>
            </w:pPr>
            <w:r w:rsidRPr="00CF1B34">
              <w:rPr>
                <w:rFonts w:ascii="Arial" w:hAnsi="Arial" w:cs="Arial"/>
              </w:rPr>
              <w:t>Suiza</w:t>
            </w:r>
          </w:p>
        </w:tc>
        <w:tc>
          <w:tcPr>
            <w:tcW w:w="0" w:type="auto"/>
            <w:shd w:val="clear" w:color="auto" w:fill="FFFFFF"/>
            <w:tcMar>
              <w:top w:w="0" w:type="dxa"/>
              <w:left w:w="0" w:type="dxa"/>
              <w:bottom w:w="0" w:type="dxa"/>
              <w:right w:w="0" w:type="dxa"/>
            </w:tcMar>
            <w:vAlign w:val="center"/>
            <w:hideMark/>
          </w:tcPr>
          <w:p w14:paraId="0E0A2994" w14:textId="77777777" w:rsidR="004149C8" w:rsidRPr="00CF1B34" w:rsidRDefault="004149C8" w:rsidP="0005621A">
            <w:pPr>
              <w:pStyle w:val="Sinespaciado"/>
              <w:jc w:val="both"/>
              <w:rPr>
                <w:rFonts w:ascii="Arial" w:hAnsi="Arial" w:cs="Arial"/>
              </w:rPr>
            </w:pPr>
            <w:r w:rsidRPr="00CF1B34">
              <w:rPr>
                <w:rFonts w:ascii="Arial" w:hAnsi="Arial" w:cs="Arial"/>
              </w:rPr>
              <w:t>8%</w:t>
            </w:r>
          </w:p>
        </w:tc>
        <w:tc>
          <w:tcPr>
            <w:tcW w:w="0" w:type="auto"/>
            <w:shd w:val="clear" w:color="auto" w:fill="FFFFFF"/>
            <w:tcMar>
              <w:top w:w="0" w:type="dxa"/>
              <w:left w:w="0" w:type="dxa"/>
              <w:bottom w:w="0" w:type="dxa"/>
              <w:right w:w="0" w:type="dxa"/>
            </w:tcMar>
            <w:vAlign w:val="center"/>
            <w:hideMark/>
          </w:tcPr>
          <w:p w14:paraId="36E9BCBA" w14:textId="77777777" w:rsidR="004149C8" w:rsidRPr="00CF1B34" w:rsidRDefault="004149C8" w:rsidP="0005621A">
            <w:pPr>
              <w:pStyle w:val="Sinespaciado"/>
              <w:jc w:val="both"/>
              <w:rPr>
                <w:rFonts w:ascii="Arial" w:hAnsi="Arial" w:cs="Arial"/>
              </w:rPr>
            </w:pPr>
            <w:r w:rsidRPr="00CF1B34">
              <w:rPr>
                <w:rFonts w:ascii="Arial" w:hAnsi="Arial" w:cs="Arial"/>
              </w:rPr>
              <w:t>3.8% u 2.5%</w:t>
            </w:r>
          </w:p>
        </w:tc>
      </w:tr>
      <w:tr w:rsidR="004149C8" w:rsidRPr="00CF1B34" w14:paraId="72C9B327" w14:textId="77777777" w:rsidTr="0085182C">
        <w:tc>
          <w:tcPr>
            <w:tcW w:w="1076" w:type="dxa"/>
            <w:shd w:val="clear" w:color="auto" w:fill="FFFFFF"/>
            <w:tcMar>
              <w:top w:w="0" w:type="dxa"/>
              <w:left w:w="0" w:type="dxa"/>
              <w:bottom w:w="0" w:type="dxa"/>
              <w:right w:w="0" w:type="dxa"/>
            </w:tcMar>
            <w:vAlign w:val="center"/>
            <w:hideMark/>
          </w:tcPr>
          <w:p w14:paraId="74107170" w14:textId="77777777" w:rsidR="004149C8" w:rsidRPr="00CF1B34" w:rsidRDefault="004149C8" w:rsidP="0005621A">
            <w:pPr>
              <w:pStyle w:val="Sinespaciado"/>
              <w:jc w:val="both"/>
              <w:rPr>
                <w:rFonts w:ascii="Arial" w:hAnsi="Arial" w:cs="Arial"/>
              </w:rPr>
            </w:pPr>
            <w:r w:rsidRPr="00CF1B34">
              <w:rPr>
                <w:rFonts w:ascii="Arial" w:hAnsi="Arial" w:cs="Arial"/>
              </w:rPr>
              <w:lastRenderedPageBreak/>
              <w:t>Turquía</w:t>
            </w:r>
          </w:p>
        </w:tc>
        <w:tc>
          <w:tcPr>
            <w:tcW w:w="0" w:type="auto"/>
            <w:shd w:val="clear" w:color="auto" w:fill="FFFFFF"/>
            <w:tcMar>
              <w:top w:w="0" w:type="dxa"/>
              <w:left w:w="0" w:type="dxa"/>
              <w:bottom w:w="0" w:type="dxa"/>
              <w:right w:w="0" w:type="dxa"/>
            </w:tcMar>
            <w:vAlign w:val="center"/>
            <w:hideMark/>
          </w:tcPr>
          <w:p w14:paraId="35DCC110" w14:textId="77777777" w:rsidR="004149C8" w:rsidRPr="00CF1B34" w:rsidRDefault="004149C8" w:rsidP="0005621A">
            <w:pPr>
              <w:pStyle w:val="Sinespaciado"/>
              <w:jc w:val="both"/>
              <w:rPr>
                <w:rFonts w:ascii="Arial" w:hAnsi="Arial" w:cs="Arial"/>
              </w:rPr>
            </w:pPr>
            <w:r w:rsidRPr="00CF1B34">
              <w:rPr>
                <w:rFonts w:ascii="Arial" w:hAnsi="Arial" w:cs="Arial"/>
              </w:rPr>
              <w:t>18%</w:t>
            </w:r>
          </w:p>
        </w:tc>
        <w:tc>
          <w:tcPr>
            <w:tcW w:w="0" w:type="auto"/>
            <w:shd w:val="clear" w:color="auto" w:fill="FFFFFF"/>
            <w:tcMar>
              <w:top w:w="0" w:type="dxa"/>
              <w:left w:w="0" w:type="dxa"/>
              <w:bottom w:w="0" w:type="dxa"/>
              <w:right w:w="0" w:type="dxa"/>
            </w:tcMar>
            <w:vAlign w:val="center"/>
            <w:hideMark/>
          </w:tcPr>
          <w:p w14:paraId="70E74186" w14:textId="77777777" w:rsidR="004149C8" w:rsidRPr="00CF1B34" w:rsidRDefault="004149C8" w:rsidP="0005621A">
            <w:pPr>
              <w:pStyle w:val="Sinespaciado"/>
              <w:jc w:val="both"/>
              <w:rPr>
                <w:rFonts w:ascii="Arial" w:hAnsi="Arial" w:cs="Arial"/>
              </w:rPr>
            </w:pPr>
            <w:r w:rsidRPr="00CF1B34">
              <w:rPr>
                <w:rFonts w:ascii="Arial" w:hAnsi="Arial" w:cs="Arial"/>
              </w:rPr>
              <w:t>8% u 1%</w:t>
            </w:r>
          </w:p>
        </w:tc>
      </w:tr>
      <w:tr w:rsidR="004149C8" w:rsidRPr="00CF1B34" w14:paraId="39C52D5F" w14:textId="77777777" w:rsidTr="0085182C">
        <w:tc>
          <w:tcPr>
            <w:tcW w:w="1076" w:type="dxa"/>
            <w:shd w:val="clear" w:color="auto" w:fill="FFFFFF"/>
            <w:tcMar>
              <w:top w:w="0" w:type="dxa"/>
              <w:left w:w="0" w:type="dxa"/>
              <w:bottom w:w="0" w:type="dxa"/>
              <w:right w:w="0" w:type="dxa"/>
            </w:tcMar>
            <w:vAlign w:val="center"/>
            <w:hideMark/>
          </w:tcPr>
          <w:p w14:paraId="3EEADA93" w14:textId="77777777" w:rsidR="004149C8" w:rsidRPr="00CF1B34" w:rsidRDefault="004149C8" w:rsidP="0005621A">
            <w:pPr>
              <w:pStyle w:val="Sinespaciado"/>
              <w:jc w:val="both"/>
              <w:rPr>
                <w:rFonts w:ascii="Arial" w:hAnsi="Arial" w:cs="Arial"/>
              </w:rPr>
            </w:pPr>
            <w:r w:rsidRPr="00CF1B34">
              <w:rPr>
                <w:rFonts w:ascii="Arial" w:hAnsi="Arial" w:cs="Arial"/>
              </w:rPr>
              <w:t>Ucrania</w:t>
            </w:r>
          </w:p>
        </w:tc>
        <w:tc>
          <w:tcPr>
            <w:tcW w:w="0" w:type="auto"/>
            <w:shd w:val="clear" w:color="auto" w:fill="FFFFFF"/>
            <w:tcMar>
              <w:top w:w="0" w:type="dxa"/>
              <w:left w:w="0" w:type="dxa"/>
              <w:bottom w:w="0" w:type="dxa"/>
              <w:right w:w="0" w:type="dxa"/>
            </w:tcMar>
            <w:vAlign w:val="center"/>
            <w:hideMark/>
          </w:tcPr>
          <w:p w14:paraId="52D01989" w14:textId="77777777" w:rsidR="004149C8" w:rsidRPr="00CF1B34" w:rsidRDefault="004149C8" w:rsidP="0005621A">
            <w:pPr>
              <w:pStyle w:val="Sinespaciado"/>
              <w:jc w:val="both"/>
              <w:rPr>
                <w:rFonts w:ascii="Arial" w:hAnsi="Arial" w:cs="Arial"/>
              </w:rPr>
            </w:pPr>
            <w:r w:rsidRPr="00CF1B34">
              <w:rPr>
                <w:rFonts w:ascii="Arial" w:hAnsi="Arial" w:cs="Arial"/>
              </w:rPr>
              <w:t>20%</w:t>
            </w:r>
          </w:p>
        </w:tc>
        <w:tc>
          <w:tcPr>
            <w:tcW w:w="0" w:type="auto"/>
            <w:shd w:val="clear" w:color="auto" w:fill="FFFFFF"/>
            <w:tcMar>
              <w:top w:w="0" w:type="dxa"/>
              <w:left w:w="0" w:type="dxa"/>
              <w:bottom w:w="0" w:type="dxa"/>
              <w:right w:w="0" w:type="dxa"/>
            </w:tcMar>
            <w:vAlign w:val="center"/>
            <w:hideMark/>
          </w:tcPr>
          <w:p w14:paraId="14707856" w14:textId="77777777" w:rsidR="004149C8" w:rsidRPr="00CF1B34" w:rsidRDefault="004149C8" w:rsidP="0005621A">
            <w:pPr>
              <w:pStyle w:val="Sinespaciado"/>
              <w:jc w:val="both"/>
              <w:rPr>
                <w:rFonts w:ascii="Arial" w:hAnsi="Arial" w:cs="Arial"/>
              </w:rPr>
            </w:pPr>
            <w:r w:rsidRPr="00CF1B34">
              <w:rPr>
                <w:rFonts w:ascii="Arial" w:hAnsi="Arial" w:cs="Arial"/>
              </w:rPr>
              <w:t>0%</w:t>
            </w:r>
          </w:p>
        </w:tc>
      </w:tr>
    </w:tbl>
    <w:p w14:paraId="5C6A5CD8" w14:textId="77777777" w:rsidR="004149C8" w:rsidRPr="00CF1B34" w:rsidRDefault="004149C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Sobre este IVA repercutido o devengado se restará después el IVA soportado, el que paga la pyme por los servicios que contrata y las materias primas que necesita para mantener su actividad.</w:t>
      </w:r>
    </w:p>
    <w:p w14:paraId="40BA86BF" w14:textId="1343E876" w:rsidR="00283BB4" w:rsidRPr="00CF1B34" w:rsidRDefault="00283BB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IVA Soportado</w:t>
      </w:r>
      <w:r w:rsidR="00B90406" w:rsidRPr="00CF1B34">
        <w:rPr>
          <w:rFonts w:ascii="Arial" w:hAnsi="Arial" w:cs="Arial"/>
          <w:b/>
          <w:bCs/>
          <w:color w:val="2F5496" w:themeColor="accent1" w:themeShade="BF"/>
          <w:sz w:val="22"/>
          <w:szCs w:val="22"/>
          <w:lang w:val="es-ES_tradnl"/>
        </w:rPr>
        <w:t xml:space="preserve"> / soportado deducible</w:t>
      </w:r>
    </w:p>
    <w:p w14:paraId="5025ED30" w14:textId="466B0638" w:rsidR="007A6C09" w:rsidRPr="00CF1B34" w:rsidRDefault="00B90406" w:rsidP="0005621A">
      <w:pPr>
        <w:jc w:val="both"/>
        <w:rPr>
          <w:rFonts w:ascii="Arial" w:hAnsi="Arial" w:cs="Arial"/>
          <w:sz w:val="22"/>
          <w:szCs w:val="22"/>
        </w:rPr>
      </w:pPr>
      <w:r w:rsidRPr="00CF1B34">
        <w:rPr>
          <w:rFonts w:ascii="Arial" w:hAnsi="Arial" w:cs="Arial"/>
          <w:color w:val="333333"/>
          <w:sz w:val="22"/>
          <w:szCs w:val="22"/>
          <w:shd w:val="clear" w:color="auto" w:fill="FFFFFF"/>
        </w:rPr>
        <w:t>Desde un punto de vista contable y técnico, el IVA soportado es aquel al que el empresario debe hacer frente a la hora de comprar cualquier producto o servicio.</w:t>
      </w:r>
      <w:r w:rsidR="007A6C09" w:rsidRPr="00CF1B34">
        <w:rPr>
          <w:rFonts w:ascii="Arial" w:hAnsi="Arial" w:cs="Arial"/>
          <w:color w:val="333333"/>
          <w:sz w:val="22"/>
          <w:szCs w:val="22"/>
          <w:shd w:val="clear" w:color="auto" w:fill="FFFFFF"/>
        </w:rPr>
        <w:t xml:space="preserve"> El IVA es parte íntegra de la vida de la pyme y del autónomo.</w:t>
      </w:r>
      <w:r w:rsidR="007A6C09" w:rsidRPr="00CF1B34">
        <w:rPr>
          <w:rFonts w:ascii="Arial" w:hAnsi="Arial" w:cs="Arial"/>
          <w:b/>
          <w:bCs/>
          <w:color w:val="333333"/>
          <w:sz w:val="22"/>
          <w:szCs w:val="22"/>
          <w:shd w:val="clear" w:color="auto" w:fill="FFFFFF"/>
        </w:rPr>
        <w:t xml:space="preserve"> </w:t>
      </w:r>
      <w:r w:rsidR="007A6C09" w:rsidRPr="00CF1B34">
        <w:rPr>
          <w:rFonts w:ascii="Arial" w:hAnsi="Arial" w:cs="Arial"/>
          <w:color w:val="333333"/>
          <w:sz w:val="22"/>
          <w:szCs w:val="22"/>
          <w:shd w:val="clear" w:color="auto" w:fill="FFFFFF"/>
        </w:rPr>
        <w:t>Para poder trabajar, la empresa tendrá que comprar materiales y contratar servicios por los que pagará un IVA y al mismo tiempo repercutirá a sus clientes el tipo de IVA que le corresponda por los productos que venda o las actividades que preste. Si tienes actividad económica, este impuesto será un compañero inseparable, del que no podrás desprenderte.</w:t>
      </w:r>
    </w:p>
    <w:p w14:paraId="377C51F9" w14:textId="152478A7" w:rsidR="007A6C09" w:rsidRPr="00CF1B34" w:rsidRDefault="007A6C09" w:rsidP="0005621A">
      <w:pPr>
        <w:jc w:val="both"/>
        <w:rPr>
          <w:rFonts w:ascii="Arial" w:hAnsi="Arial" w:cs="Arial"/>
          <w:sz w:val="22"/>
          <w:szCs w:val="22"/>
        </w:rPr>
      </w:pPr>
      <w:r w:rsidRPr="00CF1B34">
        <w:rPr>
          <w:rStyle w:val="Textoennegrita"/>
          <w:rFonts w:ascii="Arial" w:hAnsi="Arial" w:cs="Arial"/>
          <w:color w:val="333333"/>
          <w:sz w:val="22"/>
          <w:szCs w:val="22"/>
          <w:shd w:val="clear" w:color="auto" w:fill="FFFFFF"/>
        </w:rPr>
        <w:t>Este IVA que ingresa y que cobra no le pertenece a la pyme</w:t>
      </w:r>
      <w:r w:rsidRPr="00CF1B34">
        <w:rPr>
          <w:rFonts w:ascii="Arial" w:hAnsi="Arial" w:cs="Arial"/>
          <w:color w:val="333333"/>
          <w:sz w:val="22"/>
          <w:szCs w:val="22"/>
          <w:shd w:val="clear" w:color="auto" w:fill="FFFFFF"/>
        </w:rPr>
        <w:t xml:space="preserve">, que cada mes o cada trimestre tendrá que devolver a Hacienda la diferencia entre el dinero ingresado y el que ha tenido que pagar. Es lo que se conoce como la declaración trimestral de IVA y que se liquida habitualmente mediante el Modelo 303 de la AEAT. </w:t>
      </w:r>
      <w:r w:rsidRPr="00CF1B34">
        <w:rPr>
          <w:rStyle w:val="Textoennegrita"/>
          <w:rFonts w:ascii="Arial" w:hAnsi="Arial" w:cs="Arial"/>
          <w:b w:val="0"/>
          <w:bCs w:val="0"/>
          <w:color w:val="333333"/>
          <w:sz w:val="22"/>
          <w:szCs w:val="22"/>
          <w:shd w:val="clear" w:color="auto" w:fill="FFFFFF"/>
        </w:rPr>
        <w:t>A la hora de hacer la declaración trimestral de IVA y de calcular el IVA que deberán pagar</w:t>
      </w:r>
      <w:r w:rsidRPr="00CF1B34">
        <w:rPr>
          <w:rStyle w:val="Textoennegrita"/>
          <w:rFonts w:ascii="Arial" w:hAnsi="Arial" w:cs="Arial"/>
          <w:color w:val="333333"/>
          <w:sz w:val="22"/>
          <w:szCs w:val="22"/>
          <w:shd w:val="clear" w:color="auto" w:fill="FFFFFF"/>
        </w:rPr>
        <w:t>,</w:t>
      </w:r>
      <w:r w:rsidRPr="00CF1B34">
        <w:rPr>
          <w:rFonts w:ascii="Arial" w:hAnsi="Arial" w:cs="Arial"/>
          <w:color w:val="333333"/>
          <w:sz w:val="22"/>
          <w:szCs w:val="22"/>
          <w:shd w:val="clear" w:color="auto" w:fill="FFFFFF"/>
        </w:rPr>
        <w:t xml:space="preserve"> los autónomos </w:t>
      </w:r>
      <w:r w:rsidRPr="00CF1B34">
        <w:rPr>
          <w:rStyle w:val="Textoennegrita"/>
          <w:rFonts w:ascii="Arial" w:hAnsi="Arial" w:cs="Arial"/>
          <w:color w:val="333333"/>
          <w:sz w:val="22"/>
          <w:szCs w:val="22"/>
          <w:shd w:val="clear" w:color="auto" w:fill="FFFFFF"/>
        </w:rPr>
        <w:t>restan el IVA soportado al IVA repercutido</w:t>
      </w:r>
      <w:r w:rsidRPr="00CF1B34">
        <w:rPr>
          <w:rFonts w:ascii="Arial" w:hAnsi="Arial" w:cs="Arial"/>
          <w:color w:val="333333"/>
          <w:sz w:val="22"/>
          <w:szCs w:val="22"/>
          <w:shd w:val="clear" w:color="auto" w:fill="FFFFFF"/>
        </w:rPr>
        <w:t>. Es decir, el IVA que han tenido que pagar al IVA que han cobrado a sus clientes.</w:t>
      </w:r>
    </w:p>
    <w:p w14:paraId="4AFF0C3C" w14:textId="1422E593" w:rsidR="00B90406" w:rsidRPr="00CF1B34" w:rsidRDefault="007A6C09" w:rsidP="0005621A">
      <w:pPr>
        <w:jc w:val="both"/>
        <w:rPr>
          <w:rFonts w:ascii="Arial" w:hAnsi="Arial" w:cs="Arial"/>
          <w:sz w:val="22"/>
          <w:szCs w:val="22"/>
        </w:rPr>
      </w:pPr>
      <w:r w:rsidRPr="00CF1B34">
        <w:rPr>
          <w:rFonts w:ascii="Arial" w:hAnsi="Arial" w:cs="Arial"/>
          <w:sz w:val="22"/>
          <w:szCs w:val="22"/>
        </w:rPr>
        <w:t>Para que el IVA soportado sea deducible deben darse los siguientes requisitos:</w:t>
      </w:r>
    </w:p>
    <w:p w14:paraId="11A70B58" w14:textId="320D17B4" w:rsidR="007A6C09" w:rsidRPr="00CF1B34" w:rsidRDefault="007A6C09" w:rsidP="004F7A62">
      <w:pPr>
        <w:numPr>
          <w:ilvl w:val="0"/>
          <w:numId w:val="189"/>
        </w:numPr>
        <w:shd w:val="clear" w:color="auto" w:fill="FFFFFF"/>
        <w:spacing w:before="100" w:beforeAutospacing="1" w:after="100" w:afterAutospacing="1"/>
        <w:jc w:val="both"/>
        <w:rPr>
          <w:rFonts w:ascii="Arial" w:hAnsi="Arial" w:cs="Arial"/>
          <w:b/>
          <w:bCs/>
          <w:color w:val="2F5496" w:themeColor="accent1" w:themeShade="BF"/>
          <w:sz w:val="22"/>
          <w:szCs w:val="22"/>
        </w:rPr>
      </w:pPr>
      <w:r w:rsidRPr="00CF1B34">
        <w:rPr>
          <w:rStyle w:val="Textoennegrita"/>
          <w:rFonts w:ascii="Arial" w:hAnsi="Arial" w:cs="Arial"/>
          <w:color w:val="333333"/>
          <w:sz w:val="22"/>
          <w:szCs w:val="22"/>
        </w:rPr>
        <w:t>Las cuotas soportadas deben tener la consideración legal de deducibles</w:t>
      </w:r>
      <w:r w:rsidRPr="00CF1B34">
        <w:rPr>
          <w:rFonts w:ascii="Arial" w:hAnsi="Arial" w:cs="Arial"/>
          <w:color w:val="333333"/>
          <w:sz w:val="22"/>
          <w:szCs w:val="22"/>
        </w:rPr>
        <w:t>, para lo que deben referirse a operaciones sujetas y no exentas, ni la cuantía puede ser superior a la que legalmente corresponda según el tipo de IVA a aplicar</w:t>
      </w:r>
      <w:r w:rsidRPr="00CF1B34">
        <w:rPr>
          <w:rFonts w:ascii="Arial" w:hAnsi="Arial" w:cs="Arial"/>
          <w:b/>
          <w:bCs/>
          <w:color w:val="2F5496" w:themeColor="accent1" w:themeShade="BF"/>
          <w:sz w:val="22"/>
          <w:szCs w:val="22"/>
        </w:rPr>
        <w:t>. Ver IVA Repercutido.</w:t>
      </w:r>
    </w:p>
    <w:p w14:paraId="506AF1CE" w14:textId="77777777" w:rsidR="007A6C09" w:rsidRPr="00CF1B34" w:rsidRDefault="007A6C09" w:rsidP="004F7A62">
      <w:pPr>
        <w:numPr>
          <w:ilvl w:val="0"/>
          <w:numId w:val="189"/>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La deducción sólo puede efectuarla quien reúna una serie de requisitos subjetivos como son </w:t>
      </w:r>
      <w:r w:rsidRPr="00CF1B34">
        <w:rPr>
          <w:rStyle w:val="Textoennegrita"/>
          <w:rFonts w:ascii="Arial" w:hAnsi="Arial" w:cs="Arial"/>
          <w:color w:val="333333"/>
          <w:sz w:val="22"/>
          <w:szCs w:val="22"/>
        </w:rPr>
        <w:t>tener la condición de empresarios o profesionales y realizar de forma habitual actividades como tal</w:t>
      </w:r>
      <w:r w:rsidRPr="00CF1B34">
        <w:rPr>
          <w:rFonts w:ascii="Arial" w:hAnsi="Arial" w:cs="Arial"/>
          <w:color w:val="333333"/>
          <w:sz w:val="22"/>
          <w:szCs w:val="22"/>
        </w:rPr>
        <w:t>.</w:t>
      </w:r>
    </w:p>
    <w:p w14:paraId="31CB4693" w14:textId="5DD7E5A1" w:rsidR="007A6C09" w:rsidRPr="00CF1B34" w:rsidRDefault="007A6C09" w:rsidP="004F7A62">
      <w:pPr>
        <w:numPr>
          <w:ilvl w:val="0"/>
          <w:numId w:val="189"/>
        </w:numPr>
        <w:shd w:val="clear" w:color="auto" w:fill="FFFFFF"/>
        <w:spacing w:before="100" w:beforeAutospacing="1" w:after="100" w:afterAutospacing="1"/>
        <w:jc w:val="both"/>
        <w:rPr>
          <w:rFonts w:ascii="Arial" w:hAnsi="Arial" w:cs="Arial"/>
          <w:color w:val="333333"/>
          <w:sz w:val="22"/>
          <w:szCs w:val="22"/>
        </w:rPr>
      </w:pPr>
      <w:r w:rsidRPr="00CF1B34">
        <w:rPr>
          <w:rStyle w:val="Textoennegrita"/>
          <w:rFonts w:ascii="Arial" w:hAnsi="Arial" w:cs="Arial"/>
          <w:color w:val="333333"/>
          <w:sz w:val="22"/>
          <w:szCs w:val="22"/>
        </w:rPr>
        <w:t xml:space="preserve">Los bienes o servicios </w:t>
      </w:r>
      <w:r w:rsidRPr="00CF1B34">
        <w:rPr>
          <w:rFonts w:ascii="Arial" w:hAnsi="Arial" w:cs="Arial"/>
          <w:color w:val="333333"/>
          <w:sz w:val="22"/>
          <w:szCs w:val="22"/>
        </w:rPr>
        <w:t>por cuya adquisición o importación se ha soportado o satisfecho el IVA </w:t>
      </w:r>
      <w:r w:rsidRPr="00CF1B34">
        <w:rPr>
          <w:rStyle w:val="Textoennegrita"/>
          <w:rFonts w:ascii="Arial" w:hAnsi="Arial" w:cs="Arial"/>
          <w:color w:val="333333"/>
          <w:sz w:val="22"/>
          <w:szCs w:val="22"/>
        </w:rPr>
        <w:t>deben utilizarse en la actividad empresarial o profesional</w:t>
      </w:r>
      <w:r w:rsidRPr="00CF1B34">
        <w:rPr>
          <w:rFonts w:ascii="Arial" w:hAnsi="Arial" w:cs="Arial"/>
          <w:color w:val="333333"/>
          <w:sz w:val="22"/>
          <w:szCs w:val="22"/>
        </w:rPr>
        <w:t xml:space="preserve">. Es decir, sólo se pueden incluir las facturas que estén relacionados con la actividad que se realiza. En este sentido, si se trata de bienes que no son de inversión y se alterna el uso profesional con el personal, no se podrán incluir las cuotas de IVA, lo que no quiere decir que después se pueda imputar una parte del coste como gasto en el Impuesto de Sociedades. En los bienes de inversión sí se podrá incluir parcialmente el </w:t>
      </w:r>
      <w:proofErr w:type="gramStart"/>
      <w:r w:rsidRPr="00CF1B34">
        <w:rPr>
          <w:rFonts w:ascii="Arial" w:hAnsi="Arial" w:cs="Arial"/>
          <w:color w:val="333333"/>
          <w:sz w:val="22"/>
          <w:szCs w:val="22"/>
        </w:rPr>
        <w:t>IVA</w:t>
      </w:r>
      <w:proofErr w:type="gramEnd"/>
      <w:r w:rsidRPr="00CF1B34">
        <w:rPr>
          <w:rFonts w:ascii="Arial" w:hAnsi="Arial" w:cs="Arial"/>
          <w:color w:val="333333"/>
          <w:sz w:val="22"/>
          <w:szCs w:val="22"/>
        </w:rPr>
        <w:t xml:space="preserve"> aunque su uso no sea exclusivamente empresarial.</w:t>
      </w:r>
    </w:p>
    <w:p w14:paraId="5E5F4DF7" w14:textId="77777777" w:rsidR="007A6C09" w:rsidRPr="00CF1B34" w:rsidRDefault="007A6C09" w:rsidP="004F7A62">
      <w:pPr>
        <w:numPr>
          <w:ilvl w:val="0"/>
          <w:numId w:val="189"/>
        </w:numPr>
        <w:shd w:val="clear" w:color="auto" w:fill="FFFFFF"/>
        <w:spacing w:before="100" w:beforeAutospacing="1" w:after="100" w:afterAutospacing="1"/>
        <w:jc w:val="both"/>
        <w:rPr>
          <w:rFonts w:ascii="Arial" w:hAnsi="Arial" w:cs="Arial"/>
          <w:color w:val="333333"/>
          <w:sz w:val="22"/>
          <w:szCs w:val="22"/>
        </w:rPr>
      </w:pPr>
      <w:r w:rsidRPr="00CF1B34">
        <w:rPr>
          <w:rStyle w:val="Textoennegrita"/>
          <w:rFonts w:ascii="Arial" w:hAnsi="Arial" w:cs="Arial"/>
          <w:color w:val="333333"/>
          <w:sz w:val="22"/>
          <w:szCs w:val="22"/>
        </w:rPr>
        <w:t>Las cuotas no deben figurar entre las exclusiones y restricciones del derecho a deducir </w:t>
      </w:r>
      <w:r w:rsidRPr="00CF1B34">
        <w:rPr>
          <w:rFonts w:ascii="Arial" w:hAnsi="Arial" w:cs="Arial"/>
          <w:color w:val="333333"/>
          <w:sz w:val="22"/>
          <w:szCs w:val="22"/>
        </w:rPr>
        <w:t>establecidas en la Ley (</w:t>
      </w:r>
      <w:r w:rsidRPr="00CF1B34">
        <w:rPr>
          <w:rStyle w:val="Textoennegrita"/>
          <w:rFonts w:ascii="Arial" w:hAnsi="Arial" w:cs="Arial"/>
          <w:color w:val="333333"/>
          <w:sz w:val="22"/>
          <w:szCs w:val="22"/>
        </w:rPr>
        <w:t>Ley 37/1992, de 28 de diciembre y sus posteriores actualizaciones</w:t>
      </w:r>
      <w:r w:rsidRPr="00CF1B34">
        <w:rPr>
          <w:rFonts w:ascii="Arial" w:hAnsi="Arial" w:cs="Arial"/>
          <w:color w:val="333333"/>
          <w:sz w:val="22"/>
          <w:szCs w:val="22"/>
        </w:rPr>
        <w:t>). Ente ellas, la ley establece que no pueden ser objeto de deducción en ninguna medida, salgo que se trate de bienes de exclusiva aplicación empresarial, las cuotas soportadas por:</w:t>
      </w:r>
    </w:p>
    <w:p w14:paraId="093EF166" w14:textId="77777777" w:rsidR="007A6C09" w:rsidRPr="00CF1B34" w:rsidRDefault="007A6C09" w:rsidP="004F7A62">
      <w:pPr>
        <w:numPr>
          <w:ilvl w:val="1"/>
          <w:numId w:val="189"/>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Los servicios de desplazamiento o viajes, hostelería y restauración, salvo que tengan la consideración de gasto deducible a efectos del IRPF o del Impuesto sobre Sociedades.</w:t>
      </w:r>
    </w:p>
    <w:p w14:paraId="4EBF8269" w14:textId="77777777" w:rsidR="007A6C09" w:rsidRPr="00CF1B34" w:rsidRDefault="007A6C09" w:rsidP="004F7A62">
      <w:pPr>
        <w:numPr>
          <w:ilvl w:val="1"/>
          <w:numId w:val="189"/>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En alimentos, tabaco y bebidas o espectáculos o servicios de carácter recreativo.</w:t>
      </w:r>
    </w:p>
    <w:p w14:paraId="23FAE45E" w14:textId="77777777" w:rsidR="007A6C09" w:rsidRPr="00CF1B34" w:rsidRDefault="007A6C09" w:rsidP="004F7A62">
      <w:pPr>
        <w:numPr>
          <w:ilvl w:val="1"/>
          <w:numId w:val="189"/>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En joyas, alhajas, piedras preciosas, perlas y objetos elaborados con oro o platino.</w:t>
      </w:r>
    </w:p>
    <w:p w14:paraId="6B17A50A" w14:textId="77777777" w:rsidR="007A6C09" w:rsidRPr="00CF1B34" w:rsidRDefault="007A6C09" w:rsidP="004F7A62">
      <w:pPr>
        <w:numPr>
          <w:ilvl w:val="1"/>
          <w:numId w:val="189"/>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En bienes o servicios destinados a atenciones a clientes, asalariados o a terceras personas.</w:t>
      </w:r>
    </w:p>
    <w:p w14:paraId="052367FF" w14:textId="77777777" w:rsidR="007A6C09" w:rsidRPr="00CF1B34" w:rsidRDefault="007A6C09" w:rsidP="004F7A62">
      <w:pPr>
        <w:numPr>
          <w:ilvl w:val="0"/>
          <w:numId w:val="189"/>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El sujeto pasivo que ejercita el derecho a la deducción debe </w:t>
      </w:r>
      <w:r w:rsidRPr="00CF1B34">
        <w:rPr>
          <w:rStyle w:val="Textoennegrita"/>
          <w:rFonts w:ascii="Arial" w:hAnsi="Arial" w:cs="Arial"/>
          <w:color w:val="333333"/>
          <w:sz w:val="22"/>
          <w:szCs w:val="22"/>
        </w:rPr>
        <w:t>estar en posesión de los justificantes necesarios para efectuar dicha deducción (ahora se plantea que los autónomos tengan que presentar la factura física, como hacen las empresas, en la declaración trimestral del IVA).</w:t>
      </w:r>
    </w:p>
    <w:p w14:paraId="39702EA8" w14:textId="69A7F8AD" w:rsidR="00283BB4" w:rsidRPr="00CF1B34" w:rsidRDefault="007A6C09" w:rsidP="004F7A62">
      <w:pPr>
        <w:numPr>
          <w:ilvl w:val="0"/>
          <w:numId w:val="189"/>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lastRenderedPageBreak/>
        <w:t>Los bienes y servicios han de emplearse en actividades cuya realización genera el derecho a deducción de las cuotas del IVA soportado.</w:t>
      </w:r>
    </w:p>
    <w:p w14:paraId="1F7A7480" w14:textId="77777777" w:rsidR="00AF04F2" w:rsidRPr="00CF1B34" w:rsidRDefault="00AF04F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333333"/>
          <w:sz w:val="22"/>
          <w:szCs w:val="22"/>
          <w:shd w:val="clear" w:color="auto" w:fill="FFFFFF"/>
        </w:rPr>
        <w:t>Todos los gastos y recibos que cumplan con estas características tendrán la consideración de IVA deducible</w:t>
      </w:r>
      <w:r w:rsidRPr="00CF1B34">
        <w:rPr>
          <w:rFonts w:ascii="Arial" w:hAnsi="Arial" w:cs="Arial"/>
          <w:color w:val="333333"/>
          <w:sz w:val="22"/>
          <w:szCs w:val="22"/>
          <w:shd w:val="clear" w:color="auto" w:fill="FFFFFF"/>
        </w:rPr>
        <w:t> y por lo tanto podremos incluirlos en la declaración de IVA. El objetivo general es que el empresario no tenga que pagar ningún tipo de IVA por el desarrollo de su actividad, salvo el que genera su propio negocio. Otra cuestión diferente son los costes administrativos y horas que el empresario deberá invertir para gestionar este impuesto por tener que actuar como recaudador.</w:t>
      </w:r>
    </w:p>
    <w:p w14:paraId="69A61D1C" w14:textId="77777777" w:rsidR="00283BB4" w:rsidRPr="00CF1B34" w:rsidRDefault="00283BB4" w:rsidP="0005621A">
      <w:pPr>
        <w:jc w:val="both"/>
        <w:rPr>
          <w:rFonts w:ascii="Arial" w:hAnsi="Arial" w:cs="Arial"/>
          <w:sz w:val="22"/>
          <w:szCs w:val="22"/>
          <w:lang w:val="es-ES_tradnl"/>
        </w:rPr>
      </w:pPr>
    </w:p>
    <w:p w14:paraId="6CB4DFAC" w14:textId="77777777" w:rsidR="003A41C3" w:rsidRPr="00CF1B34" w:rsidRDefault="003A41C3" w:rsidP="0005621A">
      <w:pPr>
        <w:jc w:val="both"/>
        <w:rPr>
          <w:rFonts w:ascii="Arial" w:hAnsi="Arial" w:cs="Arial"/>
          <w:sz w:val="22"/>
          <w:szCs w:val="22"/>
          <w:lang w:val="es-ES_tradnl"/>
        </w:rPr>
      </w:pPr>
    </w:p>
    <w:p w14:paraId="633459F4" w14:textId="49B7FE19" w:rsidR="00637D33" w:rsidRPr="00CF1B34" w:rsidRDefault="00696A3C"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J</w:t>
      </w:r>
    </w:p>
    <w:p w14:paraId="47496D8E" w14:textId="71F5BD52" w:rsidR="00637D33" w:rsidRPr="00CF1B34" w:rsidRDefault="00637D33" w:rsidP="0005621A">
      <w:pPr>
        <w:jc w:val="both"/>
        <w:rPr>
          <w:rFonts w:ascii="Arial" w:hAnsi="Arial" w:cs="Arial"/>
          <w:sz w:val="22"/>
          <w:szCs w:val="22"/>
          <w:lang w:val="es-ES_tradnl"/>
        </w:rPr>
      </w:pPr>
    </w:p>
    <w:p w14:paraId="7B6CEC18" w14:textId="0124CF28" w:rsidR="003A41C3" w:rsidRPr="00CF1B34" w:rsidRDefault="003A41C3" w:rsidP="0005621A">
      <w:pPr>
        <w:jc w:val="both"/>
        <w:rPr>
          <w:rFonts w:ascii="Arial" w:hAnsi="Arial" w:cs="Arial"/>
          <w:sz w:val="22"/>
          <w:szCs w:val="22"/>
          <w:lang w:val="es-ES_tradnl"/>
        </w:rPr>
      </w:pPr>
    </w:p>
    <w:p w14:paraId="7C2BF15E" w14:textId="023CB623" w:rsidR="00444FF4" w:rsidRPr="00CF1B34" w:rsidRDefault="00444FF4" w:rsidP="0005621A">
      <w:pPr>
        <w:jc w:val="both"/>
        <w:rPr>
          <w:rFonts w:ascii="Arial" w:hAnsi="Arial" w:cs="Arial"/>
          <w:b/>
          <w:bCs/>
          <w:sz w:val="22"/>
          <w:szCs w:val="22"/>
          <w:lang w:val="es-ES_tradnl"/>
        </w:rPr>
      </w:pPr>
      <w:r w:rsidRPr="00CF1B34">
        <w:rPr>
          <w:rFonts w:ascii="Arial" w:hAnsi="Arial" w:cs="Arial"/>
          <w:b/>
          <w:bCs/>
          <w:color w:val="2F5496" w:themeColor="accent1" w:themeShade="BF"/>
          <w:sz w:val="22"/>
          <w:szCs w:val="22"/>
          <w:lang w:val="es-ES_tradnl"/>
        </w:rPr>
        <w:t xml:space="preserve">Joint venture </w:t>
      </w:r>
    </w:p>
    <w:p w14:paraId="2F26F8A2" w14:textId="711A0082" w:rsidR="00AF04F2" w:rsidRPr="00CF1B34" w:rsidRDefault="00444FF4" w:rsidP="0005621A">
      <w:pPr>
        <w:ind w:left="708"/>
        <w:jc w:val="both"/>
        <w:rPr>
          <w:rFonts w:ascii="Arial" w:hAnsi="Arial" w:cs="Arial"/>
          <w:sz w:val="22"/>
          <w:szCs w:val="22"/>
        </w:rPr>
      </w:pPr>
      <w:r w:rsidRPr="00CF1B34">
        <w:rPr>
          <w:rFonts w:ascii="Arial" w:hAnsi="Arial" w:cs="Arial"/>
          <w:sz w:val="22"/>
          <w:szCs w:val="22"/>
          <w:lang w:val="es-ES_tradnl"/>
        </w:rPr>
        <w:t>Empresa</w:t>
      </w:r>
      <w:r w:rsidR="009D4545" w:rsidRPr="00CF1B34">
        <w:rPr>
          <w:rFonts w:ascii="Arial" w:hAnsi="Arial" w:cs="Arial"/>
          <w:sz w:val="22"/>
          <w:szCs w:val="22"/>
          <w:lang w:val="es-ES_tradnl"/>
        </w:rPr>
        <w:t xml:space="preserve"> cuyos accionistas son dos o mas firmas independientes que entran en sociedad para un fin determinado.</w:t>
      </w:r>
      <w:r w:rsidR="00AF04F2" w:rsidRPr="00CF1B34">
        <w:rPr>
          <w:rFonts w:ascii="Arial" w:hAnsi="Arial" w:cs="Arial"/>
          <w:sz w:val="22"/>
          <w:szCs w:val="22"/>
          <w:lang w:val="es-ES_tradnl"/>
        </w:rPr>
        <w:t xml:space="preserve"> Es decir, </w:t>
      </w:r>
      <w:r w:rsidR="00AF04F2" w:rsidRPr="00CF1B34">
        <w:rPr>
          <w:rFonts w:ascii="Arial" w:hAnsi="Arial" w:cs="Arial"/>
          <w:sz w:val="22"/>
          <w:szCs w:val="22"/>
        </w:rPr>
        <w:t xml:space="preserve">una </w:t>
      </w:r>
      <w:r w:rsidR="00AF04F2" w:rsidRPr="00CF1B34">
        <w:rPr>
          <w:rFonts w:ascii="Arial" w:hAnsi="Arial" w:cs="Arial"/>
          <w:b/>
          <w:bCs/>
          <w:sz w:val="22"/>
          <w:szCs w:val="22"/>
        </w:rPr>
        <w:t>joint venture</w:t>
      </w:r>
      <w:r w:rsidR="00AF04F2" w:rsidRPr="00CF1B34">
        <w:rPr>
          <w:rFonts w:ascii="Arial" w:hAnsi="Arial" w:cs="Arial"/>
          <w:sz w:val="22"/>
          <w:szCs w:val="22"/>
        </w:rPr>
        <w:t xml:space="preserve"> (JV) es un </w:t>
      </w:r>
      <w:r w:rsidR="00AF04F2" w:rsidRPr="00CF1B34">
        <w:rPr>
          <w:rStyle w:val="highlight-answer"/>
          <w:rFonts w:ascii="Arial" w:hAnsi="Arial" w:cs="Arial"/>
          <w:b/>
          <w:bCs/>
          <w:color w:val="000000"/>
          <w:sz w:val="22"/>
          <w:szCs w:val="22"/>
        </w:rPr>
        <w:t>acuerdo estratégico entre al menos dos empresas independientes que deciden unir esfuerzos y recursos para realizar un proyecto a corto, medio o largo plazo</w:t>
      </w:r>
      <w:r w:rsidR="00AF04F2" w:rsidRPr="00CF1B34">
        <w:rPr>
          <w:rFonts w:ascii="Arial" w:hAnsi="Arial" w:cs="Arial"/>
          <w:sz w:val="22"/>
          <w:szCs w:val="22"/>
        </w:rPr>
        <w:t>. Aunque las partes mantienen su independencia jurídica y financiera, trabajan juntas bajo una dirección y normas comunes para lograr un objetivo comercial específico.</w:t>
      </w:r>
    </w:p>
    <w:p w14:paraId="051D25AA" w14:textId="258570AF" w:rsidR="00AF04F2" w:rsidRPr="00CF1B34" w:rsidRDefault="00AF04F2" w:rsidP="0005621A">
      <w:pPr>
        <w:ind w:firstLine="708"/>
        <w:jc w:val="both"/>
        <w:rPr>
          <w:rFonts w:ascii="Arial" w:hAnsi="Arial" w:cs="Arial"/>
          <w:sz w:val="22"/>
          <w:szCs w:val="22"/>
        </w:rPr>
      </w:pPr>
      <w:r w:rsidRPr="00CF1B34">
        <w:rPr>
          <w:rStyle w:val="Textoennegrita"/>
          <w:rFonts w:ascii="Arial" w:hAnsi="Arial" w:cs="Arial"/>
          <w:color w:val="000000"/>
          <w:sz w:val="22"/>
          <w:szCs w:val="22"/>
        </w:rPr>
        <w:t>Elementos clave:</w:t>
      </w:r>
    </w:p>
    <w:p w14:paraId="4A3A90D2" w14:textId="6CC7230C" w:rsidR="00AF04F2" w:rsidRPr="00CF1B34" w:rsidRDefault="00AF04F2" w:rsidP="004F7A62">
      <w:pPr>
        <w:pStyle w:val="Prrafodelista"/>
        <w:numPr>
          <w:ilvl w:val="0"/>
          <w:numId w:val="190"/>
        </w:numPr>
        <w:jc w:val="both"/>
        <w:rPr>
          <w:rFonts w:ascii="Arial" w:hAnsi="Arial" w:cs="Arial"/>
          <w:sz w:val="22"/>
          <w:szCs w:val="22"/>
        </w:rPr>
      </w:pPr>
      <w:r w:rsidRPr="00CF1B34">
        <w:rPr>
          <w:rStyle w:val="Textoennegrita"/>
          <w:rFonts w:ascii="Arial" w:hAnsi="Arial" w:cs="Arial"/>
          <w:color w:val="000000"/>
          <w:sz w:val="22"/>
          <w:szCs w:val="22"/>
        </w:rPr>
        <w:t>Independencia</w:t>
      </w:r>
      <w:r w:rsidRPr="00CF1B34">
        <w:rPr>
          <w:rFonts w:ascii="Arial" w:hAnsi="Arial" w:cs="Arial"/>
          <w:sz w:val="22"/>
          <w:szCs w:val="22"/>
        </w:rPr>
        <w:t>: Cada empresa participante mantiene su identidad y autonomía.</w:t>
      </w:r>
    </w:p>
    <w:p w14:paraId="2E986B23" w14:textId="62B77A36" w:rsidR="00AF04F2" w:rsidRPr="00CF1B34" w:rsidRDefault="00AF04F2" w:rsidP="004F7A62">
      <w:pPr>
        <w:pStyle w:val="Prrafodelista"/>
        <w:numPr>
          <w:ilvl w:val="0"/>
          <w:numId w:val="190"/>
        </w:numPr>
        <w:jc w:val="both"/>
        <w:rPr>
          <w:rFonts w:ascii="Arial" w:hAnsi="Arial" w:cs="Arial"/>
          <w:sz w:val="22"/>
          <w:szCs w:val="22"/>
        </w:rPr>
      </w:pPr>
      <w:r w:rsidRPr="00CF1B34">
        <w:rPr>
          <w:rStyle w:val="Textoennegrita"/>
          <w:rFonts w:ascii="Arial" w:hAnsi="Arial" w:cs="Arial"/>
          <w:color w:val="000000"/>
          <w:sz w:val="22"/>
          <w:szCs w:val="22"/>
        </w:rPr>
        <w:t>Colaboración</w:t>
      </w:r>
      <w:r w:rsidRPr="00CF1B34">
        <w:rPr>
          <w:rFonts w:ascii="Arial" w:hAnsi="Arial" w:cs="Arial"/>
          <w:sz w:val="22"/>
          <w:szCs w:val="22"/>
        </w:rPr>
        <w:t>: Las empresas trabajan juntas para alcanzar un objetivo común.</w:t>
      </w:r>
    </w:p>
    <w:p w14:paraId="5DB6BD5D" w14:textId="77777777" w:rsidR="00AF04F2" w:rsidRPr="00CF1B34" w:rsidRDefault="00AF04F2" w:rsidP="004F7A62">
      <w:pPr>
        <w:pStyle w:val="Prrafodelista"/>
        <w:numPr>
          <w:ilvl w:val="0"/>
          <w:numId w:val="190"/>
        </w:numPr>
        <w:jc w:val="both"/>
        <w:rPr>
          <w:rFonts w:ascii="Arial" w:hAnsi="Arial" w:cs="Arial"/>
          <w:sz w:val="22"/>
          <w:szCs w:val="22"/>
        </w:rPr>
      </w:pPr>
      <w:r w:rsidRPr="00CF1B34">
        <w:rPr>
          <w:rStyle w:val="Textoennegrita"/>
          <w:rFonts w:ascii="Arial" w:hAnsi="Arial" w:cs="Arial"/>
          <w:color w:val="000000"/>
          <w:sz w:val="22"/>
          <w:szCs w:val="22"/>
        </w:rPr>
        <w:t>Compartición de riesgos</w:t>
      </w:r>
      <w:r w:rsidRPr="00CF1B34">
        <w:rPr>
          <w:rFonts w:ascii="Arial" w:hAnsi="Arial" w:cs="Arial"/>
          <w:sz w:val="22"/>
          <w:szCs w:val="22"/>
        </w:rPr>
        <w:t>: El riesgo es compartido entre las partes involucradas.</w:t>
      </w:r>
    </w:p>
    <w:p w14:paraId="519A2B9F" w14:textId="77777777" w:rsidR="00AF04F2" w:rsidRPr="00CF1B34" w:rsidRDefault="00AF04F2" w:rsidP="004F7A62">
      <w:pPr>
        <w:pStyle w:val="Prrafodelista"/>
        <w:numPr>
          <w:ilvl w:val="0"/>
          <w:numId w:val="190"/>
        </w:numPr>
        <w:jc w:val="both"/>
        <w:rPr>
          <w:rFonts w:ascii="Arial" w:hAnsi="Arial" w:cs="Arial"/>
          <w:sz w:val="22"/>
          <w:szCs w:val="22"/>
        </w:rPr>
      </w:pPr>
      <w:r w:rsidRPr="00CF1B34">
        <w:rPr>
          <w:rStyle w:val="Textoennegrita"/>
          <w:rFonts w:ascii="Arial" w:hAnsi="Arial" w:cs="Arial"/>
          <w:color w:val="000000"/>
          <w:sz w:val="22"/>
          <w:szCs w:val="22"/>
        </w:rPr>
        <w:t>Distribución de responsabilidades</w:t>
      </w:r>
      <w:r w:rsidRPr="00CF1B34">
        <w:rPr>
          <w:rFonts w:ascii="Arial" w:hAnsi="Arial" w:cs="Arial"/>
          <w:sz w:val="22"/>
          <w:szCs w:val="22"/>
        </w:rPr>
        <w:t>: Se establecen roles y responsabilidades claras entre las empresas.</w:t>
      </w:r>
    </w:p>
    <w:p w14:paraId="43D2AC9E" w14:textId="753C4DE6" w:rsidR="00AF04F2" w:rsidRPr="00CF1B34" w:rsidRDefault="00AF04F2" w:rsidP="004F7A62">
      <w:pPr>
        <w:pStyle w:val="Prrafodelista"/>
        <w:numPr>
          <w:ilvl w:val="0"/>
          <w:numId w:val="190"/>
        </w:numPr>
        <w:jc w:val="both"/>
        <w:rPr>
          <w:rFonts w:ascii="Arial" w:hAnsi="Arial" w:cs="Arial"/>
          <w:sz w:val="22"/>
          <w:szCs w:val="22"/>
        </w:rPr>
      </w:pPr>
      <w:r w:rsidRPr="00CF1B34">
        <w:rPr>
          <w:rStyle w:val="Textoennegrita"/>
          <w:rFonts w:ascii="Arial" w:hAnsi="Arial" w:cs="Arial"/>
          <w:color w:val="000000"/>
          <w:sz w:val="22"/>
          <w:szCs w:val="22"/>
        </w:rPr>
        <w:t>Gestión conjunta</w:t>
      </w:r>
      <w:r w:rsidRPr="00CF1B34">
        <w:rPr>
          <w:rFonts w:ascii="Arial" w:hAnsi="Arial" w:cs="Arial"/>
          <w:sz w:val="22"/>
          <w:szCs w:val="22"/>
        </w:rPr>
        <w:t>: Se crea una dirección y normas comunes para el proyecto.</w:t>
      </w:r>
    </w:p>
    <w:p w14:paraId="4B1BBA4D" w14:textId="0B40B46E" w:rsidR="00AF04F2" w:rsidRPr="00CF1B34" w:rsidRDefault="00AF04F2" w:rsidP="0005621A">
      <w:pPr>
        <w:ind w:firstLine="708"/>
        <w:jc w:val="both"/>
        <w:rPr>
          <w:rFonts w:ascii="Arial" w:hAnsi="Arial" w:cs="Arial"/>
          <w:sz w:val="22"/>
          <w:szCs w:val="22"/>
        </w:rPr>
      </w:pPr>
      <w:r w:rsidRPr="00CF1B34">
        <w:rPr>
          <w:rStyle w:val="Textoennegrita"/>
          <w:rFonts w:ascii="Arial" w:hAnsi="Arial" w:cs="Arial"/>
          <w:color w:val="000000"/>
          <w:sz w:val="22"/>
          <w:szCs w:val="22"/>
        </w:rPr>
        <w:t>Tipos de Joint Ventures:</w:t>
      </w:r>
    </w:p>
    <w:p w14:paraId="01C6F777" w14:textId="20838616" w:rsidR="00AF04F2" w:rsidRPr="00CF1B34" w:rsidRDefault="00AF04F2" w:rsidP="004F7A62">
      <w:pPr>
        <w:pStyle w:val="Prrafodelista"/>
        <w:numPr>
          <w:ilvl w:val="0"/>
          <w:numId w:val="191"/>
        </w:numPr>
        <w:jc w:val="both"/>
        <w:rPr>
          <w:rFonts w:ascii="Arial" w:hAnsi="Arial" w:cs="Arial"/>
          <w:sz w:val="22"/>
          <w:szCs w:val="22"/>
        </w:rPr>
      </w:pPr>
      <w:r w:rsidRPr="00CF1B34">
        <w:rPr>
          <w:rStyle w:val="Textoennegrita"/>
          <w:rFonts w:ascii="Arial" w:hAnsi="Arial" w:cs="Arial"/>
          <w:color w:val="000000"/>
          <w:sz w:val="22"/>
          <w:szCs w:val="22"/>
        </w:rPr>
        <w:t>Operativa</w:t>
      </w:r>
      <w:r w:rsidRPr="00CF1B34">
        <w:rPr>
          <w:rFonts w:ascii="Arial" w:hAnsi="Arial" w:cs="Arial"/>
          <w:sz w:val="22"/>
          <w:szCs w:val="22"/>
        </w:rPr>
        <w:t>: Las empresas trabajan juntas para desarrollar y operar una empresa nueva.</w:t>
      </w:r>
    </w:p>
    <w:p w14:paraId="73B02D5F" w14:textId="77777777" w:rsidR="00AF04F2" w:rsidRPr="00CF1B34" w:rsidRDefault="00AF04F2" w:rsidP="004F7A62">
      <w:pPr>
        <w:pStyle w:val="Prrafodelista"/>
        <w:numPr>
          <w:ilvl w:val="0"/>
          <w:numId w:val="191"/>
        </w:numPr>
        <w:jc w:val="both"/>
        <w:rPr>
          <w:rFonts w:ascii="Arial" w:hAnsi="Arial" w:cs="Arial"/>
          <w:sz w:val="22"/>
          <w:szCs w:val="22"/>
        </w:rPr>
      </w:pPr>
      <w:r w:rsidRPr="00CF1B34">
        <w:rPr>
          <w:rStyle w:val="Textoennegrita"/>
          <w:rFonts w:ascii="Arial" w:hAnsi="Arial" w:cs="Arial"/>
          <w:color w:val="000000"/>
          <w:sz w:val="22"/>
          <w:szCs w:val="22"/>
        </w:rPr>
        <w:t>Financiera</w:t>
      </w:r>
      <w:r w:rsidRPr="00CF1B34">
        <w:rPr>
          <w:rFonts w:ascii="Arial" w:hAnsi="Arial" w:cs="Arial"/>
          <w:sz w:val="22"/>
          <w:szCs w:val="22"/>
        </w:rPr>
        <w:t>: Las empresas colaboran para financiar un proyecto o inversión.</w:t>
      </w:r>
    </w:p>
    <w:p w14:paraId="70BBC837" w14:textId="5730AEB2" w:rsidR="00AF04F2" w:rsidRPr="00CF1B34" w:rsidRDefault="00AF04F2" w:rsidP="004F7A62">
      <w:pPr>
        <w:pStyle w:val="Prrafodelista"/>
        <w:numPr>
          <w:ilvl w:val="0"/>
          <w:numId w:val="191"/>
        </w:numPr>
        <w:jc w:val="both"/>
        <w:rPr>
          <w:rFonts w:ascii="Arial" w:hAnsi="Arial" w:cs="Arial"/>
          <w:sz w:val="22"/>
          <w:szCs w:val="22"/>
        </w:rPr>
      </w:pPr>
      <w:r w:rsidRPr="00CF1B34">
        <w:rPr>
          <w:rStyle w:val="Textoennegrita"/>
          <w:rFonts w:ascii="Arial" w:hAnsi="Arial" w:cs="Arial"/>
          <w:color w:val="000000"/>
          <w:sz w:val="22"/>
          <w:szCs w:val="22"/>
        </w:rPr>
        <w:t>Técnica</w:t>
      </w:r>
      <w:r w:rsidRPr="00CF1B34">
        <w:rPr>
          <w:rFonts w:ascii="Arial" w:hAnsi="Arial" w:cs="Arial"/>
          <w:sz w:val="22"/>
          <w:szCs w:val="22"/>
        </w:rPr>
        <w:t>: Las empresas comparten conocimientos y habilidades para desarrollar un producto o servicio.</w:t>
      </w:r>
    </w:p>
    <w:p w14:paraId="72198420" w14:textId="0ED4C99D" w:rsidR="00AF04F2" w:rsidRPr="00CF1B34" w:rsidRDefault="00AF04F2" w:rsidP="0005621A">
      <w:pPr>
        <w:ind w:firstLine="708"/>
        <w:jc w:val="both"/>
        <w:rPr>
          <w:rFonts w:ascii="Arial" w:hAnsi="Arial" w:cs="Arial"/>
          <w:sz w:val="22"/>
          <w:szCs w:val="22"/>
        </w:rPr>
      </w:pPr>
      <w:r w:rsidRPr="00CF1B34">
        <w:rPr>
          <w:rStyle w:val="Textoennegrita"/>
          <w:rFonts w:ascii="Arial" w:hAnsi="Arial" w:cs="Arial"/>
          <w:color w:val="000000"/>
          <w:sz w:val="22"/>
          <w:szCs w:val="22"/>
        </w:rPr>
        <w:t>Ventajas:</w:t>
      </w:r>
    </w:p>
    <w:p w14:paraId="57EEA7ED" w14:textId="004AF1F3" w:rsidR="00AF04F2" w:rsidRPr="00CF1B34" w:rsidRDefault="00AF04F2" w:rsidP="004F7A62">
      <w:pPr>
        <w:pStyle w:val="Prrafodelista"/>
        <w:numPr>
          <w:ilvl w:val="0"/>
          <w:numId w:val="192"/>
        </w:numPr>
        <w:jc w:val="both"/>
        <w:rPr>
          <w:rStyle w:val="Textoennegrita"/>
          <w:rFonts w:ascii="Arial" w:hAnsi="Arial" w:cs="Arial"/>
          <w:b w:val="0"/>
          <w:bCs w:val="0"/>
          <w:sz w:val="22"/>
          <w:szCs w:val="22"/>
        </w:rPr>
      </w:pPr>
      <w:r w:rsidRPr="00CF1B34">
        <w:rPr>
          <w:rStyle w:val="Textoennegrita"/>
          <w:rFonts w:ascii="Arial" w:hAnsi="Arial" w:cs="Arial"/>
          <w:color w:val="000000"/>
          <w:sz w:val="22"/>
          <w:szCs w:val="22"/>
        </w:rPr>
        <w:t>Acceso a nuevos mercados y tecnologías</w:t>
      </w:r>
      <w:r w:rsidR="00C844B8" w:rsidRPr="00CF1B34">
        <w:rPr>
          <w:rStyle w:val="Textoennegrita"/>
          <w:rFonts w:ascii="Arial" w:hAnsi="Arial" w:cs="Arial"/>
          <w:color w:val="000000"/>
          <w:sz w:val="22"/>
          <w:szCs w:val="22"/>
        </w:rPr>
        <w:t xml:space="preserve">. </w:t>
      </w:r>
    </w:p>
    <w:p w14:paraId="4BA9F958" w14:textId="77777777" w:rsidR="00C844B8" w:rsidRPr="00CF1B34" w:rsidRDefault="00C844B8" w:rsidP="004F7A62">
      <w:pPr>
        <w:pStyle w:val="Prrafodelista"/>
        <w:numPr>
          <w:ilvl w:val="0"/>
          <w:numId w:val="192"/>
        </w:numPr>
        <w:jc w:val="both"/>
        <w:rPr>
          <w:rFonts w:ascii="Arial" w:hAnsi="Arial" w:cs="Arial"/>
          <w:sz w:val="22"/>
          <w:szCs w:val="22"/>
        </w:rPr>
      </w:pPr>
      <w:r w:rsidRPr="00CF1B34">
        <w:rPr>
          <w:rStyle w:val="Textoennegrita"/>
          <w:rFonts w:ascii="Arial" w:hAnsi="Arial" w:cs="Arial"/>
          <w:color w:val="000000"/>
          <w:sz w:val="22"/>
          <w:szCs w:val="22"/>
        </w:rPr>
        <w:t>Reducción de costos y riesgos.</w:t>
      </w:r>
    </w:p>
    <w:p w14:paraId="7591B56C" w14:textId="77777777" w:rsidR="00C844B8" w:rsidRPr="00CF1B34" w:rsidRDefault="00C844B8" w:rsidP="004F7A62">
      <w:pPr>
        <w:pStyle w:val="Prrafodelista"/>
        <w:numPr>
          <w:ilvl w:val="0"/>
          <w:numId w:val="192"/>
        </w:numPr>
        <w:jc w:val="both"/>
        <w:rPr>
          <w:rFonts w:ascii="Arial" w:hAnsi="Arial" w:cs="Arial"/>
          <w:sz w:val="22"/>
          <w:szCs w:val="22"/>
        </w:rPr>
      </w:pPr>
      <w:r w:rsidRPr="00CF1B34">
        <w:rPr>
          <w:rStyle w:val="Textoennegrita"/>
          <w:rFonts w:ascii="Arial" w:hAnsi="Arial" w:cs="Arial"/>
          <w:color w:val="000000"/>
          <w:sz w:val="22"/>
          <w:szCs w:val="22"/>
        </w:rPr>
        <w:t>Incremento de la competencia y la innovación.</w:t>
      </w:r>
    </w:p>
    <w:p w14:paraId="0358AA36" w14:textId="3B8C880C" w:rsidR="00AF04F2" w:rsidRPr="00CF1B34" w:rsidRDefault="00C844B8" w:rsidP="004F7A62">
      <w:pPr>
        <w:pStyle w:val="Prrafodelista"/>
        <w:numPr>
          <w:ilvl w:val="0"/>
          <w:numId w:val="192"/>
        </w:numPr>
        <w:jc w:val="both"/>
        <w:rPr>
          <w:rStyle w:val="Textoennegrita"/>
          <w:rFonts w:ascii="Arial" w:hAnsi="Arial" w:cs="Arial"/>
          <w:b w:val="0"/>
          <w:bCs w:val="0"/>
          <w:sz w:val="22"/>
          <w:szCs w:val="22"/>
        </w:rPr>
      </w:pPr>
      <w:r w:rsidRPr="00CF1B34">
        <w:rPr>
          <w:rStyle w:val="Textoennegrita"/>
          <w:rFonts w:ascii="Arial" w:hAnsi="Arial" w:cs="Arial"/>
          <w:color w:val="000000"/>
          <w:sz w:val="22"/>
          <w:szCs w:val="22"/>
        </w:rPr>
        <w:t>Mejora de la eficiencia y productividad.</w:t>
      </w:r>
    </w:p>
    <w:p w14:paraId="1C6CB6F3" w14:textId="77777777" w:rsidR="00C844B8" w:rsidRPr="00CF1B34" w:rsidRDefault="00C844B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rPr>
        <w:t>Una joint venture es pues, un acuerdo estratégico entre empresas independientes que buscan lograr un objetivo común a través de la colaboración y la compartición de riesgos y responsabilidades.</w:t>
      </w:r>
    </w:p>
    <w:p w14:paraId="36C3C9E8" w14:textId="59AA5887" w:rsidR="002F5697" w:rsidRPr="00CF1B34" w:rsidRDefault="002F5697"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Jubilación anticipada</w:t>
      </w:r>
    </w:p>
    <w:p w14:paraId="4DB6F972" w14:textId="0A7AF191" w:rsidR="00E44831" w:rsidRPr="00CF1B34" w:rsidRDefault="00E44831"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 xml:space="preserve">La primera cuestión en ese sentido es recordar que </w:t>
      </w:r>
      <w:r w:rsidRPr="00CF1B34">
        <w:rPr>
          <w:rStyle w:val="Textoennegrita"/>
          <w:rFonts w:ascii="Arial" w:hAnsi="Arial" w:cs="Arial"/>
          <w:color w:val="333333"/>
          <w:sz w:val="22"/>
          <w:szCs w:val="22"/>
          <w:shd w:val="clear" w:color="auto" w:fill="FFFFFF"/>
        </w:rPr>
        <w:t>la edad ordinaria de jubilación está fijada en 65 años si has cotizado 36 ejercicios o más; si no has alcanzado esta cifra, queda en 65 años y seis meses.</w:t>
      </w:r>
      <w:r w:rsidRPr="00CF1B34">
        <w:rPr>
          <w:rFonts w:ascii="Arial" w:hAnsi="Arial" w:cs="Arial"/>
          <w:color w:val="333333"/>
          <w:sz w:val="22"/>
          <w:szCs w:val="22"/>
          <w:shd w:val="clear" w:color="auto" w:fill="FFFFFF"/>
        </w:rPr>
        <w:t xml:space="preserve"> Dado que se estableció un carácter progresivo en la edad de jubilación, ésta es de 65 y 67 años para este año de manera respectiva a los dos supuestos explicados.</w:t>
      </w:r>
    </w:p>
    <w:p w14:paraId="1A1F5B79" w14:textId="77777777" w:rsidR="00E44831" w:rsidRPr="00CF1B34" w:rsidRDefault="00E44831" w:rsidP="0005621A">
      <w:pPr>
        <w:ind w:firstLine="708"/>
        <w:jc w:val="both"/>
        <w:rPr>
          <w:rFonts w:ascii="Arial" w:hAnsi="Arial" w:cs="Arial"/>
          <w:sz w:val="22"/>
          <w:szCs w:val="22"/>
        </w:rPr>
      </w:pPr>
      <w:r w:rsidRPr="00CF1B34">
        <w:rPr>
          <w:rFonts w:ascii="Arial" w:hAnsi="Arial" w:cs="Arial"/>
          <w:color w:val="333333"/>
          <w:sz w:val="22"/>
          <w:szCs w:val="22"/>
          <w:shd w:val="clear" w:color="auto" w:fill="FFFFFF"/>
        </w:rPr>
        <w:t>Según marca la ley será necesario un periodo mínimo efectivo:</w:t>
      </w:r>
    </w:p>
    <w:p w14:paraId="6C6B74AF" w14:textId="780652DA" w:rsidR="00AF1A52" w:rsidRPr="00CF1B34" w:rsidRDefault="00AF1A52" w:rsidP="004F7A62">
      <w:pPr>
        <w:numPr>
          <w:ilvl w:val="0"/>
          <w:numId w:val="193"/>
        </w:numPr>
        <w:shd w:val="clear" w:color="auto" w:fill="FFFFFF"/>
        <w:spacing w:before="100" w:beforeAutospacing="1" w:after="100" w:afterAutospacing="1"/>
        <w:jc w:val="both"/>
        <w:rPr>
          <w:rFonts w:ascii="Arial" w:hAnsi="Arial" w:cs="Arial"/>
          <w:color w:val="333333"/>
          <w:sz w:val="22"/>
          <w:szCs w:val="22"/>
        </w:rPr>
      </w:pPr>
      <w:r w:rsidRPr="00CF1B34">
        <w:rPr>
          <w:rStyle w:val="Textoennegrita"/>
          <w:rFonts w:ascii="Arial" w:hAnsi="Arial" w:cs="Arial"/>
          <w:color w:val="333333"/>
          <w:sz w:val="22"/>
          <w:szCs w:val="22"/>
          <w:shd w:val="clear" w:color="auto" w:fill="FFFFFF"/>
        </w:rPr>
        <w:t>De 33 años para la jubilación anticipada involuntaria y 35 para la voluntaria.</w:t>
      </w:r>
    </w:p>
    <w:p w14:paraId="3D0D2466" w14:textId="77777777" w:rsidR="00AF1A52" w:rsidRPr="00CF1B34" w:rsidRDefault="00AF1A5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rPr>
        <w:lastRenderedPageBreak/>
        <w:t xml:space="preserve">Del periodo de cotización </w:t>
      </w:r>
      <w:r w:rsidRPr="00CF1B34">
        <w:rPr>
          <w:rStyle w:val="Textoennegrita"/>
          <w:rFonts w:ascii="Arial" w:hAnsi="Arial" w:cs="Arial"/>
          <w:color w:val="333333"/>
          <w:sz w:val="22"/>
          <w:szCs w:val="22"/>
        </w:rPr>
        <w:t>al menos dos años deberán estar comprendidos dentro de los quince inmediatamente anteriores al momento de causar el derecho</w:t>
      </w:r>
      <w:r w:rsidRPr="00CF1B34">
        <w:rPr>
          <w:rFonts w:ascii="Arial" w:hAnsi="Arial" w:cs="Arial"/>
          <w:color w:val="333333"/>
          <w:sz w:val="22"/>
          <w:szCs w:val="22"/>
        </w:rPr>
        <w:t xml:space="preserve"> o al momento en que cesó la obligación de cotizar, si se accede a la pensión de jubilación anticipada desde una situación de alta o asimilada al alta sin obligación de cotizar.</w:t>
      </w:r>
    </w:p>
    <w:p w14:paraId="00B955E3" w14:textId="3AA9FB21" w:rsidR="00014BD9" w:rsidRPr="00CF1B34" w:rsidRDefault="00014BD9"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Jubilación parcial</w:t>
      </w:r>
    </w:p>
    <w:p w14:paraId="7C79AE7C" w14:textId="77777777" w:rsidR="005D3C62" w:rsidRPr="00CF1B34" w:rsidRDefault="005D3C62"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CF1B34">
        <w:rPr>
          <w:rFonts w:ascii="Arial" w:hAnsi="Arial" w:cs="Arial"/>
          <w:color w:val="333333"/>
          <w:sz w:val="22"/>
          <w:szCs w:val="22"/>
        </w:rPr>
        <w:t>En la jubilación parcial se plantea una reducción de jornada, que será la que permita que se cobre parte de la jubilación. Es decir, se deja de trabajar y se complementa esa pérdida de ingresos con la pensión pública. para que todo sea legal, </w:t>
      </w:r>
      <w:r w:rsidRPr="00CF1B34">
        <w:rPr>
          <w:rStyle w:val="Textoennegrita"/>
          <w:rFonts w:ascii="Arial" w:hAnsi="Arial" w:cs="Arial"/>
          <w:color w:val="333333"/>
          <w:sz w:val="22"/>
          <w:szCs w:val="22"/>
        </w:rPr>
        <w:t>la jornada debe reducirse un mínimo de un 25% y un máximo de un 50%</w:t>
      </w:r>
      <w:r w:rsidRPr="00CF1B34">
        <w:rPr>
          <w:rFonts w:ascii="Arial" w:hAnsi="Arial" w:cs="Arial"/>
          <w:color w:val="333333"/>
          <w:sz w:val="22"/>
          <w:szCs w:val="22"/>
        </w:rPr>
        <w:t> con carácter general.</w:t>
      </w:r>
    </w:p>
    <w:p w14:paraId="4855EFCB" w14:textId="77777777" w:rsidR="005D3C62" w:rsidRPr="00CF1B34" w:rsidRDefault="005D3C6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rPr>
        <w:t>En el caso de que el trabajador que releve al jubilado parcial tenga un contrato fijo a jornada completa con una duración mínima de dos años, la reducción de la jornada podrá alcanzar el 75%.</w:t>
      </w:r>
    </w:p>
    <w:p w14:paraId="41FE0465" w14:textId="261C7A9C" w:rsidR="005A788F" w:rsidRPr="00CF1B34" w:rsidRDefault="005A788F"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Junk -Bond</w:t>
      </w:r>
    </w:p>
    <w:p w14:paraId="20B0BE38" w14:textId="02858CFF" w:rsidR="005A788F" w:rsidRPr="00CF1B34" w:rsidRDefault="0078069E"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Ver Bono basura</w:t>
      </w:r>
      <w:r w:rsidR="00A11E1C" w:rsidRPr="00CF1B34">
        <w:rPr>
          <w:rFonts w:ascii="Arial" w:hAnsi="Arial" w:cs="Arial"/>
          <w:color w:val="2F5496" w:themeColor="accent1" w:themeShade="BF"/>
          <w:sz w:val="22"/>
          <w:szCs w:val="22"/>
          <w:lang w:val="es-ES_tradnl"/>
        </w:rPr>
        <w:t>.</w:t>
      </w:r>
      <w:r w:rsidR="00BF10A4" w:rsidRPr="00CF1B34">
        <w:rPr>
          <w:rFonts w:ascii="Arial" w:hAnsi="Arial" w:cs="Arial"/>
          <w:color w:val="2F5496" w:themeColor="accent1" w:themeShade="BF"/>
          <w:sz w:val="22"/>
          <w:szCs w:val="22"/>
          <w:lang w:val="es-ES_tradnl"/>
        </w:rPr>
        <w:t xml:space="preserve"> </w:t>
      </w:r>
    </w:p>
    <w:p w14:paraId="09E281C3"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Junta General de Accionistas</w:t>
      </w:r>
    </w:p>
    <w:p w14:paraId="5198CF4F" w14:textId="1707CE7D"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Órgano de gobierno supremo de una sociedad; en ella se adoptan por mayoría las principales decisiones societarias y estatutarias. Ver RD Legislativo 1/2010, 2 de julio, por el que se aprueba el texto refundido de la ley de sociedades de capital.</w:t>
      </w:r>
      <w:r w:rsidR="005A788F" w:rsidRPr="00CF1B34">
        <w:rPr>
          <w:rFonts w:ascii="Arial" w:hAnsi="Arial" w:cs="Arial"/>
          <w:color w:val="212529"/>
          <w:sz w:val="22"/>
          <w:szCs w:val="22"/>
          <w:lang w:val="es-ES_tradnl"/>
        </w:rPr>
        <w:t xml:space="preserve"> En las juntas generales de accionistas que se celebran una vez al año, los accionistas aprueban las cuentas de la sociedad, y los gestores de la misma presentan su actuación para que reciba el dictamen favorable de los propietarios.</w:t>
      </w:r>
    </w:p>
    <w:p w14:paraId="0A43655B" w14:textId="38BAA017" w:rsidR="00637D33" w:rsidRPr="00CF1B34" w:rsidRDefault="00637D33" w:rsidP="0005621A">
      <w:pPr>
        <w:jc w:val="both"/>
        <w:rPr>
          <w:rFonts w:ascii="Arial" w:hAnsi="Arial" w:cs="Arial"/>
          <w:sz w:val="22"/>
          <w:szCs w:val="22"/>
          <w:lang w:val="es-ES_tradnl"/>
        </w:rPr>
      </w:pPr>
    </w:p>
    <w:p w14:paraId="6A9C65C0" w14:textId="0CF856F6" w:rsidR="002D5614" w:rsidRPr="00CF1B34" w:rsidRDefault="002D5614" w:rsidP="0005621A">
      <w:pPr>
        <w:jc w:val="both"/>
        <w:rPr>
          <w:rFonts w:ascii="Arial" w:hAnsi="Arial" w:cs="Arial"/>
          <w:sz w:val="22"/>
          <w:szCs w:val="22"/>
          <w:lang w:val="es-ES_tradnl"/>
        </w:rPr>
      </w:pPr>
    </w:p>
    <w:p w14:paraId="2E2CD789" w14:textId="59425D57" w:rsidR="002D5614" w:rsidRPr="00CF1B34" w:rsidRDefault="002D5614" w:rsidP="0005621A">
      <w:pPr>
        <w:jc w:val="both"/>
        <w:rPr>
          <w:rFonts w:ascii="Arial" w:hAnsi="Arial" w:cs="Arial"/>
          <w:sz w:val="32"/>
          <w:szCs w:val="32"/>
          <w:lang w:val="es-ES_tradnl"/>
        </w:rPr>
      </w:pPr>
      <w:r w:rsidRPr="00CF1B34">
        <w:rPr>
          <w:rFonts w:ascii="Arial" w:hAnsi="Arial" w:cs="Arial"/>
          <w:sz w:val="32"/>
          <w:szCs w:val="32"/>
          <w:lang w:val="es-ES_tradnl"/>
        </w:rPr>
        <w:t>K</w:t>
      </w:r>
    </w:p>
    <w:p w14:paraId="2EC867C9" w14:textId="77777777" w:rsidR="002D5614" w:rsidRPr="00CF1B34" w:rsidRDefault="002D5614" w:rsidP="0005621A">
      <w:pPr>
        <w:jc w:val="both"/>
        <w:rPr>
          <w:rFonts w:ascii="Arial" w:hAnsi="Arial" w:cs="Arial"/>
          <w:sz w:val="22"/>
          <w:szCs w:val="22"/>
          <w:lang w:val="es-ES_tradnl"/>
        </w:rPr>
      </w:pPr>
    </w:p>
    <w:p w14:paraId="08245A3D" w14:textId="75A679F9" w:rsidR="008C7036" w:rsidRPr="00CF1B34" w:rsidRDefault="008C7036" w:rsidP="0005621A">
      <w:pPr>
        <w:jc w:val="both"/>
        <w:rPr>
          <w:rFonts w:ascii="Arial" w:hAnsi="Arial" w:cs="Arial"/>
          <w:sz w:val="22"/>
          <w:szCs w:val="22"/>
          <w:lang w:val="es-ES_tradnl"/>
        </w:rPr>
      </w:pPr>
    </w:p>
    <w:p w14:paraId="0EA23EEB" w14:textId="3D4DC550" w:rsidR="008C7036" w:rsidRPr="00CF1B34" w:rsidRDefault="008C7036"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Keynes, John Maynard</w:t>
      </w:r>
    </w:p>
    <w:p w14:paraId="69BE730E" w14:textId="124430EE" w:rsidR="008C7036" w:rsidRPr="00CF1B34" w:rsidRDefault="008C7036"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Es uno de los economistas más importantes de la historia, sobre todo por la repercusión que tuvieron sus teorías económicas y políticas modernas, como también en la aplicación que han adoptado muchos gobiernos en materia fiscal.</w:t>
      </w:r>
    </w:p>
    <w:p w14:paraId="41E4641F" w14:textId="77777777" w:rsidR="002D5614" w:rsidRPr="00CF1B34" w:rsidRDefault="008C703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 xml:space="preserve">El británico sostenía </w:t>
      </w:r>
      <w:r w:rsidRPr="00CF1B34">
        <w:rPr>
          <w:rStyle w:val="Textoennegrita"/>
          <w:rFonts w:ascii="Arial" w:hAnsi="Arial" w:cs="Arial"/>
          <w:color w:val="333333"/>
          <w:sz w:val="22"/>
          <w:szCs w:val="22"/>
          <w:shd w:val="clear" w:color="auto" w:fill="FFFFFF"/>
        </w:rPr>
        <w:t>la viabilidad de las políticas fiscales y monetarias activas</w:t>
      </w:r>
      <w:r w:rsidRPr="00CF1B34">
        <w:rPr>
          <w:rFonts w:ascii="Arial" w:hAnsi="Arial" w:cs="Arial"/>
          <w:color w:val="333333"/>
          <w:sz w:val="22"/>
          <w:szCs w:val="22"/>
          <w:shd w:val="clear" w:color="auto" w:fill="FFFFFF"/>
        </w:rPr>
        <w:t>, que tenían como efecto</w:t>
      </w:r>
      <w:r w:rsidR="002D5614" w:rsidRPr="00CF1B34">
        <w:rPr>
          <w:rFonts w:ascii="Arial" w:hAnsi="Arial" w:cs="Arial"/>
          <w:color w:val="333333"/>
          <w:sz w:val="22"/>
          <w:szCs w:val="22"/>
          <w:shd w:val="clear" w:color="auto" w:fill="FFFFFF"/>
        </w:rPr>
        <w:t xml:space="preserve"> </w:t>
      </w:r>
      <w:r w:rsidRPr="00CF1B34">
        <w:rPr>
          <w:rFonts w:ascii="Arial" w:hAnsi="Arial" w:cs="Arial"/>
          <w:color w:val="333333"/>
          <w:sz w:val="22"/>
          <w:szCs w:val="22"/>
          <w:shd w:val="clear" w:color="auto" w:fill="FFFFFF"/>
        </w:rPr>
        <w:t>contrarrestar las perturbaciones de la demanda privada. En otras palabras, alentaba la participación estatal, ya que,</w:t>
      </w:r>
      <w:r w:rsidR="002D5614" w:rsidRPr="00CF1B34">
        <w:rPr>
          <w:rFonts w:ascii="Arial" w:hAnsi="Arial" w:cs="Arial"/>
          <w:color w:val="333333"/>
          <w:sz w:val="22"/>
          <w:szCs w:val="22"/>
          <w:shd w:val="clear" w:color="auto" w:fill="FFFFFF"/>
        </w:rPr>
        <w:t xml:space="preserve"> el Estado utilizara medidas fiscales y monetarias con el objetivo de acotar los efectos de una recesión o de las fluctuaciones cíclicas de la actividad económica. Su obra más importante ha sido la</w:t>
      </w:r>
      <w:r w:rsidR="002D5614" w:rsidRPr="00CF1B34">
        <w:rPr>
          <w:rFonts w:ascii="Arial" w:hAnsi="Arial" w:cs="Arial"/>
          <w:sz w:val="22"/>
          <w:szCs w:val="22"/>
        </w:rPr>
        <w:t xml:space="preserve"> Teoría General del Empleo, el Interés y el Dinero.</w:t>
      </w:r>
    </w:p>
    <w:p w14:paraId="2ABE327D" w14:textId="77777777" w:rsidR="008C7036" w:rsidRPr="00CF1B34" w:rsidRDefault="008C7036" w:rsidP="0005621A">
      <w:pPr>
        <w:jc w:val="both"/>
        <w:rPr>
          <w:rFonts w:ascii="Arial" w:hAnsi="Arial" w:cs="Arial"/>
          <w:sz w:val="22"/>
          <w:szCs w:val="22"/>
          <w:lang w:val="es-ES_tradnl"/>
        </w:rPr>
      </w:pPr>
    </w:p>
    <w:p w14:paraId="6BB2B14B" w14:textId="77777777" w:rsidR="00660A68" w:rsidRPr="00CF1B34" w:rsidRDefault="00660A68" w:rsidP="0005621A">
      <w:pPr>
        <w:jc w:val="both"/>
        <w:rPr>
          <w:rFonts w:ascii="Arial" w:hAnsi="Arial" w:cs="Arial"/>
          <w:sz w:val="22"/>
          <w:szCs w:val="22"/>
          <w:lang w:val="es-ES_tradnl"/>
        </w:rPr>
      </w:pPr>
    </w:p>
    <w:p w14:paraId="0A8146F5" w14:textId="6E55EFC0" w:rsidR="00637D33" w:rsidRPr="00CF1B34" w:rsidRDefault="00696A3C" w:rsidP="0005621A">
      <w:pPr>
        <w:jc w:val="both"/>
        <w:rPr>
          <w:rFonts w:ascii="Arial" w:hAnsi="Arial" w:cs="Arial"/>
          <w:b/>
          <w:bCs/>
          <w:color w:val="1F3864" w:themeColor="accent1" w:themeShade="80"/>
          <w:sz w:val="32"/>
          <w:szCs w:val="32"/>
          <w:lang w:val="es-ES_tradnl"/>
        </w:rPr>
      </w:pPr>
      <w:r w:rsidRPr="00CF1B34">
        <w:rPr>
          <w:rFonts w:ascii="Arial" w:hAnsi="Arial" w:cs="Arial"/>
          <w:sz w:val="32"/>
          <w:szCs w:val="32"/>
          <w:lang w:val="es-ES_tradnl"/>
        </w:rPr>
        <w:t>L</w:t>
      </w:r>
    </w:p>
    <w:p w14:paraId="3ED6D782" w14:textId="41488D4C" w:rsidR="00637D33" w:rsidRPr="00CF1B34" w:rsidRDefault="00637D33" w:rsidP="0005621A">
      <w:pPr>
        <w:jc w:val="both"/>
        <w:rPr>
          <w:rFonts w:ascii="Arial" w:hAnsi="Arial" w:cs="Arial"/>
          <w:sz w:val="22"/>
          <w:szCs w:val="22"/>
          <w:lang w:val="es-ES_tradnl"/>
        </w:rPr>
      </w:pPr>
    </w:p>
    <w:p w14:paraId="17616A9D" w14:textId="77777777" w:rsidR="00660A68" w:rsidRPr="00CF1B34" w:rsidRDefault="00660A68" w:rsidP="0005621A">
      <w:pPr>
        <w:jc w:val="both"/>
        <w:rPr>
          <w:rFonts w:ascii="Arial" w:hAnsi="Arial" w:cs="Arial"/>
          <w:sz w:val="22"/>
          <w:szCs w:val="22"/>
          <w:lang w:val="es-ES_tradnl"/>
        </w:rPr>
      </w:pPr>
    </w:p>
    <w:p w14:paraId="294FFCBD" w14:textId="77777777" w:rsidR="00F63C64" w:rsidRPr="00CF1B34" w:rsidRDefault="00F63C64"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La bolsa de valores</w:t>
      </w:r>
    </w:p>
    <w:p w14:paraId="7C9FAE01"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Las </w:t>
      </w:r>
      <w:r w:rsidRPr="00CF1B34">
        <w:rPr>
          <w:rFonts w:ascii="Arial" w:hAnsi="Arial" w:cs="Arial"/>
          <w:b/>
          <w:bCs/>
          <w:sz w:val="22"/>
          <w:szCs w:val="22"/>
          <w:lang w:val="es-ES_tradnl"/>
        </w:rPr>
        <w:t>Bolsa de Valores (o mercados de valores)</w:t>
      </w:r>
      <w:r w:rsidRPr="00CF1B34">
        <w:rPr>
          <w:rFonts w:ascii="Arial" w:hAnsi="Arial" w:cs="Arial"/>
          <w:sz w:val="22"/>
          <w:szCs w:val="22"/>
          <w:lang w:val="es-ES_tradnl"/>
        </w:rPr>
        <w:t> pueden ser organizaciones públicas o privadas, en las que se brindan las facilidades necesarias para poder negociar instrumentos financieros.</w:t>
      </w:r>
    </w:p>
    <w:p w14:paraId="14E36A48"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Existen diferentes modalidades de negociación, como pueden ser la subasta o la negociación continua. También existen diferentes instrumentos que se pueden negociar, en función de la Bolsa o mercado en que estemos negociando, como pueden ser las acciones, deuda, derivados, etc.</w:t>
      </w:r>
    </w:p>
    <w:p w14:paraId="737100D4"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Los mercados son los mecanismos que permiten que el capital fluya desde aquellos participantes con excedente (ahorradores), hacia aquellos con necesidad de financiación (empresas). Esto es lo que se denomina “mercado primario”.</w:t>
      </w:r>
    </w:p>
    <w:p w14:paraId="5E698CC0"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este motivo, a nivel global, se puede decir que los mercados cumplen una función muy importante en cada país, al influir en la marcha de sus empresas y permitir el acceso de éstas a financiación que de otra manera no recibirían. Por esta razón, las bolsas están muy reguladas, supervisadas y protegidas por los organismos públicos correspondientes (por ejemplo, La Comisión Nacional del Mercado de Valores, o CNMV).</w:t>
      </w:r>
    </w:p>
    <w:p w14:paraId="124979A5" w14:textId="77777777" w:rsidR="00F63C64" w:rsidRPr="00CF1B34" w:rsidRDefault="00F63C64" w:rsidP="0005621A">
      <w:pPr>
        <w:spacing w:after="100" w:afterAutospacing="1"/>
        <w:ind w:firstLine="708"/>
        <w:jc w:val="both"/>
        <w:rPr>
          <w:rFonts w:ascii="Arial" w:hAnsi="Arial" w:cs="Arial"/>
          <w:sz w:val="22"/>
          <w:szCs w:val="22"/>
          <w:lang w:val="es-ES_tradnl"/>
        </w:rPr>
      </w:pPr>
      <w:r w:rsidRPr="00CF1B34">
        <w:rPr>
          <w:rFonts w:ascii="Arial" w:hAnsi="Arial" w:cs="Arial"/>
          <w:sz w:val="22"/>
          <w:szCs w:val="22"/>
          <w:lang w:val="es-ES_tradnl"/>
        </w:rPr>
        <w:t>Así, podríamos diferenciar dos tipos de mercados:</w:t>
      </w:r>
    </w:p>
    <w:p w14:paraId="27CC64E4"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Los </w:t>
      </w:r>
      <w:r w:rsidRPr="00CF1B34">
        <w:rPr>
          <w:rFonts w:ascii="Arial" w:hAnsi="Arial" w:cs="Arial"/>
          <w:b/>
          <w:bCs/>
          <w:sz w:val="22"/>
          <w:szCs w:val="22"/>
          <w:lang w:val="es-ES_tradnl"/>
        </w:rPr>
        <w:t>mercados primarios</w:t>
      </w:r>
      <w:r w:rsidRPr="00CF1B34">
        <w:rPr>
          <w:rFonts w:ascii="Arial" w:hAnsi="Arial" w:cs="Arial"/>
          <w:sz w:val="22"/>
          <w:szCs w:val="22"/>
          <w:lang w:val="es-ES_tradnl"/>
        </w:rPr>
        <w:t> permiten a las empresas obtener financiación, ya que estas emiten acciones (o partes iguales de su valor) o deuda, y la venden, convirtiendo a los compradores en accionistas (propietarios de una parte de dichas empresas) o prestamistas.</w:t>
      </w:r>
    </w:p>
    <w:p w14:paraId="67475046" w14:textId="347F1D05"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Una vez que los títulos han sido emitidos, comienzan a negociarse (comprar y vender) con interés tanto inversor como especulador, en lo que se </w:t>
      </w:r>
      <w:proofErr w:type="gramStart"/>
      <w:r w:rsidRPr="00CF1B34">
        <w:rPr>
          <w:rFonts w:ascii="Arial" w:hAnsi="Arial" w:cs="Arial"/>
          <w:sz w:val="22"/>
          <w:szCs w:val="22"/>
          <w:lang w:val="es-ES_tradnl"/>
        </w:rPr>
        <w:t xml:space="preserve">denominaría </w:t>
      </w:r>
      <w:r w:rsidR="00E1173D" w:rsidRPr="00CF1B34">
        <w:rPr>
          <w:rFonts w:ascii="Arial" w:hAnsi="Arial" w:cs="Arial"/>
          <w:sz w:val="22"/>
          <w:szCs w:val="22"/>
          <w:lang w:val="es-ES_tradnl"/>
        </w:rPr>
        <w:t xml:space="preserve"> “</w:t>
      </w:r>
      <w:proofErr w:type="gramEnd"/>
      <w:r w:rsidRPr="00CF1B34">
        <w:rPr>
          <w:rFonts w:ascii="Arial" w:hAnsi="Arial" w:cs="Arial"/>
          <w:b/>
          <w:bCs/>
          <w:sz w:val="22"/>
          <w:szCs w:val="22"/>
          <w:lang w:val="es-ES_tradnl"/>
        </w:rPr>
        <w:t>mercado secundario</w:t>
      </w:r>
      <w:r w:rsidRPr="00CF1B34">
        <w:rPr>
          <w:rFonts w:ascii="Arial" w:hAnsi="Arial" w:cs="Arial"/>
          <w:sz w:val="22"/>
          <w:szCs w:val="22"/>
          <w:lang w:val="es-ES_tradnl"/>
        </w:rPr>
        <w:t>”. Éstos son los que comúnmente se conocen por el público como “la bolsa”.</w:t>
      </w:r>
    </w:p>
    <w:p w14:paraId="35DF7847"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función de si la demanda de un instrumento determinado es mayor que la oferta, o viceversa, los mercados tenderán a subir o bajar. Es decir, si existen en un determinado momento muchos más compradores que vendedores en un determinado valor, ese exceso de demanda presionará los precios al alza, y de manera contraria, si concurriesen más vendedores que compradores, los precios estarían presionados a la baja.</w:t>
      </w:r>
    </w:p>
    <w:p w14:paraId="59161661"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lo tanto, las cotizaciones se mueven en función de la oferta y la demanda que exista en cada momento sobre cada instrumento.</w:t>
      </w:r>
    </w:p>
    <w:p w14:paraId="3F65783B" w14:textId="77777777" w:rsidR="00F63C64" w:rsidRPr="00CF1B34" w:rsidRDefault="00F63C64"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es una orden en la Bolsa de Valores</w:t>
      </w:r>
    </w:p>
    <w:p w14:paraId="32C245FA"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operar en los mercados o bolsas de valores, se deben introducir órdenes a través de miembros del mercado (comúnmente conocidos como bróker o intermediario). Una orden es la instrucción que un accionista comunica a la Bolsa sobre cuántas acciones que quiere comprar o vender, y a qué precio. También se deben establecer otros parámetros como la validez, u otras instrucciones concretas sobre cómo queremos que se complete nuestra orden.</w:t>
      </w:r>
    </w:p>
    <w:p w14:paraId="620359CA" w14:textId="77777777" w:rsidR="00F63C64" w:rsidRPr="00CF1B34" w:rsidRDefault="00F63C64"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¿Espacio físico o virtual?</w:t>
      </w:r>
    </w:p>
    <w:p w14:paraId="35988FA6"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Tradicionalmente la negociación se llevaba a cabo en las “plazas”, o lugares físicos donde se negociaba a viva voz.</w:t>
      </w:r>
    </w:p>
    <w:p w14:paraId="38CB910C"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A día de hoy, el mercado ya no es tanto un sitio físico, sino virtual. Se trata de un sistema informático al que llegan las órdenes de compraventa de los inversores, dando lugar a un sistema de terminales interconectados con uno central, que ejecuta y redifunde la información tanto de las ejecuciones como de la formación de precios basada en esa demanda, oferta y ejecuciones de cada momento.</w:t>
      </w:r>
    </w:p>
    <w:p w14:paraId="7488469C" w14:textId="573174C9"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la actualidad, la costumbre de acudir a las instalaciones físicas de las Bolsas de Valores no se ha perdido del todo, aunque ya no se realice negoc</w:t>
      </w:r>
      <w:r w:rsidR="00E107F2" w:rsidRPr="00CF1B34">
        <w:rPr>
          <w:rFonts w:ascii="Arial" w:hAnsi="Arial" w:cs="Arial"/>
          <w:sz w:val="22"/>
          <w:szCs w:val="22"/>
          <w:lang w:val="es-ES_tradnl"/>
        </w:rPr>
        <w:t>i</w:t>
      </w:r>
      <w:r w:rsidRPr="00CF1B34">
        <w:rPr>
          <w:rFonts w:ascii="Arial" w:hAnsi="Arial" w:cs="Arial"/>
          <w:sz w:val="22"/>
          <w:szCs w:val="22"/>
          <w:lang w:val="es-ES_tradnl"/>
        </w:rPr>
        <w:t>a</w:t>
      </w:r>
      <w:r w:rsidR="00E107F2" w:rsidRPr="00CF1B34">
        <w:rPr>
          <w:rFonts w:ascii="Arial" w:hAnsi="Arial" w:cs="Arial"/>
          <w:sz w:val="22"/>
          <w:szCs w:val="22"/>
          <w:lang w:val="es-ES_tradnl"/>
        </w:rPr>
        <w:t>c</w:t>
      </w:r>
      <w:r w:rsidRPr="00CF1B34">
        <w:rPr>
          <w:rFonts w:ascii="Arial" w:hAnsi="Arial" w:cs="Arial"/>
          <w:sz w:val="22"/>
          <w:szCs w:val="22"/>
          <w:lang w:val="es-ES_tradnl"/>
        </w:rPr>
        <w:t>ión en ellas.</w:t>
      </w:r>
    </w:p>
    <w:p w14:paraId="2B09B2ED" w14:textId="77777777" w:rsidR="00F63C64" w:rsidRPr="00CF1B34" w:rsidRDefault="00F63C6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Estos espacios han sido reconvertidos en oficinas de trabajo en los que los empleados de los propios organismos desempeñan parte de sus labores, así como edificios institucionales en los que se celebran eventos como salidas a bolsa, eventos corporativos, formación, etc.</w:t>
      </w:r>
    </w:p>
    <w:p w14:paraId="5E9628C5" w14:textId="77777777" w:rsidR="00145433" w:rsidRPr="00CF1B34" w:rsidRDefault="00F63C6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Habitualmente, estos espacios se pueden visitar de manera guiada.</w:t>
      </w:r>
    </w:p>
    <w:p w14:paraId="678F241B" w14:textId="611CB706" w:rsidR="00F63C64" w:rsidRPr="00CF1B34" w:rsidRDefault="00A338E9"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Largo plazo</w:t>
      </w:r>
    </w:p>
    <w:p w14:paraId="5B0B5E5D" w14:textId="0B27576B" w:rsidR="00A338E9" w:rsidRPr="00CF1B34" w:rsidRDefault="00A338E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considera como inve</w:t>
      </w:r>
      <w:r w:rsidR="00E107F2" w:rsidRPr="00CF1B34">
        <w:rPr>
          <w:rFonts w:ascii="Arial" w:hAnsi="Arial" w:cs="Arial"/>
          <w:color w:val="000000" w:themeColor="text1"/>
          <w:sz w:val="22"/>
          <w:szCs w:val="22"/>
          <w:lang w:val="es-ES_tradnl"/>
        </w:rPr>
        <w:t>r</w:t>
      </w:r>
      <w:r w:rsidRPr="00CF1B34">
        <w:rPr>
          <w:rFonts w:ascii="Arial" w:hAnsi="Arial" w:cs="Arial"/>
          <w:color w:val="000000" w:themeColor="text1"/>
          <w:sz w:val="22"/>
          <w:szCs w:val="22"/>
          <w:lang w:val="es-ES_tradnl"/>
        </w:rPr>
        <w:t>si</w:t>
      </w:r>
      <w:r w:rsidR="00E107F2" w:rsidRPr="00CF1B34">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 de largo plazo aquella que supera los diez años. En la renta fija las inversiones a largo plazo son las obligaciones que se lanzan a diez y quince años.</w:t>
      </w:r>
    </w:p>
    <w:p w14:paraId="58B4A8D1"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Latibex</w:t>
      </w:r>
    </w:p>
    <w:p w14:paraId="25BD49B9" w14:textId="1E5675C6"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Mercado autorizado por el gobierno español en 1999, que sirve como plataforma para la negociación y liquidación, en Europa, de los valores de las principales empresas latinoamericanas. Cotizan en euros, a través del Sistema de Interconexión Bursátil de la Bolsa española (SIBE).</w:t>
      </w:r>
    </w:p>
    <w:p w14:paraId="547C8E01" w14:textId="2EDD3C8F" w:rsidR="005E60F5" w:rsidRPr="00CF1B34" w:rsidRDefault="005E60F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Leasing</w:t>
      </w:r>
    </w:p>
    <w:p w14:paraId="1D69582C" w14:textId="2A40153D" w:rsidR="005E60F5" w:rsidRPr="00CF1B34" w:rsidRDefault="005E60F5"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 xml:space="preserve">El Leasing, o </w:t>
      </w:r>
      <w:r w:rsidRPr="00CF1B34">
        <w:rPr>
          <w:rFonts w:ascii="Arial" w:hAnsi="Arial" w:cs="Arial"/>
          <w:b/>
          <w:bCs/>
          <w:color w:val="333333"/>
          <w:sz w:val="22"/>
          <w:szCs w:val="22"/>
          <w:shd w:val="clear" w:color="auto" w:fill="FFFFFF"/>
        </w:rPr>
        <w:t>Arrendamiento Financiero</w:t>
      </w:r>
      <w:r w:rsidRPr="00CF1B34">
        <w:rPr>
          <w:rFonts w:ascii="Arial" w:hAnsi="Arial" w:cs="Arial"/>
          <w:color w:val="333333"/>
          <w:sz w:val="22"/>
          <w:szCs w:val="22"/>
          <w:shd w:val="clear" w:color="auto" w:fill="FFFFFF"/>
        </w:rPr>
        <w:t xml:space="preserve">, es un contrato mediante el cual el arrendador traspasa el derecho a usar un bien </w:t>
      </w:r>
      <w:r w:rsidRPr="00CF1B34">
        <w:rPr>
          <w:rFonts w:ascii="Arial" w:hAnsi="Arial" w:cs="Arial"/>
          <w:b/>
          <w:bCs/>
          <w:color w:val="333333"/>
          <w:sz w:val="22"/>
          <w:szCs w:val="22"/>
          <w:shd w:val="clear" w:color="auto" w:fill="FFFFFF"/>
        </w:rPr>
        <w:t>a cambio del pago de rentas</w:t>
      </w:r>
      <w:r w:rsidRPr="00CF1B34">
        <w:rPr>
          <w:rFonts w:ascii="Arial" w:hAnsi="Arial" w:cs="Arial"/>
          <w:color w:val="333333"/>
          <w:sz w:val="22"/>
          <w:szCs w:val="22"/>
          <w:shd w:val="clear" w:color="auto" w:fill="FFFFFF"/>
        </w:rPr>
        <w:t xml:space="preserve"> de arrendamiento durante un plazo determinado, al término del cual el arrendatario tiene la opción de comprar el bien arrendado pagando un precio determinado, devolverlo ó renovar el contrato. Se utiliza sobre todo en el mercado de los automóviles.</w:t>
      </w:r>
    </w:p>
    <w:p w14:paraId="6B0CC002" w14:textId="538B24CD" w:rsidR="005E60F5" w:rsidRPr="00CF1B34" w:rsidRDefault="005E60F5" w:rsidP="0005621A">
      <w:pPr>
        <w:ind w:firstLine="708"/>
        <w:jc w:val="both"/>
        <w:rPr>
          <w:rFonts w:ascii="Arial" w:hAnsi="Arial" w:cs="Arial"/>
          <w:sz w:val="22"/>
          <w:szCs w:val="22"/>
        </w:rPr>
      </w:pPr>
      <w:r w:rsidRPr="00CF1B34">
        <w:rPr>
          <w:rFonts w:ascii="Arial" w:hAnsi="Arial" w:cs="Arial"/>
          <w:sz w:val="22"/>
          <w:szCs w:val="22"/>
        </w:rPr>
        <w:t>Una vez terminado el plazo, el arrendatario puede elegir entre</w:t>
      </w:r>
      <w:r w:rsidRPr="00CF1B34">
        <w:rPr>
          <w:rFonts w:ascii="Arial" w:hAnsi="Arial" w:cs="Arial"/>
          <w:b/>
          <w:bCs/>
          <w:sz w:val="22"/>
          <w:szCs w:val="22"/>
        </w:rPr>
        <w:t xml:space="preserve"> 3 opciones:</w:t>
      </w:r>
    </w:p>
    <w:p w14:paraId="632EF1A7" w14:textId="31550D88" w:rsidR="005E60F5" w:rsidRPr="00CF1B34" w:rsidRDefault="005E60F5" w:rsidP="0005621A">
      <w:pPr>
        <w:ind w:left="708"/>
        <w:jc w:val="both"/>
        <w:rPr>
          <w:rFonts w:ascii="Arial" w:hAnsi="Arial" w:cs="Arial"/>
          <w:sz w:val="22"/>
          <w:szCs w:val="22"/>
        </w:rPr>
      </w:pPr>
      <w:r w:rsidRPr="00CF1B34">
        <w:rPr>
          <w:rFonts w:ascii="Arial" w:hAnsi="Arial" w:cs="Arial"/>
          <w:sz w:val="22"/>
          <w:szCs w:val="22"/>
        </w:rPr>
        <w:t xml:space="preserve">1-ejercer la </w:t>
      </w:r>
      <w:r w:rsidRPr="00CF1B34">
        <w:rPr>
          <w:rFonts w:ascii="Arial" w:hAnsi="Arial" w:cs="Arial"/>
          <w:b/>
          <w:bCs/>
          <w:sz w:val="22"/>
          <w:szCs w:val="22"/>
        </w:rPr>
        <w:t>opción de compra del bien</w:t>
      </w:r>
      <w:r w:rsidRPr="00CF1B34">
        <w:rPr>
          <w:rFonts w:ascii="Arial" w:hAnsi="Arial" w:cs="Arial"/>
          <w:sz w:val="22"/>
          <w:szCs w:val="22"/>
        </w:rPr>
        <w:t xml:space="preserve"> por el valor residual (diferencia entre el precio de adquisición inicial que tuvo el arrendador más los gastos e intereses, y las cantidades abonadas por el arrendatario).</w:t>
      </w:r>
    </w:p>
    <w:p w14:paraId="1AF98749" w14:textId="7CD3E39D" w:rsidR="005E60F5" w:rsidRPr="00CF1B34" w:rsidRDefault="005E60F5" w:rsidP="0005621A">
      <w:pPr>
        <w:ind w:firstLine="708"/>
        <w:jc w:val="both"/>
        <w:rPr>
          <w:rFonts w:ascii="Arial" w:hAnsi="Arial" w:cs="Arial"/>
          <w:sz w:val="22"/>
          <w:szCs w:val="22"/>
        </w:rPr>
      </w:pPr>
      <w:r w:rsidRPr="00CF1B34">
        <w:rPr>
          <w:rFonts w:ascii="Arial" w:hAnsi="Arial" w:cs="Arial"/>
          <w:sz w:val="22"/>
          <w:szCs w:val="22"/>
        </w:rPr>
        <w:t>2- no ejercer la opción de compra y por tanto</w:t>
      </w:r>
      <w:r w:rsidRPr="00CF1B34">
        <w:rPr>
          <w:rFonts w:ascii="Arial" w:hAnsi="Arial" w:cs="Arial"/>
          <w:b/>
          <w:bCs/>
          <w:sz w:val="22"/>
          <w:szCs w:val="22"/>
        </w:rPr>
        <w:t xml:space="preserve"> devolver el bien.</w:t>
      </w:r>
    </w:p>
    <w:p w14:paraId="71C7B968" w14:textId="2E4B5F16" w:rsidR="005E60F5" w:rsidRPr="00CF1B34" w:rsidRDefault="005E60F5" w:rsidP="0005621A">
      <w:pPr>
        <w:ind w:left="708"/>
        <w:jc w:val="both"/>
        <w:rPr>
          <w:rFonts w:ascii="Arial" w:hAnsi="Arial" w:cs="Arial"/>
          <w:sz w:val="22"/>
          <w:szCs w:val="22"/>
        </w:rPr>
      </w:pPr>
      <w:r w:rsidRPr="00CF1B34">
        <w:rPr>
          <w:rFonts w:ascii="Arial" w:hAnsi="Arial" w:cs="Arial"/>
          <w:sz w:val="22"/>
          <w:szCs w:val="22"/>
        </w:rPr>
        <w:t>3</w:t>
      </w:r>
      <w:r w:rsidRPr="00CF1B34">
        <w:rPr>
          <w:rFonts w:ascii="Arial" w:hAnsi="Arial" w:cs="Arial"/>
          <w:b/>
          <w:bCs/>
          <w:sz w:val="22"/>
          <w:szCs w:val="22"/>
        </w:rPr>
        <w:t>- prorrogar el contrato</w:t>
      </w:r>
      <w:r w:rsidRPr="00CF1B34">
        <w:rPr>
          <w:rFonts w:ascii="Arial" w:hAnsi="Arial" w:cs="Arial"/>
          <w:sz w:val="22"/>
          <w:szCs w:val="22"/>
        </w:rPr>
        <w:t xml:space="preserve"> de arrendamiento, con el pago de cantidades periódicas menores.</w:t>
      </w:r>
    </w:p>
    <w:p w14:paraId="390B1758" w14:textId="77777777" w:rsidR="005E60F5" w:rsidRPr="00CF1B34" w:rsidRDefault="005E60F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rPr>
        <w:t xml:space="preserve">Durante todo el contrato, el arrendador mantiene la titularidad sobre el bien, aunque no responde por los problemas que puedan aquejar al mismo, como roturas o el mantenimiento del bien, que estarán por cuenta del arrendatario. </w:t>
      </w:r>
      <w:r w:rsidRPr="00CF1B34">
        <w:rPr>
          <w:rFonts w:ascii="Arial" w:hAnsi="Arial" w:cs="Arial"/>
          <w:color w:val="333333"/>
          <w:sz w:val="22"/>
          <w:szCs w:val="22"/>
          <w:shd w:val="clear" w:color="auto" w:fill="FFFFFF"/>
        </w:rPr>
        <w:t>Ante el incumplimiento del contrato por parte del cliente, el arrendador está facultado para recuperar el bien casi en forma inmediata.</w:t>
      </w:r>
    </w:p>
    <w:p w14:paraId="69C1F1FB" w14:textId="1DBF6200"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LEI (Legal Entity Identifier)</w:t>
      </w:r>
    </w:p>
    <w:p w14:paraId="506D17BA"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Es un código alfanumérico de 20 caracteres (estándar ISO 17442) que identifica unívocamente a las entidades legales a nivel mundial. El LEI es único, permanente, consistente y portable para cada entidad. Identifica a las personas jurídicas que participan en los mercados financieros mediante operaciones de repos, derivados o valores. Las </w:t>
      </w:r>
      <w:r w:rsidRPr="00CF1B34">
        <w:rPr>
          <w:rFonts w:ascii="Arial" w:hAnsi="Arial" w:cs="Arial"/>
          <w:color w:val="212529"/>
          <w:sz w:val="22"/>
          <w:szCs w:val="22"/>
          <w:lang w:val="es-ES_tradnl"/>
        </w:rPr>
        <w:lastRenderedPageBreak/>
        <w:t>empresas de servicios de inversión y las entidades de crédito que ejecuten transacciones sobre instrumentos financieros admitidos a negociación en un mercado por cuenta de clientes que sean personas jurídicas deben obtener de dichos clientes el LEI que los identifique antes de ejecutar las operaciones.</w:t>
      </w:r>
    </w:p>
    <w:p w14:paraId="043429D8" w14:textId="1C0FAEB5"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Letra</w:t>
      </w:r>
      <w:r w:rsidR="005E60F5" w:rsidRPr="00CF1B34">
        <w:rPr>
          <w:rFonts w:ascii="Arial" w:hAnsi="Arial" w:cs="Arial"/>
          <w:b/>
          <w:bCs/>
          <w:color w:val="004773"/>
          <w:sz w:val="22"/>
          <w:szCs w:val="22"/>
          <w:lang w:val="es-ES_tradnl"/>
        </w:rPr>
        <w:t>s</w:t>
      </w:r>
      <w:r w:rsidRPr="00CF1B34">
        <w:rPr>
          <w:rFonts w:ascii="Arial" w:hAnsi="Arial" w:cs="Arial"/>
          <w:b/>
          <w:bCs/>
          <w:color w:val="004773"/>
          <w:sz w:val="22"/>
          <w:szCs w:val="22"/>
          <w:lang w:val="es-ES_tradnl"/>
        </w:rPr>
        <w:t xml:space="preserve"> del Tesoro</w:t>
      </w:r>
    </w:p>
    <w:p w14:paraId="2744A397" w14:textId="48FD5DEE" w:rsidR="00145433" w:rsidRPr="00CF1B34" w:rsidRDefault="00696A3C" w:rsidP="0005621A">
      <w:pPr>
        <w:ind w:left="708"/>
        <w:jc w:val="both"/>
        <w:rPr>
          <w:rFonts w:ascii="Arial" w:hAnsi="Arial" w:cs="Arial"/>
          <w:sz w:val="22"/>
          <w:szCs w:val="22"/>
          <w:lang w:val="es-ES_tradnl"/>
        </w:rPr>
      </w:pPr>
      <w:r w:rsidRPr="00CF1B34">
        <w:rPr>
          <w:rFonts w:ascii="Arial" w:hAnsi="Arial" w:cs="Arial"/>
          <w:sz w:val="22"/>
          <w:szCs w:val="22"/>
          <w:lang w:val="es-ES_tradnl"/>
        </w:rPr>
        <w:t>Valor a corto plazo (inferior a dieciocho meses) emitido por el Estado a través del Tesoro Público. Las Letras se emiten al descuento mediante el procedimiento de subasta. No existen títulos físicos, ya que están representadas mediante anotaciones en cuenta. Su adquisición o venta se puede tramitar a través de cualquier entidad financiera o en el Banco de España. Para más detalle consultar el apartado</w:t>
      </w:r>
      <w:r w:rsidR="007456E9" w:rsidRPr="00CF1B34">
        <w:rPr>
          <w:rFonts w:ascii="Arial" w:hAnsi="Arial" w:cs="Arial"/>
          <w:sz w:val="22"/>
          <w:szCs w:val="22"/>
          <w:lang w:val="es-ES_tradnl"/>
        </w:rPr>
        <w:t xml:space="preserve"> </w:t>
      </w:r>
      <w:r w:rsidR="00E107F2" w:rsidRPr="00CF1B34">
        <w:rPr>
          <w:rFonts w:ascii="Arial" w:hAnsi="Arial" w:cs="Arial"/>
          <w:sz w:val="22"/>
          <w:szCs w:val="22"/>
          <w:lang w:val="es-ES_tradnl"/>
        </w:rPr>
        <w:t xml:space="preserve">Productos de Renta Fija Pública </w:t>
      </w:r>
      <w:r w:rsidRPr="00CF1B34">
        <w:rPr>
          <w:rFonts w:ascii="Arial" w:hAnsi="Arial" w:cs="Arial"/>
          <w:sz w:val="22"/>
          <w:szCs w:val="22"/>
          <w:lang w:val="es-ES_tradnl"/>
        </w:rPr>
        <w:t>de la Sección del Inversor.</w:t>
      </w:r>
    </w:p>
    <w:p w14:paraId="400CCF36" w14:textId="0F44AC61" w:rsidR="00145433" w:rsidRPr="00CF1B34" w:rsidRDefault="00145433" w:rsidP="0005621A">
      <w:pPr>
        <w:ind w:left="708"/>
        <w:jc w:val="both"/>
        <w:rPr>
          <w:rFonts w:ascii="Arial" w:hAnsi="Arial" w:cs="Arial"/>
          <w:color w:val="191B1C"/>
          <w:lang w:val="es-ES_tradnl"/>
        </w:rPr>
      </w:pPr>
      <w:r w:rsidRPr="00CF1B34">
        <w:rPr>
          <w:rFonts w:ascii="Arial" w:hAnsi="Arial" w:cs="Arial"/>
          <w:color w:val="191B1C"/>
          <w:sz w:val="22"/>
          <w:szCs w:val="22"/>
          <w:lang w:val="es-ES_tradnl"/>
        </w:rPr>
        <w:t>La rentabilidad de las Letras del Tesoro por tanto es la diferencia entre lo que paga por ellas y el nominal adquirido que es lo que nos devolverá el Tesoro. Las letras, dada su corta duración (máximo 18 meses), nunca pagan cupón. El precio de las mismas variará fundamentalmente en función del tipo de interés vigente, la duración de la deuda y el riesgo crediticio del emisor percibido por el mercado en cada momento</w:t>
      </w:r>
      <w:r w:rsidRPr="00CF1B34">
        <w:rPr>
          <w:rFonts w:ascii="Arial" w:hAnsi="Arial" w:cs="Arial"/>
          <w:color w:val="191B1C"/>
          <w:lang w:val="es-ES_tradnl"/>
        </w:rPr>
        <w:t>.</w:t>
      </w:r>
    </w:p>
    <w:p w14:paraId="46762C8C" w14:textId="77777777" w:rsidR="00145433" w:rsidRPr="00CF1B34" w:rsidRDefault="00145433" w:rsidP="0005621A">
      <w:pPr>
        <w:shd w:val="clear" w:color="auto" w:fill="FFFFFF"/>
        <w:spacing w:after="100" w:afterAutospacing="1"/>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Las Letras del Tesoro se pueden adquirir de dos maneras:</w:t>
      </w:r>
    </w:p>
    <w:p w14:paraId="3E97E035" w14:textId="77777777" w:rsidR="00145433" w:rsidRPr="00CF1B34" w:rsidRDefault="00145433" w:rsidP="004F7A62">
      <w:pPr>
        <w:numPr>
          <w:ilvl w:val="0"/>
          <w:numId w:val="35"/>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Mercado primario: En el mismo se opera mediante el proceso de subasta.</w:t>
      </w:r>
    </w:p>
    <w:p w14:paraId="638139ED" w14:textId="3B094F8C" w:rsidR="00145433" w:rsidRPr="00CF1B34" w:rsidRDefault="00145433" w:rsidP="004F7A62">
      <w:pPr>
        <w:numPr>
          <w:ilvl w:val="0"/>
          <w:numId w:val="35"/>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Mercado secundario: Son emisiones ya emitidas y por tanto donde conocemos plazo y tipo de interés y donde compramos en el mercado al precio de cotización de la deuda en un momento determinado siempre que exista la suficiente liquidez. Una vez comprada, podemos mantenerla hasta el vencimiento de la misma donde recibiremos el nominal o venderla antes del vencimiento en el mercado.</w:t>
      </w:r>
    </w:p>
    <w:p w14:paraId="04142FF6" w14:textId="251C6AA6" w:rsidR="00145433" w:rsidRPr="00CF1B34" w:rsidRDefault="001454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 xml:space="preserve">Las Letras del Tesoro se consideran activos de riesgo reducido al ser emisiones a muy corto plazo </w:t>
      </w:r>
      <w:proofErr w:type="gramStart"/>
      <w:r w:rsidR="0018211F" w:rsidRPr="00CF1B34">
        <w:rPr>
          <w:rFonts w:ascii="Arial" w:hAnsi="Arial" w:cs="Arial"/>
          <w:color w:val="191B1C"/>
          <w:sz w:val="22"/>
          <w:szCs w:val="22"/>
          <w:lang w:val="es-ES_tradnl"/>
        </w:rPr>
        <w:t>( 6</w:t>
      </w:r>
      <w:proofErr w:type="gramEnd"/>
      <w:r w:rsidR="0018211F" w:rsidRPr="00CF1B34">
        <w:rPr>
          <w:rFonts w:ascii="Arial" w:hAnsi="Arial" w:cs="Arial"/>
          <w:color w:val="191B1C"/>
          <w:sz w:val="22"/>
          <w:szCs w:val="22"/>
          <w:lang w:val="es-ES_tradnl"/>
        </w:rPr>
        <w:t xml:space="preserve"> o 12 meses) </w:t>
      </w:r>
      <w:r w:rsidRPr="00CF1B34">
        <w:rPr>
          <w:rFonts w:ascii="Arial" w:hAnsi="Arial" w:cs="Arial"/>
          <w:color w:val="191B1C"/>
          <w:sz w:val="22"/>
          <w:szCs w:val="22"/>
          <w:lang w:val="es-ES_tradnl"/>
        </w:rPr>
        <w:t>del Estado.</w:t>
      </w:r>
    </w:p>
    <w:p w14:paraId="5747CBE0" w14:textId="37C87E83" w:rsidR="007456E9" w:rsidRPr="00CF1B34" w:rsidRDefault="007456E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Ley de arrendamientos urbanos</w:t>
      </w:r>
    </w:p>
    <w:p w14:paraId="5D16646A" w14:textId="77777777" w:rsidR="006D633B" w:rsidRPr="00CF1B34" w:rsidRDefault="007456E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Esta ley regula los contratos de alquiler de cualquier tipo de inmueble.</w:t>
      </w:r>
      <w:r w:rsidR="00B15BF2" w:rsidRPr="00CF1B34">
        <w:rPr>
          <w:rFonts w:ascii="Arial" w:hAnsi="Arial" w:cs="Arial"/>
          <w:color w:val="000000" w:themeColor="text1"/>
          <w:sz w:val="22"/>
          <w:szCs w:val="22"/>
          <w:lang w:val="es-ES_tradnl"/>
        </w:rPr>
        <w:t xml:space="preserve"> Ley 7/2019</w:t>
      </w:r>
      <w:r w:rsidR="006D633B" w:rsidRPr="00CF1B34">
        <w:rPr>
          <w:rFonts w:ascii="Arial" w:hAnsi="Arial" w:cs="Arial"/>
          <w:color w:val="000000" w:themeColor="text1"/>
          <w:sz w:val="22"/>
          <w:szCs w:val="22"/>
          <w:lang w:val="es-ES_tradnl"/>
        </w:rPr>
        <w:t xml:space="preserve">. </w:t>
      </w:r>
      <w:r w:rsidR="006D633B" w:rsidRPr="00CF1B34">
        <w:rPr>
          <w:rFonts w:ascii="Arial" w:hAnsi="Arial" w:cs="Arial"/>
          <w:color w:val="000000"/>
          <w:sz w:val="22"/>
          <w:szCs w:val="22"/>
          <w:shd w:val="clear" w:color="auto" w:fill="FFFFFF"/>
        </w:rPr>
        <w:t>Es importante tener en cuenta que la ley de arrendamientos urbanos es una norma compleja y que su aplicación puede variar según los casos concretos. Es recomendable consultar con un profesional del derecho o un experto en arrendamientos urbanos para obtener asesoramiento específico y actualizado</w:t>
      </w:r>
      <w:r w:rsidR="006D633B" w:rsidRPr="00CF1B34">
        <w:rPr>
          <w:rFonts w:ascii="Arial" w:hAnsi="Arial" w:cs="Arial"/>
          <w:color w:val="000000"/>
          <w:shd w:val="clear" w:color="auto" w:fill="FFFFFF"/>
        </w:rPr>
        <w:t>.</w:t>
      </w:r>
    </w:p>
    <w:p w14:paraId="4050FE86" w14:textId="78618E05" w:rsidR="0018211F" w:rsidRPr="00CF1B34" w:rsidRDefault="0018211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Ley de blanqueo de capitales</w:t>
      </w:r>
    </w:p>
    <w:p w14:paraId="536486FB" w14:textId="29808F88" w:rsidR="00B15BF2" w:rsidRPr="00CF1B34" w:rsidRDefault="00B15BF2" w:rsidP="0005621A">
      <w:pPr>
        <w:ind w:left="708"/>
        <w:jc w:val="both"/>
        <w:rPr>
          <w:rFonts w:ascii="Arial" w:hAnsi="Arial" w:cs="Arial"/>
          <w:sz w:val="22"/>
          <w:szCs w:val="22"/>
        </w:rPr>
      </w:pPr>
      <w:r w:rsidRPr="00CF1B34">
        <w:rPr>
          <w:rStyle w:val="Textoennegrita"/>
          <w:rFonts w:ascii="Arial" w:hAnsi="Arial" w:cs="Arial"/>
          <w:color w:val="333333"/>
          <w:sz w:val="22"/>
          <w:szCs w:val="22"/>
          <w:shd w:val="clear" w:color="auto" w:fill="FFFFFF"/>
        </w:rPr>
        <w:t>Con la nueva ley, se obliga a las entidades a guardar los documentos por un período mínimo de 10 años</w:t>
      </w:r>
      <w:r w:rsidR="006D633B" w:rsidRPr="00CF1B34">
        <w:rPr>
          <w:rStyle w:val="Textoennegrita"/>
          <w:rFonts w:ascii="Arial" w:hAnsi="Arial" w:cs="Arial"/>
          <w:color w:val="333333"/>
          <w:sz w:val="22"/>
          <w:szCs w:val="22"/>
          <w:shd w:val="clear" w:color="auto" w:fill="FFFFFF"/>
        </w:rPr>
        <w:t>,</w:t>
      </w:r>
      <w:r w:rsidRPr="00CF1B34">
        <w:rPr>
          <w:rFonts w:ascii="Arial" w:hAnsi="Arial" w:cs="Arial"/>
          <w:color w:val="333333"/>
          <w:sz w:val="22"/>
          <w:szCs w:val="22"/>
          <w:shd w:val="clear" w:color="auto" w:fill="FFFFFF"/>
        </w:rPr>
        <w:t xml:space="preserve"> así como</w:t>
      </w:r>
      <w:r w:rsidR="006D633B" w:rsidRPr="00CF1B34">
        <w:rPr>
          <w:rFonts w:ascii="Arial" w:hAnsi="Arial" w:cs="Arial"/>
          <w:color w:val="333333"/>
          <w:sz w:val="22"/>
          <w:szCs w:val="22"/>
          <w:shd w:val="clear" w:color="auto" w:fill="FFFFFF"/>
        </w:rPr>
        <w:t>,</w:t>
      </w:r>
      <w:r w:rsidRPr="00CF1B34">
        <w:rPr>
          <w:rFonts w:ascii="Arial" w:hAnsi="Arial" w:cs="Arial"/>
          <w:color w:val="333333"/>
          <w:sz w:val="22"/>
          <w:szCs w:val="22"/>
          <w:shd w:val="clear" w:color="auto" w:fill="FFFFFF"/>
        </w:rPr>
        <w:t xml:space="preserve"> a formar a su personal en la prevención del blanqueo de capitales.</w:t>
      </w:r>
      <w:r w:rsidRPr="00CF1B34">
        <w:rPr>
          <w:rStyle w:val="DefinicinHTML"/>
          <w:rFonts w:ascii="Arial" w:hAnsi="Arial" w:cs="Arial"/>
          <w:color w:val="333333"/>
          <w:sz w:val="22"/>
          <w:szCs w:val="22"/>
          <w:shd w:val="clear" w:color="auto" w:fill="FFFFFF"/>
        </w:rPr>
        <w:t xml:space="preserve"> </w:t>
      </w:r>
      <w:r w:rsidRPr="00CF1B34">
        <w:rPr>
          <w:rStyle w:val="Textoennegrita"/>
          <w:rFonts w:ascii="Arial" w:hAnsi="Arial" w:cs="Arial"/>
          <w:color w:val="333333"/>
          <w:sz w:val="22"/>
          <w:szCs w:val="22"/>
          <w:shd w:val="clear" w:color="auto" w:fill="FFFFFF"/>
        </w:rPr>
        <w:t>La legislación española se incluirá la directiva europea que exigirá a las entidades financieras a identificar a sus clientes, detectar y comunicar diferentes operaciones que puedan resultar sospechosas</w:t>
      </w:r>
      <w:r w:rsidRPr="00CF1B34">
        <w:rPr>
          <w:rFonts w:ascii="Arial" w:hAnsi="Arial" w:cs="Arial"/>
          <w:color w:val="333333"/>
          <w:sz w:val="22"/>
          <w:szCs w:val="22"/>
          <w:shd w:val="clear" w:color="auto" w:fill="FFFFFF"/>
        </w:rPr>
        <w:t xml:space="preserve"> y en ese caso las que pudieran ser utilizadas para blanqueo de dinero.</w:t>
      </w:r>
    </w:p>
    <w:p w14:paraId="036228D5" w14:textId="77777777" w:rsidR="00B15BF2" w:rsidRPr="00CF1B34" w:rsidRDefault="00B15BF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rPr>
        <w:t xml:space="preserve">La nueva ley ha rebajado a 1.000€ la cantidad </w:t>
      </w:r>
      <w:r w:rsidRPr="00CF1B34">
        <w:rPr>
          <w:rFonts w:ascii="Arial" w:hAnsi="Arial" w:cs="Arial"/>
          <w:color w:val="333333"/>
          <w:sz w:val="22"/>
          <w:szCs w:val="22"/>
          <w:shd w:val="clear" w:color="auto" w:fill="FFFFFF"/>
        </w:rPr>
        <w:t>desde la cual se deberían investigar las transacciones bancarias.</w:t>
      </w:r>
    </w:p>
    <w:p w14:paraId="31A07EAA" w14:textId="4ABFFC0C" w:rsidR="00B15BF2" w:rsidRPr="00CF1B34" w:rsidRDefault="006D633B"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Ley de Competencia</w:t>
      </w:r>
    </w:p>
    <w:p w14:paraId="59CFF528" w14:textId="0D6AC466" w:rsidR="006D633B" w:rsidRPr="00CF1B34" w:rsidRDefault="006D633B" w:rsidP="0005621A">
      <w:pPr>
        <w:ind w:left="708"/>
        <w:jc w:val="both"/>
        <w:rPr>
          <w:rFonts w:ascii="Arial" w:hAnsi="Arial" w:cs="Arial"/>
          <w:sz w:val="22"/>
          <w:szCs w:val="22"/>
        </w:rPr>
      </w:pPr>
      <w:r w:rsidRPr="00CF1B34">
        <w:rPr>
          <w:rFonts w:ascii="Arial" w:hAnsi="Arial" w:cs="Arial"/>
          <w:sz w:val="22"/>
          <w:szCs w:val="22"/>
        </w:rPr>
        <w:t>La Competencia es una situación donde los agentes económicos son libres tanto en oferta como en demanda de ingresar o salir del mercado. En concreto, la competencia existe, cuando haya pluralidad de oferentes y demandantes.</w:t>
      </w:r>
    </w:p>
    <w:p w14:paraId="7EE8EA42" w14:textId="7B4F3C66" w:rsidR="006D633B" w:rsidRPr="00CF1B34" w:rsidRDefault="006D633B" w:rsidP="0005621A">
      <w:pPr>
        <w:ind w:left="708"/>
        <w:jc w:val="both"/>
        <w:rPr>
          <w:rFonts w:ascii="Arial" w:hAnsi="Arial" w:cs="Arial"/>
          <w:sz w:val="22"/>
          <w:szCs w:val="22"/>
        </w:rPr>
      </w:pPr>
      <w:r w:rsidRPr="00CF1B34">
        <w:rPr>
          <w:rStyle w:val="Textoennegrita"/>
          <w:rFonts w:ascii="Arial" w:hAnsi="Arial" w:cs="Arial"/>
          <w:color w:val="333333"/>
          <w:sz w:val="22"/>
          <w:szCs w:val="22"/>
        </w:rPr>
        <w:lastRenderedPageBreak/>
        <w:t>La CNC (Comisión Nacional de la Competencia es un órgano de regulación de la competencia</w:t>
      </w:r>
      <w:r w:rsidRPr="00CF1B34">
        <w:rPr>
          <w:rFonts w:ascii="Arial" w:hAnsi="Arial" w:cs="Arial"/>
          <w:sz w:val="22"/>
          <w:szCs w:val="22"/>
        </w:rPr>
        <w:t>, bajo las normas que prevé la Ley de Defensa a la Competencia, como se denominó a su legislación creadora.</w:t>
      </w:r>
    </w:p>
    <w:p w14:paraId="486FE86D" w14:textId="77777777" w:rsidR="006D633B" w:rsidRPr="00CF1B34" w:rsidRDefault="006D633B" w:rsidP="0005621A">
      <w:pPr>
        <w:ind w:left="708"/>
        <w:jc w:val="both"/>
        <w:rPr>
          <w:rFonts w:ascii="Arial" w:hAnsi="Arial" w:cs="Arial"/>
          <w:sz w:val="22"/>
          <w:szCs w:val="22"/>
        </w:rPr>
      </w:pPr>
      <w:r w:rsidRPr="00CF1B34">
        <w:rPr>
          <w:rFonts w:ascii="Arial" w:hAnsi="Arial" w:cs="Arial"/>
          <w:sz w:val="22"/>
          <w:szCs w:val="22"/>
        </w:rPr>
        <w:t>En términos generales, </w:t>
      </w:r>
      <w:r w:rsidRPr="00CF1B34">
        <w:rPr>
          <w:rStyle w:val="Textoennegrita"/>
          <w:rFonts w:ascii="Arial" w:hAnsi="Arial" w:cs="Arial"/>
          <w:color w:val="333333"/>
          <w:sz w:val="22"/>
          <w:szCs w:val="22"/>
        </w:rPr>
        <w:t>La Ley de Defensa de la Competencia (LDC) prohíbe todo acto que restrinja, impida o falsee la competencia:</w:t>
      </w:r>
    </w:p>
    <w:p w14:paraId="08348095" w14:textId="77777777" w:rsidR="006D633B" w:rsidRPr="00CF1B34" w:rsidRDefault="006D633B" w:rsidP="004F7A62">
      <w:pPr>
        <w:numPr>
          <w:ilvl w:val="0"/>
          <w:numId w:val="194"/>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Fijación, directa o indirecta, de precios o condiciones comerciales</w:t>
      </w:r>
    </w:p>
    <w:p w14:paraId="61358594" w14:textId="77777777" w:rsidR="006D633B" w:rsidRPr="00CF1B34" w:rsidRDefault="006D633B" w:rsidP="004F7A62">
      <w:pPr>
        <w:numPr>
          <w:ilvl w:val="0"/>
          <w:numId w:val="194"/>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Limitación o control de producción, la distribución o inversiones</w:t>
      </w:r>
    </w:p>
    <w:p w14:paraId="5D527A79" w14:textId="77777777" w:rsidR="006D633B" w:rsidRPr="00CF1B34" w:rsidRDefault="006D633B" w:rsidP="004F7A62">
      <w:pPr>
        <w:numPr>
          <w:ilvl w:val="0"/>
          <w:numId w:val="194"/>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Reparto del mercado</w:t>
      </w:r>
    </w:p>
    <w:p w14:paraId="40314987" w14:textId="77777777" w:rsidR="006D633B" w:rsidRPr="00CF1B34" w:rsidRDefault="006D633B" w:rsidP="004F7A62">
      <w:pPr>
        <w:numPr>
          <w:ilvl w:val="0"/>
          <w:numId w:val="194"/>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Aplicación de condiciones desiguales</w:t>
      </w:r>
    </w:p>
    <w:p w14:paraId="3DDE8427" w14:textId="77777777" w:rsidR="006D633B" w:rsidRPr="00CF1B34" w:rsidRDefault="006D633B" w:rsidP="004F7A62">
      <w:pPr>
        <w:numPr>
          <w:ilvl w:val="0"/>
          <w:numId w:val="194"/>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Subordinación en la celebración de contratos de prestaciones suplementarias</w:t>
      </w:r>
    </w:p>
    <w:p w14:paraId="271942A1" w14:textId="77777777" w:rsidR="006D633B" w:rsidRPr="00CF1B34" w:rsidRDefault="006D633B" w:rsidP="0005621A">
      <w:pPr>
        <w:pBdr>
          <w:bottom w:val="dotted" w:sz="12" w:space="12" w:color="666666"/>
        </w:pBdr>
        <w:spacing w:after="240"/>
        <w:ind w:left="720"/>
        <w:jc w:val="both"/>
        <w:rPr>
          <w:rFonts w:ascii="Arial" w:hAnsi="Arial" w:cs="Arial"/>
          <w:sz w:val="22"/>
          <w:szCs w:val="22"/>
        </w:rPr>
      </w:pPr>
      <w:r w:rsidRPr="00CF1B34">
        <w:rPr>
          <w:rFonts w:ascii="Arial" w:hAnsi="Arial" w:cs="Arial"/>
          <w:sz w:val="22"/>
          <w:szCs w:val="22"/>
        </w:rPr>
        <w:t>Asimismo, la CNC puede sancionar los actos considerados de competencia desleal</w:t>
      </w:r>
      <w:r w:rsidRPr="00CF1B34">
        <w:rPr>
          <w:rStyle w:val="Textoennegrita"/>
          <w:rFonts w:ascii="Arial" w:hAnsi="Arial" w:cs="Arial"/>
          <w:color w:val="333333"/>
          <w:sz w:val="22"/>
          <w:szCs w:val="22"/>
        </w:rPr>
        <w:t xml:space="preserve"> que falsean la libre competencia, y afectan al interés público</w:t>
      </w:r>
      <w:r w:rsidRPr="00CF1B34">
        <w:rPr>
          <w:rFonts w:ascii="Arial" w:hAnsi="Arial" w:cs="Arial"/>
          <w:sz w:val="22"/>
          <w:szCs w:val="22"/>
        </w:rPr>
        <w:t>. Como bien dijimos tiempo atrás, la competencia desleal se basa en prácticas contrarias a las bases de la honestidad y a la buena fe en la industria o comercio.</w:t>
      </w:r>
    </w:p>
    <w:p w14:paraId="0F114508" w14:textId="3B64DA58" w:rsidR="006D633B" w:rsidRPr="00CF1B34" w:rsidRDefault="006D633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rPr>
        <w:t>Claramente, la Ley de Defensa a la Competencia buscará acercar la realidad a la competencia perfecta. Algo que es netamente un deseo y una esperanza para todos, pero difícil de realizar.</w:t>
      </w:r>
    </w:p>
    <w:p w14:paraId="53FD2870" w14:textId="2CAAE277" w:rsidR="006D633B" w:rsidRPr="00CF1B34" w:rsidRDefault="008A09B0"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Ley de deshaucio express</w:t>
      </w:r>
    </w:p>
    <w:p w14:paraId="54AF49AE" w14:textId="77777777" w:rsidR="0007212C" w:rsidRPr="00CF1B34" w:rsidRDefault="0007212C" w:rsidP="0005621A">
      <w:pPr>
        <w:shd w:val="clear" w:color="auto" w:fill="FFFFFF"/>
        <w:tabs>
          <w:tab w:val="left" w:pos="1560"/>
        </w:tabs>
        <w:spacing w:before="100" w:beforeAutospacing="1" w:after="100" w:afterAutospacing="1"/>
        <w:ind w:left="708"/>
        <w:jc w:val="both"/>
        <w:rPr>
          <w:rFonts w:ascii="Arial" w:hAnsi="Arial" w:cs="Arial"/>
          <w:color w:val="3F4E55"/>
          <w:sz w:val="22"/>
          <w:szCs w:val="22"/>
        </w:rPr>
      </w:pPr>
      <w:r w:rsidRPr="00CF1B34">
        <w:rPr>
          <w:rFonts w:ascii="Arial" w:hAnsi="Arial" w:cs="Arial"/>
          <w:color w:val="3F4E55"/>
          <w:sz w:val="22"/>
          <w:szCs w:val="22"/>
        </w:rPr>
        <w:t>La Ley de Desahucio Express se regula en el artículo 27 de la Ley de Arrendamientos Urbanos (LAU). Esta ley establece el procedimiento para el desahucio de un inquilino que no paga la renta o ha finalizado el contrato y no se ha retirado del inmueble.</w:t>
      </w:r>
    </w:p>
    <w:p w14:paraId="63AA842E" w14:textId="77777777" w:rsidR="0007212C" w:rsidRPr="00CF1B34" w:rsidRDefault="0007212C" w:rsidP="0005621A">
      <w:pPr>
        <w:shd w:val="clear" w:color="auto" w:fill="FFFFFF"/>
        <w:tabs>
          <w:tab w:val="left" w:pos="1560"/>
        </w:tabs>
        <w:spacing w:beforeAutospacing="1" w:afterAutospacing="1"/>
        <w:jc w:val="both"/>
        <w:rPr>
          <w:rFonts w:ascii="Arial" w:hAnsi="Arial" w:cs="Arial"/>
          <w:color w:val="3F4E55"/>
          <w:sz w:val="22"/>
          <w:szCs w:val="22"/>
        </w:rPr>
      </w:pPr>
      <w:r w:rsidRPr="00CF1B34">
        <w:rPr>
          <w:rFonts w:ascii="Arial" w:hAnsi="Arial" w:cs="Arial"/>
          <w:b/>
          <w:bCs/>
          <w:color w:val="3F4E55"/>
          <w:sz w:val="22"/>
          <w:szCs w:val="22"/>
        </w:rPr>
        <w:t>Características</w:t>
      </w:r>
    </w:p>
    <w:p w14:paraId="1F9DCF1A" w14:textId="106A5667" w:rsidR="0007212C" w:rsidRPr="00CF1B34" w:rsidRDefault="0007212C" w:rsidP="004F7A62">
      <w:pPr>
        <w:numPr>
          <w:ilvl w:val="0"/>
          <w:numId w:val="195"/>
        </w:numPr>
        <w:shd w:val="clear" w:color="auto" w:fill="FFFFFF"/>
        <w:tabs>
          <w:tab w:val="left" w:pos="1560"/>
        </w:tabs>
        <w:spacing w:after="100" w:afterAutospacing="1"/>
        <w:jc w:val="both"/>
        <w:rPr>
          <w:rFonts w:ascii="Arial" w:hAnsi="Arial" w:cs="Arial"/>
          <w:color w:val="3F4E55"/>
          <w:sz w:val="22"/>
          <w:szCs w:val="22"/>
        </w:rPr>
      </w:pPr>
      <w:r w:rsidRPr="00CF1B34">
        <w:rPr>
          <w:rFonts w:ascii="Arial" w:hAnsi="Arial" w:cs="Arial"/>
          <w:color w:val="3F4E55"/>
          <w:sz w:val="22"/>
          <w:szCs w:val="22"/>
        </w:rPr>
        <w:t>Se puede interponer demanda de desahucio express contra inquilinos que no pagan la renta o han finalizado el contrato y no se han retirado.</w:t>
      </w:r>
    </w:p>
    <w:p w14:paraId="041ECBA0" w14:textId="77777777" w:rsidR="0007212C" w:rsidRPr="00CF1B34" w:rsidRDefault="0007212C" w:rsidP="004F7A62">
      <w:pPr>
        <w:numPr>
          <w:ilvl w:val="0"/>
          <w:numId w:val="195"/>
        </w:numPr>
        <w:shd w:val="clear" w:color="auto" w:fill="FFFFFF"/>
        <w:tabs>
          <w:tab w:val="left" w:pos="1560"/>
        </w:tabs>
        <w:spacing w:before="100" w:beforeAutospacing="1" w:after="100" w:afterAutospacing="1"/>
        <w:jc w:val="both"/>
        <w:rPr>
          <w:rFonts w:ascii="Arial" w:hAnsi="Arial" w:cs="Arial"/>
          <w:color w:val="3F4E55"/>
          <w:sz w:val="22"/>
          <w:szCs w:val="22"/>
        </w:rPr>
      </w:pPr>
      <w:r w:rsidRPr="00CF1B34">
        <w:rPr>
          <w:rFonts w:ascii="Arial" w:hAnsi="Arial" w:cs="Arial"/>
          <w:color w:val="3F4E55"/>
          <w:sz w:val="22"/>
          <w:szCs w:val="22"/>
        </w:rPr>
        <w:t>La base legal para este tipo de desahucio se encuentra en el artículo 27 de la LAU.</w:t>
      </w:r>
    </w:p>
    <w:p w14:paraId="2C766EED" w14:textId="5A8160E4" w:rsidR="0007212C" w:rsidRPr="00CF1B34" w:rsidRDefault="0007212C" w:rsidP="004F7A62">
      <w:pPr>
        <w:numPr>
          <w:ilvl w:val="0"/>
          <w:numId w:val="195"/>
        </w:numPr>
        <w:shd w:val="clear" w:color="auto" w:fill="FFFFFF"/>
        <w:tabs>
          <w:tab w:val="left" w:pos="1560"/>
        </w:tabs>
        <w:spacing w:before="100" w:beforeAutospacing="1" w:after="100" w:afterAutospacing="1"/>
        <w:jc w:val="both"/>
        <w:rPr>
          <w:rFonts w:ascii="Arial" w:hAnsi="Arial" w:cs="Arial"/>
          <w:color w:val="3F4E55"/>
          <w:sz w:val="22"/>
          <w:szCs w:val="22"/>
        </w:rPr>
      </w:pPr>
      <w:r w:rsidRPr="00CF1B34">
        <w:rPr>
          <w:rFonts w:ascii="Arial" w:hAnsi="Arial" w:cs="Arial"/>
          <w:color w:val="3F4E55"/>
          <w:sz w:val="22"/>
          <w:szCs w:val="22"/>
        </w:rPr>
        <w:t>El proceso de desahucio express es similar para impago de rentas y finalización de contrato.</w:t>
      </w:r>
    </w:p>
    <w:p w14:paraId="568A3D9B" w14:textId="77777777" w:rsidR="0007212C" w:rsidRPr="00CF1B34" w:rsidRDefault="0007212C" w:rsidP="004F7A62">
      <w:pPr>
        <w:numPr>
          <w:ilvl w:val="0"/>
          <w:numId w:val="195"/>
        </w:numPr>
        <w:shd w:val="clear" w:color="auto" w:fill="FFFFFF"/>
        <w:tabs>
          <w:tab w:val="left" w:pos="1560"/>
        </w:tabs>
        <w:spacing w:before="100" w:beforeAutospacing="1"/>
        <w:jc w:val="both"/>
        <w:rPr>
          <w:rFonts w:ascii="Arial" w:hAnsi="Arial" w:cs="Arial"/>
          <w:color w:val="3F4E55"/>
          <w:sz w:val="22"/>
          <w:szCs w:val="22"/>
        </w:rPr>
      </w:pPr>
      <w:r w:rsidRPr="00CF1B34">
        <w:rPr>
          <w:rFonts w:ascii="Arial" w:hAnsi="Arial" w:cs="Arial"/>
          <w:color w:val="3F4E55"/>
          <w:sz w:val="22"/>
          <w:szCs w:val="22"/>
        </w:rPr>
        <w:t>La notificación de la demanda al inquilino puede ser realizada por el procurador, lo que puede reducir el tiempo de tramitación a solo una semana.</w:t>
      </w:r>
    </w:p>
    <w:p w14:paraId="7AF32A79" w14:textId="77777777" w:rsidR="0007212C" w:rsidRPr="00CF1B34" w:rsidRDefault="0007212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F4E55"/>
          <w:sz w:val="21"/>
          <w:szCs w:val="21"/>
          <w:shd w:val="clear" w:color="auto" w:fill="FFFFFF"/>
        </w:rPr>
        <w:t>Es fundamental consultar con un profesional especializado en derecho de propiedad y arrendamientos para obtener asesoramiento personalizado y garantizar el éxito del proceso de desahucio.</w:t>
      </w:r>
    </w:p>
    <w:p w14:paraId="74288E9B" w14:textId="4A429F05" w:rsidR="0007212C" w:rsidRPr="00CF1B34" w:rsidRDefault="0007212C"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Ley de Economía sostenible</w:t>
      </w:r>
    </w:p>
    <w:p w14:paraId="19FCF3BF" w14:textId="68F99754" w:rsidR="006D633B" w:rsidRPr="00CF1B34" w:rsidRDefault="0076673B" w:rsidP="0005621A">
      <w:pPr>
        <w:ind w:left="708"/>
        <w:jc w:val="both"/>
        <w:rPr>
          <w:rFonts w:ascii="Arial" w:hAnsi="Arial" w:cs="Arial"/>
          <w:sz w:val="22"/>
          <w:szCs w:val="22"/>
        </w:rPr>
      </w:pPr>
      <w:r w:rsidRPr="00CF1B34">
        <w:rPr>
          <w:rFonts w:ascii="Arial" w:hAnsi="Arial" w:cs="Arial"/>
          <w:sz w:val="22"/>
          <w:szCs w:val="22"/>
        </w:rPr>
        <w:t xml:space="preserve">La Ley de economía Sostenible contempla incrementar desde 8% actual al 12% la deducción por innovación tecnológica respecto al impuesto sobre sociedades. Así como, </w:t>
      </w:r>
      <w:r w:rsidR="00DF63F9" w:rsidRPr="00CF1B34">
        <w:rPr>
          <w:rFonts w:ascii="Arial" w:hAnsi="Arial" w:cs="Arial"/>
          <w:sz w:val="22"/>
          <w:szCs w:val="22"/>
        </w:rPr>
        <w:t>se</w:t>
      </w:r>
      <w:r w:rsidRPr="00CF1B34">
        <w:rPr>
          <w:rFonts w:ascii="Arial" w:hAnsi="Arial" w:cs="Arial"/>
          <w:sz w:val="22"/>
          <w:szCs w:val="22"/>
        </w:rPr>
        <w:t xml:space="preserve"> eleva del 4% al 8% la deducción por protección del medio</w:t>
      </w:r>
    </w:p>
    <w:p w14:paraId="0CB4CEFC" w14:textId="77777777" w:rsidR="00DF63F9" w:rsidRPr="00CF1B34" w:rsidRDefault="0076673B" w:rsidP="0005621A">
      <w:pPr>
        <w:ind w:left="708"/>
        <w:jc w:val="both"/>
        <w:rPr>
          <w:rStyle w:val="Textoennegrita"/>
          <w:rFonts w:ascii="Arial" w:hAnsi="Arial" w:cs="Arial"/>
          <w:color w:val="000000"/>
          <w:sz w:val="22"/>
          <w:szCs w:val="22"/>
        </w:rPr>
      </w:pPr>
      <w:r w:rsidRPr="00CF1B34">
        <w:rPr>
          <w:rFonts w:ascii="Arial" w:hAnsi="Arial" w:cs="Arial"/>
          <w:color w:val="333333"/>
          <w:sz w:val="22"/>
          <w:szCs w:val="22"/>
        </w:rPr>
        <w:t xml:space="preserve">De esta manera se deduce, que </w:t>
      </w:r>
      <w:r w:rsidRPr="00CF1B34">
        <w:rPr>
          <w:rStyle w:val="Textoennegrita"/>
          <w:rFonts w:ascii="Arial" w:hAnsi="Arial" w:cs="Arial"/>
          <w:color w:val="333333"/>
          <w:sz w:val="22"/>
          <w:szCs w:val="22"/>
        </w:rPr>
        <w:t>aquella actividad que signifique un avance tecnológico</w:t>
      </w:r>
      <w:r w:rsidRPr="00CF1B34">
        <w:rPr>
          <w:rFonts w:ascii="Arial" w:hAnsi="Arial" w:cs="Arial"/>
          <w:color w:val="333333"/>
          <w:sz w:val="22"/>
          <w:szCs w:val="22"/>
        </w:rPr>
        <w:t xml:space="preserve"> dentro de la obtención de nuevos productos o mejora sustancial de los ya existentes, permitirá a las empresas </w:t>
      </w:r>
      <w:r w:rsidRPr="00CF1B34">
        <w:rPr>
          <w:rStyle w:val="Textoennegrita"/>
          <w:rFonts w:ascii="Arial" w:hAnsi="Arial" w:cs="Arial"/>
          <w:color w:val="333333"/>
          <w:sz w:val="22"/>
          <w:szCs w:val="22"/>
        </w:rPr>
        <w:t>tener derecho a la rebaja.</w:t>
      </w:r>
      <w:r w:rsidR="00DF63F9" w:rsidRPr="00CF1B34">
        <w:rPr>
          <w:rStyle w:val="Textoennegrita"/>
          <w:rFonts w:ascii="Arial" w:hAnsi="Arial" w:cs="Arial"/>
          <w:color w:val="000000"/>
          <w:sz w:val="22"/>
          <w:szCs w:val="22"/>
        </w:rPr>
        <w:t xml:space="preserve"> </w:t>
      </w:r>
    </w:p>
    <w:p w14:paraId="32F05732" w14:textId="1E506163" w:rsidR="00DF63F9" w:rsidRPr="00CF1B34" w:rsidRDefault="00DF63F9" w:rsidP="0005621A">
      <w:pPr>
        <w:pStyle w:val="NormalWeb"/>
        <w:shd w:val="clear" w:color="auto" w:fill="FFFFFF"/>
        <w:spacing w:before="0" w:after="0"/>
        <w:jc w:val="both"/>
        <w:rPr>
          <w:rFonts w:ascii="Arial" w:hAnsi="Arial" w:cs="Arial"/>
          <w:color w:val="000000"/>
          <w:sz w:val="22"/>
          <w:szCs w:val="22"/>
        </w:rPr>
      </w:pPr>
      <w:r w:rsidRPr="00CF1B34">
        <w:rPr>
          <w:rFonts w:ascii="Arial" w:hAnsi="Arial" w:cs="Arial"/>
          <w:b/>
          <w:bCs/>
          <w:color w:val="000000"/>
          <w:sz w:val="22"/>
          <w:szCs w:val="22"/>
        </w:rPr>
        <w:t>Objetivos</w:t>
      </w:r>
    </w:p>
    <w:p w14:paraId="494DF4CD" w14:textId="77777777" w:rsidR="00DF63F9" w:rsidRPr="00CF1B34" w:rsidRDefault="00DF63F9" w:rsidP="004F7A62">
      <w:pPr>
        <w:numPr>
          <w:ilvl w:val="0"/>
          <w:numId w:val="196"/>
        </w:numPr>
        <w:shd w:val="clear" w:color="auto" w:fill="FFFFFF"/>
        <w:spacing w:after="100" w:afterAutospacing="1"/>
        <w:jc w:val="both"/>
        <w:rPr>
          <w:rFonts w:ascii="Arial" w:hAnsi="Arial" w:cs="Arial"/>
          <w:color w:val="000000"/>
          <w:sz w:val="22"/>
          <w:szCs w:val="22"/>
        </w:rPr>
      </w:pPr>
      <w:r w:rsidRPr="00CF1B34">
        <w:rPr>
          <w:rFonts w:ascii="Arial" w:hAnsi="Arial" w:cs="Arial"/>
          <w:color w:val="000000"/>
          <w:sz w:val="22"/>
          <w:szCs w:val="22"/>
        </w:rPr>
        <w:lastRenderedPageBreak/>
        <w:t>Fomentar el crecimiento económico y la innovación en sectores con potencial de crecimiento a largo plazo, generadores de empleo y sostenibles desde un punto de vista económico, social y medioambiental.</w:t>
      </w:r>
    </w:p>
    <w:p w14:paraId="4EB53BEE" w14:textId="77777777" w:rsidR="00DF63F9" w:rsidRPr="00CF1B34" w:rsidRDefault="00DF63F9" w:rsidP="004F7A62">
      <w:pPr>
        <w:numPr>
          <w:ilvl w:val="0"/>
          <w:numId w:val="196"/>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Mejorar la competitividad y la eficiencia energética en la economía española.</w:t>
      </w:r>
    </w:p>
    <w:p w14:paraId="19C9030A" w14:textId="77777777" w:rsidR="00DF63F9" w:rsidRPr="00CF1B34" w:rsidRDefault="00DF63F9" w:rsidP="004F7A62">
      <w:pPr>
        <w:numPr>
          <w:ilvl w:val="0"/>
          <w:numId w:val="196"/>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Promover la gestión racional de los recursos naturales y la reducción de residuos y emisiones contaminantes.</w:t>
      </w:r>
    </w:p>
    <w:p w14:paraId="6D714A5E" w14:textId="3EA8CAE4" w:rsidR="00DF63F9" w:rsidRPr="00CF1B34" w:rsidRDefault="00DF63F9" w:rsidP="004F7A62">
      <w:pPr>
        <w:numPr>
          <w:ilvl w:val="0"/>
          <w:numId w:val="196"/>
        </w:numPr>
        <w:shd w:val="clear" w:color="auto" w:fill="FFFFFF"/>
        <w:spacing w:before="100" w:beforeAutospacing="1"/>
        <w:jc w:val="both"/>
        <w:rPr>
          <w:rFonts w:ascii="Arial" w:hAnsi="Arial" w:cs="Arial"/>
          <w:color w:val="000000"/>
          <w:sz w:val="22"/>
          <w:szCs w:val="22"/>
        </w:rPr>
      </w:pPr>
      <w:r w:rsidRPr="00CF1B34">
        <w:rPr>
          <w:rFonts w:ascii="Arial" w:hAnsi="Arial" w:cs="Arial"/>
          <w:color w:val="000000"/>
          <w:sz w:val="22"/>
          <w:szCs w:val="22"/>
        </w:rPr>
        <w:t>Garantizar la igualdad de oportunidades y la cohesión social.</w:t>
      </w:r>
    </w:p>
    <w:p w14:paraId="14DAA32E" w14:textId="2E3EEEB0" w:rsidR="00DF63F9" w:rsidRPr="00CF1B34" w:rsidRDefault="00DF63F9" w:rsidP="0005621A">
      <w:pPr>
        <w:pBdr>
          <w:bottom w:val="dotted" w:sz="12" w:space="12" w:color="666666"/>
        </w:pBdr>
        <w:spacing w:after="240"/>
        <w:ind w:left="720"/>
        <w:jc w:val="both"/>
        <w:rPr>
          <w:rFonts w:ascii="Arial" w:hAnsi="Arial" w:cs="Arial"/>
          <w:color w:val="212529"/>
          <w:sz w:val="22"/>
          <w:szCs w:val="22"/>
          <w:lang w:val="es-ES_tradnl"/>
        </w:rPr>
      </w:pPr>
    </w:p>
    <w:p w14:paraId="6141C73E" w14:textId="68E6C475" w:rsidR="00B15BF2" w:rsidRPr="00CF1B34" w:rsidRDefault="00F22DD7"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Ley de IVA</w:t>
      </w:r>
    </w:p>
    <w:p w14:paraId="44049A88" w14:textId="6A3E20DC" w:rsidR="00A623BD" w:rsidRPr="00CF1B34" w:rsidRDefault="00A623BD" w:rsidP="0005621A">
      <w:pPr>
        <w:shd w:val="clear" w:color="auto" w:fill="FFFFFF"/>
        <w:spacing w:afterAutospacing="1"/>
        <w:ind w:left="708"/>
        <w:jc w:val="both"/>
        <w:rPr>
          <w:rFonts w:ascii="Arial" w:hAnsi="Arial" w:cs="Arial"/>
          <w:color w:val="000000"/>
          <w:sz w:val="22"/>
          <w:szCs w:val="22"/>
        </w:rPr>
      </w:pPr>
      <w:r w:rsidRPr="00CF1B34">
        <w:rPr>
          <w:rFonts w:ascii="Arial" w:hAnsi="Arial" w:cs="Arial"/>
          <w:color w:val="000000"/>
          <w:sz w:val="22"/>
          <w:szCs w:val="22"/>
        </w:rPr>
        <w:t xml:space="preserve">La </w:t>
      </w:r>
      <w:r w:rsidRPr="00CF1B34">
        <w:rPr>
          <w:rFonts w:ascii="Arial" w:hAnsi="Arial" w:cs="Arial"/>
          <w:b/>
          <w:bCs/>
          <w:color w:val="000000"/>
          <w:sz w:val="22"/>
          <w:szCs w:val="22"/>
        </w:rPr>
        <w:t>Ley 37/1992, de 28 de diciembre, del Impuesto sobre el Valor Añadido</w:t>
      </w:r>
      <w:r w:rsidRPr="00CF1B34">
        <w:rPr>
          <w:rFonts w:ascii="Arial" w:hAnsi="Arial" w:cs="Arial"/>
          <w:color w:val="000000"/>
          <w:sz w:val="22"/>
          <w:szCs w:val="22"/>
        </w:rPr>
        <w:t xml:space="preserve"> (IVA) es la norma que regula este impuesto en España. El IVA es un impuesto indirecto que grava el consumo de bienes y servicios en el país.</w:t>
      </w:r>
    </w:p>
    <w:p w14:paraId="7FA93D6D" w14:textId="77777777" w:rsidR="00A623BD" w:rsidRPr="00CF1B34" w:rsidRDefault="00A623BD" w:rsidP="0005621A">
      <w:pPr>
        <w:shd w:val="clear" w:color="auto" w:fill="FFFFFF"/>
        <w:spacing w:beforeAutospacing="1" w:afterAutospacing="1"/>
        <w:ind w:firstLine="708"/>
        <w:jc w:val="both"/>
        <w:rPr>
          <w:rFonts w:ascii="Arial" w:hAnsi="Arial" w:cs="Arial"/>
          <w:color w:val="000000"/>
          <w:sz w:val="22"/>
          <w:szCs w:val="22"/>
        </w:rPr>
      </w:pPr>
      <w:r w:rsidRPr="00CF1B34">
        <w:rPr>
          <w:rFonts w:ascii="Arial" w:hAnsi="Arial" w:cs="Arial"/>
          <w:b/>
          <w:bCs/>
          <w:color w:val="000000"/>
          <w:sz w:val="22"/>
          <w:szCs w:val="22"/>
        </w:rPr>
        <w:t>Características clave</w:t>
      </w:r>
    </w:p>
    <w:p w14:paraId="1AA67FA0" w14:textId="77777777" w:rsidR="00A623BD" w:rsidRPr="00CF1B34" w:rsidRDefault="00A623BD" w:rsidP="004F7A62">
      <w:pPr>
        <w:numPr>
          <w:ilvl w:val="0"/>
          <w:numId w:val="197"/>
        </w:numPr>
        <w:shd w:val="clear" w:color="auto" w:fill="FFFFFF"/>
        <w:spacing w:after="100" w:afterAutospacing="1"/>
        <w:jc w:val="both"/>
        <w:rPr>
          <w:rFonts w:ascii="Arial" w:hAnsi="Arial" w:cs="Arial"/>
          <w:color w:val="000000"/>
          <w:sz w:val="22"/>
          <w:szCs w:val="22"/>
        </w:rPr>
      </w:pPr>
      <w:r w:rsidRPr="00CF1B34">
        <w:rPr>
          <w:rFonts w:ascii="Arial" w:hAnsi="Arial" w:cs="Arial"/>
          <w:color w:val="000000"/>
          <w:sz w:val="22"/>
          <w:szCs w:val="22"/>
        </w:rPr>
        <w:t>Es un impuesto sobre el valor añadido en cada fase de la producción y distribución de bienes y servicios.</w:t>
      </w:r>
    </w:p>
    <w:p w14:paraId="007AEEE0" w14:textId="77777777" w:rsidR="00A623BD" w:rsidRPr="00CF1B34" w:rsidRDefault="00A623BD" w:rsidP="004F7A62">
      <w:pPr>
        <w:numPr>
          <w:ilvl w:val="0"/>
          <w:numId w:val="197"/>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El tipo impositivo general es del 21%, aunque hay reducciones y exenciones para determinados sectores y actividades.</w:t>
      </w:r>
    </w:p>
    <w:p w14:paraId="072AC160" w14:textId="77777777" w:rsidR="00A623BD" w:rsidRPr="00CF1B34" w:rsidRDefault="00A623BD" w:rsidP="004F7A62">
      <w:pPr>
        <w:numPr>
          <w:ilvl w:val="0"/>
          <w:numId w:val="197"/>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Los sujetos pasivos del IVA son los empresarios y profesionales que realicen operaciones gravadas por este impuesto.</w:t>
      </w:r>
    </w:p>
    <w:p w14:paraId="0E49239F" w14:textId="77777777" w:rsidR="00A623BD" w:rsidRPr="00CF1B34" w:rsidRDefault="00A623BD" w:rsidP="004F7A62">
      <w:pPr>
        <w:numPr>
          <w:ilvl w:val="0"/>
          <w:numId w:val="197"/>
        </w:numPr>
        <w:shd w:val="clear" w:color="auto" w:fill="FFFFFF"/>
        <w:spacing w:before="100" w:beforeAutospacing="1"/>
        <w:jc w:val="both"/>
        <w:rPr>
          <w:rFonts w:ascii="Arial" w:hAnsi="Arial" w:cs="Arial"/>
          <w:color w:val="000000"/>
          <w:sz w:val="22"/>
          <w:szCs w:val="22"/>
        </w:rPr>
      </w:pPr>
      <w:r w:rsidRPr="00CF1B34">
        <w:rPr>
          <w:rFonts w:ascii="Arial" w:hAnsi="Arial" w:cs="Arial"/>
          <w:color w:val="000000"/>
          <w:sz w:val="22"/>
          <w:szCs w:val="22"/>
        </w:rPr>
        <w:t>Los bienes y servicios sujetos al IVA incluyen la mayoría de las transacciones comerciales, excepto aquellos que están exentos o están gravados por otros impuestos.</w:t>
      </w:r>
    </w:p>
    <w:p w14:paraId="26E83C07" w14:textId="77777777" w:rsidR="00A623BD" w:rsidRPr="00CF1B34" w:rsidRDefault="00A623BD" w:rsidP="0005621A">
      <w:pPr>
        <w:shd w:val="clear" w:color="auto" w:fill="FFFFFF"/>
        <w:spacing w:beforeAutospacing="1" w:afterAutospacing="1"/>
        <w:ind w:firstLine="708"/>
        <w:jc w:val="both"/>
        <w:rPr>
          <w:rFonts w:ascii="Arial" w:hAnsi="Arial" w:cs="Arial"/>
          <w:color w:val="000000"/>
          <w:sz w:val="22"/>
          <w:szCs w:val="22"/>
        </w:rPr>
      </w:pPr>
      <w:r w:rsidRPr="00CF1B34">
        <w:rPr>
          <w:rFonts w:ascii="Arial" w:hAnsi="Arial" w:cs="Arial"/>
          <w:b/>
          <w:bCs/>
          <w:color w:val="000000"/>
          <w:sz w:val="22"/>
          <w:szCs w:val="22"/>
        </w:rPr>
        <w:t>Regímenes especiales</w:t>
      </w:r>
    </w:p>
    <w:p w14:paraId="3653AFA6" w14:textId="77777777" w:rsidR="00A623BD" w:rsidRPr="00CF1B34" w:rsidRDefault="00A623BD" w:rsidP="0005621A">
      <w:pPr>
        <w:shd w:val="clear" w:color="auto" w:fill="FFFFFF"/>
        <w:spacing w:before="100" w:beforeAutospacing="1" w:after="100" w:afterAutospacing="1"/>
        <w:ind w:left="708"/>
        <w:jc w:val="both"/>
        <w:rPr>
          <w:rFonts w:ascii="Arial" w:hAnsi="Arial" w:cs="Arial"/>
          <w:color w:val="000000"/>
          <w:sz w:val="22"/>
          <w:szCs w:val="22"/>
        </w:rPr>
      </w:pPr>
      <w:r w:rsidRPr="00CF1B34">
        <w:rPr>
          <w:rFonts w:ascii="Arial" w:hAnsi="Arial" w:cs="Arial"/>
          <w:color w:val="000000"/>
          <w:sz w:val="22"/>
          <w:szCs w:val="22"/>
        </w:rPr>
        <w:t>La Ley de IVA establece varios regímenes especiales para simplificar la carga tributaria para determinados sectores y actividades, como:</w:t>
      </w:r>
    </w:p>
    <w:p w14:paraId="43863FFE" w14:textId="77777777" w:rsidR="00A623BD" w:rsidRPr="00CF1B34" w:rsidRDefault="00A623BD" w:rsidP="004F7A62">
      <w:pPr>
        <w:numPr>
          <w:ilvl w:val="0"/>
          <w:numId w:val="198"/>
        </w:numPr>
        <w:shd w:val="clear" w:color="auto" w:fill="FFFFFF"/>
        <w:spacing w:after="100" w:afterAutospacing="1"/>
        <w:jc w:val="both"/>
        <w:rPr>
          <w:rFonts w:ascii="Arial" w:hAnsi="Arial" w:cs="Arial"/>
          <w:color w:val="000000"/>
          <w:sz w:val="22"/>
          <w:szCs w:val="22"/>
        </w:rPr>
      </w:pPr>
      <w:r w:rsidRPr="00CF1B34">
        <w:rPr>
          <w:rFonts w:ascii="Arial" w:hAnsi="Arial" w:cs="Arial"/>
          <w:color w:val="000000"/>
          <w:sz w:val="22"/>
          <w:szCs w:val="22"/>
        </w:rPr>
        <w:t>Régimen simplificado: para pequeñas empresas y autónomos que realizan operaciones de baja cuantía.</w:t>
      </w:r>
    </w:p>
    <w:p w14:paraId="1051DCC7" w14:textId="77777777" w:rsidR="00A623BD" w:rsidRPr="00CF1B34" w:rsidRDefault="00A623BD" w:rsidP="004F7A62">
      <w:pPr>
        <w:numPr>
          <w:ilvl w:val="0"/>
          <w:numId w:val="198"/>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Régimen especial de la agricultura, ganadería y pesca: para empresas que desarrollan actividades agrícolas, ganaderas y pesqueras.</w:t>
      </w:r>
    </w:p>
    <w:p w14:paraId="2F8F682E" w14:textId="77777777" w:rsidR="00A623BD" w:rsidRPr="00CF1B34" w:rsidRDefault="00A623BD" w:rsidP="004F7A62">
      <w:pPr>
        <w:numPr>
          <w:ilvl w:val="0"/>
          <w:numId w:val="198"/>
        </w:numPr>
        <w:shd w:val="clear" w:color="auto" w:fill="FFFFFF"/>
        <w:spacing w:before="100" w:beforeAutospacing="1"/>
        <w:jc w:val="both"/>
        <w:rPr>
          <w:rFonts w:ascii="Arial" w:hAnsi="Arial" w:cs="Arial"/>
          <w:color w:val="000000"/>
          <w:sz w:val="22"/>
          <w:szCs w:val="22"/>
        </w:rPr>
      </w:pPr>
      <w:r w:rsidRPr="00CF1B34">
        <w:rPr>
          <w:rFonts w:ascii="Arial" w:hAnsi="Arial" w:cs="Arial"/>
          <w:color w:val="000000"/>
          <w:sz w:val="22"/>
          <w:szCs w:val="22"/>
        </w:rPr>
        <w:t>Régimen especial para servicios prestados por intérpretes, artistas, directores y técnicos: con un tipo impositivo reducido del 10%.</w:t>
      </w:r>
    </w:p>
    <w:p w14:paraId="2B9C74CB" w14:textId="77777777" w:rsidR="00A623BD" w:rsidRPr="00CF1B34" w:rsidRDefault="00A623BD" w:rsidP="0005621A">
      <w:pPr>
        <w:shd w:val="clear" w:color="auto" w:fill="FFFFFF"/>
        <w:spacing w:beforeAutospacing="1" w:afterAutospacing="1"/>
        <w:ind w:firstLine="708"/>
        <w:jc w:val="both"/>
        <w:rPr>
          <w:rFonts w:ascii="Arial" w:hAnsi="Arial" w:cs="Arial"/>
          <w:color w:val="000000"/>
          <w:sz w:val="22"/>
          <w:szCs w:val="22"/>
        </w:rPr>
      </w:pPr>
      <w:r w:rsidRPr="00CF1B34">
        <w:rPr>
          <w:rFonts w:ascii="Arial" w:hAnsi="Arial" w:cs="Arial"/>
          <w:b/>
          <w:bCs/>
          <w:color w:val="000000"/>
          <w:sz w:val="22"/>
          <w:szCs w:val="22"/>
        </w:rPr>
        <w:t>Modificaciones y actualizaciones</w:t>
      </w:r>
    </w:p>
    <w:p w14:paraId="75D676FA" w14:textId="22289128" w:rsidR="00A623BD" w:rsidRPr="00CF1B34" w:rsidRDefault="00A623B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rPr>
        <w:t xml:space="preserve">La Ley de IVA ha sido objeto de varias modificaciones y actualizaciones a lo largo de los años, como las Leyes 34/2015 y 48/2015, que introdujeron cambios en el régimen simplificado, </w:t>
      </w:r>
      <w:r w:rsidR="0085182C" w:rsidRPr="00CF1B34">
        <w:rPr>
          <w:rFonts w:ascii="Arial" w:hAnsi="Arial" w:cs="Arial"/>
          <w:color w:val="000000"/>
          <w:sz w:val="22"/>
          <w:szCs w:val="22"/>
        </w:rPr>
        <w:t>la reforma tributaria</w:t>
      </w:r>
      <w:r w:rsidRPr="00CF1B34">
        <w:rPr>
          <w:rFonts w:ascii="Arial" w:hAnsi="Arial" w:cs="Arial"/>
          <w:color w:val="000000"/>
          <w:sz w:val="22"/>
          <w:szCs w:val="22"/>
        </w:rPr>
        <w:t xml:space="preserve"> y el régimen especial de la agricultura, ganadería y pesca, y la Ley 28/2014, que modificó la norma para adaptarla a la Directiva del Parlamento Europeo y del Consejo (UE) 2017/2455.</w:t>
      </w:r>
    </w:p>
    <w:p w14:paraId="105028AF" w14:textId="1740938B" w:rsidR="00F22DD7" w:rsidRPr="00CF1B34" w:rsidRDefault="00F22DD7"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Ley de morosidad</w:t>
      </w:r>
    </w:p>
    <w:p w14:paraId="049594D6" w14:textId="77777777" w:rsidR="00D95FFB" w:rsidRPr="00CF1B34" w:rsidRDefault="0085182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La</w:t>
      </w:r>
      <w:r w:rsidRPr="00CF1B34">
        <w:rPr>
          <w:rFonts w:ascii="Arial" w:hAnsi="Arial" w:cs="Arial"/>
          <w:b/>
          <w:bCs/>
          <w:color w:val="333333"/>
          <w:sz w:val="22"/>
          <w:szCs w:val="22"/>
          <w:shd w:val="clear" w:color="auto" w:fill="FFFFFF"/>
        </w:rPr>
        <w:t xml:space="preserve"> ley de morosidad </w:t>
      </w:r>
      <w:r w:rsidRPr="00CF1B34">
        <w:rPr>
          <w:rFonts w:ascii="Arial" w:hAnsi="Arial" w:cs="Arial"/>
          <w:color w:val="333333"/>
          <w:sz w:val="22"/>
          <w:szCs w:val="22"/>
          <w:shd w:val="clear" w:color="auto" w:fill="FFFFFF"/>
        </w:rPr>
        <w:t>es un claro</w:t>
      </w:r>
      <w:r w:rsidRPr="00CF1B34">
        <w:rPr>
          <w:rFonts w:ascii="Arial" w:hAnsi="Arial" w:cs="Arial"/>
          <w:b/>
          <w:bCs/>
          <w:color w:val="333333"/>
          <w:sz w:val="22"/>
          <w:szCs w:val="22"/>
          <w:shd w:val="clear" w:color="auto" w:fill="FFFFFF"/>
        </w:rPr>
        <w:t xml:space="preserve"> </w:t>
      </w:r>
      <w:r w:rsidRPr="00CF1B34">
        <w:rPr>
          <w:rFonts w:ascii="Arial" w:hAnsi="Arial" w:cs="Arial"/>
          <w:color w:val="333333"/>
          <w:sz w:val="22"/>
          <w:szCs w:val="22"/>
          <w:shd w:val="clear" w:color="auto" w:fill="FFFFFF"/>
        </w:rPr>
        <w:t>alivio para muchas Pymes y empresas debido a que el plazo de cobro pasará a ser de 60 días para las empresas y será de 30 días con la Administración. Para estas les significa poder reducir el plazo de cobro hasta 60 días dentro de las operaciones comerciales entre empresas y de hasta 30 días entre empresas y la Administración Pública.</w:t>
      </w:r>
    </w:p>
    <w:p w14:paraId="3F7205B9" w14:textId="2A4B5BEC" w:rsidR="00F22DD7" w:rsidRPr="00CF1B34" w:rsidRDefault="00F22DD7"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lastRenderedPageBreak/>
        <w:t>Ley de pensiones</w:t>
      </w:r>
    </w:p>
    <w:p w14:paraId="0C17A2A6" w14:textId="77777777" w:rsidR="00D95FFB" w:rsidRPr="00CF1B34" w:rsidRDefault="00D95FFB" w:rsidP="0005621A">
      <w:pPr>
        <w:pStyle w:val="NormalWeb"/>
        <w:shd w:val="clear" w:color="auto" w:fill="FFFFFF"/>
        <w:spacing w:before="0" w:beforeAutospacing="0"/>
        <w:ind w:left="708"/>
        <w:jc w:val="both"/>
        <w:rPr>
          <w:rFonts w:ascii="Arial" w:hAnsi="Arial" w:cs="Arial"/>
          <w:color w:val="000000"/>
          <w:sz w:val="22"/>
          <w:szCs w:val="22"/>
        </w:rPr>
      </w:pPr>
      <w:r w:rsidRPr="00CF1B34">
        <w:rPr>
          <w:rFonts w:ascii="Arial" w:hAnsi="Arial" w:cs="Arial"/>
          <w:color w:val="000000"/>
          <w:sz w:val="22"/>
          <w:szCs w:val="22"/>
        </w:rPr>
        <w:t>Según el Real Decreto 46/2021, de 26 de enero, sobre revalorización de las pensiones del sistema de la Seguridad Social, de las pensiones de Clases Pasivas y de otras prestaciones sociales públicas para el ejercicio 2021, se establecen las siguientes normas para la revalorización de las pensiones:</w:t>
      </w:r>
    </w:p>
    <w:p w14:paraId="01C769E3" w14:textId="77777777" w:rsidR="00D95FFB" w:rsidRPr="00CF1B34" w:rsidRDefault="00D95FFB" w:rsidP="004F7A62">
      <w:pPr>
        <w:numPr>
          <w:ilvl w:val="0"/>
          <w:numId w:val="199"/>
        </w:numPr>
        <w:shd w:val="clear" w:color="auto" w:fill="FFFFFF"/>
        <w:spacing w:afterAutospacing="1"/>
        <w:jc w:val="both"/>
        <w:rPr>
          <w:rFonts w:ascii="Arial" w:hAnsi="Arial" w:cs="Arial"/>
          <w:color w:val="000000"/>
          <w:sz w:val="22"/>
          <w:szCs w:val="22"/>
        </w:rPr>
      </w:pPr>
      <w:r w:rsidRPr="00CF1B34">
        <w:rPr>
          <w:rStyle w:val="Textoennegrita"/>
          <w:rFonts w:ascii="Arial" w:hAnsi="Arial" w:cs="Arial"/>
          <w:color w:val="000000"/>
          <w:sz w:val="22"/>
          <w:szCs w:val="22"/>
        </w:rPr>
        <w:t>Complementos económicos para pensiones de Clases Pasivas</w:t>
      </w:r>
      <w:r w:rsidRPr="00CF1B34">
        <w:rPr>
          <w:rFonts w:ascii="Arial" w:hAnsi="Arial" w:cs="Arial"/>
          <w:color w:val="000000"/>
          <w:sz w:val="22"/>
          <w:szCs w:val="22"/>
        </w:rPr>
        <w:t>: Se establecen cantidades adicionales para pensiones de jubilación o retiro cuando existe un cónyuge a cargo de la persona titular, así como para pensiones en favor de otros familiares. Por ejemplo, si la pensión de jubilación es de 851,00 € y hay un cónyuge a cargo, el complemento es de 672,30 € por cada persona beneficiaria (véase tabla).</w:t>
      </w:r>
    </w:p>
    <w:p w14:paraId="5A35EA0D" w14:textId="77777777" w:rsidR="00D95FFB" w:rsidRPr="00CF1B34" w:rsidRDefault="00D95FFB" w:rsidP="004F7A62">
      <w:pPr>
        <w:numPr>
          <w:ilvl w:val="0"/>
          <w:numId w:val="199"/>
        </w:numPr>
        <w:shd w:val="clear" w:color="auto" w:fill="FFFFFF"/>
        <w:spacing w:beforeAutospacing="1"/>
        <w:jc w:val="both"/>
        <w:rPr>
          <w:rFonts w:ascii="Arial" w:hAnsi="Arial" w:cs="Arial"/>
          <w:color w:val="000000"/>
          <w:sz w:val="22"/>
          <w:szCs w:val="22"/>
        </w:rPr>
      </w:pPr>
      <w:r w:rsidRPr="00CF1B34">
        <w:rPr>
          <w:rStyle w:val="Textoennegrita"/>
          <w:rFonts w:ascii="Arial" w:hAnsi="Arial" w:cs="Arial"/>
          <w:color w:val="000000"/>
          <w:sz w:val="22"/>
          <w:szCs w:val="22"/>
        </w:rPr>
        <w:t>Sistema de la Seguridad Social</w:t>
      </w:r>
      <w:r w:rsidRPr="00CF1B34">
        <w:rPr>
          <w:rFonts w:ascii="Arial" w:hAnsi="Arial" w:cs="Arial"/>
          <w:color w:val="000000"/>
          <w:sz w:val="22"/>
          <w:szCs w:val="22"/>
        </w:rPr>
        <w:t>: Se establecen diferentes reglas para la jubilación según la edad y la situación laboral del titular. Por ejemplo, para jubilarse con 65 años es necesario tener 40 años de cotización, mientras que para jubilarse con 60 años se requiere 42 años de cotización (véase tabla).</w:t>
      </w:r>
    </w:p>
    <w:p w14:paraId="6160E497" w14:textId="77777777" w:rsidR="00D95FFB" w:rsidRPr="00CF1B34" w:rsidRDefault="00D95FFB" w:rsidP="0005621A">
      <w:pPr>
        <w:pStyle w:val="NormalWeb"/>
        <w:shd w:val="clear" w:color="auto" w:fill="FFFFFF"/>
        <w:spacing w:before="0" w:after="0"/>
        <w:ind w:firstLine="708"/>
        <w:jc w:val="both"/>
        <w:rPr>
          <w:rFonts w:ascii="Arial" w:hAnsi="Arial" w:cs="Arial"/>
          <w:color w:val="000000"/>
          <w:sz w:val="22"/>
          <w:szCs w:val="22"/>
        </w:rPr>
      </w:pPr>
      <w:r w:rsidRPr="00CF1B34">
        <w:rPr>
          <w:rStyle w:val="Textoennegrita"/>
          <w:rFonts w:ascii="Arial" w:hAnsi="Arial" w:cs="Arial"/>
          <w:color w:val="000000"/>
          <w:sz w:val="22"/>
          <w:szCs w:val="22"/>
        </w:rPr>
        <w:t>Ley de Reforma de las pensiones</w:t>
      </w:r>
    </w:p>
    <w:p w14:paraId="5D2E6CF7" w14:textId="4A68A7F3" w:rsidR="00D95FFB" w:rsidRPr="00CF1B34" w:rsidRDefault="00D95FFB" w:rsidP="0005621A">
      <w:pPr>
        <w:pStyle w:val="NormalWeb"/>
        <w:shd w:val="clear" w:color="auto" w:fill="FFFFFF"/>
        <w:spacing w:before="0" w:after="0"/>
        <w:ind w:left="708"/>
        <w:jc w:val="both"/>
        <w:rPr>
          <w:rFonts w:ascii="Arial" w:hAnsi="Arial" w:cs="Arial"/>
          <w:color w:val="000000"/>
          <w:sz w:val="22"/>
          <w:szCs w:val="22"/>
        </w:rPr>
      </w:pPr>
      <w:r w:rsidRPr="00CF1B34">
        <w:rPr>
          <w:rFonts w:ascii="Arial" w:hAnsi="Arial" w:cs="Arial"/>
          <w:color w:val="000000"/>
          <w:sz w:val="22"/>
          <w:szCs w:val="22"/>
        </w:rPr>
        <w:t xml:space="preserve">En diciembre de 2021, el Congreso aprobó la primera parte de la reforma de </w:t>
      </w:r>
      <w:r w:rsidRPr="00CF1B34">
        <w:rPr>
          <w:rStyle w:val="highlight-answer"/>
          <w:rFonts w:ascii="Arial" w:hAnsi="Arial" w:cs="Arial"/>
          <w:b/>
          <w:bCs/>
          <w:color w:val="000000"/>
          <w:sz w:val="22"/>
          <w:szCs w:val="22"/>
        </w:rPr>
        <w:t>pensiones</w:t>
      </w:r>
      <w:r w:rsidRPr="00CF1B34">
        <w:rPr>
          <w:rFonts w:ascii="Arial" w:hAnsi="Arial" w:cs="Arial"/>
          <w:color w:val="000000"/>
          <w:sz w:val="22"/>
          <w:szCs w:val="22"/>
        </w:rPr>
        <w:t xml:space="preserve"> propuesta por el Gobierno, que incluye la derogación de los elementos centrales diseñados por el PP en 2013 y la vuelta al IPC como referencia para revalorizar las prestaciones.</w:t>
      </w:r>
    </w:p>
    <w:p w14:paraId="59172016" w14:textId="77777777" w:rsidR="00D95FFB" w:rsidRPr="00CF1B34" w:rsidRDefault="00D95FFB" w:rsidP="0005621A">
      <w:pPr>
        <w:pStyle w:val="NormalWeb"/>
        <w:shd w:val="clear" w:color="auto" w:fill="FFFFFF"/>
        <w:spacing w:before="0" w:after="0"/>
        <w:ind w:firstLine="708"/>
        <w:jc w:val="both"/>
        <w:rPr>
          <w:rFonts w:ascii="Arial" w:hAnsi="Arial" w:cs="Arial"/>
          <w:color w:val="000000"/>
          <w:sz w:val="22"/>
          <w:szCs w:val="22"/>
        </w:rPr>
      </w:pPr>
      <w:r w:rsidRPr="00CF1B34">
        <w:rPr>
          <w:rStyle w:val="Textoennegrita"/>
          <w:rFonts w:ascii="Arial" w:hAnsi="Arial" w:cs="Arial"/>
          <w:color w:val="000000"/>
          <w:sz w:val="22"/>
          <w:szCs w:val="22"/>
        </w:rPr>
        <w:t>Retenciones y tributación</w:t>
      </w:r>
    </w:p>
    <w:p w14:paraId="6736DC75" w14:textId="77777777" w:rsidR="00D95FFB" w:rsidRPr="00CF1B34" w:rsidRDefault="00D95FFB" w:rsidP="0005621A">
      <w:pPr>
        <w:pStyle w:val="NormalWeb"/>
        <w:shd w:val="clear" w:color="auto" w:fill="FFFFFF"/>
        <w:ind w:left="708"/>
        <w:jc w:val="both"/>
        <w:rPr>
          <w:rFonts w:ascii="Arial" w:hAnsi="Arial" w:cs="Arial"/>
          <w:color w:val="000000"/>
          <w:sz w:val="22"/>
          <w:szCs w:val="22"/>
        </w:rPr>
      </w:pPr>
      <w:r w:rsidRPr="00CF1B34">
        <w:rPr>
          <w:rFonts w:ascii="Arial" w:hAnsi="Arial" w:cs="Arial"/>
          <w:color w:val="000000"/>
          <w:sz w:val="22"/>
          <w:szCs w:val="22"/>
        </w:rPr>
        <w:t>Según el Ministerio de Trabajo, Migraciones y Seguridad Social, las pensiones de Seguridad Social españolas están sujetas a retenciones en caso de que el pensionista viva en Estados Unidos. La Agencia Tributaria de Estados Unidos (IRS) efectúa una retención del 25,5% sobre las pensiones de Seguridad Social que abona en el extranjero a los pensionistas que no cuentan con la ciudadanía estadounidense.</w:t>
      </w:r>
    </w:p>
    <w:p w14:paraId="3EB466FF" w14:textId="77777777" w:rsidR="00D95FFB" w:rsidRPr="00CF1B34" w:rsidRDefault="00D95FFB" w:rsidP="0005621A">
      <w:pPr>
        <w:pStyle w:val="NormalWeb"/>
        <w:shd w:val="clear" w:color="auto" w:fill="FFFFFF"/>
        <w:spacing w:before="0" w:after="0"/>
        <w:ind w:firstLine="708"/>
        <w:jc w:val="both"/>
        <w:rPr>
          <w:rFonts w:ascii="Arial" w:hAnsi="Arial" w:cs="Arial"/>
          <w:color w:val="000000"/>
          <w:sz w:val="22"/>
          <w:szCs w:val="22"/>
        </w:rPr>
      </w:pPr>
      <w:r w:rsidRPr="00CF1B34">
        <w:rPr>
          <w:rStyle w:val="Textoennegrita"/>
          <w:rFonts w:ascii="Arial" w:hAnsi="Arial" w:cs="Arial"/>
          <w:color w:val="000000"/>
          <w:sz w:val="22"/>
          <w:szCs w:val="22"/>
        </w:rPr>
        <w:t>Novedades en 2022</w:t>
      </w:r>
    </w:p>
    <w:p w14:paraId="29E00D18" w14:textId="77777777" w:rsidR="00D95FFB" w:rsidRPr="00CF1B34" w:rsidRDefault="00D95FFB" w:rsidP="0005621A">
      <w:pPr>
        <w:pStyle w:val="NormalWeb"/>
        <w:shd w:val="clear" w:color="auto" w:fill="FFFFFF"/>
        <w:ind w:left="708"/>
        <w:jc w:val="both"/>
        <w:rPr>
          <w:rFonts w:ascii="Arial" w:hAnsi="Arial" w:cs="Arial"/>
          <w:color w:val="000000"/>
          <w:sz w:val="22"/>
          <w:szCs w:val="22"/>
        </w:rPr>
      </w:pPr>
      <w:r w:rsidRPr="00CF1B34">
        <w:rPr>
          <w:rFonts w:ascii="Arial" w:hAnsi="Arial" w:cs="Arial"/>
          <w:color w:val="000000"/>
          <w:sz w:val="22"/>
          <w:szCs w:val="22"/>
        </w:rPr>
        <w:t xml:space="preserve">En enero de 2022, entró en vigor un nuevo pacto marco sobre pensiones que incluye medidas como la prohibición de las jubilaciones forzosas a las empresas y la “rebaja” de las cuotas para los trabajadores. También se estableció </w:t>
      </w:r>
      <w:proofErr w:type="gramStart"/>
      <w:r w:rsidRPr="00CF1B34">
        <w:rPr>
          <w:rFonts w:ascii="Arial" w:hAnsi="Arial" w:cs="Arial"/>
          <w:color w:val="000000"/>
          <w:sz w:val="22"/>
          <w:szCs w:val="22"/>
        </w:rPr>
        <w:t>que</w:t>
      </w:r>
      <w:proofErr w:type="gramEnd"/>
      <w:r w:rsidRPr="00CF1B34">
        <w:rPr>
          <w:rFonts w:ascii="Arial" w:hAnsi="Arial" w:cs="Arial"/>
          <w:color w:val="000000"/>
          <w:sz w:val="22"/>
          <w:szCs w:val="22"/>
        </w:rPr>
        <w:t xml:space="preserve"> si el Gobierno y los agentes sociales no llegan a un acuerdo sobre la edad de jubilación, será el Ejecutivo el que procederá a regular el mecanismo.</w:t>
      </w:r>
    </w:p>
    <w:p w14:paraId="13631E00" w14:textId="77777777" w:rsidR="00D95FFB" w:rsidRPr="00CF1B34" w:rsidRDefault="00D95FFB" w:rsidP="0005621A">
      <w:pPr>
        <w:pStyle w:val="NormalWeb"/>
        <w:shd w:val="clear" w:color="auto" w:fill="FFFFFF"/>
        <w:spacing w:before="0" w:after="0"/>
        <w:ind w:firstLine="708"/>
        <w:jc w:val="both"/>
        <w:rPr>
          <w:rFonts w:ascii="Arial" w:hAnsi="Arial" w:cs="Arial"/>
          <w:color w:val="000000"/>
          <w:sz w:val="22"/>
          <w:szCs w:val="22"/>
        </w:rPr>
      </w:pPr>
      <w:r w:rsidRPr="00CF1B34">
        <w:rPr>
          <w:rStyle w:val="Textoennegrita"/>
          <w:rFonts w:ascii="Arial" w:hAnsi="Arial" w:cs="Arial"/>
          <w:color w:val="000000"/>
          <w:sz w:val="22"/>
          <w:szCs w:val="22"/>
        </w:rPr>
        <w:t>Leyes y normas relevantes</w:t>
      </w:r>
    </w:p>
    <w:p w14:paraId="5C829607" w14:textId="77777777" w:rsidR="00D95FFB" w:rsidRPr="00CF1B34" w:rsidRDefault="00D95FFB" w:rsidP="004F7A62">
      <w:pPr>
        <w:numPr>
          <w:ilvl w:val="0"/>
          <w:numId w:val="200"/>
        </w:numPr>
        <w:shd w:val="clear" w:color="auto" w:fill="FFFFFF"/>
        <w:spacing w:after="100" w:afterAutospacing="1"/>
        <w:jc w:val="both"/>
        <w:rPr>
          <w:rFonts w:ascii="Arial" w:hAnsi="Arial" w:cs="Arial"/>
          <w:color w:val="000000"/>
          <w:sz w:val="22"/>
          <w:szCs w:val="22"/>
        </w:rPr>
      </w:pPr>
      <w:r w:rsidRPr="00CF1B34">
        <w:rPr>
          <w:rFonts w:ascii="Arial" w:hAnsi="Arial" w:cs="Arial"/>
          <w:color w:val="000000"/>
          <w:sz w:val="22"/>
          <w:szCs w:val="22"/>
        </w:rPr>
        <w:t>Ley 27/2011 sobre modernización de la Seguridad Social (2011)</w:t>
      </w:r>
    </w:p>
    <w:p w14:paraId="18C274F2" w14:textId="77777777" w:rsidR="00D95FFB" w:rsidRPr="00CF1B34" w:rsidRDefault="00D95FFB" w:rsidP="004F7A62">
      <w:pPr>
        <w:numPr>
          <w:ilvl w:val="0"/>
          <w:numId w:val="200"/>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Real Decreto 46/2021, de 26 de enero, sobre revalorización de las pensiones del sistema de la Seguridad Social, de las pensiones de Clases Pasivas y de otras prestaciones sociales públicas para el ejercicio 2021 (2021)</w:t>
      </w:r>
    </w:p>
    <w:p w14:paraId="770D18B0" w14:textId="77777777" w:rsidR="00D95FFB" w:rsidRPr="00CF1B34" w:rsidRDefault="00D95FFB" w:rsidP="004F7A62">
      <w:pPr>
        <w:numPr>
          <w:ilvl w:val="0"/>
          <w:numId w:val="200"/>
        </w:numPr>
        <w:shd w:val="clear" w:color="auto" w:fill="FFFFFF"/>
        <w:spacing w:before="100" w:beforeAutospacing="1"/>
        <w:jc w:val="both"/>
        <w:rPr>
          <w:rFonts w:ascii="Arial" w:hAnsi="Arial" w:cs="Arial"/>
          <w:color w:val="000000"/>
          <w:sz w:val="22"/>
          <w:szCs w:val="22"/>
        </w:rPr>
      </w:pPr>
      <w:r w:rsidRPr="00CF1B34">
        <w:rPr>
          <w:rFonts w:ascii="Arial" w:hAnsi="Arial" w:cs="Arial"/>
          <w:color w:val="000000"/>
          <w:sz w:val="22"/>
          <w:szCs w:val="22"/>
        </w:rPr>
        <w:t>Pacto marco sobre pensiones (2021)</w:t>
      </w:r>
    </w:p>
    <w:p w14:paraId="338B5CFF" w14:textId="77777777" w:rsidR="00D95FFB" w:rsidRPr="00CF1B34" w:rsidRDefault="00D95FF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rPr>
        <w:t>Es importante destacar que la legislación española sobre pensiones está sujeta a cambios y actualizaciones, por lo que es recomendable consultar fuentes oficiales y actuales para obtener información precisa y actualizada.</w:t>
      </w:r>
    </w:p>
    <w:p w14:paraId="7B01B43B" w14:textId="1BA69E31" w:rsidR="00F22DD7" w:rsidRPr="00CF1B34" w:rsidRDefault="00F22DD7"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 xml:space="preserve">Ley de </w:t>
      </w:r>
      <w:r w:rsidR="00D95FFB" w:rsidRPr="00CF1B34">
        <w:rPr>
          <w:rFonts w:ascii="Arial" w:hAnsi="Arial" w:cs="Arial"/>
          <w:b/>
          <w:bCs/>
          <w:color w:val="2F5496" w:themeColor="accent1" w:themeShade="BF"/>
          <w:sz w:val="22"/>
          <w:szCs w:val="22"/>
          <w:lang w:val="es-ES_tradnl"/>
        </w:rPr>
        <w:t>S</w:t>
      </w:r>
      <w:r w:rsidRPr="00CF1B34">
        <w:rPr>
          <w:rFonts w:ascii="Arial" w:hAnsi="Arial" w:cs="Arial"/>
          <w:b/>
          <w:bCs/>
          <w:color w:val="2F5496" w:themeColor="accent1" w:themeShade="BF"/>
          <w:sz w:val="22"/>
          <w:szCs w:val="22"/>
          <w:lang w:val="es-ES_tradnl"/>
        </w:rPr>
        <w:t>ay</w:t>
      </w:r>
    </w:p>
    <w:p w14:paraId="740E4F6C" w14:textId="14F4CC77" w:rsidR="00D95FFB" w:rsidRPr="00CF1B34" w:rsidRDefault="00D95FF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rPr>
        <w:t>La</w:t>
      </w:r>
      <w:r w:rsidRPr="00CF1B34">
        <w:rPr>
          <w:rFonts w:ascii="Arial" w:hAnsi="Arial" w:cs="Arial"/>
          <w:b/>
          <w:bCs/>
          <w:sz w:val="22"/>
          <w:szCs w:val="22"/>
        </w:rPr>
        <w:t xml:space="preserve"> Ley de Say</w:t>
      </w:r>
      <w:r w:rsidRPr="00CF1B34">
        <w:rPr>
          <w:rFonts w:ascii="Arial" w:hAnsi="Arial" w:cs="Arial"/>
          <w:sz w:val="22"/>
          <w:szCs w:val="22"/>
        </w:rPr>
        <w:t xml:space="preserve">, es un </w:t>
      </w:r>
      <w:r w:rsidRPr="00CF1B34">
        <w:rPr>
          <w:rFonts w:ascii="Arial" w:hAnsi="Arial" w:cs="Arial"/>
          <w:b/>
          <w:bCs/>
          <w:sz w:val="22"/>
          <w:szCs w:val="22"/>
        </w:rPr>
        <w:t xml:space="preserve">principio </w:t>
      </w:r>
      <w:hyperlink r:id="rId269" w:history="1">
        <w:r w:rsidRPr="00CF1B34">
          <w:rPr>
            <w:rFonts w:ascii="Arial" w:hAnsi="Arial" w:cs="Arial"/>
            <w:b/>
            <w:bCs/>
            <w:color w:val="000000"/>
            <w:sz w:val="22"/>
            <w:szCs w:val="22"/>
            <w:u w:val="single"/>
          </w:rPr>
          <w:t>económico</w:t>
        </w:r>
      </w:hyperlink>
      <w:r w:rsidRPr="00CF1B34">
        <w:rPr>
          <w:rFonts w:ascii="Arial" w:hAnsi="Arial" w:cs="Arial"/>
          <w:b/>
          <w:bCs/>
          <w:sz w:val="22"/>
          <w:szCs w:val="22"/>
        </w:rPr>
        <w:t xml:space="preserve"> </w:t>
      </w:r>
      <w:r w:rsidRPr="00CF1B34">
        <w:rPr>
          <w:rFonts w:ascii="Arial" w:hAnsi="Arial" w:cs="Arial"/>
          <w:sz w:val="22"/>
          <w:szCs w:val="22"/>
        </w:rPr>
        <w:t xml:space="preserve">que indica que </w:t>
      </w:r>
      <w:r w:rsidRPr="00CF1B34">
        <w:rPr>
          <w:rFonts w:ascii="Arial" w:hAnsi="Arial" w:cs="Arial"/>
          <w:b/>
          <w:bCs/>
          <w:sz w:val="22"/>
          <w:szCs w:val="22"/>
        </w:rPr>
        <w:t>no puede existir demanda sin haber oferta,</w:t>
      </w:r>
      <w:r w:rsidRPr="00CF1B34">
        <w:rPr>
          <w:rFonts w:ascii="Arial" w:hAnsi="Arial" w:cs="Arial"/>
          <w:sz w:val="22"/>
          <w:szCs w:val="22"/>
        </w:rPr>
        <w:t xml:space="preserve"> hoy en medio de la crisis muchos principios que antes eran negados </w:t>
      </w:r>
      <w:r w:rsidRPr="00CF1B34">
        <w:rPr>
          <w:rFonts w:ascii="Arial" w:hAnsi="Arial" w:cs="Arial"/>
          <w:sz w:val="22"/>
          <w:szCs w:val="22"/>
        </w:rPr>
        <w:lastRenderedPageBreak/>
        <w:t>son aceptados y vueltos a estudiar para mejorar las</w:t>
      </w:r>
      <w:r w:rsidRPr="00CF1B34">
        <w:rPr>
          <w:rFonts w:ascii="Arial" w:hAnsi="Arial" w:cs="Arial"/>
          <w:b/>
          <w:bCs/>
          <w:sz w:val="22"/>
          <w:szCs w:val="22"/>
        </w:rPr>
        <w:t xml:space="preserve"> inversiones</w:t>
      </w:r>
      <w:r w:rsidRPr="00CF1B34">
        <w:rPr>
          <w:rFonts w:ascii="Arial" w:hAnsi="Arial" w:cs="Arial"/>
          <w:sz w:val="22"/>
          <w:szCs w:val="22"/>
        </w:rPr>
        <w:t xml:space="preserve"> o el entendimiento de la</w:t>
      </w:r>
      <w:r w:rsidRPr="00CF1B34">
        <w:rPr>
          <w:rFonts w:ascii="Arial" w:hAnsi="Arial" w:cs="Arial"/>
          <w:b/>
          <w:bCs/>
          <w:sz w:val="22"/>
          <w:szCs w:val="22"/>
        </w:rPr>
        <w:t xml:space="preserve"> economía</w:t>
      </w:r>
      <w:r w:rsidRPr="00CF1B34">
        <w:rPr>
          <w:rFonts w:ascii="Arial" w:hAnsi="Arial" w:cs="Arial"/>
          <w:sz w:val="22"/>
          <w:szCs w:val="22"/>
        </w:rPr>
        <w:t xml:space="preserve">. Formulado por </w:t>
      </w:r>
      <w:r w:rsidRPr="00CF1B34">
        <w:rPr>
          <w:rFonts w:ascii="Arial" w:hAnsi="Arial" w:cs="Arial"/>
          <w:b/>
          <w:bCs/>
          <w:sz w:val="22"/>
          <w:szCs w:val="22"/>
        </w:rPr>
        <w:t>Jean-Baptiste Say</w:t>
      </w:r>
      <w:r w:rsidRPr="00CF1B34">
        <w:rPr>
          <w:rFonts w:ascii="Arial" w:hAnsi="Arial" w:cs="Arial"/>
          <w:sz w:val="22"/>
          <w:szCs w:val="22"/>
        </w:rPr>
        <w:t xml:space="preserve">, su teoría se basa en </w:t>
      </w:r>
      <w:r w:rsidRPr="00CF1B34">
        <w:rPr>
          <w:rFonts w:ascii="Arial" w:hAnsi="Arial" w:cs="Arial"/>
          <w:b/>
          <w:bCs/>
          <w:sz w:val="22"/>
          <w:szCs w:val="22"/>
        </w:rPr>
        <w:t>demostrar que la recesión no ocurre por fallas en la demanda o faltantes de dinero.</w:t>
      </w:r>
      <w:r w:rsidRPr="00CF1B34">
        <w:rPr>
          <w:rFonts w:ascii="Arial" w:hAnsi="Arial" w:cs="Arial"/>
          <w:sz w:val="22"/>
          <w:szCs w:val="22"/>
        </w:rPr>
        <w:t xml:space="preserve"> Sino que, todo lo contrario, </w:t>
      </w:r>
      <w:r w:rsidRPr="00CF1B34">
        <w:rPr>
          <w:rFonts w:ascii="Arial" w:hAnsi="Arial" w:cs="Arial"/>
          <w:b/>
          <w:bCs/>
          <w:sz w:val="22"/>
          <w:szCs w:val="22"/>
        </w:rPr>
        <w:t>a mayor cantidad de bienes (demandados) se produzcan, existirán más bienes (oferta).</w:t>
      </w:r>
    </w:p>
    <w:p w14:paraId="3DC13510" w14:textId="7585F99D" w:rsidR="00F22DD7" w:rsidRPr="00CF1B34" w:rsidRDefault="00F22DD7"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Ley de Servicios de P</w:t>
      </w:r>
      <w:r w:rsidR="00D95FFB" w:rsidRPr="00CF1B34">
        <w:rPr>
          <w:rFonts w:ascii="Arial" w:hAnsi="Arial" w:cs="Arial"/>
          <w:b/>
          <w:bCs/>
          <w:color w:val="2F5496" w:themeColor="accent1" w:themeShade="BF"/>
          <w:sz w:val="22"/>
          <w:szCs w:val="22"/>
          <w:lang w:val="es-ES_tradnl"/>
        </w:rPr>
        <w:t>agos</w:t>
      </w:r>
    </w:p>
    <w:p w14:paraId="06BCF33F" w14:textId="64F004A7" w:rsidR="00E80762" w:rsidRPr="00CF1B34" w:rsidRDefault="00E80762" w:rsidP="0005621A">
      <w:pPr>
        <w:ind w:left="708"/>
        <w:jc w:val="both"/>
        <w:rPr>
          <w:rFonts w:ascii="Arial" w:hAnsi="Arial" w:cs="Arial"/>
          <w:sz w:val="22"/>
          <w:szCs w:val="22"/>
        </w:rPr>
      </w:pPr>
      <w:r w:rsidRPr="00CF1B34">
        <w:rPr>
          <w:rFonts w:ascii="Arial" w:hAnsi="Arial" w:cs="Arial"/>
          <w:b/>
          <w:bCs/>
          <w:sz w:val="22"/>
          <w:szCs w:val="22"/>
        </w:rPr>
        <w:t>En la Ley de Servicios de Pago,</w:t>
      </w:r>
      <w:r w:rsidRPr="00CF1B34">
        <w:rPr>
          <w:rFonts w:ascii="Arial" w:hAnsi="Arial" w:cs="Arial"/>
          <w:sz w:val="22"/>
          <w:szCs w:val="22"/>
        </w:rPr>
        <w:t xml:space="preserve"> se declara como nula toda aquella cláusula que impida a comerciantes» el exigirles a los clientes el pago de una cuota adicional u ofrecer una reducción por la utilización de un instrumento de pago específico». De esta forma y con </w:t>
      </w:r>
      <w:r w:rsidRPr="00CF1B34">
        <w:rPr>
          <w:rFonts w:ascii="Arial" w:hAnsi="Arial" w:cs="Arial"/>
          <w:b/>
          <w:bCs/>
          <w:sz w:val="22"/>
          <w:szCs w:val="22"/>
        </w:rPr>
        <w:t>esta Ley reconoce la posibilidad de aplicar recargos a operaciones que se realicen con tarjeta.</w:t>
      </w:r>
    </w:p>
    <w:p w14:paraId="5B60A441" w14:textId="77777777" w:rsidR="00E80762" w:rsidRPr="00CF1B34" w:rsidRDefault="00E80762"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333333"/>
          <w:sz w:val="22"/>
          <w:szCs w:val="22"/>
        </w:rPr>
        <w:t>La misma norma reserva al Gobierno la facultad para limitar o prohibir el recargo</w:t>
      </w:r>
      <w:r w:rsidRPr="00CF1B34">
        <w:rPr>
          <w:rFonts w:ascii="Arial" w:hAnsi="Arial" w:cs="Arial"/>
          <w:color w:val="333333"/>
          <w:sz w:val="22"/>
          <w:szCs w:val="22"/>
        </w:rPr>
        <w:t xml:space="preserve"> por parte de los comerciantes en operaciones que sean abonadas con</w:t>
      </w:r>
      <w:r w:rsidRPr="00CF1B34">
        <w:rPr>
          <w:rStyle w:val="Textoennegrita"/>
          <w:rFonts w:ascii="Arial" w:hAnsi="Arial" w:cs="Arial"/>
          <w:color w:val="333333"/>
          <w:sz w:val="22"/>
          <w:szCs w:val="22"/>
        </w:rPr>
        <w:t xml:space="preserve"> tarjetas de crédito</w:t>
      </w:r>
      <w:r w:rsidRPr="00CF1B34">
        <w:rPr>
          <w:rFonts w:ascii="Arial" w:hAnsi="Arial" w:cs="Arial"/>
          <w:color w:val="333333"/>
          <w:sz w:val="22"/>
          <w:szCs w:val="22"/>
        </w:rPr>
        <w:t xml:space="preserve"> u otros medios, en caso que se considere oportuno ante la necesidad de impulsar la competencia y promover el uso de instrumentos de pago que sean más eficaces para tal fin, entre ellos se puede encontrar las tarjetas de debito o crédito. </w:t>
      </w:r>
    </w:p>
    <w:p w14:paraId="45583B84" w14:textId="784C9A4E" w:rsidR="00E80762" w:rsidRPr="00CF1B34" w:rsidRDefault="00E80762" w:rsidP="0005621A">
      <w:pPr>
        <w:jc w:val="both"/>
        <w:rPr>
          <w:rFonts w:ascii="Arial" w:hAnsi="Arial" w:cs="Arial"/>
          <w:b/>
          <w:bCs/>
          <w:color w:val="2F5496" w:themeColor="accent1" w:themeShade="BF"/>
        </w:rPr>
      </w:pPr>
      <w:r w:rsidRPr="00CF1B34">
        <w:rPr>
          <w:rFonts w:ascii="Arial" w:hAnsi="Arial" w:cs="Arial"/>
          <w:b/>
          <w:bCs/>
          <w:color w:val="2F5496" w:themeColor="accent1" w:themeShade="BF"/>
        </w:rPr>
        <w:t>Ley de IRPF</w:t>
      </w:r>
    </w:p>
    <w:p w14:paraId="2C96FBBB" w14:textId="77777777" w:rsidR="004A12C5" w:rsidRPr="00CF1B34" w:rsidRDefault="00E80762" w:rsidP="0005621A">
      <w:pPr>
        <w:jc w:val="both"/>
        <w:rPr>
          <w:rFonts w:ascii="Arial" w:hAnsi="Arial" w:cs="Arial"/>
          <w:sz w:val="22"/>
          <w:szCs w:val="22"/>
        </w:rPr>
      </w:pPr>
      <w:r w:rsidRPr="00CF1B34">
        <w:rPr>
          <w:rFonts w:ascii="Arial" w:hAnsi="Arial" w:cs="Arial"/>
          <w:sz w:val="22"/>
          <w:szCs w:val="22"/>
        </w:rPr>
        <w:t>El Impuesto sobre las Rentas de las Personas Físicas o IRPF se rige por una ley específica diseñada para delimitar su funcionamiento y a la que se le han ido añadiendo distintos decretos que han modificado sustancialmente el impuesto, especialmente en lo que a porcentajes de tributación se refiere y la fiscalidad de rentas y gastos.</w:t>
      </w:r>
      <w:r w:rsidR="004A12C5" w:rsidRPr="00CF1B34">
        <w:rPr>
          <w:rFonts w:ascii="Arial" w:hAnsi="Arial" w:cs="Arial"/>
          <w:sz w:val="22"/>
          <w:szCs w:val="22"/>
        </w:rPr>
        <w:t xml:space="preserve"> </w:t>
      </w:r>
    </w:p>
    <w:p w14:paraId="0BB277CE" w14:textId="5D1FEB69" w:rsidR="004A12C5" w:rsidRPr="00CF1B34" w:rsidRDefault="004A12C5" w:rsidP="0005621A">
      <w:pPr>
        <w:jc w:val="both"/>
        <w:rPr>
          <w:rFonts w:ascii="Arial" w:hAnsi="Arial" w:cs="Arial"/>
          <w:color w:val="141F2E"/>
          <w:sz w:val="22"/>
          <w:szCs w:val="22"/>
        </w:rPr>
      </w:pPr>
      <w:r w:rsidRPr="00CF1B34">
        <w:rPr>
          <w:rStyle w:val="Textoennegrita"/>
          <w:rFonts w:ascii="Arial" w:hAnsi="Arial" w:cs="Arial"/>
          <w:color w:val="141F2E"/>
          <w:sz w:val="22"/>
          <w:szCs w:val="22"/>
        </w:rPr>
        <w:t>En total, son 4 tramos del IRPF que enumeramos a continuación:</w:t>
      </w:r>
    </w:p>
    <w:p w14:paraId="58AAC106" w14:textId="77777777" w:rsidR="004A12C5" w:rsidRPr="00CF1B34" w:rsidRDefault="004A12C5" w:rsidP="0005621A">
      <w:pPr>
        <w:jc w:val="both"/>
        <w:rPr>
          <w:rFonts w:ascii="Arial" w:hAnsi="Arial" w:cs="Arial"/>
          <w:color w:val="141F2E"/>
          <w:sz w:val="22"/>
          <w:szCs w:val="22"/>
        </w:rPr>
      </w:pPr>
      <w:r w:rsidRPr="00CF1B34">
        <w:rPr>
          <w:rFonts w:ascii="Arial" w:hAnsi="Arial" w:cs="Arial"/>
          <w:color w:val="141F2E"/>
          <w:sz w:val="22"/>
          <w:szCs w:val="22"/>
        </w:rPr>
        <w:t>El 24% en una base de 12.450€ a 20.200€.</w:t>
      </w:r>
    </w:p>
    <w:p w14:paraId="29BBDCF2" w14:textId="77777777" w:rsidR="004A12C5" w:rsidRPr="00CF1B34" w:rsidRDefault="004A12C5" w:rsidP="0005621A">
      <w:pPr>
        <w:jc w:val="both"/>
        <w:rPr>
          <w:rFonts w:ascii="Arial" w:hAnsi="Arial" w:cs="Arial"/>
          <w:color w:val="141F2E"/>
          <w:sz w:val="22"/>
          <w:szCs w:val="22"/>
        </w:rPr>
      </w:pPr>
      <w:r w:rsidRPr="00CF1B34">
        <w:rPr>
          <w:rFonts w:ascii="Arial" w:hAnsi="Arial" w:cs="Arial"/>
          <w:color w:val="141F2E"/>
          <w:sz w:val="22"/>
          <w:szCs w:val="22"/>
        </w:rPr>
        <w:t>El 30% en una base de 20.200€ a 35.200€.</w:t>
      </w:r>
    </w:p>
    <w:p w14:paraId="2717FA9F" w14:textId="77777777" w:rsidR="004A12C5" w:rsidRPr="00CF1B34" w:rsidRDefault="004A12C5" w:rsidP="0005621A">
      <w:pPr>
        <w:jc w:val="both"/>
        <w:rPr>
          <w:rFonts w:ascii="Arial" w:hAnsi="Arial" w:cs="Arial"/>
          <w:color w:val="141F2E"/>
          <w:sz w:val="22"/>
          <w:szCs w:val="22"/>
        </w:rPr>
      </w:pPr>
      <w:r w:rsidRPr="00CF1B34">
        <w:rPr>
          <w:rFonts w:ascii="Arial" w:hAnsi="Arial" w:cs="Arial"/>
          <w:color w:val="141F2E"/>
          <w:sz w:val="22"/>
          <w:szCs w:val="22"/>
        </w:rPr>
        <w:t>El 37% en una base de 35.200€ a 60.000€.</w:t>
      </w:r>
    </w:p>
    <w:p w14:paraId="5CA60E95" w14:textId="77777777" w:rsidR="002E7440" w:rsidRPr="00CF1B34" w:rsidRDefault="004A12C5" w:rsidP="0005621A">
      <w:pPr>
        <w:jc w:val="both"/>
        <w:rPr>
          <w:rFonts w:ascii="Arial" w:hAnsi="Arial" w:cs="Arial"/>
          <w:color w:val="141F2E"/>
          <w:sz w:val="22"/>
          <w:szCs w:val="22"/>
        </w:rPr>
      </w:pPr>
      <w:r w:rsidRPr="00CF1B34">
        <w:rPr>
          <w:rFonts w:ascii="Arial" w:hAnsi="Arial" w:cs="Arial"/>
          <w:color w:val="141F2E"/>
          <w:sz w:val="22"/>
          <w:szCs w:val="22"/>
        </w:rPr>
        <w:t>El 45% en toda base a partir de 60.000€.</w:t>
      </w:r>
    </w:p>
    <w:p w14:paraId="21E91DB3" w14:textId="7485F691" w:rsidR="002E7440" w:rsidRPr="00CF1B34" w:rsidRDefault="002E7440" w:rsidP="0005621A">
      <w:pPr>
        <w:jc w:val="both"/>
        <w:rPr>
          <w:rFonts w:ascii="Arial" w:hAnsi="Arial" w:cs="Arial"/>
          <w:sz w:val="22"/>
          <w:szCs w:val="22"/>
        </w:rPr>
      </w:pPr>
      <w:r w:rsidRPr="00CF1B34">
        <w:rPr>
          <w:rFonts w:ascii="Arial" w:hAnsi="Arial" w:cs="Arial"/>
          <w:b/>
          <w:bCs/>
          <w:color w:val="141F2E"/>
          <w:sz w:val="22"/>
          <w:szCs w:val="22"/>
          <w:shd w:val="clear" w:color="auto" w:fill="FAFAFA"/>
        </w:rPr>
        <w:t>Los contribuyentes son todas aquellas personas físicas, trabajadores autónomos o por cuenta ajena, con residencia habitual en territorio español</w:t>
      </w:r>
      <w:r w:rsidRPr="00CF1B34">
        <w:rPr>
          <w:rFonts w:ascii="Arial" w:hAnsi="Arial" w:cs="Arial"/>
          <w:color w:val="141F2E"/>
          <w:sz w:val="22"/>
          <w:szCs w:val="22"/>
          <w:shd w:val="clear" w:color="auto" w:fill="FAFAFA"/>
        </w:rPr>
        <w:t>. También se contempla algunos casos en los que se consideran contribuyentes por mucho que residan en el extranjero, como por ejemplo cónsules, diplomáticos o funcionarios del estado que estén ejerciendo su labor en algún otro territorio geográfico.</w:t>
      </w:r>
    </w:p>
    <w:p w14:paraId="5DE0C654" w14:textId="77777777" w:rsidR="002E7440" w:rsidRPr="00CF1B34" w:rsidRDefault="002E7440" w:rsidP="0005621A">
      <w:pPr>
        <w:jc w:val="both"/>
        <w:rPr>
          <w:rFonts w:ascii="Arial" w:hAnsi="Arial" w:cs="Arial"/>
        </w:rPr>
      </w:pPr>
      <w:r w:rsidRPr="00CF1B34">
        <w:rPr>
          <w:rFonts w:ascii="Arial" w:hAnsi="Arial" w:cs="Arial"/>
        </w:rPr>
        <w:t>Para el cálculo, debemos tener en cuenta dos tipos diferentes de base imponible:</w:t>
      </w:r>
    </w:p>
    <w:p w14:paraId="13255AC3" w14:textId="1ED7AC17" w:rsidR="002E7440" w:rsidRPr="00CF1B34" w:rsidRDefault="002E7440" w:rsidP="004F7A62">
      <w:pPr>
        <w:numPr>
          <w:ilvl w:val="0"/>
          <w:numId w:val="201"/>
        </w:numPr>
        <w:shd w:val="clear" w:color="auto" w:fill="FAFAFA"/>
        <w:ind w:left="1020"/>
        <w:jc w:val="both"/>
        <w:rPr>
          <w:rFonts w:ascii="Arial" w:hAnsi="Arial" w:cs="Arial"/>
          <w:color w:val="141F2E"/>
          <w:sz w:val="22"/>
          <w:szCs w:val="22"/>
        </w:rPr>
      </w:pPr>
      <w:r w:rsidRPr="00CF1B34">
        <w:rPr>
          <w:rFonts w:ascii="Arial" w:hAnsi="Arial" w:cs="Arial"/>
          <w:color w:val="141F2E"/>
          <w:sz w:val="22"/>
          <w:szCs w:val="22"/>
        </w:rPr>
        <w:t>Base imponible general. Formada por todas las rentas del ejercicio fiscal: los rendimientos del trabajo, los rendimientos del capital, las imputaciones de rentas y pérdidas y las ganancias patrimoniales.</w:t>
      </w:r>
    </w:p>
    <w:p w14:paraId="1B17A0F1" w14:textId="77777777" w:rsidR="002E7440" w:rsidRPr="00CF1B34" w:rsidRDefault="002E7440" w:rsidP="004F7A62">
      <w:pPr>
        <w:numPr>
          <w:ilvl w:val="0"/>
          <w:numId w:val="201"/>
        </w:numPr>
        <w:shd w:val="clear" w:color="auto" w:fill="FAFAFA"/>
        <w:ind w:left="1020"/>
        <w:jc w:val="both"/>
        <w:rPr>
          <w:rFonts w:ascii="Arial" w:hAnsi="Arial" w:cs="Arial"/>
          <w:color w:val="141F2E"/>
          <w:sz w:val="22"/>
          <w:szCs w:val="22"/>
        </w:rPr>
      </w:pPr>
      <w:r w:rsidRPr="00CF1B34">
        <w:rPr>
          <w:rFonts w:ascii="Arial" w:hAnsi="Arial" w:cs="Arial"/>
          <w:color w:val="141F2E"/>
          <w:sz w:val="22"/>
          <w:szCs w:val="22"/>
        </w:rPr>
        <w:t>Base imponible del ahorro. Son las conocidas como ‘rentas del ahorro’. Se establecen calculando todas las ganancias de un año y compensándolas con las pérdidas patrimoniales.</w:t>
      </w:r>
    </w:p>
    <w:p w14:paraId="26E2D7DE" w14:textId="77777777" w:rsidR="002E7440" w:rsidRPr="00CF1B34" w:rsidRDefault="002E7440" w:rsidP="0005621A">
      <w:pPr>
        <w:jc w:val="both"/>
        <w:rPr>
          <w:rFonts w:ascii="Arial" w:hAnsi="Arial" w:cs="Arial"/>
        </w:rPr>
      </w:pPr>
      <w:r w:rsidRPr="00CF1B34">
        <w:rPr>
          <w:rFonts w:ascii="Arial" w:hAnsi="Arial" w:cs="Arial"/>
        </w:rPr>
        <w:t>Hay ciertas rentas que están totalmente exentas de la tributación de este impuesto que enumeramos a continuación:</w:t>
      </w:r>
    </w:p>
    <w:p w14:paraId="6780269A" w14:textId="6D5F4572"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Becas públicas o becas concedidas por organizaciones sin ánimo lucrativo.</w:t>
      </w:r>
    </w:p>
    <w:p w14:paraId="7AF8203F" w14:textId="25B2CFF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Anualidades por alimentos percibidas de padres en virtud de decisión judicial.</w:t>
      </w:r>
    </w:p>
    <w:p w14:paraId="780C2BD0" w14:textId="7777777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Premios y ayudas económicas a deportistas de élite.</w:t>
      </w:r>
    </w:p>
    <w:p w14:paraId="2F5BF62C" w14:textId="7777777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Prestaciones por desempleo en pago único.</w:t>
      </w:r>
    </w:p>
    <w:p w14:paraId="25DA66CA" w14:textId="7777777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Régimen de atribución de rentas</w:t>
      </w:r>
    </w:p>
    <w:p w14:paraId="49F9D574" w14:textId="7777777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Prestaciones públicas extraordinarias por actos de terrorismo.</w:t>
      </w:r>
    </w:p>
    <w:p w14:paraId="2F2941F3" w14:textId="7777777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Ayudas recibidas por afectados por el VIH.</w:t>
      </w:r>
    </w:p>
    <w:p w14:paraId="45F36749" w14:textId="7777777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Personas que hayan sufrido lesiones o mutilaciones en la Guerra Civil Española.</w:t>
      </w:r>
    </w:p>
    <w:p w14:paraId="69380045" w14:textId="7777777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lastRenderedPageBreak/>
        <w:t>Indemnizaciones a consecuencia de responsabilidad civil en los casos de daños personales.</w:t>
      </w:r>
    </w:p>
    <w:p w14:paraId="4C46B613" w14:textId="7777777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Indemnizaciones por despido o cese laboral.</w:t>
      </w:r>
    </w:p>
    <w:p w14:paraId="2BF4C22B" w14:textId="77777777" w:rsidR="002E7440" w:rsidRPr="00CF1B34" w:rsidRDefault="002E7440" w:rsidP="004F7A62">
      <w:pPr>
        <w:pStyle w:val="Prrafodelista"/>
        <w:numPr>
          <w:ilvl w:val="0"/>
          <w:numId w:val="202"/>
        </w:numPr>
        <w:jc w:val="both"/>
        <w:rPr>
          <w:rFonts w:ascii="Arial" w:hAnsi="Arial" w:cs="Arial"/>
        </w:rPr>
      </w:pPr>
      <w:r w:rsidRPr="00CF1B34">
        <w:rPr>
          <w:rFonts w:ascii="Arial" w:hAnsi="Arial" w:cs="Arial"/>
        </w:rPr>
        <w:t>Prestaciones reconocidas al contribuyente por la Seguridad Social u otras entidades oficiales en consecuencia a una incapacidad absoluta o gran invalidez.</w:t>
      </w:r>
    </w:p>
    <w:p w14:paraId="5DF65CE8" w14:textId="47680F82" w:rsidR="004A12C5" w:rsidRPr="00CF1B34" w:rsidRDefault="002E7440" w:rsidP="004F7A62">
      <w:pPr>
        <w:pStyle w:val="Prrafodelista"/>
        <w:numPr>
          <w:ilvl w:val="0"/>
          <w:numId w:val="202"/>
        </w:numPr>
        <w:jc w:val="both"/>
        <w:rPr>
          <w:rFonts w:ascii="Arial" w:hAnsi="Arial" w:cs="Arial"/>
        </w:rPr>
      </w:pPr>
      <w:r w:rsidRPr="00CF1B34">
        <w:rPr>
          <w:rFonts w:ascii="Arial" w:hAnsi="Arial" w:cs="Arial"/>
        </w:rPr>
        <w:t>Prestaciones de baja por maternidad / paternidad.</w:t>
      </w:r>
    </w:p>
    <w:p w14:paraId="1C1B056C" w14:textId="4F57247F" w:rsidR="004A12C5" w:rsidRPr="00CF1B34" w:rsidRDefault="004A12C5" w:rsidP="0005621A">
      <w:pPr>
        <w:pBdr>
          <w:bottom w:val="dotted" w:sz="12" w:space="12" w:color="666666"/>
        </w:pBdr>
        <w:spacing w:after="240"/>
        <w:ind w:left="720"/>
        <w:jc w:val="both"/>
        <w:rPr>
          <w:rFonts w:ascii="Arial" w:hAnsi="Arial" w:cs="Arial"/>
          <w:color w:val="212529"/>
          <w:sz w:val="22"/>
          <w:szCs w:val="22"/>
          <w:lang w:val="es-ES_tradnl"/>
        </w:rPr>
      </w:pPr>
    </w:p>
    <w:p w14:paraId="76941898" w14:textId="4FF9712A" w:rsidR="00E80762" w:rsidRPr="00CF1B34" w:rsidRDefault="004A12C5"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Ley de planes de Pensiones</w:t>
      </w:r>
    </w:p>
    <w:p w14:paraId="4DA8F7AD" w14:textId="6A4037EF" w:rsidR="00041C08" w:rsidRPr="00041C08" w:rsidRDefault="00041C08" w:rsidP="0005621A">
      <w:pPr>
        <w:jc w:val="both"/>
        <w:rPr>
          <w:rFonts w:ascii="Arial" w:hAnsi="Arial" w:cs="Arial"/>
          <w:sz w:val="22"/>
          <w:szCs w:val="22"/>
        </w:rPr>
      </w:pPr>
      <w:r w:rsidRPr="00041C08">
        <w:rPr>
          <w:rFonts w:ascii="Arial" w:hAnsi="Arial" w:cs="Arial"/>
          <w:color w:val="333333"/>
          <w:sz w:val="22"/>
          <w:szCs w:val="22"/>
          <w:shd w:val="clear" w:color="auto" w:fill="FFFFFF"/>
        </w:rPr>
        <w:t>Los</w:t>
      </w:r>
      <w:r w:rsidRPr="00CF1B34">
        <w:rPr>
          <w:rFonts w:ascii="Arial" w:hAnsi="Arial" w:cs="Arial"/>
          <w:color w:val="333333"/>
          <w:sz w:val="22"/>
          <w:szCs w:val="22"/>
          <w:shd w:val="clear" w:color="auto" w:fill="FFFFFF"/>
        </w:rPr>
        <w:t xml:space="preserve"> </w:t>
      </w:r>
      <w:r w:rsidRPr="00041C08">
        <w:rPr>
          <w:rFonts w:ascii="Arial" w:hAnsi="Arial" w:cs="Arial"/>
          <w:b/>
          <w:bCs/>
          <w:color w:val="333333"/>
          <w:sz w:val="22"/>
          <w:szCs w:val="22"/>
          <w:shd w:val="clear" w:color="auto" w:fill="FFFFFF"/>
        </w:rPr>
        <w:t>planes de pensiones</w:t>
      </w:r>
      <w:r w:rsidRPr="00CF1B34">
        <w:rPr>
          <w:rFonts w:ascii="Arial" w:hAnsi="Arial" w:cs="Arial"/>
          <w:color w:val="333333"/>
          <w:sz w:val="22"/>
          <w:szCs w:val="22"/>
          <w:shd w:val="clear" w:color="auto" w:fill="FFFFFF"/>
        </w:rPr>
        <w:t xml:space="preserve"> </w:t>
      </w:r>
      <w:r w:rsidRPr="00041C08">
        <w:rPr>
          <w:rFonts w:ascii="Arial" w:hAnsi="Arial" w:cs="Arial"/>
          <w:color w:val="333333"/>
          <w:sz w:val="22"/>
          <w:szCs w:val="22"/>
          <w:shd w:val="clear" w:color="auto" w:fill="FFFFFF"/>
        </w:rPr>
        <w:t>son una de las</w:t>
      </w:r>
      <w:r w:rsidRPr="00CF1B34">
        <w:rPr>
          <w:rFonts w:ascii="Arial" w:hAnsi="Arial" w:cs="Arial"/>
          <w:b/>
          <w:bCs/>
          <w:color w:val="333333"/>
          <w:sz w:val="22"/>
          <w:szCs w:val="22"/>
          <w:shd w:val="clear" w:color="auto" w:fill="FFFFFF"/>
        </w:rPr>
        <w:t xml:space="preserve"> </w:t>
      </w:r>
      <w:r w:rsidRPr="00041C08">
        <w:rPr>
          <w:rFonts w:ascii="Arial" w:hAnsi="Arial" w:cs="Arial"/>
          <w:b/>
          <w:bCs/>
          <w:color w:val="333333"/>
          <w:sz w:val="22"/>
          <w:szCs w:val="22"/>
          <w:shd w:val="clear" w:color="auto" w:fill="FFFFFF"/>
        </w:rPr>
        <w:t>herramientas de ahorro</w:t>
      </w:r>
      <w:r w:rsidRPr="00CF1B34">
        <w:rPr>
          <w:rFonts w:ascii="Arial" w:hAnsi="Arial" w:cs="Arial"/>
          <w:color w:val="333333"/>
          <w:sz w:val="22"/>
          <w:szCs w:val="22"/>
          <w:shd w:val="clear" w:color="auto" w:fill="FFFFFF"/>
        </w:rPr>
        <w:t xml:space="preserve"> </w:t>
      </w:r>
      <w:r w:rsidRPr="00041C08">
        <w:rPr>
          <w:rFonts w:ascii="Arial" w:hAnsi="Arial" w:cs="Arial"/>
          <w:color w:val="333333"/>
          <w:sz w:val="22"/>
          <w:szCs w:val="22"/>
          <w:shd w:val="clear" w:color="auto" w:fill="FFFFFF"/>
        </w:rPr>
        <w:t>más utilizadas por los españoles para planear su jubilación y por eso están sujetas a una</w:t>
      </w:r>
      <w:r w:rsidRPr="00CF1B34">
        <w:rPr>
          <w:rFonts w:ascii="Arial" w:hAnsi="Arial" w:cs="Arial"/>
          <w:color w:val="333333"/>
          <w:sz w:val="22"/>
          <w:szCs w:val="22"/>
          <w:shd w:val="clear" w:color="auto" w:fill="FFFFFF"/>
        </w:rPr>
        <w:t xml:space="preserve"> </w:t>
      </w:r>
      <w:r w:rsidRPr="00041C08">
        <w:rPr>
          <w:rFonts w:ascii="Arial" w:hAnsi="Arial" w:cs="Arial"/>
          <w:b/>
          <w:bCs/>
          <w:color w:val="333333"/>
          <w:sz w:val="22"/>
          <w:szCs w:val="22"/>
          <w:shd w:val="clear" w:color="auto" w:fill="FFFFFF"/>
        </w:rPr>
        <w:t>normativa específica</w:t>
      </w:r>
      <w:r w:rsidRPr="00041C08">
        <w:rPr>
          <w:rFonts w:ascii="Arial" w:hAnsi="Arial" w:cs="Arial"/>
          <w:color w:val="333333"/>
          <w:sz w:val="22"/>
          <w:szCs w:val="22"/>
          <w:shd w:val="clear" w:color="auto" w:fill="FFFFFF"/>
        </w:rPr>
        <w:t>. Se trata de la llamada</w:t>
      </w:r>
      <w:r w:rsidRPr="00CF1B34">
        <w:rPr>
          <w:rFonts w:ascii="Arial" w:hAnsi="Arial" w:cs="Arial"/>
          <w:color w:val="333333"/>
          <w:sz w:val="22"/>
          <w:szCs w:val="22"/>
          <w:shd w:val="clear" w:color="auto" w:fill="FFFFFF"/>
        </w:rPr>
        <w:t xml:space="preserve"> </w:t>
      </w:r>
      <w:r w:rsidRPr="00041C08">
        <w:rPr>
          <w:rFonts w:ascii="Arial" w:hAnsi="Arial" w:cs="Arial"/>
          <w:b/>
          <w:bCs/>
          <w:color w:val="333333"/>
          <w:sz w:val="22"/>
          <w:szCs w:val="22"/>
          <w:shd w:val="clear" w:color="auto" w:fill="FFFFFF"/>
        </w:rPr>
        <w:t>Ley de Planes de Pensiones</w:t>
      </w:r>
      <w:r w:rsidRPr="00041C08">
        <w:rPr>
          <w:rFonts w:ascii="Arial" w:hAnsi="Arial" w:cs="Arial"/>
          <w:color w:val="333333"/>
          <w:sz w:val="22"/>
          <w:szCs w:val="22"/>
          <w:shd w:val="clear" w:color="auto" w:fill="FFFFFF"/>
        </w:rPr>
        <w:t>, que en realidad se refiere a la «</w:t>
      </w:r>
      <w:r w:rsidRPr="00041C08">
        <w:rPr>
          <w:rFonts w:ascii="Arial" w:hAnsi="Arial" w:cs="Arial"/>
          <w:b/>
          <w:bCs/>
          <w:color w:val="333333"/>
          <w:sz w:val="22"/>
          <w:szCs w:val="22"/>
          <w:shd w:val="clear" w:color="auto" w:fill="FFFFFF"/>
        </w:rPr>
        <w:t>Ley de Regulación de los Planes</w:t>
      </w:r>
      <w:r w:rsidR="00116CAC" w:rsidRPr="00CF1B34">
        <w:rPr>
          <w:rFonts w:ascii="Arial" w:hAnsi="Arial" w:cs="Arial"/>
          <w:b/>
          <w:bCs/>
          <w:color w:val="333333"/>
          <w:sz w:val="22"/>
          <w:szCs w:val="22"/>
          <w:shd w:val="clear" w:color="auto" w:fill="FFFFFF"/>
        </w:rPr>
        <w:t xml:space="preserve"> </w:t>
      </w:r>
      <w:r w:rsidRPr="00041C08">
        <w:rPr>
          <w:rFonts w:ascii="Arial" w:hAnsi="Arial" w:cs="Arial"/>
          <w:b/>
          <w:bCs/>
          <w:color w:val="333333"/>
          <w:sz w:val="22"/>
          <w:szCs w:val="22"/>
          <w:shd w:val="clear" w:color="auto" w:fill="FFFFFF"/>
        </w:rPr>
        <w:t>y Fondos de Pensiones</w:t>
      </w:r>
      <w:r w:rsidRPr="00041C08">
        <w:rPr>
          <w:rFonts w:ascii="Arial" w:hAnsi="Arial" w:cs="Arial"/>
          <w:color w:val="333333"/>
          <w:sz w:val="22"/>
          <w:szCs w:val="22"/>
          <w:shd w:val="clear" w:color="auto" w:fill="FFFFFF"/>
        </w:rPr>
        <w:t xml:space="preserve">» tal y como se recoge en el Real Decreto1/2002 de 29 de </w:t>
      </w:r>
      <w:r w:rsidRPr="00CF1B34">
        <w:rPr>
          <w:rFonts w:ascii="Arial" w:hAnsi="Arial" w:cs="Arial"/>
          <w:color w:val="333333"/>
          <w:sz w:val="22"/>
          <w:szCs w:val="22"/>
          <w:shd w:val="clear" w:color="auto" w:fill="FFFFFF"/>
        </w:rPr>
        <w:t>n</w:t>
      </w:r>
      <w:r w:rsidRPr="00041C08">
        <w:rPr>
          <w:rFonts w:ascii="Arial" w:hAnsi="Arial" w:cs="Arial"/>
          <w:color w:val="333333"/>
          <w:sz w:val="22"/>
          <w:szCs w:val="22"/>
          <w:shd w:val="clear" w:color="auto" w:fill="FFFFFF"/>
        </w:rPr>
        <w:t>oviembre y al que posteriorme</w:t>
      </w:r>
      <w:r w:rsidRPr="00CF1B34">
        <w:rPr>
          <w:rFonts w:ascii="Arial" w:hAnsi="Arial" w:cs="Arial"/>
          <w:color w:val="333333"/>
          <w:sz w:val="22"/>
          <w:szCs w:val="22"/>
          <w:shd w:val="clear" w:color="auto" w:fill="FFFFFF"/>
        </w:rPr>
        <w:t>n</w:t>
      </w:r>
      <w:r w:rsidRPr="00041C08">
        <w:rPr>
          <w:rFonts w:ascii="Arial" w:hAnsi="Arial" w:cs="Arial"/>
          <w:color w:val="333333"/>
          <w:sz w:val="22"/>
          <w:szCs w:val="22"/>
          <w:shd w:val="clear" w:color="auto" w:fill="FFFFFF"/>
        </w:rPr>
        <w:t>te se sumó el</w:t>
      </w:r>
      <w:r w:rsidRPr="00CF1B34">
        <w:rPr>
          <w:rFonts w:ascii="Arial" w:hAnsi="Arial" w:cs="Arial"/>
          <w:color w:val="333333"/>
          <w:sz w:val="22"/>
          <w:szCs w:val="22"/>
          <w:shd w:val="clear" w:color="auto" w:fill="FFFFFF"/>
        </w:rPr>
        <w:t xml:space="preserve"> </w:t>
      </w:r>
      <w:r w:rsidRPr="00041C08">
        <w:rPr>
          <w:rFonts w:ascii="Arial" w:hAnsi="Arial" w:cs="Arial"/>
          <w:b/>
          <w:bCs/>
          <w:color w:val="333333"/>
          <w:sz w:val="22"/>
          <w:szCs w:val="22"/>
          <w:shd w:val="clear" w:color="auto" w:fill="FFFFFF"/>
        </w:rPr>
        <w:t>Reglamento de</w:t>
      </w:r>
      <w:r w:rsidRPr="00CF1B34">
        <w:rPr>
          <w:rFonts w:ascii="Arial" w:hAnsi="Arial" w:cs="Arial"/>
          <w:b/>
          <w:bCs/>
          <w:color w:val="333333"/>
          <w:sz w:val="22"/>
          <w:szCs w:val="22"/>
          <w:shd w:val="clear" w:color="auto" w:fill="FFFFFF"/>
        </w:rPr>
        <w:t>s</w:t>
      </w:r>
      <w:r w:rsidRPr="00041C08">
        <w:rPr>
          <w:rFonts w:ascii="Arial" w:hAnsi="Arial" w:cs="Arial"/>
          <w:b/>
          <w:bCs/>
          <w:color w:val="333333"/>
          <w:sz w:val="22"/>
          <w:szCs w:val="22"/>
          <w:shd w:val="clear" w:color="auto" w:fill="FFFFFF"/>
        </w:rPr>
        <w:t>de planes y fondos de pensiones</w:t>
      </w:r>
      <w:r w:rsidRPr="00CF1B34">
        <w:rPr>
          <w:rFonts w:ascii="Arial" w:hAnsi="Arial" w:cs="Arial"/>
          <w:color w:val="333333"/>
          <w:sz w:val="22"/>
          <w:szCs w:val="22"/>
          <w:shd w:val="clear" w:color="auto" w:fill="FFFFFF"/>
        </w:rPr>
        <w:t xml:space="preserve"> </w:t>
      </w:r>
      <w:r w:rsidRPr="00041C08">
        <w:rPr>
          <w:rFonts w:ascii="Arial" w:hAnsi="Arial" w:cs="Arial"/>
          <w:color w:val="333333"/>
          <w:sz w:val="22"/>
          <w:szCs w:val="22"/>
          <w:shd w:val="clear" w:color="auto" w:fill="FFFFFF"/>
        </w:rPr>
        <w:t>a través del Real Decreto 304/2004, de 20 de febrero y sus posteriores modificaciones</w:t>
      </w:r>
    </w:p>
    <w:p w14:paraId="4C9A8501" w14:textId="3EC4A75A" w:rsidR="00041C08" w:rsidRPr="00CF1B34" w:rsidRDefault="00D83530" w:rsidP="0005621A">
      <w:pPr>
        <w:jc w:val="both"/>
        <w:rPr>
          <w:rFonts w:ascii="Arial" w:hAnsi="Arial" w:cs="Arial"/>
          <w:sz w:val="22"/>
          <w:szCs w:val="22"/>
        </w:rPr>
      </w:pPr>
      <w:hyperlink r:id="rId270" w:history="1">
        <w:r w:rsidR="00041C08" w:rsidRPr="00CF1B34">
          <w:rPr>
            <w:rStyle w:val="Hipervnculo"/>
            <w:rFonts w:ascii="Arial" w:hAnsi="Arial" w:cs="Arial"/>
            <w:color w:val="2F5496" w:themeColor="accent1" w:themeShade="BF"/>
            <w:sz w:val="22"/>
            <w:szCs w:val="22"/>
            <w:shd w:val="clear" w:color="auto" w:fill="FFFFFF"/>
          </w:rPr>
          <w:t>El Real Decreto 668/2023, de 18 de julio, por el que se modifica el Reglamento de planes y fondos de pensiones, aprobado por el Real Decreto 304/2004, de 20 de febrero</w:t>
        </w:r>
      </w:hyperlink>
      <w:r w:rsidR="00116CAC" w:rsidRPr="00CF1B34">
        <w:rPr>
          <w:rFonts w:ascii="Arial" w:hAnsi="Arial" w:cs="Arial"/>
          <w:color w:val="2F5496" w:themeColor="accent1" w:themeShade="BF"/>
          <w:sz w:val="22"/>
          <w:szCs w:val="22"/>
          <w:shd w:val="clear" w:color="auto" w:fill="FFFFFF"/>
        </w:rPr>
        <w:t xml:space="preserve"> </w:t>
      </w:r>
      <w:r w:rsidR="00041C08" w:rsidRPr="00CF1B34">
        <w:rPr>
          <w:rFonts w:ascii="Arial" w:hAnsi="Arial" w:cs="Arial"/>
          <w:color w:val="000000"/>
          <w:sz w:val="22"/>
          <w:szCs w:val="22"/>
          <w:shd w:val="clear" w:color="auto" w:fill="FFFFFF"/>
        </w:rPr>
        <w:t>entra en vigor el día 21 de julio de 2023, salvo en lo relativo a la obligación de las comisiones de control de los planes de pensiones del sistema de empleo de reunirse al menos dos veces al año, que entrará en vigor en el ejercicio 2024.</w:t>
      </w:r>
    </w:p>
    <w:p w14:paraId="034FC0EC" w14:textId="77777777" w:rsidR="00041C08" w:rsidRPr="00CF1B34" w:rsidRDefault="00041C08" w:rsidP="0005621A">
      <w:pPr>
        <w:pStyle w:val="NormalWeb"/>
        <w:shd w:val="clear" w:color="auto" w:fill="FFFFFF"/>
        <w:spacing w:before="0" w:beforeAutospacing="0"/>
        <w:jc w:val="both"/>
        <w:rPr>
          <w:rFonts w:ascii="Arial" w:hAnsi="Arial" w:cs="Arial"/>
          <w:color w:val="000000"/>
          <w:sz w:val="22"/>
          <w:szCs w:val="22"/>
        </w:rPr>
      </w:pPr>
      <w:r w:rsidRPr="00CF1B34">
        <w:rPr>
          <w:rFonts w:ascii="Arial" w:hAnsi="Arial" w:cs="Arial"/>
          <w:color w:val="000000"/>
          <w:sz w:val="22"/>
          <w:szCs w:val="22"/>
        </w:rPr>
        <w:t>Esta norma regula los siguientes aspectos de interés en el ámbito de la previsión social complementaria de las empresas:</w:t>
      </w:r>
    </w:p>
    <w:p w14:paraId="25A8C3CD" w14:textId="77777777" w:rsidR="00041C08" w:rsidRPr="00CF1B34" w:rsidRDefault="00041C08" w:rsidP="004F7A62">
      <w:pPr>
        <w:numPr>
          <w:ilvl w:val="0"/>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Desarrolla el principio de no discriminación en los planes de pensiones del sistema de empleo, estipulando que la no discriminación se entenderá referida al derecho del trabajador de acceder al plan, que implicará la percepción de contribuciones empresariales establecidas desde su incorporación en tanto exista relación laboral con el promotor.</w:t>
      </w:r>
    </w:p>
    <w:p w14:paraId="566C58F0" w14:textId="77777777" w:rsidR="00041C08" w:rsidRPr="00CF1B34" w:rsidRDefault="00041C08" w:rsidP="004F7A62">
      <w:pPr>
        <w:numPr>
          <w:ilvl w:val="0"/>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En orden a determinar la antigüedad de un mes para el acceso de los trabajadores a los planes de pensiones del sistema de empleo, se computará el tiempo transcurrido desde el ingreso en la plantilla del promotor bajo cualquier modalidad de contrato laboral.</w:t>
      </w:r>
    </w:p>
    <w:p w14:paraId="451C8C38" w14:textId="77777777" w:rsidR="00041C08" w:rsidRPr="00CF1B34" w:rsidRDefault="00041C08" w:rsidP="004F7A62">
      <w:pPr>
        <w:numPr>
          <w:ilvl w:val="0"/>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Si, como consecuencia de operaciones societarias, una misma entidad resulta promotora de varios planes de pensiones del sistema de empleo o promotora de un plan de pensiones del sistema de empleo y a la vez tomadora de uno o varios planes de previsión social empresarial, se procederá a integrar en un único plan de pensiones o, en su caso, en un único plan de previsión social empresarial a todos los partícipes o asegurados y sus derechos consolidados y, en su caso, a los beneficiarios y sus derechos económicos, en el plazo de doce meses desde la fecha de efectos de la operación societaria. El promotor y la representación de los trabajadores de manera conjunta podrán solicitar una prórroga del plazo anterior a la Dirección General de Seguros y Fondos de Pensiones.</w:t>
      </w:r>
    </w:p>
    <w:p w14:paraId="159CC8FE" w14:textId="30BB0B60" w:rsidR="00041C08" w:rsidRPr="00CF1B34" w:rsidRDefault="00041C08" w:rsidP="0005621A">
      <w:pPr>
        <w:shd w:val="clear" w:color="auto" w:fill="FFFFFF"/>
        <w:spacing w:before="100" w:beforeAutospacing="1" w:after="100" w:afterAutospacing="1"/>
        <w:ind w:left="720"/>
        <w:jc w:val="both"/>
        <w:rPr>
          <w:rFonts w:ascii="Arial" w:hAnsi="Arial" w:cs="Arial"/>
          <w:color w:val="000000"/>
          <w:sz w:val="22"/>
          <w:szCs w:val="22"/>
        </w:rPr>
      </w:pPr>
      <w:r w:rsidRPr="00CF1B34">
        <w:rPr>
          <w:rFonts w:ascii="Arial" w:hAnsi="Arial" w:cs="Arial"/>
          <w:color w:val="000000"/>
          <w:sz w:val="22"/>
          <w:szCs w:val="22"/>
        </w:rPr>
        <w:t>Este plazo de doce meses de adaptación lo será también para el caso de subrogación de las relaciones laborales para adaptar las especificaciones al régimen diferenciado de aportaciones y prestaciones al personal afectado.</w:t>
      </w:r>
    </w:p>
    <w:p w14:paraId="3AD77351" w14:textId="77777777" w:rsidR="00041C08" w:rsidRPr="00CF1B34" w:rsidRDefault="00041C08" w:rsidP="004F7A62">
      <w:pPr>
        <w:numPr>
          <w:ilvl w:val="0"/>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Con carácter general, no se puede simultanear la condición de partícipe y de beneficiario de una misma contingencia siendo incompatible la realización de aportaciones y el cobro de prestaciones por la misma contingencia simultáneamente, si bien se regula la posibilidad de excepcionar esta regla en los casos de jubilación parcial, jubilación flexible y jubilación activa si se mantiene la realización de contribuciones por la empresa al plan de pensiones y en los términos previstos en su reglamento.</w:t>
      </w:r>
    </w:p>
    <w:p w14:paraId="766FC95B" w14:textId="77777777" w:rsidR="00041C08" w:rsidRPr="00CF1B34" w:rsidRDefault="00041C08" w:rsidP="004F7A62">
      <w:pPr>
        <w:numPr>
          <w:ilvl w:val="0"/>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lastRenderedPageBreak/>
        <w:t>Se desarrolla la regulación de los planes de pensiones de empleo simplificados, y en concreto:</w:t>
      </w:r>
    </w:p>
    <w:p w14:paraId="398CAD95" w14:textId="77777777" w:rsidR="00041C08" w:rsidRPr="00CF1B34" w:rsidRDefault="00041C08" w:rsidP="004F7A62">
      <w:pPr>
        <w:numPr>
          <w:ilvl w:val="1"/>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Se prevé que en este tipo de planes de pensiones asumidos en la negociación colectiva sectorial se puedan incorporar los autónomos del sector a través de su correspondiente anexo.</w:t>
      </w:r>
    </w:p>
    <w:p w14:paraId="64EBFAFA" w14:textId="77777777" w:rsidR="00041C08" w:rsidRPr="00CF1B34" w:rsidRDefault="00041C08" w:rsidP="004F7A62">
      <w:pPr>
        <w:numPr>
          <w:ilvl w:val="1"/>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Se estipula el procedimiento de integración de los planes de pensiones de empleo simplificados en un fondo de pensiones de empleo de promoción pública abiertos, así como, en su caso, en los fondos de pensiones de empleo de promoción privada.</w:t>
      </w:r>
    </w:p>
    <w:p w14:paraId="4C083E75" w14:textId="77777777" w:rsidR="00041C08" w:rsidRPr="00CF1B34" w:rsidRDefault="00041C08" w:rsidP="004F7A62">
      <w:pPr>
        <w:numPr>
          <w:ilvl w:val="1"/>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Se establecen los requisitos de funcionamiento y el contenido de las especificaciones de los planes de pensiones de empleo simplificados, así como el régimen de información a los partícipes y beneficiarios de esta modalidad de planes de pensiones de empleo.</w:t>
      </w:r>
    </w:p>
    <w:p w14:paraId="7350EF15" w14:textId="77777777" w:rsidR="00041C08" w:rsidRPr="00CF1B34" w:rsidRDefault="00041C08" w:rsidP="004F7A62">
      <w:pPr>
        <w:numPr>
          <w:ilvl w:val="1"/>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El funcionamiento y composición de las comisiones de control de los planes de pensiones simplificados.</w:t>
      </w:r>
    </w:p>
    <w:p w14:paraId="02F0FE01" w14:textId="77777777" w:rsidR="00041C08" w:rsidRPr="00CF1B34" w:rsidRDefault="00041C08" w:rsidP="004F7A62">
      <w:pPr>
        <w:numPr>
          <w:ilvl w:val="0"/>
          <w:numId w:val="203"/>
        </w:numPr>
        <w:shd w:val="clear" w:color="auto" w:fill="FFFFFF"/>
        <w:spacing w:before="100" w:beforeAutospacing="1" w:after="100" w:afterAutospacing="1"/>
        <w:jc w:val="both"/>
        <w:rPr>
          <w:rFonts w:ascii="Arial" w:hAnsi="Arial" w:cs="Arial"/>
          <w:color w:val="000000"/>
          <w:sz w:val="22"/>
          <w:szCs w:val="22"/>
        </w:rPr>
      </w:pPr>
      <w:r w:rsidRPr="00CF1B34">
        <w:rPr>
          <w:rFonts w:ascii="Arial" w:hAnsi="Arial" w:cs="Arial"/>
          <w:color w:val="000000"/>
          <w:sz w:val="22"/>
          <w:szCs w:val="22"/>
        </w:rPr>
        <w:t>Para su desarrollo se establece el procedimiento de transformación de los planes de pensiones de empleo o cualquier instrumento de previsión social preexistente en las empresas en un plan de pensiones de empleo del sistema simplificado.</w:t>
      </w:r>
    </w:p>
    <w:p w14:paraId="724D2C20" w14:textId="76CC8D70" w:rsidR="00041C08" w:rsidRPr="00CF1B34" w:rsidRDefault="00041C08" w:rsidP="004F7A62">
      <w:pPr>
        <w:numPr>
          <w:ilvl w:val="0"/>
          <w:numId w:val="203"/>
        </w:numPr>
        <w:shd w:val="clear" w:color="auto" w:fill="FFFFFF"/>
        <w:spacing w:before="100" w:beforeAutospacing="1" w:after="100" w:afterAutospacing="1"/>
        <w:jc w:val="both"/>
        <w:rPr>
          <w:rFonts w:ascii="Arial" w:hAnsi="Arial" w:cs="Arial"/>
          <w:color w:val="000000"/>
        </w:rPr>
      </w:pPr>
      <w:r w:rsidRPr="00CF1B34">
        <w:rPr>
          <w:rFonts w:ascii="Arial" w:hAnsi="Arial" w:cs="Arial"/>
          <w:color w:val="000000"/>
          <w:sz w:val="22"/>
          <w:szCs w:val="22"/>
        </w:rPr>
        <w:t>Se establece un plazo máximo de doce meses desde la entrada en vigor del real decreto para la adaptación de la documentación y de las nuevas obligaciones de información a facilitar a partícipes y beneficiarios de los planes de pensiones del sistema de empleo, así como al resto de nueva regulación prevista en el real decreto</w:t>
      </w:r>
      <w:r w:rsidRPr="00CF1B34">
        <w:rPr>
          <w:rFonts w:ascii="Arial" w:hAnsi="Arial" w:cs="Arial"/>
          <w:color w:val="000000"/>
        </w:rPr>
        <w:t>.</w:t>
      </w:r>
    </w:p>
    <w:p w14:paraId="2499295F" w14:textId="77777777" w:rsidR="00116CAC" w:rsidRPr="00CF1B34" w:rsidRDefault="00116CAC" w:rsidP="004F7A62">
      <w:pPr>
        <w:pStyle w:val="Prrafodelista"/>
        <w:numPr>
          <w:ilvl w:val="0"/>
          <w:numId w:val="203"/>
        </w:numPr>
        <w:pBdr>
          <w:bottom w:val="dotted" w:sz="12" w:space="12" w:color="666666"/>
        </w:pBdr>
        <w:spacing w:after="240"/>
        <w:jc w:val="both"/>
        <w:rPr>
          <w:rFonts w:ascii="Arial" w:hAnsi="Arial" w:cs="Arial"/>
          <w:color w:val="212529"/>
          <w:sz w:val="22"/>
          <w:szCs w:val="22"/>
          <w:lang w:val="es-ES_tradnl"/>
        </w:rPr>
      </w:pPr>
    </w:p>
    <w:p w14:paraId="0FCB650C" w14:textId="51B3D751" w:rsidR="00696A3C" w:rsidRPr="00CF1B34" w:rsidRDefault="00696A3C" w:rsidP="0005621A">
      <w:pPr>
        <w:shd w:val="clear" w:color="auto" w:fill="FFFFFF"/>
        <w:spacing w:before="100" w:beforeAutospacing="1" w:after="100" w:afterAutospacing="1"/>
        <w:jc w:val="both"/>
        <w:rPr>
          <w:rFonts w:ascii="Arial" w:hAnsi="Arial" w:cs="Arial"/>
          <w:color w:val="000000"/>
        </w:rPr>
      </w:pPr>
      <w:r w:rsidRPr="00CF1B34">
        <w:rPr>
          <w:rFonts w:ascii="Arial" w:hAnsi="Arial" w:cs="Arial"/>
          <w:b/>
          <w:bCs/>
          <w:color w:val="004773"/>
          <w:sz w:val="22"/>
          <w:szCs w:val="22"/>
          <w:lang w:val="es-ES_tradnl"/>
        </w:rPr>
        <w:t>Ley de circulación</w:t>
      </w:r>
    </w:p>
    <w:p w14:paraId="08F043A5"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forma en que se transmite la propiedad de un título valor. Hay tres posibilidades: si el título es al portador, basta con la entrega o la anotación contable; si es a la orden, han de realizarse endoso y entrega; en caso de que el título sea nominativo, hay que endosarlo, entregarlo, y además comunicarlo al emisor.</w:t>
      </w:r>
    </w:p>
    <w:p w14:paraId="1ADC534D" w14:textId="224E347C" w:rsidR="007456E9" w:rsidRPr="00CF1B34" w:rsidRDefault="007456E9"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Ley del mercado de valores</w:t>
      </w:r>
    </w:p>
    <w:p w14:paraId="1C238E4F" w14:textId="44C42B2C" w:rsidR="00554D8F" w:rsidRPr="00CF1B34" w:rsidRDefault="007456E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Esta ley regula el mercado de valores de nuestro país, tam</w:t>
      </w:r>
      <w:r w:rsidR="00554D8F" w:rsidRPr="00CF1B34">
        <w:rPr>
          <w:rFonts w:ascii="Arial" w:hAnsi="Arial" w:cs="Arial"/>
          <w:color w:val="000000" w:themeColor="text1"/>
          <w:sz w:val="22"/>
          <w:szCs w:val="22"/>
          <w:lang w:val="es-ES_tradnl"/>
        </w:rPr>
        <w:t>b</w:t>
      </w:r>
      <w:r w:rsidRPr="00CF1B34">
        <w:rPr>
          <w:rFonts w:ascii="Arial" w:hAnsi="Arial" w:cs="Arial"/>
          <w:color w:val="000000" w:themeColor="text1"/>
          <w:sz w:val="22"/>
          <w:szCs w:val="22"/>
          <w:lang w:val="es-ES_tradnl"/>
        </w:rPr>
        <w:t>i</w:t>
      </w:r>
      <w:r w:rsidR="00E107F2" w:rsidRPr="00CF1B34">
        <w:rPr>
          <w:rFonts w:ascii="Arial" w:hAnsi="Arial" w:cs="Arial"/>
          <w:color w:val="000000" w:themeColor="text1"/>
          <w:sz w:val="22"/>
          <w:szCs w:val="22"/>
          <w:lang w:val="es-ES_tradnl"/>
        </w:rPr>
        <w:t>é</w:t>
      </w:r>
      <w:r w:rsidRPr="00CF1B34">
        <w:rPr>
          <w:rFonts w:ascii="Arial" w:hAnsi="Arial" w:cs="Arial"/>
          <w:color w:val="000000" w:themeColor="text1"/>
          <w:sz w:val="22"/>
          <w:szCs w:val="22"/>
          <w:lang w:val="es-ES_tradnl"/>
        </w:rPr>
        <w:t>n recoge el régimen sancionador en casos de in</w:t>
      </w:r>
      <w:r w:rsidR="00554D8F" w:rsidRPr="00CF1B34">
        <w:rPr>
          <w:rFonts w:ascii="Arial" w:hAnsi="Arial" w:cs="Arial"/>
          <w:color w:val="000000" w:themeColor="text1"/>
          <w:sz w:val="22"/>
          <w:szCs w:val="22"/>
          <w:lang w:val="es-ES_tradnl"/>
        </w:rPr>
        <w:t>fracci</w:t>
      </w:r>
      <w:r w:rsidR="00E107F2" w:rsidRPr="00CF1B34">
        <w:rPr>
          <w:rFonts w:ascii="Arial" w:hAnsi="Arial" w:cs="Arial"/>
          <w:color w:val="000000" w:themeColor="text1"/>
          <w:sz w:val="22"/>
          <w:szCs w:val="22"/>
          <w:lang w:val="es-ES_tradnl"/>
        </w:rPr>
        <w:t>ó</w:t>
      </w:r>
      <w:r w:rsidR="00554D8F" w:rsidRPr="00CF1B34">
        <w:rPr>
          <w:rFonts w:ascii="Arial" w:hAnsi="Arial" w:cs="Arial"/>
          <w:color w:val="000000" w:themeColor="text1"/>
          <w:sz w:val="22"/>
          <w:szCs w:val="22"/>
          <w:lang w:val="es-ES_tradnl"/>
        </w:rPr>
        <w:t>n.</w:t>
      </w:r>
    </w:p>
    <w:p w14:paraId="4B650F55" w14:textId="3A5481A4" w:rsidR="00145433" w:rsidRPr="00CF1B34" w:rsidRDefault="00145433"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Ley Hipotecaria</w:t>
      </w:r>
    </w:p>
    <w:p w14:paraId="7F0A0AC3" w14:textId="77777777" w:rsidR="00145433" w:rsidRPr="00CF1B34" w:rsidRDefault="00145433" w:rsidP="0005621A">
      <w:pPr>
        <w:ind w:left="495"/>
        <w:jc w:val="both"/>
        <w:rPr>
          <w:rFonts w:ascii="Arial" w:hAnsi="Arial" w:cs="Arial"/>
          <w:sz w:val="22"/>
          <w:szCs w:val="22"/>
          <w:lang w:val="es-ES_tradnl"/>
        </w:rPr>
      </w:pPr>
      <w:r w:rsidRPr="00CF1B34">
        <w:rPr>
          <w:rFonts w:ascii="Arial" w:hAnsi="Arial" w:cs="Arial"/>
          <w:sz w:val="22"/>
          <w:szCs w:val="22"/>
          <w:lang w:val="es-ES_tradnl"/>
        </w:rPr>
        <w:t>La </w:t>
      </w:r>
      <w:r w:rsidRPr="00CF1B34">
        <w:rPr>
          <w:rFonts w:ascii="Arial" w:hAnsi="Arial" w:cs="Arial"/>
          <w:b/>
          <w:bCs/>
          <w:sz w:val="22"/>
          <w:szCs w:val="22"/>
          <w:lang w:val="es-ES_tradnl"/>
        </w:rPr>
        <w:t>Ley Hipotecaria</w:t>
      </w:r>
      <w:r w:rsidRPr="00CF1B34">
        <w:rPr>
          <w:rFonts w:ascii="Arial" w:hAnsi="Arial" w:cs="Arial"/>
          <w:sz w:val="22"/>
          <w:szCs w:val="22"/>
          <w:lang w:val="es-ES_tradnl"/>
        </w:rPr>
        <w:t> (o ley de crédito inmobiliario) es aquella que regula los préstamos hipotecarios actualmente. Esta ley lleva en vigor desde el 16 de junio de 2019, y se creó con la intención por parte de la Unión Europea de proteger al consumidor, ganar en transparencia y repartir los gastos entre el banco y el cliente.</w:t>
      </w:r>
    </w:p>
    <w:p w14:paraId="79CB8F08" w14:textId="34B9104D" w:rsidR="00145433" w:rsidRPr="00CF1B34" w:rsidRDefault="00145433" w:rsidP="004F7A62">
      <w:pPr>
        <w:numPr>
          <w:ilvl w:val="0"/>
          <w:numId w:val="36"/>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Proteger al consumidor y ganar transparencia.</w:t>
      </w:r>
      <w:r w:rsidRPr="00CF1B34">
        <w:rPr>
          <w:rFonts w:ascii="Arial" w:hAnsi="Arial" w:cs="Arial"/>
          <w:sz w:val="22"/>
          <w:szCs w:val="22"/>
          <w:lang w:val="es-ES_tradnl"/>
        </w:rPr>
        <w:t> Esta Ley al obliga al banco a entregar varios documentos informativos al comprador, quien además debe pasar por el notario antes de firmar para recibir asesoramiento gratuito y someterse a un test. Por otro lado</w:t>
      </w:r>
      <w:r w:rsidR="00E107F2" w:rsidRPr="00CF1B34">
        <w:rPr>
          <w:rFonts w:ascii="Arial" w:hAnsi="Arial" w:cs="Arial"/>
          <w:sz w:val="22"/>
          <w:szCs w:val="22"/>
          <w:lang w:val="es-ES_tradnl"/>
        </w:rPr>
        <w:t>,</w:t>
      </w:r>
      <w:r w:rsidRPr="00CF1B34">
        <w:rPr>
          <w:rFonts w:ascii="Arial" w:hAnsi="Arial" w:cs="Arial"/>
          <w:sz w:val="22"/>
          <w:szCs w:val="22"/>
          <w:lang w:val="es-ES_tradnl"/>
        </w:rPr>
        <w:t xml:space="preserve"> le protege de cláusulas abusivas, anula las cláusulas que no cumplan la normativa, y tramita las quejas y reclamaciones a través de una entidad especializada.</w:t>
      </w:r>
    </w:p>
    <w:p w14:paraId="113B0D16" w14:textId="77777777" w:rsidR="00145433" w:rsidRPr="00CF1B34" w:rsidRDefault="00145433" w:rsidP="004F7A62">
      <w:pPr>
        <w:numPr>
          <w:ilvl w:val="0"/>
          <w:numId w:val="36"/>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Repartir los gastos</w:t>
      </w:r>
      <w:r w:rsidRPr="00CF1B34">
        <w:rPr>
          <w:rFonts w:ascii="Arial" w:hAnsi="Arial" w:cs="Arial"/>
          <w:sz w:val="22"/>
          <w:szCs w:val="22"/>
          <w:lang w:val="es-ES_tradnl"/>
        </w:rPr>
        <w:t xml:space="preserve">. Es el cambio más importante, ya que se establece un nuevo reparto de los gastos en concepto de escrituras y registro. Así, el banco abonará los gastos de gestoría, registro, notaría, el Impuesto de Actos Jurídicos Documentados (IAJD) y su copia </w:t>
      </w:r>
      <w:r w:rsidRPr="00CF1B34">
        <w:rPr>
          <w:rFonts w:ascii="Arial" w:hAnsi="Arial" w:cs="Arial"/>
          <w:sz w:val="22"/>
          <w:szCs w:val="22"/>
          <w:lang w:val="es-ES_tradnl"/>
        </w:rPr>
        <w:lastRenderedPageBreak/>
        <w:t>de la escritura. Y el consumidor cargará con la tasación y su copia de la escritura, saliendo más beneficiado que con la ley anterior.</w:t>
      </w:r>
    </w:p>
    <w:p w14:paraId="2171BD1E" w14:textId="77777777" w:rsidR="00145433" w:rsidRPr="00CF1B34" w:rsidRDefault="00145433" w:rsidP="004F7A62">
      <w:pPr>
        <w:numPr>
          <w:ilvl w:val="0"/>
          <w:numId w:val="36"/>
        </w:numPr>
        <w:spacing w:before="100" w:beforeAutospacing="1" w:after="240"/>
        <w:ind w:left="495"/>
        <w:jc w:val="both"/>
        <w:rPr>
          <w:rFonts w:ascii="Arial" w:hAnsi="Arial" w:cs="Arial"/>
          <w:sz w:val="22"/>
          <w:szCs w:val="22"/>
          <w:lang w:val="es-ES_tradnl"/>
        </w:rPr>
      </w:pPr>
      <w:r w:rsidRPr="00CF1B34">
        <w:rPr>
          <w:rFonts w:ascii="Arial" w:hAnsi="Arial" w:cs="Arial"/>
          <w:b/>
          <w:bCs/>
          <w:sz w:val="22"/>
          <w:szCs w:val="22"/>
          <w:lang w:val="es-ES_tradnl"/>
        </w:rPr>
        <w:t>Retroactividad</w:t>
      </w:r>
      <w:r w:rsidRPr="00CF1B34">
        <w:rPr>
          <w:rFonts w:ascii="Arial" w:hAnsi="Arial" w:cs="Arial"/>
          <w:sz w:val="22"/>
          <w:szCs w:val="22"/>
          <w:lang w:val="es-ES_tradnl"/>
        </w:rPr>
        <w:t>. Esta Ley no tiene carácter retroactivo de forma general, ya que regula las hipotecas formalizadas desde su entrada en vigor, aunque tiene dos artículos con carácter retroactivo: en primer lugar, el que abarata la conversión del tipo variable al tipo fijo, estableciendo la comisión máxima en un 0.15%, y aplicable si se cambia dentro de los primeros tres años de hipoteca.</w:t>
      </w:r>
    </w:p>
    <w:p w14:paraId="2370DD40" w14:textId="77777777" w:rsidR="00145433" w:rsidRPr="00CF1B34" w:rsidRDefault="00145433"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¿Se puede cambiar de banco?</w:t>
      </w:r>
    </w:p>
    <w:p w14:paraId="3BE4A050" w14:textId="77777777" w:rsidR="00145433" w:rsidRPr="00CF1B34" w:rsidRDefault="00145433"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Ese es otro de los cambios importantes de esta ley, que ya no obliga a aceptar la contraoferta de la entidad inicial para igualar o mejorar las condiciones de la nueva entidad. En resumen: podremos elegir el banco que prefiramos.</w:t>
      </w:r>
    </w:p>
    <w:p w14:paraId="4CE70284" w14:textId="77777777" w:rsidR="00145433" w:rsidRPr="00CF1B34" w:rsidRDefault="00145433"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¿Qué pasa con la amortización anticipada?</w:t>
      </w:r>
    </w:p>
    <w:p w14:paraId="5558598B" w14:textId="77777777" w:rsidR="00145433" w:rsidRPr="00CF1B34" w:rsidRDefault="00145433"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nueva ley plantea una comisión menor, que el banco cobrará solo en caso de que le ocasione una pérdida. Además, el banco podrá pactar con el cliente un plazo de un mes para comunicar esta intención de amortizar de manera anticipada. Y a partir de ese momento, el banco deberá facilitar la información necesaria en tres días hábiles.</w:t>
      </w:r>
    </w:p>
    <w:p w14:paraId="3970104C" w14:textId="77777777" w:rsidR="00145433" w:rsidRPr="00CF1B34" w:rsidRDefault="00145433"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Ejecución hipotecaria: imagos y embargos</w:t>
      </w:r>
    </w:p>
    <w:p w14:paraId="1B2E158B" w14:textId="77777777" w:rsidR="00145433" w:rsidRPr="00CF1B34" w:rsidRDefault="00145433"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Quizá sea la novedad más importante, ya que establece unos requisitos más estrictos a la hora de pedir el embargo tras sucesivos impagos. Ahora la demora tendrá que exceder el 3% del capital concedido durante 12 meses en la primera mitad del plazo; o el 7% durante 15 meses en la segunda mitad del préstamo.</w:t>
      </w:r>
    </w:p>
    <w:p w14:paraId="51FD387B" w14:textId="77777777" w:rsidR="00145433" w:rsidRPr="00CF1B34" w:rsidRDefault="00145433"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Productos vinculados y/o combinados</w:t>
      </w:r>
    </w:p>
    <w:p w14:paraId="7A6CAF5B" w14:textId="77777777" w:rsidR="00145433" w:rsidRPr="00CF1B34" w:rsidRDefault="00145433"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Esta regulación no permite las ventas vinculadas de seguros, planes de pensiones o tarjetas de crédito por parte del banco. Pero sí permite que este reduzca el interés si el cliente contrata estos productos. La diferencia entre los productos vinculados y los combinados es que los primeros se contratan por paquetes, mientras que los segundos se comercializan por separado, y el cliente elige cuáles contratar.</w:t>
      </w:r>
    </w:p>
    <w:p w14:paraId="36902CBF" w14:textId="77777777" w:rsidR="00145433" w:rsidRPr="00CF1B34" w:rsidRDefault="00145433"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Suelo hipotecario</w:t>
      </w:r>
    </w:p>
    <w:p w14:paraId="54116A6F" w14:textId="77777777" w:rsidR="00145433" w:rsidRPr="00CF1B34" w:rsidRDefault="00145433"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nueva normativa prohíbe aplicar un interés mínimo en las hipotecas variables: nada de cláusulas suelo, ni euríbor al 0% si cotiza en negativo. Pero sí establece un tipo mínimo del 0% por defecto para todas las hipotecas.</w:t>
      </w:r>
    </w:p>
    <w:p w14:paraId="3B2D165E" w14:textId="77777777" w:rsidR="00145433" w:rsidRPr="00CF1B34" w:rsidRDefault="00145433"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Control sobre los brokers inmobiliarios</w:t>
      </w:r>
    </w:p>
    <w:p w14:paraId="3182712C" w14:textId="77777777" w:rsidR="00145433" w:rsidRPr="00CF1B34" w:rsidRDefault="0014543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Estos intermediarios financieros se listarán en un registro a cargo del Banco de España y las Comunidades Autónomas, y serán supervisados. Además, no podrán haber sido declarados en concurso ni tener antecedentes delictivos, y deberán incluir su comisión en el cálculo de la TAE.</w:t>
      </w:r>
    </w:p>
    <w:p w14:paraId="6408D6F5" w14:textId="7EF06D5C" w:rsidR="00145433" w:rsidRPr="00CF1B34" w:rsidRDefault="00554D8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Liberalización de capitales</w:t>
      </w:r>
    </w:p>
    <w:p w14:paraId="2B859F56" w14:textId="77777777" w:rsidR="009E07FD" w:rsidRPr="00CF1B34" w:rsidRDefault="009E11D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Se trata del desmantelamiento de las fronteras y aranceles para el movimiento de capitales. De este modo el capital puede salir</w:t>
      </w:r>
      <w:r w:rsidR="009E07FD" w:rsidRPr="00CF1B34">
        <w:rPr>
          <w:rFonts w:ascii="Arial" w:hAnsi="Arial" w:cs="Arial"/>
          <w:color w:val="000000" w:themeColor="text1"/>
          <w:sz w:val="22"/>
          <w:szCs w:val="22"/>
          <w:lang w:val="es-ES_tradnl"/>
        </w:rPr>
        <w:t xml:space="preserve"> libremente de nuestro país para invertir en otro y a la vez pueden venir libremente capitales de otros países a invertir en el nuestro.</w:t>
      </w:r>
    </w:p>
    <w:p w14:paraId="658CAD6D" w14:textId="2547E255" w:rsidR="009D4545" w:rsidRPr="00CF1B34" w:rsidRDefault="009D454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LIBOR (London Interbank Offer Rate)</w:t>
      </w:r>
    </w:p>
    <w:p w14:paraId="75000C5E" w14:textId="1DE75C66" w:rsidR="00F22DD7" w:rsidRPr="00CF1B34" w:rsidRDefault="00F22DD7" w:rsidP="0005621A">
      <w:pPr>
        <w:ind w:left="708"/>
        <w:jc w:val="both"/>
        <w:rPr>
          <w:rFonts w:ascii="Arial" w:hAnsi="Arial" w:cs="Arial"/>
          <w:color w:val="1E1A1A"/>
          <w:sz w:val="22"/>
          <w:szCs w:val="22"/>
          <w:shd w:val="clear" w:color="auto" w:fill="FFFFFF"/>
        </w:rPr>
      </w:pPr>
      <w:r w:rsidRPr="00CF1B34">
        <w:rPr>
          <w:rFonts w:ascii="Arial" w:hAnsi="Arial" w:cs="Arial"/>
          <w:color w:val="1E1A1A"/>
          <w:sz w:val="22"/>
          <w:szCs w:val="22"/>
          <w:shd w:val="clear" w:color="auto" w:fill="FFFFFF"/>
        </w:rPr>
        <w:t>La tasa interbancaria de oferta de Londres (LIBOR) fue el tipo de interés de referencia utilizado para calcular la tasa promedio a la que los bancos se ofrecerían un préstamo a corto plazo entre ellos. El LIBOR, o tasa LIBOR, se está eliminando progresivamente del sistema monetario internacional y será sustituido por una serie de tipos de interés diferentes para diferentes lugares del mundo.</w:t>
      </w:r>
    </w:p>
    <w:p w14:paraId="5E6F01A1" w14:textId="5B8DC59E" w:rsidR="00F22DD7" w:rsidRPr="00CF1B34" w:rsidRDefault="00F22DD7" w:rsidP="0005621A">
      <w:pPr>
        <w:ind w:left="708"/>
        <w:jc w:val="both"/>
        <w:rPr>
          <w:rFonts w:ascii="Arial" w:hAnsi="Arial" w:cs="Arial"/>
        </w:rPr>
      </w:pPr>
      <w:r w:rsidRPr="00CF1B34">
        <w:rPr>
          <w:rFonts w:ascii="Arial" w:hAnsi="Arial" w:cs="Arial"/>
          <w:color w:val="1E1A1A"/>
          <w:sz w:val="21"/>
          <w:szCs w:val="21"/>
          <w:shd w:val="clear" w:color="auto" w:fill="FFFFFF"/>
        </w:rPr>
        <w:t>La tasa LIBOR se calculaba en cinco divisas diferentes: el dólar estadounidense, el euro, la libra esterlina, el yen japonés y el franco suizo, y en siete duraciones de préstamo diferentes.</w:t>
      </w:r>
    </w:p>
    <w:p w14:paraId="7892A88D" w14:textId="77777777" w:rsidR="00802E9A" w:rsidRPr="00CF1B34" w:rsidRDefault="00F22DD7" w:rsidP="0005621A">
      <w:pPr>
        <w:ind w:left="708"/>
        <w:jc w:val="both"/>
        <w:rPr>
          <w:rFonts w:ascii="Arial" w:hAnsi="Arial" w:cs="Arial"/>
          <w:color w:val="1E1A1A"/>
          <w:sz w:val="21"/>
          <w:szCs w:val="21"/>
          <w:shd w:val="clear" w:color="auto" w:fill="FFFFFF"/>
        </w:rPr>
      </w:pPr>
      <w:r w:rsidRPr="00CF1B34">
        <w:rPr>
          <w:rFonts w:ascii="Arial" w:hAnsi="Arial" w:cs="Arial"/>
          <w:color w:val="1E1A1A"/>
          <w:sz w:val="21"/>
          <w:szCs w:val="21"/>
          <w:shd w:val="clear" w:color="auto" w:fill="FFFFFF"/>
        </w:rPr>
        <w:t>El LIBOR se basaba en los resultados de una encuesta realizada por los bancos y no en datos de transacciones, lo que lo convierte en un tipo fácil de manipular, un hecho que llevó a su eventual declive.</w:t>
      </w:r>
      <w:r w:rsidR="00802E9A" w:rsidRPr="00CF1B34">
        <w:rPr>
          <w:rFonts w:ascii="Arial" w:hAnsi="Arial" w:cs="Arial"/>
          <w:color w:val="1E1A1A"/>
          <w:sz w:val="21"/>
          <w:szCs w:val="21"/>
          <w:shd w:val="clear" w:color="auto" w:fill="FFFFFF"/>
        </w:rPr>
        <w:t xml:space="preserve"> </w:t>
      </w:r>
    </w:p>
    <w:p w14:paraId="146C5A3D" w14:textId="77777777" w:rsidR="00802E9A" w:rsidRPr="00CF1B34" w:rsidRDefault="00802E9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E1A1A"/>
          <w:sz w:val="21"/>
          <w:szCs w:val="21"/>
          <w:shd w:val="clear" w:color="auto" w:fill="FFFFFF"/>
        </w:rPr>
        <w:t>Los tipos alternativos que se están introduciendo o que ya se han introducido como sustitutos del LIBOR en otras regiones del mundo son los siguientes SONIA para el Reino Unido, SOFR para los Estados Unidos, ESTR para Europa, TONAR para Japón y SARON para Suiza.</w:t>
      </w:r>
    </w:p>
    <w:p w14:paraId="362AC7CA" w14:textId="164C3C2B" w:rsidR="00554D8F" w:rsidRPr="00CF1B34" w:rsidRDefault="00554D8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Librar</w:t>
      </w:r>
    </w:p>
    <w:p w14:paraId="25479C5A" w14:textId="77777777" w:rsidR="00585DBB" w:rsidRPr="00CF1B34" w:rsidRDefault="00585DB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Entrega de los títulos cedidos a un comprador. Operación que realiza el vendedor.</w:t>
      </w:r>
    </w:p>
    <w:p w14:paraId="76DD92BD" w14:textId="0D3623CC" w:rsidR="00554D8F" w:rsidRPr="00CF1B34" w:rsidRDefault="00554D8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Libreta de ahorro</w:t>
      </w:r>
    </w:p>
    <w:p w14:paraId="2C433CC2" w14:textId="77777777" w:rsidR="00C676B0" w:rsidRPr="00CF1B34" w:rsidRDefault="00585DB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mas clásico de los instrumentos de ahorro de los bancos y cajas de ahorros</w:t>
      </w:r>
      <w:r w:rsidR="00C676B0" w:rsidRPr="00CF1B34">
        <w:rPr>
          <w:rFonts w:ascii="Arial" w:hAnsi="Arial" w:cs="Arial"/>
          <w:color w:val="000000" w:themeColor="text1"/>
          <w:sz w:val="22"/>
          <w:szCs w:val="22"/>
          <w:lang w:val="es-ES_tradnl"/>
        </w:rPr>
        <w:t>. Sus rentabilidades son muy modestas pero los gastos a su vez son muy pequeños.</w:t>
      </w:r>
    </w:p>
    <w:p w14:paraId="1B7A8E9D" w14:textId="736E18EB" w:rsidR="00116CAC" w:rsidRPr="00CF1B34" w:rsidRDefault="00116CA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Limite de endeudamiento</w:t>
      </w:r>
    </w:p>
    <w:p w14:paraId="0A5D3D7C" w14:textId="7095CC54" w:rsidR="00116CAC" w:rsidRPr="00CF1B34" w:rsidRDefault="00116CAC" w:rsidP="0005621A">
      <w:pPr>
        <w:jc w:val="both"/>
        <w:rPr>
          <w:rFonts w:ascii="Arial" w:hAnsi="Arial" w:cs="Arial"/>
          <w:sz w:val="22"/>
          <w:szCs w:val="22"/>
        </w:rPr>
      </w:pPr>
      <w:r w:rsidRPr="00CF1B34">
        <w:rPr>
          <w:rFonts w:ascii="Arial" w:hAnsi="Arial" w:cs="Arial"/>
          <w:sz w:val="22"/>
          <w:szCs w:val="22"/>
        </w:rPr>
        <w:t xml:space="preserve">Según los expertos, el límite de capacidad de endeudamiento se sitúa </w:t>
      </w:r>
      <w:r w:rsidRPr="00CF1B34">
        <w:rPr>
          <w:rFonts w:ascii="Arial" w:hAnsi="Arial" w:cs="Arial"/>
          <w:b/>
          <w:bCs/>
          <w:sz w:val="22"/>
          <w:szCs w:val="22"/>
        </w:rPr>
        <w:t>entre un 35% y un 40% de los ingresos mensuales</w:t>
      </w:r>
      <w:r w:rsidRPr="00CF1B34">
        <w:rPr>
          <w:rFonts w:ascii="Arial" w:hAnsi="Arial" w:cs="Arial"/>
          <w:sz w:val="22"/>
          <w:szCs w:val="22"/>
        </w:rPr>
        <w:t>. Sin embargo, se recomienda que el bloque correspondiente al endeudamiento de una familia no supere el 30-35% de sus ingresos totales.</w:t>
      </w:r>
    </w:p>
    <w:p w14:paraId="360C8228" w14:textId="6CE91CF1" w:rsidR="00116CAC" w:rsidRPr="00CF1B34" w:rsidRDefault="00116CAC" w:rsidP="0005621A">
      <w:pPr>
        <w:jc w:val="both"/>
        <w:rPr>
          <w:rFonts w:ascii="Arial" w:hAnsi="Arial" w:cs="Arial"/>
          <w:sz w:val="22"/>
          <w:szCs w:val="22"/>
        </w:rPr>
      </w:pPr>
      <w:r w:rsidRPr="00CF1B34">
        <w:rPr>
          <w:rFonts w:ascii="Arial" w:hAnsi="Arial" w:cs="Arial"/>
          <w:sz w:val="22"/>
          <w:szCs w:val="22"/>
        </w:rPr>
        <w:t xml:space="preserve">La capacidad de endeudamiento de una persona o familia se refiere a la </w:t>
      </w:r>
      <w:r w:rsidRPr="00CF1B34">
        <w:rPr>
          <w:rFonts w:ascii="Arial" w:hAnsi="Arial" w:cs="Arial"/>
          <w:b/>
          <w:bCs/>
          <w:sz w:val="22"/>
          <w:szCs w:val="22"/>
        </w:rPr>
        <w:t>cantidad de deuda o financiamiento que se puede asumir de forma responsable</w:t>
      </w:r>
      <w:r w:rsidRPr="00CF1B34">
        <w:rPr>
          <w:rFonts w:ascii="Arial" w:hAnsi="Arial" w:cs="Arial"/>
          <w:sz w:val="22"/>
          <w:szCs w:val="22"/>
        </w:rPr>
        <w:t>. Este factor depende de la situación personal, evaluando tanto los ingresos mensuales como los gastos individuales.</w:t>
      </w:r>
    </w:p>
    <w:p w14:paraId="18EA16A5" w14:textId="02017B4B" w:rsidR="00116CAC" w:rsidRPr="00CF1B34" w:rsidRDefault="00116CAC" w:rsidP="0005621A">
      <w:pPr>
        <w:jc w:val="both"/>
        <w:rPr>
          <w:rFonts w:ascii="Arial" w:hAnsi="Arial" w:cs="Arial"/>
          <w:sz w:val="22"/>
          <w:szCs w:val="22"/>
        </w:rPr>
      </w:pPr>
      <w:r w:rsidRPr="00CF1B34">
        <w:rPr>
          <w:rFonts w:ascii="Arial" w:hAnsi="Arial" w:cs="Arial"/>
          <w:sz w:val="22"/>
          <w:szCs w:val="22"/>
        </w:rPr>
        <w:t xml:space="preserve">Una regla general es que la cantidad máxima que una persona debería destinar al endeudamiento </w:t>
      </w:r>
      <w:r w:rsidRPr="00CF1B34">
        <w:rPr>
          <w:rFonts w:ascii="Arial" w:hAnsi="Arial" w:cs="Arial"/>
          <w:b/>
          <w:bCs/>
          <w:sz w:val="22"/>
          <w:szCs w:val="22"/>
        </w:rPr>
        <w:t>no debe superar el 30% o 25% de sus ingresos totales</w:t>
      </w:r>
      <w:r w:rsidRPr="00CF1B34">
        <w:rPr>
          <w:rFonts w:ascii="Arial" w:hAnsi="Arial" w:cs="Arial"/>
          <w:sz w:val="22"/>
          <w:szCs w:val="22"/>
        </w:rPr>
        <w:t>. Esto se debe a que la mayoría de los bancos recomiendan esta proporción y también revisan los informes de riesgo de los solicitantes.</w:t>
      </w:r>
    </w:p>
    <w:p w14:paraId="677370CF" w14:textId="77777777" w:rsidR="00116CAC" w:rsidRPr="00CF1B34" w:rsidRDefault="00116CAC" w:rsidP="0005621A">
      <w:pPr>
        <w:jc w:val="both"/>
        <w:rPr>
          <w:rFonts w:ascii="Arial" w:hAnsi="Arial" w:cs="Arial"/>
          <w:sz w:val="22"/>
          <w:szCs w:val="22"/>
        </w:rPr>
      </w:pPr>
      <w:r w:rsidRPr="00CF1B34">
        <w:rPr>
          <w:rFonts w:ascii="Arial" w:hAnsi="Arial" w:cs="Arial"/>
          <w:sz w:val="22"/>
          <w:szCs w:val="22"/>
        </w:rPr>
        <w:t>Además, cada entidad financiera tiene sus propios criterios para establecer el límite de endeudamiento de un potencial solicitante de crédito. Sin embargo, en general, se considera que el límite de endeudamiento es el </w:t>
      </w:r>
      <w:r w:rsidRPr="00CF1B34">
        <w:rPr>
          <w:rFonts w:ascii="Arial" w:hAnsi="Arial" w:cs="Arial"/>
          <w:b/>
          <w:bCs/>
          <w:sz w:val="22"/>
          <w:szCs w:val="22"/>
        </w:rPr>
        <w:t>crédito cuyas cuotas mensuales a devolver no superen el 35% de los ingresos netos del solicitante</w:t>
      </w:r>
      <w:r w:rsidRPr="00CF1B34">
        <w:rPr>
          <w:rFonts w:ascii="Arial" w:hAnsi="Arial" w:cs="Arial"/>
          <w:sz w:val="22"/>
          <w:szCs w:val="22"/>
        </w:rPr>
        <w:t>.</w:t>
      </w:r>
    </w:p>
    <w:p w14:paraId="4470008D" w14:textId="77777777" w:rsidR="00116CAC" w:rsidRPr="00CF1B34" w:rsidRDefault="00116CA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rPr>
        <w:t>Es importante tener en cuenta que el límite de endeudamiento también depende de la situación patrimonial del solicitante y del riesgo que esté dispuesto a asumir la entidad financiera. En resumen, el límite de endeudamiento es un concepto importante para evaluar la capacidad de una persona o familia para asumir deudas y financiamiento responsablemente.</w:t>
      </w:r>
    </w:p>
    <w:p w14:paraId="5CD7668E" w14:textId="06618A94" w:rsidR="00554D8F" w:rsidRPr="00CF1B34" w:rsidRDefault="00554D8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Limite de oscilaci</w:t>
      </w:r>
      <w:r w:rsidR="00E107F2"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n</w:t>
      </w:r>
    </w:p>
    <w:p w14:paraId="70FF2100" w14:textId="733E639E" w:rsidR="008A5F72" w:rsidRPr="00CF1B34" w:rsidRDefault="0003591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Tope que se fija como nivel máximo o m</w:t>
      </w:r>
      <w:r w:rsidR="00E107F2"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nimo de cotización al que se esta dispuesto a comprar o vender. Normalmente es de 15% sobre el cierre del d</w:t>
      </w:r>
      <w:r w:rsidR="00E107F2"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 xml:space="preserve">a anterior y de forma </w:t>
      </w:r>
      <w:r w:rsidRPr="00CF1B34">
        <w:rPr>
          <w:rFonts w:ascii="Arial" w:hAnsi="Arial" w:cs="Arial"/>
          <w:color w:val="000000" w:themeColor="text1"/>
          <w:sz w:val="22"/>
          <w:szCs w:val="22"/>
          <w:lang w:val="es-ES_tradnl"/>
        </w:rPr>
        <w:lastRenderedPageBreak/>
        <w:t>excepcional</w:t>
      </w:r>
      <w:r w:rsidR="008A5F72" w:rsidRPr="00CF1B34">
        <w:rPr>
          <w:rFonts w:ascii="Arial" w:hAnsi="Arial" w:cs="Arial"/>
          <w:color w:val="000000" w:themeColor="text1"/>
          <w:sz w:val="22"/>
          <w:szCs w:val="22"/>
          <w:lang w:val="es-ES_tradnl"/>
        </w:rPr>
        <w:t>, el departamento de supervisión del mercado continuo puede variarlo hasta un 50% si lo considera oportuno.</w:t>
      </w:r>
    </w:p>
    <w:p w14:paraId="15335C4F" w14:textId="62E892F9" w:rsidR="00554D8F" w:rsidRPr="00CF1B34" w:rsidRDefault="00554D8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Liquidación</w:t>
      </w:r>
    </w:p>
    <w:p w14:paraId="68FB4B84" w14:textId="77777777" w:rsidR="001D6035" w:rsidRPr="00CF1B34" w:rsidRDefault="001D603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liquidación es una operación de la trastienda de los mercados. Si vendo una acción pasaran unos días desde la venta efectiva hasta el momento en que cobro. En la liquidación es donde se casan las operaciones que se contratan. En España las bolsas liquidan en cinco días hábiles.</w:t>
      </w:r>
    </w:p>
    <w:p w14:paraId="510B1D0C" w14:textId="781AA102" w:rsidR="00554D8F" w:rsidRPr="00CF1B34" w:rsidRDefault="00554D8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Liquidación a vencimiento</w:t>
      </w:r>
    </w:p>
    <w:p w14:paraId="6EC4C8F4" w14:textId="77777777" w:rsidR="00787873" w:rsidRPr="00CF1B34" w:rsidRDefault="001D603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Cumplimiento de contrato en la fecha de liquidación. Si la liquidación es por entrega</w:t>
      </w:r>
      <w:r w:rsidR="00787873" w:rsidRPr="00CF1B34">
        <w:rPr>
          <w:rFonts w:ascii="Arial" w:hAnsi="Arial" w:cs="Arial"/>
          <w:color w:val="000000" w:themeColor="text1"/>
          <w:sz w:val="22"/>
          <w:szCs w:val="22"/>
          <w:lang w:val="es-ES_tradnl"/>
        </w:rPr>
        <w:t>, supone la transmisión del activo subyacente a cambio del precio que corresponda. Si la liquidación es por diferencias, supone la transmisión de dinero correspondiente a la diferencia entre el precio de ejercicio o el de futuro, en su caso, y el de liquidación a vencimiento.</w:t>
      </w:r>
    </w:p>
    <w:p w14:paraId="5BB11075" w14:textId="3701D773" w:rsidR="00554D8F" w:rsidRPr="00CF1B34" w:rsidRDefault="00554D8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Liquidación diaria de perdidas y ganancias</w:t>
      </w:r>
    </w:p>
    <w:p w14:paraId="3A4FEBD1" w14:textId="77777777" w:rsidR="00037B63" w:rsidRPr="00CF1B34" w:rsidRDefault="004B361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La liquidación diaria de perdidas y ganancias es el mecanismo mediante el que un mercado de futuros valora todas las carteras de futuros a precios de mercado. Esta liquidación consiste en un procedimiento por el que, al final de cada sesión de negociación, se procede a cargar o abonar las perdidas y ganancias realizadas durante el dia a los participantes del mercado. La </w:t>
      </w:r>
      <w:r w:rsidR="00037B63" w:rsidRPr="00CF1B34">
        <w:rPr>
          <w:rFonts w:ascii="Arial" w:hAnsi="Arial" w:cs="Arial"/>
          <w:color w:val="000000" w:themeColor="text1"/>
          <w:sz w:val="22"/>
          <w:szCs w:val="22"/>
          <w:lang w:val="es-ES_tradnl"/>
        </w:rPr>
        <w:t>liquidación diaria se realiza a todos aquellos que al cierre de mercado mantienen una posición abierta en alguno de los contratos abiertos a negociación. Tras este proceso, todos los contratos de futuro se consideran pactados al precio de liquidación diaria</w:t>
      </w:r>
    </w:p>
    <w:p w14:paraId="045FD2F5" w14:textId="39754C9C"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Liquidación por diferencias</w:t>
      </w:r>
    </w:p>
    <w:p w14:paraId="6B2CB574" w14:textId="517F5662"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Término empleado en la operativa con productos derivados, que indica que, en la fecha de vencimiento de la operación o contrato, el compromiso se cumple mediante el pago en efectivo de la diferencia entre el precio pactado y el precio de liquidación. Ver</w:t>
      </w:r>
      <w:r w:rsidR="00E107F2" w:rsidRPr="00CF1B34">
        <w:rPr>
          <w:rFonts w:ascii="Arial" w:hAnsi="Arial" w:cs="Arial"/>
          <w:color w:val="212529"/>
          <w:sz w:val="22"/>
          <w:szCs w:val="22"/>
          <w:lang w:val="es-ES_tradnl"/>
        </w:rPr>
        <w:t xml:space="preserve"> </w:t>
      </w:r>
      <w:hyperlink r:id="rId271" w:tgtFrame="_self" w:history="1">
        <w:r w:rsidRPr="00CF1B34">
          <w:rPr>
            <w:rFonts w:ascii="Arial" w:hAnsi="Arial" w:cs="Arial"/>
            <w:b/>
            <w:bCs/>
            <w:color w:val="2F5496" w:themeColor="accent1" w:themeShade="BF"/>
            <w:sz w:val="22"/>
            <w:szCs w:val="22"/>
            <w:u w:val="single"/>
            <w:lang w:val="es-ES_tradnl"/>
          </w:rPr>
          <w:t>Liquidación por entrega</w:t>
        </w:r>
      </w:hyperlink>
      <w:r w:rsidRPr="00CF1B34">
        <w:rPr>
          <w:rFonts w:ascii="Arial" w:hAnsi="Arial" w:cs="Arial"/>
          <w:color w:val="2F5496" w:themeColor="accent1" w:themeShade="BF"/>
          <w:sz w:val="22"/>
          <w:szCs w:val="22"/>
          <w:lang w:val="es-ES_tradnl"/>
        </w:rPr>
        <w:t>.</w:t>
      </w:r>
    </w:p>
    <w:p w14:paraId="2D3A02AD"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Liquidación por entrega</w:t>
      </w:r>
    </w:p>
    <w:p w14:paraId="2585711B" w14:textId="35AA97AE"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Término empleado en la operativa con productos derivados, que indica que, en la fecha de vencimiento de la operación o contrato, el compromiso se cumple mediante la entrega del activo subyacente (por parte del vendedor) a cambio del pago del precio pactado (por parte del comprador). Ver</w:t>
      </w:r>
      <w:r w:rsidR="00E107F2" w:rsidRPr="00CF1B34">
        <w:rPr>
          <w:rFonts w:ascii="Arial" w:hAnsi="Arial" w:cs="Arial"/>
          <w:color w:val="212529"/>
          <w:sz w:val="22"/>
          <w:szCs w:val="22"/>
          <w:lang w:val="es-ES_tradnl"/>
        </w:rPr>
        <w:t xml:space="preserve"> </w:t>
      </w:r>
      <w:hyperlink r:id="rId272" w:tgtFrame="_self" w:history="1">
        <w:r w:rsidRPr="00CF1B34">
          <w:rPr>
            <w:rFonts w:ascii="Arial" w:hAnsi="Arial" w:cs="Arial"/>
            <w:b/>
            <w:bCs/>
            <w:color w:val="2F5496" w:themeColor="accent1" w:themeShade="BF"/>
            <w:sz w:val="22"/>
            <w:szCs w:val="22"/>
            <w:u w:val="single"/>
            <w:lang w:val="es-ES_tradnl"/>
          </w:rPr>
          <w:t>Liquidación por diferencias</w:t>
        </w:r>
      </w:hyperlink>
      <w:r w:rsidRPr="00CF1B34">
        <w:rPr>
          <w:rFonts w:ascii="Arial" w:hAnsi="Arial" w:cs="Arial"/>
          <w:color w:val="2F5496" w:themeColor="accent1" w:themeShade="BF"/>
          <w:sz w:val="22"/>
          <w:szCs w:val="22"/>
          <w:lang w:val="es-ES_tradnl"/>
        </w:rPr>
        <w:t>.</w:t>
      </w:r>
    </w:p>
    <w:p w14:paraId="0B50CC83"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Liquidar</w:t>
      </w:r>
    </w:p>
    <w:p w14:paraId="35C27DCE" w14:textId="78FDF83C"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fase final por la que se culmina una operación sobre valores, mediante la entrega de los títulos por parte del vendedor, y de los fondos por parte del comprador. Si los valores no tienen representación física sino contable (ver</w:t>
      </w:r>
      <w:r w:rsidR="00E107F2" w:rsidRPr="00CF1B34">
        <w:rPr>
          <w:rFonts w:ascii="Arial" w:hAnsi="Arial" w:cs="Arial"/>
          <w:color w:val="212529"/>
          <w:sz w:val="22"/>
          <w:szCs w:val="22"/>
          <w:lang w:val="es-ES_tradnl"/>
        </w:rPr>
        <w:t xml:space="preserve"> </w:t>
      </w:r>
      <w:hyperlink r:id="rId273" w:tgtFrame="_self" w:history="1">
        <w:r w:rsidRPr="00CF1B34">
          <w:rPr>
            <w:rFonts w:ascii="Arial" w:hAnsi="Arial" w:cs="Arial"/>
            <w:b/>
            <w:bCs/>
            <w:color w:val="2F5496" w:themeColor="accent1" w:themeShade="BF"/>
            <w:sz w:val="22"/>
            <w:szCs w:val="22"/>
            <w:u w:val="single"/>
            <w:lang w:val="es-ES_tradnl"/>
          </w:rPr>
          <w:t>Anotaciones en cuenta</w:t>
        </w:r>
      </w:hyperlink>
      <w:r w:rsidRPr="00CF1B34">
        <w:rPr>
          <w:rFonts w:ascii="Arial" w:hAnsi="Arial" w:cs="Arial"/>
          <w:color w:val="2F5496" w:themeColor="accent1" w:themeShade="BF"/>
          <w:sz w:val="22"/>
          <w:szCs w:val="22"/>
          <w:lang w:val="es-ES_tradnl"/>
        </w:rPr>
        <w:t xml:space="preserve">), </w:t>
      </w:r>
      <w:r w:rsidRPr="00CF1B34">
        <w:rPr>
          <w:rFonts w:ascii="Arial" w:hAnsi="Arial" w:cs="Arial"/>
          <w:color w:val="212529"/>
          <w:sz w:val="22"/>
          <w:szCs w:val="22"/>
          <w:lang w:val="es-ES_tradnl"/>
        </w:rPr>
        <w:t>la entrega de los títulos se sustituye por el apunte correspondiente a favor del comprador.</w:t>
      </w:r>
    </w:p>
    <w:p w14:paraId="016114DE" w14:textId="087460FB" w:rsidR="00696A3C" w:rsidRPr="00CF1B34" w:rsidRDefault="00696A3C" w:rsidP="0005621A">
      <w:pPr>
        <w:jc w:val="both"/>
        <w:rPr>
          <w:rFonts w:ascii="Arial" w:hAnsi="Arial" w:cs="Arial"/>
          <w:b/>
          <w:bCs/>
          <w:i/>
          <w:iCs/>
          <w:color w:val="004773"/>
          <w:sz w:val="22"/>
          <w:szCs w:val="22"/>
          <w:lang w:val="es-ES_tradnl"/>
        </w:rPr>
      </w:pPr>
      <w:r w:rsidRPr="00CF1B34">
        <w:rPr>
          <w:rFonts w:ascii="Arial" w:hAnsi="Arial" w:cs="Arial"/>
          <w:b/>
          <w:bCs/>
          <w:color w:val="004773"/>
          <w:sz w:val="22"/>
          <w:szCs w:val="22"/>
          <w:lang w:val="es-ES_tradnl"/>
        </w:rPr>
        <w:t>Liquidez</w:t>
      </w:r>
      <w:r w:rsidR="00A64715" w:rsidRPr="00CF1B34">
        <w:rPr>
          <w:rFonts w:ascii="Arial" w:hAnsi="Arial" w:cs="Arial"/>
          <w:b/>
          <w:bCs/>
          <w:color w:val="004773"/>
          <w:sz w:val="22"/>
          <w:szCs w:val="22"/>
          <w:lang w:val="es-ES_tradnl"/>
        </w:rPr>
        <w:t xml:space="preserve"> (Monetaria – </w:t>
      </w:r>
      <w:r w:rsidR="00A64715" w:rsidRPr="00CF1B34">
        <w:rPr>
          <w:rFonts w:ascii="Arial" w:hAnsi="Arial" w:cs="Arial"/>
          <w:b/>
          <w:bCs/>
          <w:i/>
          <w:iCs/>
          <w:color w:val="004773"/>
          <w:sz w:val="22"/>
          <w:szCs w:val="22"/>
          <w:lang w:val="es-ES_tradnl"/>
        </w:rPr>
        <w:t>MONETARY</w:t>
      </w:r>
      <w:r w:rsidR="00A41157" w:rsidRPr="00CF1B34">
        <w:rPr>
          <w:rFonts w:ascii="Arial" w:hAnsi="Arial" w:cs="Arial"/>
          <w:b/>
          <w:bCs/>
          <w:i/>
          <w:iCs/>
          <w:color w:val="004773"/>
          <w:sz w:val="22"/>
          <w:szCs w:val="22"/>
          <w:lang w:val="es-ES_tradnl"/>
        </w:rPr>
        <w:t xml:space="preserve"> LIQUIDITY</w:t>
      </w:r>
      <w:r w:rsidR="00104206" w:rsidRPr="00CF1B34">
        <w:rPr>
          <w:rFonts w:ascii="Arial" w:hAnsi="Arial" w:cs="Arial"/>
          <w:b/>
          <w:bCs/>
          <w:i/>
          <w:iCs/>
          <w:color w:val="004773"/>
          <w:sz w:val="22"/>
          <w:szCs w:val="22"/>
          <w:lang w:val="es-ES_tradnl"/>
        </w:rPr>
        <w:t>)</w:t>
      </w:r>
      <w:r w:rsidR="00A64715" w:rsidRPr="00CF1B34">
        <w:rPr>
          <w:rFonts w:ascii="Arial" w:hAnsi="Arial" w:cs="Arial"/>
          <w:b/>
          <w:bCs/>
          <w:i/>
          <w:iCs/>
          <w:color w:val="004773"/>
          <w:sz w:val="22"/>
          <w:szCs w:val="22"/>
          <w:lang w:val="es-ES_tradnl"/>
        </w:rPr>
        <w:t xml:space="preserve"> </w:t>
      </w:r>
    </w:p>
    <w:p w14:paraId="116A1496" w14:textId="77777777" w:rsidR="00A64715" w:rsidRPr="00CF1B34" w:rsidRDefault="00696A3C" w:rsidP="0005621A">
      <w:pPr>
        <w:ind w:left="708"/>
        <w:jc w:val="both"/>
        <w:rPr>
          <w:rFonts w:ascii="Arial" w:hAnsi="Arial" w:cs="Arial"/>
          <w:color w:val="000000"/>
          <w:sz w:val="22"/>
          <w:szCs w:val="22"/>
          <w:shd w:val="clear" w:color="auto" w:fill="FFFFFF"/>
          <w:lang w:val="es-ES_tradnl"/>
        </w:rPr>
      </w:pPr>
      <w:r w:rsidRPr="00CF1B34">
        <w:rPr>
          <w:rFonts w:ascii="Arial" w:hAnsi="Arial" w:cs="Arial"/>
          <w:sz w:val="22"/>
          <w:szCs w:val="22"/>
          <w:lang w:val="es-ES_tradnl"/>
        </w:rPr>
        <w:t xml:space="preserve">Cualidad de una inversión, por la cual es posible su transformación inmediata en efectivo. Para los valores cotizados, un buen grado de liquidez significa en general elevados volúmenes y frecuencias de contratación, y escasa diferencia entre los precios de compra </w:t>
      </w:r>
      <w:r w:rsidRPr="00CF1B34">
        <w:rPr>
          <w:rFonts w:ascii="Arial" w:hAnsi="Arial" w:cs="Arial"/>
          <w:sz w:val="22"/>
          <w:szCs w:val="22"/>
          <w:lang w:val="es-ES_tradnl"/>
        </w:rPr>
        <w:lastRenderedPageBreak/>
        <w:t>y venta. Eso significa que se pueden comprar y vender valores, de forma instantánea, sin que el precio de la operación se vea afectado por ausencia de contrapartidas</w:t>
      </w:r>
      <w:r w:rsidR="00A64715" w:rsidRPr="00CF1B34">
        <w:rPr>
          <w:rFonts w:ascii="Arial" w:hAnsi="Arial" w:cs="Arial"/>
          <w:sz w:val="22"/>
          <w:szCs w:val="22"/>
          <w:lang w:val="es-ES_tradnl"/>
        </w:rPr>
        <w:t>.</w:t>
      </w:r>
      <w:r w:rsidR="00A64715" w:rsidRPr="00CF1B34">
        <w:rPr>
          <w:rFonts w:ascii="Arial" w:hAnsi="Arial" w:cs="Arial"/>
          <w:color w:val="000000"/>
          <w:sz w:val="22"/>
          <w:szCs w:val="22"/>
          <w:shd w:val="clear" w:color="auto" w:fill="FFFFFF"/>
          <w:lang w:val="es-ES_tradnl"/>
        </w:rPr>
        <w:t xml:space="preserve"> </w:t>
      </w:r>
    </w:p>
    <w:p w14:paraId="3683CBC2" w14:textId="77777777" w:rsidR="00A64715" w:rsidRPr="00CF1B34" w:rsidRDefault="00A6471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Lo cierto es se refiere al total de activos existentes en la economía que tienen la capacidad de convertirse en dinero efectivo rápidamente y sin ocasionar ninguna disminución en el patrimonio de sus propietarios, a partir de cualquiera de las siguientes figuras: caja chica, cuentas bancarias o títulos monetarios exigibles. En Venezuela está conformada por M1 (Monedas y Billetes y Depósitos a la Vista) más M2 (Depósitos de Ahorro, A Plazo y Cuasi dinero.</w:t>
      </w:r>
    </w:p>
    <w:p w14:paraId="215BE2C7" w14:textId="6B12EE56" w:rsidR="00A41157" w:rsidRPr="00CF1B34" w:rsidRDefault="00A4115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Listado de morosos</w:t>
      </w:r>
    </w:p>
    <w:p w14:paraId="30AB97D7" w14:textId="77777777" w:rsidR="00A41157" w:rsidRPr="00CF1B34" w:rsidRDefault="00A41157" w:rsidP="0005621A">
      <w:pPr>
        <w:ind w:left="708"/>
        <w:jc w:val="both"/>
        <w:rPr>
          <w:rFonts w:ascii="Arial" w:hAnsi="Arial" w:cs="Arial"/>
          <w:sz w:val="22"/>
          <w:szCs w:val="22"/>
        </w:rPr>
      </w:pPr>
      <w:r w:rsidRPr="00CF1B34">
        <w:rPr>
          <w:rFonts w:ascii="Arial" w:hAnsi="Arial" w:cs="Arial"/>
          <w:sz w:val="22"/>
          <w:szCs w:val="22"/>
        </w:rPr>
        <w:t>En períodos de crisis económica las situaciones de impago tienden a aumentar tanto en el ámbito de la empresa como entre particulares. La mejor forma de evitar ser objeto de un impago es adelantarse y para ello nada mejor que consultar los listados de morosos.</w:t>
      </w:r>
    </w:p>
    <w:p w14:paraId="544EF146" w14:textId="77777777" w:rsidR="00A41157" w:rsidRPr="00CF1B34" w:rsidRDefault="00A41157" w:rsidP="004F7A62">
      <w:pPr>
        <w:numPr>
          <w:ilvl w:val="0"/>
          <w:numId w:val="204"/>
        </w:numPr>
        <w:shd w:val="clear" w:color="auto" w:fill="FFFFFF"/>
        <w:spacing w:afterAutospacing="1"/>
        <w:jc w:val="both"/>
        <w:rPr>
          <w:rFonts w:ascii="Arial" w:hAnsi="Arial" w:cs="Arial"/>
          <w:color w:val="000000"/>
          <w:sz w:val="22"/>
          <w:szCs w:val="22"/>
        </w:rPr>
      </w:pPr>
      <w:r w:rsidRPr="00CF1B34">
        <w:rPr>
          <w:rFonts w:ascii="Arial" w:hAnsi="Arial" w:cs="Arial"/>
          <w:color w:val="000000"/>
          <w:sz w:val="22"/>
          <w:szCs w:val="22"/>
        </w:rPr>
        <w:t>El listado de morosos </w:t>
      </w:r>
      <w:r w:rsidRPr="00CF1B34">
        <w:rPr>
          <w:rStyle w:val="highlight-answer"/>
          <w:rFonts w:ascii="Arial" w:hAnsi="Arial" w:cs="Arial"/>
          <w:b/>
          <w:bCs/>
          <w:color w:val="000000"/>
          <w:sz w:val="22"/>
          <w:szCs w:val="22"/>
        </w:rPr>
        <w:t>es un registro que contiene información de personas físicas y jurídicas con impagos pendientes a entidades que prestan servicios de préstamo, como entidades bancarias</w:t>
      </w:r>
      <w:r w:rsidRPr="00CF1B34">
        <w:rPr>
          <w:rFonts w:ascii="Arial" w:hAnsi="Arial" w:cs="Arial"/>
          <w:color w:val="000000"/>
          <w:sz w:val="22"/>
          <w:szCs w:val="22"/>
        </w:rPr>
        <w:t>.</w:t>
      </w:r>
    </w:p>
    <w:p w14:paraId="738AE7A3" w14:textId="77777777" w:rsidR="00A41157" w:rsidRPr="00CF1B34" w:rsidRDefault="00A41157" w:rsidP="004F7A62">
      <w:pPr>
        <w:numPr>
          <w:ilvl w:val="0"/>
          <w:numId w:val="204"/>
        </w:numPr>
        <w:shd w:val="clear" w:color="auto" w:fill="FFFFFF"/>
        <w:spacing w:before="100" w:beforeAutospacing="1"/>
        <w:jc w:val="both"/>
        <w:rPr>
          <w:rFonts w:ascii="Arial" w:hAnsi="Arial" w:cs="Arial"/>
          <w:color w:val="000000"/>
          <w:sz w:val="22"/>
          <w:szCs w:val="22"/>
        </w:rPr>
      </w:pPr>
      <w:r w:rsidRPr="00CF1B34">
        <w:rPr>
          <w:rFonts w:ascii="Arial" w:hAnsi="Arial" w:cs="Arial"/>
          <w:color w:val="000000"/>
          <w:sz w:val="22"/>
          <w:szCs w:val="22"/>
        </w:rPr>
        <w:t>La utilidad de este fichero es conocer las deudas asociadas a personas y empresas.</w:t>
      </w:r>
    </w:p>
    <w:p w14:paraId="262F2389" w14:textId="6020F37B" w:rsidR="00FB0A9F" w:rsidRPr="00CF1B34" w:rsidRDefault="00FB0A9F" w:rsidP="0005621A">
      <w:pPr>
        <w:pStyle w:val="NormalWeb"/>
        <w:shd w:val="clear" w:color="auto" w:fill="FFFFFF"/>
        <w:spacing w:before="0" w:beforeAutospacing="0" w:after="165" w:afterAutospacing="0"/>
        <w:ind w:left="708"/>
        <w:jc w:val="both"/>
        <w:rPr>
          <w:rFonts w:ascii="Arial" w:hAnsi="Arial" w:cs="Arial"/>
          <w:color w:val="2F5496" w:themeColor="accent1" w:themeShade="BF"/>
          <w:sz w:val="22"/>
          <w:szCs w:val="22"/>
        </w:rPr>
      </w:pPr>
      <w:r w:rsidRPr="00CF1B34">
        <w:rPr>
          <w:rFonts w:ascii="Arial" w:hAnsi="Arial" w:cs="Arial"/>
          <w:color w:val="333333"/>
          <w:sz w:val="22"/>
          <w:szCs w:val="22"/>
        </w:rPr>
        <w:t xml:space="preserve">Dichas circunstancias se encuentran reguladas según el </w:t>
      </w:r>
      <w:hyperlink r:id="rId274" w:history="1">
        <w:r w:rsidRPr="00CF1B34">
          <w:rPr>
            <w:rStyle w:val="Hipervnculo"/>
            <w:rFonts w:ascii="Arial" w:hAnsi="Arial" w:cs="Arial"/>
            <w:color w:val="2F5496" w:themeColor="accent1" w:themeShade="BF"/>
            <w:sz w:val="22"/>
            <w:szCs w:val="22"/>
            <w:u w:val="none"/>
          </w:rPr>
          <w:t>artículo 29 de la Ley Orgánica 15/1999</w:t>
        </w:r>
      </w:hyperlink>
      <w:r w:rsidRPr="00CF1B34">
        <w:rPr>
          <w:rFonts w:ascii="Arial" w:hAnsi="Arial" w:cs="Arial"/>
          <w:color w:val="2F5496" w:themeColor="accent1" w:themeShade="BF"/>
          <w:sz w:val="22"/>
          <w:szCs w:val="22"/>
        </w:rPr>
        <w:t>.</w:t>
      </w:r>
    </w:p>
    <w:p w14:paraId="7972F3F7" w14:textId="77777777" w:rsidR="00FB0A9F" w:rsidRPr="00CF1B34" w:rsidRDefault="00FB0A9F" w:rsidP="004F7A62">
      <w:pPr>
        <w:numPr>
          <w:ilvl w:val="0"/>
          <w:numId w:val="205"/>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Deberá de existir de forma previa cierta deuda, que haya vencido y sea exigible, habiendo resultado impagada.</w:t>
      </w:r>
    </w:p>
    <w:p w14:paraId="4A064995" w14:textId="77777777" w:rsidR="00FB0A9F" w:rsidRPr="00CF1B34" w:rsidRDefault="00FB0A9F" w:rsidP="004F7A62">
      <w:pPr>
        <w:numPr>
          <w:ilvl w:val="0"/>
          <w:numId w:val="205"/>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Así como el requerimiento previo de pago a quien corresponda, en su caso, del cumplimiento de la obligación.</w:t>
      </w:r>
    </w:p>
    <w:p w14:paraId="6E41C6E5" w14:textId="2E112E95" w:rsidR="00FB0A9F" w:rsidRPr="00CF1B34" w:rsidRDefault="00FB0A9F" w:rsidP="004F7A62">
      <w:pPr>
        <w:numPr>
          <w:ilvl w:val="0"/>
          <w:numId w:val="205"/>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Además, que el acreedor o en todo caso quien actúe por su cuenta e interés, debe de asegurarse que se dan todos los requisitos exigidos en los anteriores apartados, al momento de hacer la notificación los datos adversos al responsable del fichero común.</w:t>
      </w:r>
    </w:p>
    <w:p w14:paraId="6C78435D" w14:textId="77777777" w:rsidR="00FB0A9F" w:rsidRPr="00CF1B34" w:rsidRDefault="00FB0A9F" w:rsidP="004F7A62">
      <w:pPr>
        <w:numPr>
          <w:ilvl w:val="0"/>
          <w:numId w:val="205"/>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El acreedor deberá esperar cierto tiempo previamente a introducir a una persona en la lista de morosos.</w:t>
      </w:r>
    </w:p>
    <w:p w14:paraId="5CBD3082" w14:textId="4D7ECD79" w:rsidR="00FB0A9F" w:rsidRPr="00CF1B34" w:rsidRDefault="00FB0A9F" w:rsidP="004F7A62">
      <w:pPr>
        <w:numPr>
          <w:ilvl w:val="0"/>
          <w:numId w:val="205"/>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Desde la Agencia Española de Protección de Datos (APD)señalan que solamente</w:t>
      </w:r>
      <w:r w:rsidRPr="00CF1B34">
        <w:rPr>
          <w:rStyle w:val="Textoennegrita"/>
          <w:rFonts w:ascii="Arial" w:hAnsi="Arial" w:cs="Arial"/>
          <w:color w:val="333333"/>
          <w:sz w:val="22"/>
          <w:szCs w:val="22"/>
        </w:rPr>
        <w:t xml:space="preserve"> </w:t>
      </w:r>
      <w:r w:rsidRPr="00CF1B34">
        <w:rPr>
          <w:rStyle w:val="Textoennegrita"/>
          <w:rFonts w:ascii="Arial" w:hAnsi="Arial" w:cs="Arial"/>
          <w:b w:val="0"/>
          <w:bCs w:val="0"/>
          <w:color w:val="333333"/>
          <w:sz w:val="22"/>
          <w:szCs w:val="22"/>
        </w:rPr>
        <w:t>se podrá entrar en dichos ficheros desde el cuarto mes de impago.</w:t>
      </w:r>
    </w:p>
    <w:p w14:paraId="785EBF97" w14:textId="24DC43F3" w:rsidR="00FB0A9F" w:rsidRPr="00CF1B34" w:rsidRDefault="00FB0A9F" w:rsidP="0005621A">
      <w:pPr>
        <w:ind w:left="708"/>
        <w:jc w:val="both"/>
        <w:rPr>
          <w:rFonts w:ascii="Arial" w:hAnsi="Arial" w:cs="Arial"/>
          <w:sz w:val="22"/>
          <w:szCs w:val="22"/>
        </w:rPr>
      </w:pPr>
      <w:r w:rsidRPr="00CF1B34">
        <w:rPr>
          <w:rStyle w:val="Textoennegrita"/>
          <w:rFonts w:ascii="Arial" w:hAnsi="Arial" w:cs="Arial"/>
          <w:b w:val="0"/>
          <w:bCs w:val="0"/>
          <w:color w:val="333333"/>
          <w:sz w:val="22"/>
          <w:szCs w:val="22"/>
        </w:rPr>
        <w:t xml:space="preserve">El gestor de la lista tendrá que informarle a la persona de su inclusión en el fichero en un plazo de 30 días para que éste modifique sus datos. Para </w:t>
      </w:r>
      <w:r w:rsidRPr="00CF1B34">
        <w:rPr>
          <w:rFonts w:ascii="Arial" w:hAnsi="Arial" w:cs="Arial"/>
          <w:color w:val="333333"/>
          <w:sz w:val="22"/>
          <w:szCs w:val="22"/>
          <w:shd w:val="clear" w:color="auto" w:fill="FFFFFF"/>
        </w:rPr>
        <w:t>salirse del registro de morosos se debe de solicitar cancelar la deuda a través de un gestor que puede encontrarse por Internet o físicamente.</w:t>
      </w:r>
    </w:p>
    <w:p w14:paraId="7FA999B8" w14:textId="77777777" w:rsidR="00FB0A9F" w:rsidRPr="00CF1B34" w:rsidRDefault="00FB0A9F" w:rsidP="0005621A">
      <w:pPr>
        <w:pBdr>
          <w:bottom w:val="dotted" w:sz="12" w:space="12" w:color="666666"/>
        </w:pBdr>
        <w:spacing w:after="240"/>
        <w:ind w:left="720"/>
        <w:jc w:val="both"/>
        <w:rPr>
          <w:rFonts w:ascii="Arial" w:hAnsi="Arial" w:cs="Arial"/>
          <w:color w:val="212529"/>
          <w:sz w:val="22"/>
          <w:szCs w:val="22"/>
          <w:lang w:val="es-ES_tradnl"/>
        </w:rPr>
      </w:pPr>
      <w:r w:rsidRPr="00FB0A9F">
        <w:rPr>
          <w:rFonts w:ascii="Arial" w:hAnsi="Arial" w:cs="Arial"/>
          <w:b/>
          <w:bCs/>
          <w:color w:val="333333"/>
          <w:sz w:val="22"/>
          <w:szCs w:val="22"/>
          <w:shd w:val="clear" w:color="auto" w:fill="FFFFFF"/>
        </w:rPr>
        <w:t>El principal problema que generan las listas de morosos, es que son un impedimento a la hora de obtener financiación por parte de las empresas</w:t>
      </w:r>
      <w:r w:rsidRPr="00CF1B34">
        <w:rPr>
          <w:rFonts w:ascii="Arial" w:hAnsi="Arial" w:cs="Arial"/>
          <w:b/>
          <w:bCs/>
          <w:color w:val="333333"/>
          <w:sz w:val="22"/>
          <w:szCs w:val="22"/>
          <w:shd w:val="clear" w:color="auto" w:fill="FFFFFF"/>
        </w:rPr>
        <w:t>.</w:t>
      </w:r>
    </w:p>
    <w:p w14:paraId="5F0FA995" w14:textId="6DAA683F" w:rsidR="00554D8F" w:rsidRPr="00CF1B34" w:rsidRDefault="00554D8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Look-Back Options</w:t>
      </w:r>
    </w:p>
    <w:p w14:paraId="799536CF" w14:textId="5FD1D5D9" w:rsidR="00A772AA" w:rsidRPr="00CF1B34" w:rsidRDefault="00A772A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valor intrínseco final de una opción dependerá del valor máximo o m</w:t>
      </w:r>
      <w:r w:rsidR="00E107F2"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nimo experimentado por el subyacente a lo largo de la vida de la opción (según sea Look-Back Price o Look-Back Strike.</w:t>
      </w:r>
    </w:p>
    <w:p w14:paraId="78FEFB67" w14:textId="2F0D92ED"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Lock-up</w:t>
      </w:r>
    </w:p>
    <w:p w14:paraId="68FF84CD"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Periodo durante el cual no es posible realizar una determinada operación. Los motivos y características de estos “periodos de cierre” varían según el tipo de producto. Por ejemplo, en las ofertas públicas de venta (OPV) algunos accionistas pueden firman un compromiso de lock-up, por el que se obligan a mantener sus acciones durante un periodo determinado; el objetivo es facilitar la colocación entre el público, eliminando la incertidumbre y el descenso de precios que se produciría si algún accionista significativo </w:t>
      </w:r>
      <w:r w:rsidRPr="00CF1B34">
        <w:rPr>
          <w:rFonts w:ascii="Arial" w:hAnsi="Arial" w:cs="Arial"/>
          <w:color w:val="212529"/>
          <w:sz w:val="22"/>
          <w:szCs w:val="22"/>
          <w:lang w:val="es-ES_tradnl"/>
        </w:rPr>
        <w:lastRenderedPageBreak/>
        <w:t>optara por deshacerse de sus acciones. En el ámbito de los fondos de inversión, el lock-up es el periodo durante el que se impide la entrada de nuevos partícipes o la realización de inversiones adicionales en un fondo (situación que suele darse en los fondos de inversión libre o hedge funds, si así lo establece el folleto); el motivo del cierre es que el fondo ya habría alcanzado el volumen de patrimonio idóneo para una gestión eficiente y un aumento del mismo podría suponer, a juicio del gestor, una menor expectativa de rentabilidad para los partícipes.</w:t>
      </w:r>
    </w:p>
    <w:p w14:paraId="1D212182" w14:textId="06E4977A" w:rsidR="00637D33" w:rsidRPr="00CF1B34" w:rsidRDefault="00637D33" w:rsidP="0005621A">
      <w:pPr>
        <w:jc w:val="both"/>
        <w:rPr>
          <w:rFonts w:ascii="Arial" w:hAnsi="Arial" w:cs="Arial"/>
          <w:sz w:val="22"/>
          <w:szCs w:val="22"/>
          <w:lang w:val="es-ES_tradnl"/>
        </w:rPr>
      </w:pPr>
    </w:p>
    <w:p w14:paraId="0A93CEDB" w14:textId="77777777" w:rsidR="00A772AA" w:rsidRPr="00CF1B34" w:rsidRDefault="00A772AA" w:rsidP="0005621A">
      <w:pPr>
        <w:jc w:val="both"/>
        <w:rPr>
          <w:rFonts w:ascii="Arial" w:hAnsi="Arial" w:cs="Arial"/>
          <w:sz w:val="22"/>
          <w:szCs w:val="22"/>
          <w:lang w:val="es-ES_tradnl"/>
        </w:rPr>
      </w:pPr>
    </w:p>
    <w:p w14:paraId="31DE151D" w14:textId="2D969A18" w:rsidR="00637D33" w:rsidRPr="00CF1B34" w:rsidRDefault="00696A3C"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M</w:t>
      </w:r>
    </w:p>
    <w:p w14:paraId="434476F7" w14:textId="63736F7D" w:rsidR="00637D33" w:rsidRPr="00CF1B34" w:rsidRDefault="00637D33" w:rsidP="0005621A">
      <w:pPr>
        <w:jc w:val="both"/>
        <w:rPr>
          <w:rFonts w:ascii="Arial" w:hAnsi="Arial" w:cs="Arial"/>
          <w:sz w:val="22"/>
          <w:szCs w:val="22"/>
          <w:lang w:val="es-ES_tradnl"/>
        </w:rPr>
      </w:pPr>
    </w:p>
    <w:p w14:paraId="5E88F6A2" w14:textId="2CC2A848" w:rsidR="00A772AA" w:rsidRPr="00CF1B34" w:rsidRDefault="00A772AA" w:rsidP="0005621A">
      <w:pPr>
        <w:jc w:val="both"/>
        <w:rPr>
          <w:rFonts w:ascii="Arial" w:hAnsi="Arial" w:cs="Arial"/>
          <w:sz w:val="22"/>
          <w:szCs w:val="22"/>
          <w:lang w:val="es-ES_tradnl"/>
        </w:rPr>
      </w:pPr>
    </w:p>
    <w:p w14:paraId="42BE95D1" w14:textId="079DE21D" w:rsidR="00A64715" w:rsidRPr="00CF1B34" w:rsidRDefault="00A64715"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M1</w:t>
      </w:r>
    </w:p>
    <w:p w14:paraId="5BADE1EE" w14:textId="049F3ADF" w:rsidR="00A64715" w:rsidRPr="00CF1B34" w:rsidRDefault="00A6471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Es uno de los componentes de la Oferta Monetaria y está conformada por las monedas, el papel moneda y todos los depósitos a la vista. Este es el dinero definido en sentido estricto.</w:t>
      </w:r>
    </w:p>
    <w:p w14:paraId="6989E1D1" w14:textId="1EB4EB56" w:rsidR="00A64715" w:rsidRPr="00CF1B34" w:rsidRDefault="00A64715"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M2</w:t>
      </w:r>
    </w:p>
    <w:p w14:paraId="17B1AFC1" w14:textId="77777777" w:rsidR="00A64715" w:rsidRPr="00CF1B34" w:rsidRDefault="00A6471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Es la Oferta Monetaria definida en un sentido más amplio: incluye todos los componentes de M1 más algunos activos líquidos o cuasi dineros.</w:t>
      </w:r>
    </w:p>
    <w:p w14:paraId="23DE8E3E" w14:textId="2ABE7830" w:rsidR="00A52DDD" w:rsidRPr="00CF1B34" w:rsidRDefault="00A52DDD"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M3</w:t>
      </w:r>
    </w:p>
    <w:p w14:paraId="20394AA8" w14:textId="227A4B65" w:rsidR="00A52DDD" w:rsidRPr="00CF1B34" w:rsidRDefault="00A52DDD"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CF1B34">
        <w:rPr>
          <w:rFonts w:ascii="Arial" w:hAnsi="Arial" w:cs="Arial"/>
          <w:color w:val="333333"/>
          <w:sz w:val="22"/>
          <w:szCs w:val="22"/>
        </w:rPr>
        <w:t>De las 3 definiciones de dinero dentro de la masa monetaria, la M3 vendría a ser la que menor grado de liquidez tiene, ya que incluye los siguientes conceptos:</w:t>
      </w:r>
    </w:p>
    <w:p w14:paraId="50F1C43B" w14:textId="77777777" w:rsidR="00A52DDD" w:rsidRPr="00CF1B34" w:rsidRDefault="00A52DDD" w:rsidP="004F7A62">
      <w:pPr>
        <w:numPr>
          <w:ilvl w:val="0"/>
          <w:numId w:val="206"/>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dinero en circulación</w:t>
      </w:r>
    </w:p>
    <w:p w14:paraId="6601E3EC" w14:textId="45D2D782" w:rsidR="00A52DDD" w:rsidRPr="00CF1B34" w:rsidRDefault="00A52DDD" w:rsidP="004F7A62">
      <w:pPr>
        <w:numPr>
          <w:ilvl w:val="0"/>
          <w:numId w:val="206"/>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depósitos a la vista</w:t>
      </w:r>
    </w:p>
    <w:p w14:paraId="7191C26D" w14:textId="77777777" w:rsidR="00A52DDD" w:rsidRPr="00CF1B34" w:rsidRDefault="00A52DDD" w:rsidP="004F7A62">
      <w:pPr>
        <w:numPr>
          <w:ilvl w:val="0"/>
          <w:numId w:val="206"/>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depósitos a plazo hasta 2 años</w:t>
      </w:r>
    </w:p>
    <w:p w14:paraId="7FDCCCCD" w14:textId="77777777" w:rsidR="00A52DDD" w:rsidRPr="00CF1B34" w:rsidRDefault="00A52DDD" w:rsidP="004F7A62">
      <w:pPr>
        <w:numPr>
          <w:ilvl w:val="0"/>
          <w:numId w:val="206"/>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depósitos disponibles con preaviso de 3 meses</w:t>
      </w:r>
    </w:p>
    <w:p w14:paraId="54A9C264" w14:textId="77777777" w:rsidR="00A52DDD" w:rsidRPr="00CF1B34" w:rsidRDefault="00A52DDD" w:rsidP="004F7A62">
      <w:pPr>
        <w:numPr>
          <w:ilvl w:val="0"/>
          <w:numId w:val="206"/>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cesiones temporales</w:t>
      </w:r>
    </w:p>
    <w:p w14:paraId="0F936227" w14:textId="42E75698" w:rsidR="00A52DDD" w:rsidRPr="00CF1B34" w:rsidRDefault="00A52DDD" w:rsidP="004F7A62">
      <w:pPr>
        <w:numPr>
          <w:ilvl w:val="0"/>
          <w:numId w:val="206"/>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participaciones en fondos del mercado monetario</w:t>
      </w:r>
    </w:p>
    <w:p w14:paraId="24293442" w14:textId="77777777" w:rsidR="00A52DDD" w:rsidRPr="00CF1B34" w:rsidRDefault="00A52DDD" w:rsidP="004F7A62">
      <w:pPr>
        <w:numPr>
          <w:ilvl w:val="0"/>
          <w:numId w:val="206"/>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instrumentos del mercado monetario</w:t>
      </w:r>
    </w:p>
    <w:p w14:paraId="5BC68365" w14:textId="77777777" w:rsidR="00A52DDD" w:rsidRPr="00CF1B34" w:rsidRDefault="00A52DDD" w:rsidP="004F7A62">
      <w:pPr>
        <w:numPr>
          <w:ilvl w:val="0"/>
          <w:numId w:val="206"/>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valores -exceptuando las acciones- emitidos hasta 2 años</w:t>
      </w:r>
    </w:p>
    <w:p w14:paraId="2467A83B" w14:textId="77777777" w:rsidR="00A52DDD" w:rsidRPr="00CF1B34" w:rsidRDefault="00A52DD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rPr>
        <w:t xml:space="preserve">Los dos primeros puntos conforman la </w:t>
      </w:r>
      <w:r w:rsidRPr="00CF1B34">
        <w:rPr>
          <w:rStyle w:val="Textoennegrita"/>
          <w:rFonts w:ascii="Arial" w:hAnsi="Arial" w:cs="Arial"/>
          <w:color w:val="333333"/>
          <w:sz w:val="22"/>
          <w:szCs w:val="22"/>
        </w:rPr>
        <w:t>M1</w:t>
      </w:r>
      <w:r w:rsidRPr="00CF1B34">
        <w:rPr>
          <w:rFonts w:ascii="Arial" w:hAnsi="Arial" w:cs="Arial"/>
          <w:color w:val="333333"/>
          <w:sz w:val="22"/>
          <w:szCs w:val="22"/>
        </w:rPr>
        <w:t xml:space="preserve">, los cuatro primeros conforman la </w:t>
      </w:r>
      <w:r w:rsidRPr="00CF1B34">
        <w:rPr>
          <w:rStyle w:val="Textoennegrita"/>
          <w:rFonts w:ascii="Arial" w:hAnsi="Arial" w:cs="Arial"/>
          <w:color w:val="333333"/>
          <w:sz w:val="22"/>
          <w:szCs w:val="22"/>
        </w:rPr>
        <w:t>M2</w:t>
      </w:r>
      <w:r w:rsidRPr="00CF1B34">
        <w:rPr>
          <w:rFonts w:ascii="Arial" w:hAnsi="Arial" w:cs="Arial"/>
          <w:color w:val="333333"/>
          <w:sz w:val="22"/>
          <w:szCs w:val="22"/>
        </w:rPr>
        <w:t xml:space="preserve">, y todos conforman la </w:t>
      </w:r>
      <w:r w:rsidRPr="00CF1B34">
        <w:rPr>
          <w:rStyle w:val="Textoennegrita"/>
          <w:rFonts w:ascii="Arial" w:hAnsi="Arial" w:cs="Arial"/>
          <w:color w:val="333333"/>
          <w:sz w:val="22"/>
          <w:szCs w:val="22"/>
        </w:rPr>
        <w:t>M3</w:t>
      </w:r>
      <w:r w:rsidRPr="00CF1B34">
        <w:rPr>
          <w:rFonts w:ascii="Arial" w:hAnsi="Arial" w:cs="Arial"/>
          <w:color w:val="333333"/>
          <w:sz w:val="22"/>
          <w:szCs w:val="22"/>
        </w:rPr>
        <w:t>. Podemos ver a simple vista que es casi la totalidad del dinero que existe, y por eso es la</w:t>
      </w:r>
      <w:r w:rsidRPr="00CF1B34">
        <w:rPr>
          <w:rStyle w:val="Textoennegrita"/>
          <w:rFonts w:ascii="Arial" w:hAnsi="Arial" w:cs="Arial"/>
          <w:color w:val="333333"/>
          <w:sz w:val="22"/>
          <w:szCs w:val="22"/>
        </w:rPr>
        <w:t xml:space="preserve"> menos líquida.</w:t>
      </w:r>
    </w:p>
    <w:p w14:paraId="4DAB667B" w14:textId="31B8617F" w:rsidR="00686163" w:rsidRPr="00CF1B34" w:rsidRDefault="00686163"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Mandato de gestión</w:t>
      </w:r>
    </w:p>
    <w:p w14:paraId="0C9D97AF" w14:textId="77777777" w:rsidR="0068117D" w:rsidRPr="00CF1B34" w:rsidRDefault="00B0306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Contrato entre un agente económico poseedor de liquide, pero que no desea gestionarla, y un intermediario acreditado, especializado en la gestión de valores</w:t>
      </w:r>
      <w:r w:rsidR="0068117D" w:rsidRPr="00CF1B34">
        <w:rPr>
          <w:rFonts w:ascii="Arial" w:hAnsi="Arial" w:cs="Arial"/>
          <w:color w:val="000000" w:themeColor="text1"/>
          <w:sz w:val="22"/>
          <w:szCs w:val="22"/>
          <w:lang w:val="es-ES_tradnl"/>
        </w:rPr>
        <w:t xml:space="preserve"> móviles.</w:t>
      </w:r>
    </w:p>
    <w:p w14:paraId="5E7D044D" w14:textId="3478C9F7" w:rsidR="00A52DDD" w:rsidRPr="00CF1B34" w:rsidRDefault="00A52DD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Manual de calidad en la franquicia</w:t>
      </w:r>
    </w:p>
    <w:p w14:paraId="71152877" w14:textId="1025A6FD" w:rsidR="00A52DDD" w:rsidRPr="00CF1B34" w:rsidRDefault="00A52DDD" w:rsidP="0005621A">
      <w:pPr>
        <w:pBdr>
          <w:bottom w:val="dotted" w:sz="12" w:space="12" w:color="666666"/>
        </w:pBdr>
        <w:spacing w:after="240"/>
        <w:ind w:left="720"/>
        <w:jc w:val="both"/>
        <w:rPr>
          <w:rFonts w:ascii="Arial" w:hAnsi="Arial" w:cs="Arial"/>
          <w:color w:val="212529"/>
          <w:sz w:val="22"/>
          <w:szCs w:val="22"/>
          <w:lang w:val="es-ES_tradnl"/>
        </w:rPr>
      </w:pPr>
      <w:r w:rsidRPr="00A52DDD">
        <w:rPr>
          <w:rFonts w:ascii="Arial" w:hAnsi="Arial" w:cs="Arial"/>
          <w:color w:val="333333"/>
          <w:sz w:val="22"/>
          <w:szCs w:val="22"/>
          <w:shd w:val="clear" w:color="auto" w:fill="FFFFFF"/>
        </w:rPr>
        <w:t>Un</w:t>
      </w:r>
      <w:r w:rsidRPr="00CF1B34">
        <w:rPr>
          <w:rFonts w:ascii="Arial" w:hAnsi="Arial" w:cs="Arial"/>
          <w:color w:val="333333"/>
          <w:sz w:val="22"/>
          <w:szCs w:val="22"/>
          <w:shd w:val="clear" w:color="auto" w:fill="FFFFFF"/>
        </w:rPr>
        <w:t xml:space="preserve"> Manual de Calidad </w:t>
      </w:r>
      <w:r w:rsidRPr="00A52DDD">
        <w:rPr>
          <w:rFonts w:ascii="Arial" w:hAnsi="Arial" w:cs="Arial"/>
          <w:color w:val="333333"/>
          <w:sz w:val="22"/>
          <w:szCs w:val="22"/>
          <w:shd w:val="clear" w:color="auto" w:fill="FFFFFF"/>
        </w:rPr>
        <w:t>recoge las normas de comportamiento y actuación relacionadas con el cliente o que determinan la imagen que del negocio obtiene el propio cliente. Entre los aspectos que corresponden al Manual de Calidad podemos destacar los siguientes: la atención telefónica, el</w:t>
      </w:r>
      <w:r w:rsidRPr="00CF1B34">
        <w:rPr>
          <w:rFonts w:ascii="Arial" w:hAnsi="Arial" w:cs="Arial"/>
          <w:color w:val="333333"/>
          <w:sz w:val="22"/>
          <w:szCs w:val="22"/>
          <w:shd w:val="clear" w:color="auto" w:fill="FFFFFF"/>
        </w:rPr>
        <w:t xml:space="preserve"> </w:t>
      </w:r>
      <w:r w:rsidRPr="00A52DDD">
        <w:rPr>
          <w:rFonts w:ascii="Arial" w:hAnsi="Arial" w:cs="Arial"/>
          <w:i/>
          <w:iCs/>
          <w:color w:val="333333"/>
          <w:sz w:val="22"/>
          <w:szCs w:val="22"/>
          <w:shd w:val="clear" w:color="auto" w:fill="FFFFFF"/>
        </w:rPr>
        <w:t>cara a cara</w:t>
      </w:r>
      <w:r w:rsidRPr="00CF1B34">
        <w:rPr>
          <w:rFonts w:ascii="Arial" w:hAnsi="Arial" w:cs="Arial"/>
          <w:color w:val="333333"/>
          <w:sz w:val="22"/>
          <w:szCs w:val="22"/>
          <w:shd w:val="clear" w:color="auto" w:fill="FFFFFF"/>
        </w:rPr>
        <w:t xml:space="preserve"> </w:t>
      </w:r>
      <w:r w:rsidRPr="00A52DDD">
        <w:rPr>
          <w:rFonts w:ascii="Arial" w:hAnsi="Arial" w:cs="Arial"/>
          <w:color w:val="333333"/>
          <w:sz w:val="22"/>
          <w:szCs w:val="22"/>
          <w:shd w:val="clear" w:color="auto" w:fill="FFFFFF"/>
        </w:rPr>
        <w:t xml:space="preserve">con el cliente, el proceso de venta, aspectos </w:t>
      </w:r>
      <w:r w:rsidRPr="00A52DDD">
        <w:rPr>
          <w:rFonts w:ascii="Arial" w:hAnsi="Arial" w:cs="Arial"/>
          <w:color w:val="333333"/>
          <w:sz w:val="22"/>
          <w:szCs w:val="22"/>
          <w:shd w:val="clear" w:color="auto" w:fill="FFFFFF"/>
        </w:rPr>
        <w:lastRenderedPageBreak/>
        <w:t>referentes al orden y la limpieza del establecimiento, las ausencias de personal y sus efectos en la calidad y todo lo que tiene que ver con fallos y las quejas.</w:t>
      </w:r>
    </w:p>
    <w:p w14:paraId="4C66E190" w14:textId="25939DE3"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Margen bruto</w:t>
      </w:r>
    </w:p>
    <w:p w14:paraId="21E82B3B" w14:textId="2B746803"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diferencia entre los ingresos por ventas obtenidos por una compañía y los costes directos de producción (es decir, sin incluir las amortizaciones ni los gastos financieros y comerciales). Normalmente se expresa como porcentaje sobre el total de las ventas; est</w:t>
      </w:r>
      <w:r w:rsidR="00357A83" w:rsidRPr="00CF1B34">
        <w:rPr>
          <w:rFonts w:ascii="Arial" w:hAnsi="Arial" w:cs="Arial"/>
          <w:color w:val="212529"/>
          <w:sz w:val="22"/>
          <w:szCs w:val="22"/>
          <w:lang w:val="es-ES_tradnl"/>
        </w:rPr>
        <w:t>a</w:t>
      </w:r>
      <w:r w:rsidRPr="00CF1B34">
        <w:rPr>
          <w:rFonts w:ascii="Arial" w:hAnsi="Arial" w:cs="Arial"/>
          <w:color w:val="212529"/>
          <w:sz w:val="22"/>
          <w:szCs w:val="22"/>
          <w:lang w:val="es-ES_tradnl"/>
        </w:rPr>
        <w:t xml:space="preserve"> ratio es una medida de la eficiencia operativa de la empresa, ya que indica la rentabilidad neta de cada unidad monetaria facturada.</w:t>
      </w:r>
    </w:p>
    <w:p w14:paraId="14C8E5E2" w14:textId="260DE2CC" w:rsidR="00686163" w:rsidRPr="00CF1B34" w:rsidRDefault="0068616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Margen de explotación</w:t>
      </w:r>
    </w:p>
    <w:p w14:paraId="4F0DB405" w14:textId="4AE42094" w:rsidR="0068117D" w:rsidRPr="00CF1B34" w:rsidRDefault="0068117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Escal</w:t>
      </w:r>
      <w:r w:rsidR="00A64715" w:rsidRPr="00CF1B34">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 intermedio de la cuenta de resultados analítica de los bancos y cajas de ahorros que se obtiene como resultado de restar al margen ordinario los gastos de explotación (gastos generales, de personal, tributos y amortizaciones).</w:t>
      </w:r>
    </w:p>
    <w:p w14:paraId="6CB2DF3E" w14:textId="70A0BCF6" w:rsidR="00686163" w:rsidRPr="00CF1B34" w:rsidRDefault="0068616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Margen de garant</w:t>
      </w:r>
      <w:r w:rsidR="00A64715" w:rsidRPr="00CF1B34">
        <w:rPr>
          <w:rFonts w:ascii="Arial" w:hAnsi="Arial" w:cs="Arial"/>
          <w:b/>
          <w:bCs/>
          <w:color w:val="004773"/>
          <w:sz w:val="22"/>
          <w:szCs w:val="22"/>
          <w:lang w:val="es-ES_tradnl"/>
        </w:rPr>
        <w:t>í</w:t>
      </w:r>
      <w:r w:rsidRPr="00CF1B34">
        <w:rPr>
          <w:rFonts w:ascii="Arial" w:hAnsi="Arial" w:cs="Arial"/>
          <w:b/>
          <w:bCs/>
          <w:color w:val="004773"/>
          <w:sz w:val="22"/>
          <w:szCs w:val="22"/>
          <w:lang w:val="es-ES_tradnl"/>
        </w:rPr>
        <w:t>a</w:t>
      </w:r>
    </w:p>
    <w:p w14:paraId="0F423691" w14:textId="77777777" w:rsidR="00C27521" w:rsidRPr="00CF1B34" w:rsidRDefault="00454F8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Técnica referida al mercado de opciones. En el caso en que la cobertura de un inversor se revele insuficiente a merced de las variaciones de la cotización, el intermedio procede a realizar una petición de fondos </w:t>
      </w:r>
      <w:r w:rsidR="00C27521" w:rsidRPr="00CF1B34">
        <w:rPr>
          <w:rFonts w:ascii="Arial" w:hAnsi="Arial" w:cs="Arial"/>
          <w:color w:val="000000" w:themeColor="text1"/>
          <w:sz w:val="22"/>
          <w:szCs w:val="22"/>
          <w:lang w:val="es-ES_tradnl"/>
        </w:rPr>
        <w:t xml:space="preserve"> con el fin de completar su deposito. Si esto no se respeta, la posición del inversor será liquidada.</w:t>
      </w:r>
    </w:p>
    <w:p w14:paraId="677080FA" w14:textId="16509D4D" w:rsidR="0068117D" w:rsidRPr="00CF1B34" w:rsidRDefault="0068117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Margen de </w:t>
      </w:r>
      <w:r w:rsidR="00A64715" w:rsidRPr="00CF1B34">
        <w:rPr>
          <w:rFonts w:ascii="Arial" w:hAnsi="Arial" w:cs="Arial"/>
          <w:b/>
          <w:bCs/>
          <w:color w:val="004773"/>
          <w:sz w:val="22"/>
          <w:szCs w:val="22"/>
          <w:lang w:val="es-ES_tradnl"/>
        </w:rPr>
        <w:t>intermediación (financiera)</w:t>
      </w:r>
    </w:p>
    <w:p w14:paraId="62CF7C94" w14:textId="6AE7E06A" w:rsidR="006F6C30" w:rsidRPr="00CF1B34" w:rsidRDefault="00C2752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Primer escal</w:t>
      </w:r>
      <w:r w:rsidR="00A64715" w:rsidRPr="00CF1B34">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 de la cuenta  de resultados analítica de bancos y cajas de ahorros, formado por la diferencia entre productos (créditos, inversión en valores y colocaciones</w:t>
      </w:r>
      <w:r w:rsidR="006F6C30" w:rsidRPr="00CF1B34">
        <w:rPr>
          <w:rFonts w:ascii="Arial" w:hAnsi="Arial" w:cs="Arial"/>
          <w:color w:val="000000" w:themeColor="text1"/>
          <w:sz w:val="22"/>
          <w:szCs w:val="22"/>
          <w:lang w:val="es-ES_tradnl"/>
        </w:rPr>
        <w:t xml:space="preserve"> en otros intermediarios financieros y empréstitos). También suele denominarse margen financiero.</w:t>
      </w:r>
    </w:p>
    <w:p w14:paraId="63DB7530" w14:textId="797EB15C" w:rsidR="00454F8C" w:rsidRPr="00CF1B34" w:rsidRDefault="00454F8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Margen financiero</w:t>
      </w:r>
    </w:p>
    <w:p w14:paraId="2033B438" w14:textId="77777777" w:rsidR="006F6C30" w:rsidRPr="00CF1B34" w:rsidRDefault="006F6C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Diferencia entre productos financieros y coste financieros.</w:t>
      </w:r>
    </w:p>
    <w:p w14:paraId="1E848149" w14:textId="0ABFA498" w:rsidR="006F6C30" w:rsidRPr="00CF1B34" w:rsidRDefault="006F6C3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Margen operacional</w:t>
      </w:r>
    </w:p>
    <w:p w14:paraId="696045AF" w14:textId="77777777" w:rsidR="008E5451" w:rsidRPr="00CF1B34" w:rsidRDefault="006F6C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Suma del margen financiero y los productos y servicios</w:t>
      </w:r>
      <w:r w:rsidR="008E5451" w:rsidRPr="00CF1B34">
        <w:rPr>
          <w:rFonts w:ascii="Arial" w:hAnsi="Arial" w:cs="Arial"/>
          <w:color w:val="000000" w:themeColor="text1"/>
          <w:sz w:val="22"/>
          <w:szCs w:val="22"/>
          <w:lang w:val="es-ES_tradnl"/>
        </w:rPr>
        <w:t>.</w:t>
      </w:r>
    </w:p>
    <w:p w14:paraId="62CF28B5" w14:textId="1CC034E9"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Margen operativo</w:t>
      </w:r>
    </w:p>
    <w:p w14:paraId="4059A363" w14:textId="27D7845C" w:rsidR="00696A3C" w:rsidRPr="00CF1B34" w:rsidRDefault="00696A3C"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Ratio que indica el porcentaje que supone el beneficio antes de intereses e impuestos (BAII) sobre el total de las ventas. A diferencia del margen bruto, tiene en cuenta todos los costes operativos, incluidas las amortizaciones (aunque igualmente excluye los gastos financieros). Ver</w:t>
      </w:r>
      <w:r w:rsidR="00DB1CB5" w:rsidRPr="00CF1B34">
        <w:rPr>
          <w:rFonts w:ascii="Arial" w:hAnsi="Arial" w:cs="Arial"/>
          <w:color w:val="212529"/>
          <w:sz w:val="22"/>
          <w:szCs w:val="22"/>
          <w:lang w:val="es-ES_tradnl"/>
        </w:rPr>
        <w:t xml:space="preserve"> </w:t>
      </w:r>
      <w:hyperlink r:id="rId275" w:tgtFrame="_self" w:history="1">
        <w:r w:rsidRPr="00CF1B34">
          <w:rPr>
            <w:rFonts w:ascii="Arial" w:hAnsi="Arial" w:cs="Arial"/>
            <w:b/>
            <w:bCs/>
            <w:color w:val="2F5496" w:themeColor="accent1" w:themeShade="BF"/>
            <w:sz w:val="22"/>
            <w:szCs w:val="22"/>
            <w:u w:val="single"/>
            <w:lang w:val="es-ES_tradnl"/>
          </w:rPr>
          <w:t>BAII (beneficio antes de intereses e impuestos)</w:t>
        </w:r>
      </w:hyperlink>
      <w:r w:rsidR="00DB1CB5" w:rsidRPr="00CF1B34">
        <w:rPr>
          <w:rFonts w:ascii="Arial" w:hAnsi="Arial" w:cs="Arial"/>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w:t>
      </w:r>
      <w:r w:rsidR="00DB1CB5" w:rsidRPr="00CF1B34">
        <w:rPr>
          <w:rFonts w:ascii="Arial" w:hAnsi="Arial" w:cs="Arial"/>
          <w:color w:val="2F5496" w:themeColor="accent1" w:themeShade="BF"/>
          <w:sz w:val="22"/>
          <w:szCs w:val="22"/>
          <w:lang w:val="es-ES_tradnl"/>
        </w:rPr>
        <w:t xml:space="preserve"> </w:t>
      </w:r>
      <w:hyperlink r:id="rId276" w:tgtFrame="_self" w:history="1">
        <w:r w:rsidRPr="00CF1B34">
          <w:rPr>
            <w:rFonts w:ascii="Arial" w:hAnsi="Arial" w:cs="Arial"/>
            <w:b/>
            <w:bCs/>
            <w:color w:val="2F5496" w:themeColor="accent1" w:themeShade="BF"/>
            <w:sz w:val="22"/>
            <w:szCs w:val="22"/>
            <w:u w:val="single"/>
            <w:lang w:val="es-ES_tradnl"/>
          </w:rPr>
          <w:t>Margen bruto</w:t>
        </w:r>
      </w:hyperlink>
      <w:r w:rsidRPr="00CF1B34">
        <w:rPr>
          <w:rFonts w:ascii="Arial" w:hAnsi="Arial" w:cs="Arial"/>
          <w:color w:val="2F5496" w:themeColor="accent1" w:themeShade="BF"/>
          <w:sz w:val="22"/>
          <w:szCs w:val="22"/>
          <w:lang w:val="es-ES_tradnl"/>
        </w:rPr>
        <w:t>.</w:t>
      </w:r>
    </w:p>
    <w:p w14:paraId="53D33251" w14:textId="3C5A9E03" w:rsidR="008E5451" w:rsidRPr="00CF1B34" w:rsidRDefault="008E545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Margen ordinario</w:t>
      </w:r>
    </w:p>
    <w:p w14:paraId="5B9DA00C" w14:textId="274CA566" w:rsidR="00210C2D" w:rsidRPr="00CF1B34" w:rsidRDefault="00E076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Escal</w:t>
      </w:r>
      <w:r w:rsidR="00A64715" w:rsidRPr="00CF1B34">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 i</w:t>
      </w:r>
      <w:r w:rsidR="00457F95" w:rsidRPr="00CF1B34">
        <w:rPr>
          <w:rFonts w:ascii="Arial" w:hAnsi="Arial" w:cs="Arial"/>
          <w:color w:val="000000" w:themeColor="text1"/>
          <w:sz w:val="22"/>
          <w:szCs w:val="22"/>
          <w:lang w:val="es-ES_tradnl"/>
        </w:rPr>
        <w:t>n</w:t>
      </w:r>
      <w:r w:rsidRPr="00CF1B34">
        <w:rPr>
          <w:rFonts w:ascii="Arial" w:hAnsi="Arial" w:cs="Arial"/>
          <w:color w:val="000000" w:themeColor="text1"/>
          <w:sz w:val="22"/>
          <w:szCs w:val="22"/>
          <w:lang w:val="es-ES_tradnl"/>
        </w:rPr>
        <w:t>term</w:t>
      </w:r>
      <w:r w:rsidR="00457F95" w:rsidRPr="00CF1B34">
        <w:rPr>
          <w:rFonts w:ascii="Arial" w:hAnsi="Arial" w:cs="Arial"/>
          <w:color w:val="000000" w:themeColor="text1"/>
          <w:sz w:val="22"/>
          <w:szCs w:val="22"/>
          <w:lang w:val="es-ES_tradnl"/>
        </w:rPr>
        <w:t>e</w:t>
      </w:r>
      <w:r w:rsidRPr="00CF1B34">
        <w:rPr>
          <w:rFonts w:ascii="Arial" w:hAnsi="Arial" w:cs="Arial"/>
          <w:color w:val="000000" w:themeColor="text1"/>
          <w:sz w:val="22"/>
          <w:szCs w:val="22"/>
          <w:lang w:val="es-ES_tradnl"/>
        </w:rPr>
        <w:t>dio de la cuenta de resultados analítica de bancos y cajas de ahorros</w:t>
      </w:r>
      <w:r w:rsidR="00457F95" w:rsidRPr="00CF1B34">
        <w:rPr>
          <w:rFonts w:ascii="Arial" w:hAnsi="Arial" w:cs="Arial"/>
          <w:color w:val="000000" w:themeColor="text1"/>
          <w:sz w:val="22"/>
          <w:szCs w:val="22"/>
          <w:lang w:val="es-ES_tradnl"/>
        </w:rPr>
        <w:t xml:space="preserve"> que resulta del añadir al margen de intermediación el importe neto de otros productos ordinarios (debido</w:t>
      </w:r>
      <w:r w:rsidR="00210C2D" w:rsidRPr="00CF1B34">
        <w:rPr>
          <w:rFonts w:ascii="Arial" w:hAnsi="Arial" w:cs="Arial"/>
          <w:color w:val="000000" w:themeColor="text1"/>
          <w:sz w:val="22"/>
          <w:szCs w:val="22"/>
          <w:lang w:val="es-ES_tradnl"/>
        </w:rPr>
        <w:t xml:space="preserve"> </w:t>
      </w:r>
      <w:r w:rsidR="00457F95" w:rsidRPr="00CF1B34">
        <w:rPr>
          <w:rFonts w:ascii="Arial" w:hAnsi="Arial" w:cs="Arial"/>
          <w:color w:val="000000" w:themeColor="text1"/>
          <w:sz w:val="22"/>
          <w:szCs w:val="22"/>
          <w:lang w:val="es-ES_tradnl"/>
        </w:rPr>
        <w:t>principalmente a las comisiones netas por la prestación de servicios financieros y la asunción de riesgos</w:t>
      </w:r>
      <w:r w:rsidR="00210C2D" w:rsidRPr="00CF1B34">
        <w:rPr>
          <w:rFonts w:ascii="Arial" w:hAnsi="Arial" w:cs="Arial"/>
          <w:color w:val="000000" w:themeColor="text1"/>
          <w:sz w:val="22"/>
          <w:szCs w:val="22"/>
          <w:lang w:val="es-ES_tradnl"/>
        </w:rPr>
        <w:t xml:space="preserve"> de firma, asi como a los resultados de intermediación financiera y de diferencias de cambio).</w:t>
      </w:r>
    </w:p>
    <w:p w14:paraId="314B7E07" w14:textId="6DF906E8" w:rsidR="00210C2D" w:rsidRPr="00CF1B34" w:rsidRDefault="00B1504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M</w:t>
      </w:r>
      <w:r w:rsidR="00210C2D" w:rsidRPr="00CF1B34">
        <w:rPr>
          <w:rFonts w:ascii="Arial" w:hAnsi="Arial" w:cs="Arial"/>
          <w:b/>
          <w:bCs/>
          <w:color w:val="004773"/>
          <w:sz w:val="22"/>
          <w:szCs w:val="22"/>
          <w:lang w:val="es-ES_tradnl"/>
        </w:rPr>
        <w:t>arket</w:t>
      </w:r>
      <w:r w:rsidRPr="00CF1B34">
        <w:rPr>
          <w:rFonts w:ascii="Arial" w:hAnsi="Arial" w:cs="Arial"/>
          <w:b/>
          <w:bCs/>
          <w:color w:val="004773"/>
          <w:sz w:val="22"/>
          <w:szCs w:val="22"/>
          <w:lang w:val="es-ES_tradnl"/>
        </w:rPr>
        <w:t>-maker o creador de mercado</w:t>
      </w:r>
    </w:p>
    <w:p w14:paraId="0C0B2039" w14:textId="77777777" w:rsidR="00B1504F" w:rsidRPr="00CF1B34" w:rsidRDefault="00B1504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Entidades gestoras que se caracterizan por el compromiso de cotizar continuamente en el mercado de precios de oferta y demanda respecto del valor o valores para los que hace market-maker, y esta dispuesto a comprar o vender esos valores a los precios a los precios que publica.</w:t>
      </w:r>
    </w:p>
    <w:p w14:paraId="0F9A5EB7" w14:textId="26A04FA9" w:rsidR="00357A83" w:rsidRPr="00CF1B34" w:rsidRDefault="00357A8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Masa Monetaria</w:t>
      </w:r>
    </w:p>
    <w:p w14:paraId="425731DC" w14:textId="06C9C9D7" w:rsidR="00357A83" w:rsidRPr="00CF1B34" w:rsidRDefault="00357A83" w:rsidP="0005621A">
      <w:pPr>
        <w:ind w:left="708"/>
        <w:jc w:val="both"/>
        <w:rPr>
          <w:rFonts w:ascii="Arial" w:hAnsi="Arial" w:cs="Arial"/>
          <w:sz w:val="22"/>
          <w:szCs w:val="22"/>
        </w:rPr>
      </w:pPr>
      <w:r w:rsidRPr="00CF1B34">
        <w:rPr>
          <w:rFonts w:ascii="Arial" w:hAnsi="Arial" w:cs="Arial"/>
          <w:sz w:val="22"/>
          <w:szCs w:val="22"/>
        </w:rPr>
        <w:t xml:space="preserve">Podemos definirla como la </w:t>
      </w:r>
      <w:r w:rsidRPr="00CF1B34">
        <w:rPr>
          <w:rFonts w:ascii="Arial" w:hAnsi="Arial" w:cs="Arial"/>
          <w:b/>
          <w:bCs/>
          <w:sz w:val="22"/>
          <w:szCs w:val="22"/>
        </w:rPr>
        <w:t xml:space="preserve">cantidad de «dinero» existente en una economía. </w:t>
      </w:r>
      <w:r w:rsidRPr="00CF1B34">
        <w:rPr>
          <w:rFonts w:ascii="Arial" w:hAnsi="Arial" w:cs="Arial"/>
          <w:sz w:val="22"/>
          <w:szCs w:val="22"/>
        </w:rPr>
        <w:t>En realidad, existen miles de definiciones, pero en general entendemos por «</w:t>
      </w:r>
      <w:r w:rsidRPr="00CF1B34">
        <w:rPr>
          <w:rFonts w:ascii="Arial" w:hAnsi="Arial" w:cs="Arial"/>
          <w:i/>
          <w:iCs/>
          <w:sz w:val="22"/>
          <w:szCs w:val="22"/>
        </w:rPr>
        <w:t>dinero</w:t>
      </w:r>
      <w:r w:rsidRPr="00CF1B34">
        <w:rPr>
          <w:rFonts w:ascii="Arial" w:hAnsi="Arial" w:cs="Arial"/>
          <w:sz w:val="22"/>
          <w:szCs w:val="22"/>
        </w:rPr>
        <w:t xml:space="preserve">» el efectivo en manos del público más los depósitos bancarios. </w:t>
      </w:r>
    </w:p>
    <w:p w14:paraId="00C774F8" w14:textId="77777777" w:rsidR="00357A83" w:rsidRPr="00CF1B34" w:rsidRDefault="00357A83" w:rsidP="0005621A">
      <w:pPr>
        <w:ind w:firstLine="708"/>
        <w:jc w:val="both"/>
        <w:rPr>
          <w:rFonts w:ascii="Arial" w:hAnsi="Arial" w:cs="Arial"/>
          <w:sz w:val="22"/>
          <w:szCs w:val="22"/>
        </w:rPr>
      </w:pPr>
      <w:r w:rsidRPr="00CF1B34">
        <w:rPr>
          <w:rFonts w:ascii="Arial" w:hAnsi="Arial" w:cs="Arial"/>
          <w:sz w:val="22"/>
          <w:szCs w:val="22"/>
        </w:rPr>
        <w:t>El dinero en si mismo cumple con 2 funciones importantes:</w:t>
      </w:r>
    </w:p>
    <w:p w14:paraId="7E2DA7A0" w14:textId="6F3119F3" w:rsidR="00357A83" w:rsidRPr="00CF1B34" w:rsidRDefault="00357A83" w:rsidP="004F7A62">
      <w:pPr>
        <w:pStyle w:val="Prrafodelista"/>
        <w:numPr>
          <w:ilvl w:val="0"/>
          <w:numId w:val="20"/>
        </w:numPr>
        <w:jc w:val="both"/>
        <w:rPr>
          <w:rFonts w:ascii="Arial" w:hAnsi="Arial" w:cs="Arial"/>
          <w:sz w:val="22"/>
          <w:szCs w:val="22"/>
        </w:rPr>
      </w:pPr>
      <w:r w:rsidRPr="00CF1B34">
        <w:rPr>
          <w:rFonts w:ascii="Arial" w:hAnsi="Arial" w:cs="Arial"/>
          <w:sz w:val="22"/>
          <w:szCs w:val="22"/>
        </w:rPr>
        <w:t>Es un medio para facilitar las transacciones (compras, ventas)</w:t>
      </w:r>
    </w:p>
    <w:p w14:paraId="7EDF0949" w14:textId="3C8A05DB" w:rsidR="00357A83" w:rsidRPr="00CF1B34" w:rsidRDefault="00357A83" w:rsidP="004F7A62">
      <w:pPr>
        <w:pStyle w:val="Prrafodelista"/>
        <w:numPr>
          <w:ilvl w:val="0"/>
          <w:numId w:val="20"/>
        </w:numPr>
        <w:jc w:val="both"/>
        <w:rPr>
          <w:rFonts w:ascii="Arial" w:hAnsi="Arial" w:cs="Arial"/>
          <w:sz w:val="22"/>
          <w:szCs w:val="22"/>
        </w:rPr>
      </w:pPr>
      <w:r w:rsidRPr="00CF1B34">
        <w:rPr>
          <w:rFonts w:ascii="Arial" w:hAnsi="Arial" w:cs="Arial"/>
          <w:sz w:val="22"/>
          <w:szCs w:val="22"/>
        </w:rPr>
        <w:t>Es un medio de ahorro</w:t>
      </w:r>
    </w:p>
    <w:p w14:paraId="26209000" w14:textId="17F78F17" w:rsidR="00357A83" w:rsidRPr="00CF1B34" w:rsidRDefault="00357A83" w:rsidP="0005621A">
      <w:pPr>
        <w:ind w:firstLine="708"/>
        <w:jc w:val="both"/>
        <w:rPr>
          <w:rFonts w:ascii="Arial" w:hAnsi="Arial" w:cs="Arial"/>
          <w:sz w:val="22"/>
          <w:szCs w:val="22"/>
        </w:rPr>
      </w:pPr>
      <w:r w:rsidRPr="00CF1B34">
        <w:rPr>
          <w:rFonts w:ascii="Arial" w:hAnsi="Arial" w:cs="Arial"/>
          <w:sz w:val="22"/>
          <w:szCs w:val="22"/>
        </w:rPr>
        <w:t>Los bancos centrales dividen la Masa Monetaria en diferentes medidas:</w:t>
      </w:r>
    </w:p>
    <w:p w14:paraId="05EF3669" w14:textId="690D7EC7" w:rsidR="00357A83" w:rsidRPr="00357A83" w:rsidRDefault="00357A83" w:rsidP="004F7A62">
      <w:pPr>
        <w:numPr>
          <w:ilvl w:val="0"/>
          <w:numId w:val="207"/>
        </w:numPr>
        <w:shd w:val="clear" w:color="auto" w:fill="FFFFFF"/>
        <w:spacing w:before="100" w:beforeAutospacing="1" w:after="100" w:afterAutospacing="1"/>
        <w:jc w:val="both"/>
        <w:rPr>
          <w:rFonts w:ascii="Arial" w:hAnsi="Arial" w:cs="Arial"/>
          <w:color w:val="333333"/>
          <w:sz w:val="22"/>
          <w:szCs w:val="22"/>
        </w:rPr>
      </w:pPr>
      <w:r w:rsidRPr="00357A83">
        <w:rPr>
          <w:rFonts w:ascii="Arial" w:hAnsi="Arial" w:cs="Arial"/>
          <w:b/>
          <w:bCs/>
          <w:color w:val="333333"/>
          <w:sz w:val="22"/>
          <w:szCs w:val="22"/>
        </w:rPr>
        <w:t>M0:</w:t>
      </w:r>
      <w:r w:rsidRPr="00CF1B34">
        <w:rPr>
          <w:rFonts w:ascii="Arial" w:hAnsi="Arial" w:cs="Arial"/>
          <w:b/>
          <w:bCs/>
          <w:color w:val="333333"/>
          <w:sz w:val="22"/>
          <w:szCs w:val="22"/>
        </w:rPr>
        <w:t xml:space="preserve"> </w:t>
      </w:r>
      <w:r w:rsidRPr="00357A83">
        <w:rPr>
          <w:rFonts w:ascii="Arial" w:hAnsi="Arial" w:cs="Arial"/>
          <w:color w:val="333333"/>
          <w:sz w:val="22"/>
          <w:szCs w:val="22"/>
        </w:rPr>
        <w:t>se define de esta manera al dinero que circula en la economía, es decir, cantidad de billetes y monedas en manos de los ciudadanos, adicionando el dinero que los bancos tiene en sus cajas y lo depositado en el banco central.</w:t>
      </w:r>
    </w:p>
    <w:p w14:paraId="45071989" w14:textId="02146AD7" w:rsidR="00357A83" w:rsidRPr="00357A83" w:rsidRDefault="00357A83" w:rsidP="004F7A62">
      <w:pPr>
        <w:numPr>
          <w:ilvl w:val="0"/>
          <w:numId w:val="207"/>
        </w:numPr>
        <w:shd w:val="clear" w:color="auto" w:fill="FFFFFF"/>
        <w:spacing w:before="100" w:beforeAutospacing="1" w:after="100" w:afterAutospacing="1"/>
        <w:jc w:val="both"/>
        <w:rPr>
          <w:rFonts w:ascii="Arial" w:hAnsi="Arial" w:cs="Arial"/>
          <w:color w:val="333333"/>
          <w:sz w:val="22"/>
          <w:szCs w:val="22"/>
        </w:rPr>
      </w:pPr>
      <w:r w:rsidRPr="00357A83">
        <w:rPr>
          <w:rFonts w:ascii="Arial" w:hAnsi="Arial" w:cs="Arial"/>
          <w:b/>
          <w:bCs/>
          <w:color w:val="333333"/>
          <w:sz w:val="22"/>
          <w:szCs w:val="22"/>
        </w:rPr>
        <w:t>MB</w:t>
      </w:r>
      <w:r w:rsidRPr="00357A83">
        <w:rPr>
          <w:rFonts w:ascii="Arial" w:hAnsi="Arial" w:cs="Arial"/>
          <w:color w:val="333333"/>
          <w:sz w:val="22"/>
          <w:szCs w:val="22"/>
        </w:rPr>
        <w:t>: es el dinero que está emitido, es decir,</w:t>
      </w:r>
      <w:r w:rsidRPr="00CF1B34">
        <w:rPr>
          <w:rFonts w:ascii="Arial" w:hAnsi="Arial" w:cs="Arial"/>
          <w:color w:val="333333"/>
          <w:sz w:val="22"/>
          <w:szCs w:val="22"/>
        </w:rPr>
        <w:t xml:space="preserve"> </w:t>
      </w:r>
      <w:r w:rsidRPr="00357A83">
        <w:rPr>
          <w:rFonts w:ascii="Arial" w:hAnsi="Arial" w:cs="Arial"/>
          <w:b/>
          <w:bCs/>
          <w:color w:val="333333"/>
          <w:sz w:val="22"/>
          <w:szCs w:val="22"/>
        </w:rPr>
        <w:t>M0</w:t>
      </w:r>
      <w:r w:rsidRPr="00CF1B34">
        <w:rPr>
          <w:rFonts w:ascii="Arial" w:hAnsi="Arial" w:cs="Arial"/>
          <w:b/>
          <w:bCs/>
          <w:color w:val="333333"/>
          <w:sz w:val="22"/>
          <w:szCs w:val="22"/>
        </w:rPr>
        <w:t xml:space="preserve"> </w:t>
      </w:r>
      <w:r w:rsidRPr="00357A83">
        <w:rPr>
          <w:rFonts w:ascii="Arial" w:hAnsi="Arial" w:cs="Arial"/>
          <w:color w:val="333333"/>
          <w:sz w:val="22"/>
          <w:szCs w:val="22"/>
        </w:rPr>
        <w:t>mas la cantidad de billetes y monedas que el banco central tiene retenido.</w:t>
      </w:r>
    </w:p>
    <w:p w14:paraId="3C6B69DF" w14:textId="7CA1997A" w:rsidR="00357A83" w:rsidRPr="00357A83" w:rsidRDefault="00357A83" w:rsidP="004F7A62">
      <w:pPr>
        <w:numPr>
          <w:ilvl w:val="0"/>
          <w:numId w:val="207"/>
        </w:numPr>
        <w:shd w:val="clear" w:color="auto" w:fill="FFFFFF"/>
        <w:spacing w:before="100" w:beforeAutospacing="1" w:after="100" w:afterAutospacing="1"/>
        <w:jc w:val="both"/>
        <w:rPr>
          <w:rFonts w:ascii="Arial" w:hAnsi="Arial" w:cs="Arial"/>
          <w:color w:val="333333"/>
          <w:sz w:val="22"/>
          <w:szCs w:val="22"/>
        </w:rPr>
      </w:pPr>
      <w:r w:rsidRPr="00357A83">
        <w:rPr>
          <w:rFonts w:ascii="Arial" w:hAnsi="Arial" w:cs="Arial"/>
          <w:b/>
          <w:bCs/>
          <w:color w:val="333333"/>
          <w:sz w:val="22"/>
          <w:szCs w:val="22"/>
        </w:rPr>
        <w:t>M1:</w:t>
      </w:r>
      <w:r w:rsidRPr="00CF1B34">
        <w:rPr>
          <w:rFonts w:ascii="Arial" w:hAnsi="Arial" w:cs="Arial"/>
          <w:color w:val="333333"/>
          <w:sz w:val="22"/>
          <w:szCs w:val="22"/>
        </w:rPr>
        <w:t xml:space="preserve"> </w:t>
      </w:r>
      <w:r w:rsidRPr="00357A83">
        <w:rPr>
          <w:rFonts w:ascii="Arial" w:hAnsi="Arial" w:cs="Arial"/>
          <w:color w:val="333333"/>
          <w:sz w:val="22"/>
          <w:szCs w:val="22"/>
        </w:rPr>
        <w:t>es el dinero que se encuentra circulando en la economía, con lo cual seria</w:t>
      </w:r>
      <w:r w:rsidRPr="00CF1B34">
        <w:rPr>
          <w:rFonts w:ascii="Arial" w:hAnsi="Arial" w:cs="Arial"/>
          <w:color w:val="333333"/>
          <w:sz w:val="22"/>
          <w:szCs w:val="22"/>
        </w:rPr>
        <w:t xml:space="preserve"> </w:t>
      </w:r>
      <w:r w:rsidRPr="00357A83">
        <w:rPr>
          <w:rFonts w:ascii="Arial" w:hAnsi="Arial" w:cs="Arial"/>
          <w:b/>
          <w:bCs/>
          <w:color w:val="333333"/>
          <w:sz w:val="22"/>
          <w:szCs w:val="22"/>
        </w:rPr>
        <w:t>M0</w:t>
      </w:r>
      <w:r w:rsidRPr="00CF1B34">
        <w:rPr>
          <w:rFonts w:ascii="Arial" w:hAnsi="Arial" w:cs="Arial"/>
          <w:color w:val="333333"/>
          <w:sz w:val="22"/>
          <w:szCs w:val="22"/>
        </w:rPr>
        <w:t xml:space="preserve"> </w:t>
      </w:r>
      <w:r w:rsidRPr="00357A83">
        <w:rPr>
          <w:rFonts w:ascii="Arial" w:hAnsi="Arial" w:cs="Arial"/>
          <w:color w:val="333333"/>
          <w:sz w:val="22"/>
          <w:szCs w:val="22"/>
        </w:rPr>
        <w:t>mas depósitos bancarios, es decir, las cantidades que los ciudadanos tienen fácilmente disponible para gastar.</w:t>
      </w:r>
    </w:p>
    <w:p w14:paraId="7FC96653" w14:textId="6A6F5261" w:rsidR="00357A83" w:rsidRPr="00357A83" w:rsidRDefault="00357A83" w:rsidP="004F7A62">
      <w:pPr>
        <w:numPr>
          <w:ilvl w:val="0"/>
          <w:numId w:val="207"/>
        </w:numPr>
        <w:shd w:val="clear" w:color="auto" w:fill="FFFFFF"/>
        <w:spacing w:before="100" w:beforeAutospacing="1" w:after="100" w:afterAutospacing="1"/>
        <w:jc w:val="both"/>
        <w:rPr>
          <w:rFonts w:ascii="Arial" w:hAnsi="Arial" w:cs="Arial"/>
          <w:color w:val="333333"/>
          <w:sz w:val="22"/>
          <w:szCs w:val="22"/>
        </w:rPr>
      </w:pPr>
      <w:r w:rsidRPr="00357A83">
        <w:rPr>
          <w:rFonts w:ascii="Arial" w:hAnsi="Arial" w:cs="Arial"/>
          <w:b/>
          <w:bCs/>
          <w:color w:val="333333"/>
          <w:sz w:val="22"/>
          <w:szCs w:val="22"/>
        </w:rPr>
        <w:t>M2:</w:t>
      </w:r>
      <w:r w:rsidRPr="00CF1B34">
        <w:rPr>
          <w:rFonts w:ascii="Arial" w:hAnsi="Arial" w:cs="Arial"/>
          <w:color w:val="333333"/>
          <w:sz w:val="22"/>
          <w:szCs w:val="22"/>
        </w:rPr>
        <w:t xml:space="preserve"> </w:t>
      </w:r>
      <w:r w:rsidRPr="00357A83">
        <w:rPr>
          <w:rFonts w:ascii="Arial" w:hAnsi="Arial" w:cs="Arial"/>
          <w:color w:val="333333"/>
          <w:sz w:val="22"/>
          <w:szCs w:val="22"/>
        </w:rPr>
        <w:t>es</w:t>
      </w:r>
      <w:r w:rsidRPr="00CF1B34">
        <w:rPr>
          <w:rFonts w:ascii="Arial" w:hAnsi="Arial" w:cs="Arial"/>
          <w:color w:val="333333"/>
          <w:sz w:val="22"/>
          <w:szCs w:val="22"/>
        </w:rPr>
        <w:t xml:space="preserve"> </w:t>
      </w:r>
      <w:r w:rsidRPr="00357A83">
        <w:rPr>
          <w:rFonts w:ascii="Arial" w:hAnsi="Arial" w:cs="Arial"/>
          <w:b/>
          <w:bCs/>
          <w:color w:val="333333"/>
          <w:sz w:val="22"/>
          <w:szCs w:val="22"/>
        </w:rPr>
        <w:t>M1</w:t>
      </w:r>
      <w:r w:rsidRPr="00CF1B34">
        <w:rPr>
          <w:rFonts w:ascii="Arial" w:hAnsi="Arial" w:cs="Arial"/>
          <w:b/>
          <w:bCs/>
          <w:color w:val="333333"/>
          <w:sz w:val="22"/>
          <w:szCs w:val="22"/>
        </w:rPr>
        <w:t xml:space="preserve"> </w:t>
      </w:r>
      <w:r w:rsidRPr="00357A83">
        <w:rPr>
          <w:rFonts w:ascii="Arial" w:hAnsi="Arial" w:cs="Arial"/>
          <w:color w:val="333333"/>
          <w:sz w:val="22"/>
          <w:szCs w:val="22"/>
        </w:rPr>
        <w:t>mas los depósitos a corto plazo que se encuentran en el sistema financiero, es decir, el dinero y sus substitutos más o menos a corto plazo (hasta 1 año).</w:t>
      </w:r>
    </w:p>
    <w:p w14:paraId="6C6787F1" w14:textId="3A2A4B2F" w:rsidR="00357A83" w:rsidRPr="00357A83" w:rsidRDefault="00357A83" w:rsidP="004F7A62">
      <w:pPr>
        <w:numPr>
          <w:ilvl w:val="0"/>
          <w:numId w:val="207"/>
        </w:numPr>
        <w:shd w:val="clear" w:color="auto" w:fill="FFFFFF"/>
        <w:spacing w:before="100" w:beforeAutospacing="1" w:after="100" w:afterAutospacing="1"/>
        <w:jc w:val="both"/>
        <w:rPr>
          <w:rFonts w:ascii="Arial" w:hAnsi="Arial" w:cs="Arial"/>
          <w:color w:val="333333"/>
          <w:sz w:val="22"/>
          <w:szCs w:val="22"/>
        </w:rPr>
      </w:pPr>
      <w:r w:rsidRPr="00357A83">
        <w:rPr>
          <w:rFonts w:ascii="Arial" w:hAnsi="Arial" w:cs="Arial"/>
          <w:b/>
          <w:bCs/>
          <w:color w:val="333333"/>
          <w:sz w:val="22"/>
          <w:szCs w:val="22"/>
        </w:rPr>
        <w:t>M3:</w:t>
      </w:r>
      <w:r w:rsidRPr="00CF1B34">
        <w:rPr>
          <w:rFonts w:ascii="Arial" w:hAnsi="Arial" w:cs="Arial"/>
          <w:color w:val="333333"/>
          <w:sz w:val="22"/>
          <w:szCs w:val="22"/>
        </w:rPr>
        <w:t xml:space="preserve"> </w:t>
      </w:r>
      <w:r w:rsidRPr="00357A83">
        <w:rPr>
          <w:rFonts w:ascii="Arial" w:hAnsi="Arial" w:cs="Arial"/>
          <w:color w:val="333333"/>
          <w:sz w:val="22"/>
          <w:szCs w:val="22"/>
        </w:rPr>
        <w:t>es</w:t>
      </w:r>
      <w:r w:rsidRPr="00CF1B34">
        <w:rPr>
          <w:rFonts w:ascii="Arial" w:hAnsi="Arial" w:cs="Arial"/>
          <w:color w:val="333333"/>
          <w:sz w:val="22"/>
          <w:szCs w:val="22"/>
        </w:rPr>
        <w:t xml:space="preserve"> </w:t>
      </w:r>
      <w:r w:rsidRPr="00357A83">
        <w:rPr>
          <w:rFonts w:ascii="Arial" w:hAnsi="Arial" w:cs="Arial"/>
          <w:b/>
          <w:bCs/>
          <w:color w:val="333333"/>
          <w:sz w:val="22"/>
          <w:szCs w:val="22"/>
        </w:rPr>
        <w:t>M2</w:t>
      </w:r>
      <w:r w:rsidRPr="00CF1B34">
        <w:rPr>
          <w:rFonts w:ascii="Arial" w:hAnsi="Arial" w:cs="Arial"/>
          <w:b/>
          <w:bCs/>
          <w:color w:val="333333"/>
          <w:sz w:val="22"/>
          <w:szCs w:val="22"/>
        </w:rPr>
        <w:t xml:space="preserve"> </w:t>
      </w:r>
      <w:r w:rsidRPr="00357A83">
        <w:rPr>
          <w:rFonts w:ascii="Arial" w:hAnsi="Arial" w:cs="Arial"/>
          <w:color w:val="333333"/>
          <w:sz w:val="22"/>
          <w:szCs w:val="22"/>
        </w:rPr>
        <w:t>mas todos los depósitos, incluyendo los depósitos a largo plazo.</w:t>
      </w:r>
    </w:p>
    <w:p w14:paraId="5AD72A40" w14:textId="6AFC6861" w:rsidR="00357A83" w:rsidRPr="00357A83" w:rsidRDefault="00357A83" w:rsidP="004F7A62">
      <w:pPr>
        <w:numPr>
          <w:ilvl w:val="0"/>
          <w:numId w:val="207"/>
        </w:numPr>
        <w:shd w:val="clear" w:color="auto" w:fill="FFFFFF"/>
        <w:spacing w:before="100" w:beforeAutospacing="1" w:after="100" w:afterAutospacing="1"/>
        <w:jc w:val="both"/>
        <w:rPr>
          <w:rFonts w:ascii="Arial" w:hAnsi="Arial" w:cs="Arial"/>
          <w:color w:val="333333"/>
          <w:sz w:val="22"/>
          <w:szCs w:val="22"/>
        </w:rPr>
      </w:pPr>
      <w:r w:rsidRPr="00357A83">
        <w:rPr>
          <w:rFonts w:ascii="Arial" w:hAnsi="Arial" w:cs="Arial"/>
          <w:b/>
          <w:bCs/>
          <w:color w:val="333333"/>
          <w:sz w:val="22"/>
          <w:szCs w:val="22"/>
        </w:rPr>
        <w:t>M4:</w:t>
      </w:r>
      <w:r w:rsidRPr="00CF1B34">
        <w:rPr>
          <w:rFonts w:ascii="Arial" w:hAnsi="Arial" w:cs="Arial"/>
          <w:color w:val="333333"/>
          <w:sz w:val="22"/>
          <w:szCs w:val="22"/>
        </w:rPr>
        <w:t xml:space="preserve"> </w:t>
      </w:r>
      <w:r w:rsidRPr="00357A83">
        <w:rPr>
          <w:rFonts w:ascii="Arial" w:hAnsi="Arial" w:cs="Arial"/>
          <w:color w:val="333333"/>
          <w:sz w:val="22"/>
          <w:szCs w:val="22"/>
        </w:rPr>
        <w:t>es</w:t>
      </w:r>
      <w:r w:rsidR="002E1C83" w:rsidRPr="00CF1B34">
        <w:rPr>
          <w:rFonts w:ascii="Arial" w:hAnsi="Arial" w:cs="Arial"/>
          <w:color w:val="333333"/>
          <w:sz w:val="22"/>
          <w:szCs w:val="22"/>
        </w:rPr>
        <w:t xml:space="preserve"> </w:t>
      </w:r>
      <w:r w:rsidRPr="00357A83">
        <w:rPr>
          <w:rFonts w:ascii="Arial" w:hAnsi="Arial" w:cs="Arial"/>
          <w:b/>
          <w:bCs/>
          <w:color w:val="333333"/>
          <w:sz w:val="22"/>
          <w:szCs w:val="22"/>
        </w:rPr>
        <w:t>M3</w:t>
      </w:r>
      <w:r w:rsidR="002E1C83" w:rsidRPr="00CF1B34">
        <w:rPr>
          <w:rFonts w:ascii="Arial" w:hAnsi="Arial" w:cs="Arial"/>
          <w:b/>
          <w:bCs/>
          <w:color w:val="333333"/>
          <w:sz w:val="22"/>
          <w:szCs w:val="22"/>
        </w:rPr>
        <w:t xml:space="preserve"> </w:t>
      </w:r>
      <w:r w:rsidRPr="00357A83">
        <w:rPr>
          <w:rFonts w:ascii="Arial" w:hAnsi="Arial" w:cs="Arial"/>
          <w:color w:val="333333"/>
          <w:sz w:val="22"/>
          <w:szCs w:val="22"/>
        </w:rPr>
        <w:t>mas los depósitos adicionales, como ser los depósitos que extranjeros tienen en el país y los depósitos de los ministerios gubernamentales.</w:t>
      </w:r>
    </w:p>
    <w:p w14:paraId="1978A615" w14:textId="77777777" w:rsidR="002E1C83" w:rsidRPr="00CF1B34" w:rsidRDefault="002E1C8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 xml:space="preserve">La </w:t>
      </w:r>
      <w:r w:rsidRPr="00CF1B34">
        <w:rPr>
          <w:rFonts w:ascii="Arial" w:hAnsi="Arial" w:cs="Arial"/>
          <w:b/>
          <w:bCs/>
          <w:color w:val="333333"/>
          <w:sz w:val="22"/>
          <w:szCs w:val="22"/>
          <w:shd w:val="clear" w:color="auto" w:fill="FFFFFF"/>
        </w:rPr>
        <w:t xml:space="preserve">masa monetaria </w:t>
      </w:r>
      <w:r w:rsidRPr="00CF1B34">
        <w:rPr>
          <w:rFonts w:ascii="Arial" w:hAnsi="Arial" w:cs="Arial"/>
          <w:color w:val="333333"/>
          <w:sz w:val="22"/>
          <w:szCs w:val="22"/>
          <w:shd w:val="clear" w:color="auto" w:fill="FFFFFF"/>
        </w:rPr>
        <w:t xml:space="preserve">es un concepto muy importante para el </w:t>
      </w:r>
      <w:r w:rsidRPr="00CF1B34">
        <w:rPr>
          <w:rFonts w:ascii="Arial" w:hAnsi="Arial" w:cs="Arial"/>
          <w:b/>
          <w:bCs/>
          <w:color w:val="333333"/>
          <w:sz w:val="22"/>
          <w:szCs w:val="22"/>
          <w:shd w:val="clear" w:color="auto" w:fill="FFFFFF"/>
        </w:rPr>
        <w:t>banco central</w:t>
      </w:r>
      <w:r w:rsidRPr="00CF1B34">
        <w:rPr>
          <w:rFonts w:ascii="Arial" w:hAnsi="Arial" w:cs="Arial"/>
          <w:color w:val="333333"/>
          <w:sz w:val="22"/>
          <w:szCs w:val="22"/>
          <w:shd w:val="clear" w:color="auto" w:fill="FFFFFF"/>
        </w:rPr>
        <w:t xml:space="preserve"> debido a que es la forma que le permite medir el gasto y la inversión que existe en la economía en un momento determinado, y de esta manera poder medir el nivel de la actividad económica.</w:t>
      </w:r>
    </w:p>
    <w:p w14:paraId="209E828E" w14:textId="074554B3" w:rsidR="002E1C83" w:rsidRPr="00CF1B34" w:rsidRDefault="002E1C83"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Masterfranquicia</w:t>
      </w:r>
    </w:p>
    <w:p w14:paraId="216253FA" w14:textId="77777777" w:rsidR="002E1C83" w:rsidRPr="00CF1B34" w:rsidRDefault="002E1C8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F5496" w:themeColor="accent1" w:themeShade="BF"/>
        </w:rPr>
        <w:t>Ver Franquicia</w:t>
      </w:r>
    </w:p>
    <w:p w14:paraId="0B7CC347" w14:textId="1ECAC38F" w:rsidR="00357A83" w:rsidRPr="00357A83" w:rsidRDefault="002E1C83"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Matildes (las)</w:t>
      </w:r>
    </w:p>
    <w:p w14:paraId="48A58AE4" w14:textId="77777777" w:rsidR="005D6F0E" w:rsidRPr="00CF1B34" w:rsidRDefault="005D6F0E" w:rsidP="0005621A">
      <w:pPr>
        <w:ind w:left="708"/>
        <w:jc w:val="both"/>
        <w:rPr>
          <w:rFonts w:ascii="Arial" w:hAnsi="Arial" w:cs="Arial"/>
          <w:sz w:val="22"/>
          <w:szCs w:val="22"/>
        </w:rPr>
      </w:pPr>
      <w:r w:rsidRPr="00CF1B34">
        <w:rPr>
          <w:rFonts w:ascii="Arial" w:hAnsi="Arial" w:cs="Arial"/>
          <w:sz w:val="22"/>
          <w:szCs w:val="22"/>
        </w:rPr>
        <w:t>En 1922 nacía el actor español José Luis López Vázquez. Tres años después la Compañía Telefónica Nacional de España (CTNE) emitía acciones por primera vez. ¿Qué tienen que ver una cosa con la otra?</w:t>
      </w:r>
    </w:p>
    <w:p w14:paraId="3347EDCE" w14:textId="77777777" w:rsidR="005D6F0E" w:rsidRPr="00CF1B34" w:rsidRDefault="005D6F0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rPr>
        <w:t xml:space="preserve">La conexión entre ambos es inevitable, desde que en el año </w:t>
      </w:r>
      <w:r w:rsidRPr="00CF1B34">
        <w:rPr>
          <w:rFonts w:ascii="Arial" w:hAnsi="Arial" w:cs="Arial"/>
          <w:b/>
          <w:bCs/>
          <w:sz w:val="22"/>
          <w:szCs w:val="22"/>
        </w:rPr>
        <w:t xml:space="preserve">1967 </w:t>
      </w:r>
      <w:r w:rsidRPr="00CF1B34">
        <w:rPr>
          <w:rFonts w:ascii="Arial" w:hAnsi="Arial" w:cs="Arial"/>
          <w:sz w:val="22"/>
          <w:szCs w:val="22"/>
        </w:rPr>
        <w:t>el actor protagonizó un comercial en el cual le avisaba por teléfono a su mujer (Matilde) que había adquirido acciones de la compañía. Y el nombre de su esposa en ese aviso tomó tanto protagonismo que </w:t>
      </w:r>
      <w:r w:rsidRPr="00CF1B34">
        <w:rPr>
          <w:rFonts w:ascii="Arial" w:hAnsi="Arial" w:cs="Arial"/>
          <w:b/>
          <w:bCs/>
          <w:sz w:val="22"/>
          <w:szCs w:val="22"/>
        </w:rPr>
        <w:t>desde entonces las acciones de Telefónica son apodadas “matildes”</w:t>
      </w:r>
      <w:r w:rsidRPr="00CF1B34">
        <w:rPr>
          <w:rFonts w:ascii="Arial" w:hAnsi="Arial" w:cs="Arial"/>
          <w:sz w:val="22"/>
          <w:szCs w:val="22"/>
        </w:rPr>
        <w:t>.</w:t>
      </w:r>
    </w:p>
    <w:p w14:paraId="11CE2360" w14:textId="79D53933" w:rsidR="005D6F0E" w:rsidRPr="00CF1B34" w:rsidRDefault="005D6F0E"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MBA acelerados</w:t>
      </w:r>
    </w:p>
    <w:p w14:paraId="589BE7C4" w14:textId="6B9FA805" w:rsidR="000A468F" w:rsidRPr="00CF1B34" w:rsidRDefault="000A468F"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 xml:space="preserve">Todo profesional que quiera progresar en su carrera, conquistando puestos relevantes en grandes compañías, sabe que es determinante contar con un </w:t>
      </w:r>
      <w:r w:rsidRPr="00CF1B34">
        <w:rPr>
          <w:rStyle w:val="Textoennegrita"/>
          <w:rFonts w:ascii="Arial" w:hAnsi="Arial" w:cs="Arial"/>
          <w:color w:val="333333"/>
          <w:sz w:val="22"/>
          <w:szCs w:val="22"/>
          <w:shd w:val="clear" w:color="auto" w:fill="FFFFFF"/>
        </w:rPr>
        <w:t>M.B.A.</w:t>
      </w:r>
    </w:p>
    <w:p w14:paraId="23A16405" w14:textId="4CC5CE04" w:rsidR="003869DA" w:rsidRPr="00CF1B34" w:rsidRDefault="000A468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lastRenderedPageBreak/>
        <w:t xml:space="preserve">Como solución, muchos están </w:t>
      </w:r>
      <w:r w:rsidRPr="00CF1B34">
        <w:rPr>
          <w:rStyle w:val="Textoennegrita"/>
          <w:rFonts w:ascii="Arial" w:hAnsi="Arial" w:cs="Arial"/>
          <w:color w:val="333333"/>
          <w:sz w:val="22"/>
          <w:szCs w:val="22"/>
          <w:shd w:val="clear" w:color="auto" w:fill="FFFFFF"/>
        </w:rPr>
        <w:t>optando por programas que les permiten obtener un título en la mitad del tiempo</w:t>
      </w:r>
      <w:r w:rsidRPr="00CF1B34">
        <w:rPr>
          <w:rFonts w:ascii="Arial" w:hAnsi="Arial" w:cs="Arial"/>
          <w:color w:val="333333"/>
          <w:sz w:val="22"/>
          <w:szCs w:val="22"/>
          <w:shd w:val="clear" w:color="auto" w:fill="FFFFFF"/>
        </w:rPr>
        <w:t xml:space="preserve"> y con frecuencia a un precio mucho menor. Los programas acelerados de M.B.A., que </w:t>
      </w:r>
      <w:r w:rsidRPr="00CF1B34">
        <w:rPr>
          <w:rStyle w:val="Textoennegrita"/>
          <w:rFonts w:ascii="Arial" w:hAnsi="Arial" w:cs="Arial"/>
          <w:color w:val="333333"/>
          <w:sz w:val="22"/>
          <w:szCs w:val="22"/>
          <w:shd w:val="clear" w:color="auto" w:fill="FFFFFF"/>
        </w:rPr>
        <w:t>duran entre 10 y 15 meses</w:t>
      </w:r>
      <w:r w:rsidRPr="00CF1B34">
        <w:rPr>
          <w:rFonts w:ascii="Arial" w:hAnsi="Arial" w:cs="Arial"/>
          <w:color w:val="333333"/>
          <w:sz w:val="22"/>
          <w:szCs w:val="22"/>
          <w:shd w:val="clear" w:color="auto" w:fill="FFFFFF"/>
        </w:rPr>
        <w:t>, han existido por décadas y son la norma en Europa.</w:t>
      </w:r>
      <w:r w:rsidRPr="00CF1B34">
        <w:rPr>
          <w:rFonts w:ascii="Arial" w:hAnsi="Arial" w:cs="Arial"/>
          <w:color w:val="212529"/>
          <w:sz w:val="22"/>
          <w:szCs w:val="22"/>
          <w:lang w:val="es-ES_tradnl"/>
        </w:rPr>
        <w:t>ó</w:t>
      </w:r>
      <w:r w:rsidR="003869DA" w:rsidRPr="00CF1B34">
        <w:rPr>
          <w:rFonts w:ascii="Arial" w:hAnsi="Arial" w:cs="Arial"/>
          <w:b/>
          <w:bCs/>
          <w:color w:val="004773"/>
          <w:sz w:val="22"/>
          <w:szCs w:val="22"/>
          <w:lang w:val="es-ES_tradnl"/>
        </w:rPr>
        <w:t>Mc Currency</w:t>
      </w:r>
    </w:p>
    <w:p w14:paraId="41B421ED" w14:textId="77777777" w:rsidR="007B1B18" w:rsidRPr="00CF1B34" w:rsidRDefault="0057374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Indicador atípico para ver si las monedas están sobrevaloradas o infravaloradas. Consiste en tomar como referencia</w:t>
      </w:r>
      <w:r w:rsidR="007B1B18" w:rsidRPr="00CF1B34">
        <w:rPr>
          <w:rFonts w:ascii="Arial" w:hAnsi="Arial" w:cs="Arial"/>
          <w:color w:val="000000" w:themeColor="text1"/>
          <w:sz w:val="22"/>
          <w:szCs w:val="22"/>
          <w:lang w:val="es-ES_tradnl"/>
        </w:rPr>
        <w:t xml:space="preserve"> el precio de una hamburguesa tipo en distintas capitales del mundo.</w:t>
      </w:r>
    </w:p>
    <w:p w14:paraId="5879E82A" w14:textId="09563395" w:rsidR="003869DA" w:rsidRPr="00CF1B34" w:rsidRDefault="003869D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Media m</w:t>
      </w:r>
      <w:r w:rsidR="000A468F"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vil</w:t>
      </w:r>
    </w:p>
    <w:p w14:paraId="5C2E09AD" w14:textId="77777777" w:rsidR="00772AE2" w:rsidRPr="00CF1B34" w:rsidRDefault="007B1B18" w:rsidP="0005621A">
      <w:pPr>
        <w:ind w:left="708"/>
        <w:jc w:val="both"/>
        <w:rPr>
          <w:rFonts w:ascii="Arial" w:hAnsi="Arial" w:cs="Arial"/>
          <w:sz w:val="22"/>
          <w:szCs w:val="22"/>
        </w:rPr>
      </w:pPr>
      <w:r w:rsidRPr="00CF1B34">
        <w:rPr>
          <w:rFonts w:ascii="Arial" w:hAnsi="Arial" w:cs="Arial"/>
          <w:sz w:val="22"/>
          <w:szCs w:val="22"/>
          <w:lang w:val="es-ES_tradnl"/>
        </w:rPr>
        <w:t>Media de las cotizaciones definidas sobre un numero N de observaciones. Permiten establecer la línea de una tendencia.</w:t>
      </w:r>
      <w:r w:rsidR="00772AE2" w:rsidRPr="00CF1B34">
        <w:rPr>
          <w:rFonts w:ascii="Arial" w:hAnsi="Arial" w:cs="Arial"/>
          <w:sz w:val="22"/>
          <w:szCs w:val="22"/>
          <w:lang w:val="es-ES_tradnl"/>
        </w:rPr>
        <w:t xml:space="preserve"> </w:t>
      </w:r>
      <w:r w:rsidR="00772AE2" w:rsidRPr="00CF1B34">
        <w:rPr>
          <w:rFonts w:ascii="Arial" w:hAnsi="Arial" w:cs="Arial"/>
          <w:color w:val="000000"/>
          <w:sz w:val="22"/>
          <w:szCs w:val="22"/>
          <w:shd w:val="clear" w:color="auto" w:fill="FFFFFF"/>
        </w:rPr>
        <w:t>Es una media del precio de un activo (acción, índice, commodity, etc.) en un período concreto, que se calcula ponderando los precios pasados según un método específico.</w:t>
      </w:r>
    </w:p>
    <w:p w14:paraId="30D32128" w14:textId="77777777" w:rsidR="00772AE2" w:rsidRPr="00CF1B34" w:rsidRDefault="00772AE2" w:rsidP="0005621A">
      <w:pPr>
        <w:ind w:firstLine="708"/>
        <w:jc w:val="both"/>
        <w:rPr>
          <w:rFonts w:ascii="Arial" w:hAnsi="Arial" w:cs="Arial"/>
        </w:rPr>
      </w:pPr>
      <w:r w:rsidRPr="00CF1B34">
        <w:rPr>
          <w:rStyle w:val="Textoennegrita"/>
          <w:rFonts w:ascii="Arial" w:hAnsi="Arial" w:cs="Arial"/>
          <w:color w:val="000000"/>
          <w:sz w:val="22"/>
          <w:szCs w:val="22"/>
        </w:rPr>
        <w:t>Tipos de Medias Móviles</w:t>
      </w:r>
    </w:p>
    <w:p w14:paraId="2EABCE7A" w14:textId="77777777" w:rsidR="00772AE2" w:rsidRPr="00CF1B34" w:rsidRDefault="00772AE2" w:rsidP="0005621A">
      <w:pPr>
        <w:ind w:firstLine="708"/>
        <w:jc w:val="both"/>
        <w:rPr>
          <w:rFonts w:ascii="Arial" w:hAnsi="Arial" w:cs="Arial"/>
        </w:rPr>
      </w:pPr>
      <w:r w:rsidRPr="00CF1B34">
        <w:rPr>
          <w:rFonts w:ascii="Arial" w:hAnsi="Arial" w:cs="Arial"/>
        </w:rPr>
        <w:t>Existen tres tipos de medias móviles:</w:t>
      </w:r>
    </w:p>
    <w:p w14:paraId="101CFB16" w14:textId="0175DC98" w:rsidR="00772AE2" w:rsidRPr="00CF1B34" w:rsidRDefault="00772AE2" w:rsidP="0005621A">
      <w:pPr>
        <w:ind w:left="708"/>
        <w:jc w:val="both"/>
        <w:rPr>
          <w:rFonts w:ascii="Arial" w:hAnsi="Arial" w:cs="Arial"/>
        </w:rPr>
      </w:pPr>
      <w:r w:rsidRPr="00CF1B34">
        <w:rPr>
          <w:rStyle w:val="Textoennegrita"/>
          <w:rFonts w:ascii="Arial" w:hAnsi="Arial" w:cs="Arial"/>
          <w:color w:val="000000"/>
          <w:sz w:val="22"/>
          <w:szCs w:val="22"/>
        </w:rPr>
        <w:t>1. Simple</w:t>
      </w:r>
      <w:r w:rsidRPr="00CF1B34">
        <w:rPr>
          <w:rFonts w:ascii="Arial" w:hAnsi="Arial" w:cs="Arial"/>
        </w:rPr>
        <w:t>: Se calcula sumando los precios de cierre de un período determinado y dividiendo entre el número de días en ese período.</w:t>
      </w:r>
    </w:p>
    <w:p w14:paraId="42D92986" w14:textId="219C601A" w:rsidR="00772AE2" w:rsidRPr="00CF1B34" w:rsidRDefault="00772AE2" w:rsidP="0005621A">
      <w:pPr>
        <w:ind w:left="708"/>
        <w:jc w:val="both"/>
        <w:rPr>
          <w:rFonts w:ascii="Arial" w:hAnsi="Arial" w:cs="Arial"/>
        </w:rPr>
      </w:pPr>
      <w:r w:rsidRPr="00CF1B34">
        <w:rPr>
          <w:rStyle w:val="Textoennegrita"/>
          <w:rFonts w:ascii="Arial" w:hAnsi="Arial" w:cs="Arial"/>
          <w:color w:val="000000"/>
          <w:sz w:val="22"/>
          <w:szCs w:val="22"/>
        </w:rPr>
        <w:t>2. Exponencial</w:t>
      </w:r>
      <w:r w:rsidRPr="00CF1B34">
        <w:rPr>
          <w:rFonts w:ascii="Arial" w:hAnsi="Arial" w:cs="Arial"/>
        </w:rPr>
        <w:t>: Se pondera la media aritmética simple por factores que decrecen exponencialmente con el tiempo, lo que da más peso a los datos más recientes.</w:t>
      </w:r>
    </w:p>
    <w:p w14:paraId="201ACBCE" w14:textId="071F97B9" w:rsidR="00772AE2" w:rsidRPr="00CF1B34" w:rsidRDefault="00772AE2" w:rsidP="0005621A">
      <w:pPr>
        <w:ind w:left="708"/>
        <w:jc w:val="both"/>
        <w:rPr>
          <w:rFonts w:ascii="Arial" w:hAnsi="Arial" w:cs="Arial"/>
        </w:rPr>
      </w:pPr>
      <w:r w:rsidRPr="00CF1B34">
        <w:rPr>
          <w:rStyle w:val="Textoennegrita"/>
          <w:rFonts w:ascii="Arial" w:hAnsi="Arial" w:cs="Arial"/>
          <w:color w:val="000000"/>
          <w:sz w:val="22"/>
          <w:szCs w:val="22"/>
        </w:rPr>
        <w:t>3. Ponderada</w:t>
      </w:r>
      <w:r w:rsidRPr="00CF1B34">
        <w:rPr>
          <w:rFonts w:ascii="Arial" w:hAnsi="Arial" w:cs="Arial"/>
        </w:rPr>
        <w:t>: Se multiplica la media simple por diferentes factores, otorgando diferentes pesos a los datos de la serie temporal.</w:t>
      </w:r>
    </w:p>
    <w:p w14:paraId="3F09544F" w14:textId="77777777" w:rsidR="00772AE2" w:rsidRPr="00CF1B34" w:rsidRDefault="00772AE2" w:rsidP="0005621A">
      <w:pPr>
        <w:ind w:firstLine="708"/>
        <w:jc w:val="both"/>
        <w:rPr>
          <w:rFonts w:ascii="Arial" w:hAnsi="Arial" w:cs="Arial"/>
        </w:rPr>
      </w:pPr>
      <w:r w:rsidRPr="00CF1B34">
        <w:rPr>
          <w:rStyle w:val="Textoennegrita"/>
          <w:rFonts w:ascii="Arial" w:hAnsi="Arial" w:cs="Arial"/>
          <w:color w:val="000000"/>
          <w:sz w:val="22"/>
          <w:szCs w:val="22"/>
        </w:rPr>
        <w:t>Características</w:t>
      </w:r>
    </w:p>
    <w:p w14:paraId="63F4368F" w14:textId="37504252" w:rsidR="00772AE2" w:rsidRPr="00CF1B34" w:rsidRDefault="00772AE2" w:rsidP="004F7A62">
      <w:pPr>
        <w:pStyle w:val="Prrafodelista"/>
        <w:numPr>
          <w:ilvl w:val="0"/>
          <w:numId w:val="20"/>
        </w:numPr>
        <w:jc w:val="both"/>
        <w:rPr>
          <w:rFonts w:ascii="Arial" w:hAnsi="Arial" w:cs="Arial"/>
        </w:rPr>
      </w:pPr>
      <w:r w:rsidRPr="00CF1B34">
        <w:rPr>
          <w:rFonts w:ascii="Arial" w:hAnsi="Arial" w:cs="Arial"/>
        </w:rPr>
        <w:t>La media móvil </w:t>
      </w:r>
      <w:r w:rsidRPr="00CF1B34">
        <w:rPr>
          <w:rStyle w:val="highlight-answer"/>
          <w:rFonts w:ascii="Arial" w:hAnsi="Arial" w:cs="Arial"/>
          <w:b/>
          <w:bCs/>
          <w:color w:val="000000"/>
          <w:sz w:val="22"/>
          <w:szCs w:val="22"/>
        </w:rPr>
        <w:t>sigue las tendencias del precio de un activo, pero no anticipa el movimiento del mercado</w:t>
      </w:r>
      <w:r w:rsidRPr="00CF1B34">
        <w:rPr>
          <w:rFonts w:ascii="Arial" w:hAnsi="Arial" w:cs="Arial"/>
        </w:rPr>
        <w:t>.</w:t>
      </w:r>
    </w:p>
    <w:p w14:paraId="2ADE0051" w14:textId="572267B2" w:rsidR="00772AE2" w:rsidRPr="00CF1B34" w:rsidRDefault="00772AE2" w:rsidP="004F7A62">
      <w:pPr>
        <w:pStyle w:val="Prrafodelista"/>
        <w:numPr>
          <w:ilvl w:val="0"/>
          <w:numId w:val="20"/>
        </w:numPr>
        <w:jc w:val="both"/>
        <w:rPr>
          <w:rFonts w:ascii="Arial" w:hAnsi="Arial" w:cs="Arial"/>
        </w:rPr>
      </w:pPr>
      <w:r w:rsidRPr="00CF1B34">
        <w:rPr>
          <w:rFonts w:ascii="Arial" w:hAnsi="Arial" w:cs="Arial"/>
        </w:rPr>
        <w:t>Es un indicador retrasado, ya que se basa en datos pasados.</w:t>
      </w:r>
    </w:p>
    <w:p w14:paraId="21BEDA47" w14:textId="2FC8E393" w:rsidR="00772AE2" w:rsidRPr="00CF1B34" w:rsidRDefault="00772AE2" w:rsidP="004F7A62">
      <w:pPr>
        <w:pStyle w:val="Prrafodelista"/>
        <w:numPr>
          <w:ilvl w:val="0"/>
          <w:numId w:val="20"/>
        </w:numPr>
        <w:jc w:val="both"/>
        <w:rPr>
          <w:rFonts w:ascii="Arial" w:hAnsi="Arial" w:cs="Arial"/>
        </w:rPr>
      </w:pPr>
      <w:r w:rsidRPr="00CF1B34">
        <w:rPr>
          <w:rFonts w:ascii="Arial" w:hAnsi="Arial" w:cs="Arial"/>
        </w:rPr>
        <w:t>Se utiliza para identificar tendencias y patrones en el precio, como niveles de soporte y resistencia.</w:t>
      </w:r>
    </w:p>
    <w:p w14:paraId="31C887C5" w14:textId="1077BBA5" w:rsidR="00772AE2" w:rsidRPr="00CF1B34" w:rsidRDefault="00772AE2" w:rsidP="004F7A62">
      <w:pPr>
        <w:pStyle w:val="Prrafodelista"/>
        <w:numPr>
          <w:ilvl w:val="0"/>
          <w:numId w:val="20"/>
        </w:numPr>
        <w:jc w:val="both"/>
        <w:rPr>
          <w:rFonts w:ascii="Arial" w:hAnsi="Arial" w:cs="Arial"/>
        </w:rPr>
      </w:pPr>
      <w:r w:rsidRPr="00CF1B34">
        <w:rPr>
          <w:rFonts w:ascii="Arial" w:hAnsi="Arial" w:cs="Arial"/>
        </w:rPr>
        <w:t>Puede ser utilizada para generar señales de compra o venta al cruzarse con otras líneas de tendencia o indicadores.</w:t>
      </w:r>
    </w:p>
    <w:p w14:paraId="750D7052" w14:textId="77777777" w:rsidR="00772AE2" w:rsidRPr="00CF1B34" w:rsidRDefault="00772AE2" w:rsidP="0005621A">
      <w:pPr>
        <w:ind w:firstLine="360"/>
        <w:jc w:val="both"/>
        <w:rPr>
          <w:rFonts w:ascii="Arial" w:hAnsi="Arial" w:cs="Arial"/>
        </w:rPr>
      </w:pPr>
      <w:r w:rsidRPr="00CF1B34">
        <w:rPr>
          <w:rStyle w:val="Textoennegrita"/>
          <w:rFonts w:ascii="Arial" w:hAnsi="Arial" w:cs="Arial"/>
          <w:color w:val="000000"/>
          <w:sz w:val="22"/>
          <w:szCs w:val="22"/>
        </w:rPr>
        <w:t>Ventajas</w:t>
      </w:r>
    </w:p>
    <w:p w14:paraId="1F9AFF3D" w14:textId="68D72B6C" w:rsidR="00772AE2" w:rsidRPr="00CF1B34" w:rsidRDefault="00772AE2" w:rsidP="004F7A62">
      <w:pPr>
        <w:pStyle w:val="Prrafodelista"/>
        <w:numPr>
          <w:ilvl w:val="0"/>
          <w:numId w:val="208"/>
        </w:numPr>
        <w:jc w:val="both"/>
        <w:rPr>
          <w:rFonts w:ascii="Arial" w:hAnsi="Arial" w:cs="Arial"/>
        </w:rPr>
      </w:pPr>
      <w:r w:rsidRPr="00CF1B34">
        <w:rPr>
          <w:rStyle w:val="highlight-answer"/>
          <w:rFonts w:ascii="Arial" w:hAnsi="Arial" w:cs="Arial"/>
          <w:b/>
          <w:bCs/>
          <w:color w:val="000000"/>
          <w:sz w:val="22"/>
          <w:szCs w:val="22"/>
        </w:rPr>
        <w:t>Ayuda a suavizar los movimientos bruscos del precio</w:t>
      </w:r>
      <w:r w:rsidRPr="00CF1B34">
        <w:rPr>
          <w:rFonts w:ascii="Arial" w:hAnsi="Arial" w:cs="Arial"/>
        </w:rPr>
        <w:t>.</w:t>
      </w:r>
    </w:p>
    <w:p w14:paraId="663A4652" w14:textId="77777777" w:rsidR="00772AE2" w:rsidRPr="00CF1B34" w:rsidRDefault="00772AE2" w:rsidP="004F7A62">
      <w:pPr>
        <w:pStyle w:val="Prrafodelista"/>
        <w:numPr>
          <w:ilvl w:val="0"/>
          <w:numId w:val="208"/>
        </w:numPr>
        <w:jc w:val="both"/>
        <w:rPr>
          <w:rFonts w:ascii="Arial" w:hAnsi="Arial" w:cs="Arial"/>
        </w:rPr>
      </w:pPr>
      <w:r w:rsidRPr="00CF1B34">
        <w:rPr>
          <w:rFonts w:ascii="Arial" w:hAnsi="Arial" w:cs="Arial"/>
        </w:rPr>
        <w:t>Permite identificar tendencias y patrones en el precio.</w:t>
      </w:r>
    </w:p>
    <w:p w14:paraId="32D92F86" w14:textId="56435538" w:rsidR="00772AE2" w:rsidRPr="00CF1B34" w:rsidRDefault="00772AE2" w:rsidP="004F7A62">
      <w:pPr>
        <w:pStyle w:val="Prrafodelista"/>
        <w:numPr>
          <w:ilvl w:val="0"/>
          <w:numId w:val="208"/>
        </w:numPr>
        <w:jc w:val="both"/>
        <w:rPr>
          <w:rFonts w:ascii="Arial" w:hAnsi="Arial" w:cs="Arial"/>
        </w:rPr>
      </w:pPr>
      <w:r w:rsidRPr="00CF1B34">
        <w:rPr>
          <w:rFonts w:ascii="Arial" w:hAnsi="Arial" w:cs="Arial"/>
        </w:rPr>
        <w:t>Es fácil de calcular y visualizar.</w:t>
      </w:r>
    </w:p>
    <w:p w14:paraId="5100E5A5" w14:textId="77777777" w:rsidR="00772AE2" w:rsidRPr="00CF1B34" w:rsidRDefault="00772AE2" w:rsidP="0005621A">
      <w:pPr>
        <w:ind w:firstLine="360"/>
        <w:jc w:val="both"/>
        <w:rPr>
          <w:rFonts w:ascii="Arial" w:hAnsi="Arial" w:cs="Arial"/>
        </w:rPr>
      </w:pPr>
      <w:r w:rsidRPr="00CF1B34">
        <w:rPr>
          <w:rStyle w:val="Textoennegrita"/>
          <w:rFonts w:ascii="Arial" w:hAnsi="Arial" w:cs="Arial"/>
          <w:color w:val="000000"/>
          <w:sz w:val="22"/>
          <w:szCs w:val="22"/>
        </w:rPr>
        <w:t>Desventajas</w:t>
      </w:r>
    </w:p>
    <w:p w14:paraId="2A76CD19" w14:textId="48F6B58B" w:rsidR="00772AE2" w:rsidRPr="00CF1B34" w:rsidRDefault="00772AE2" w:rsidP="004F7A62">
      <w:pPr>
        <w:pStyle w:val="Prrafodelista"/>
        <w:numPr>
          <w:ilvl w:val="0"/>
          <w:numId w:val="209"/>
        </w:numPr>
        <w:jc w:val="both"/>
        <w:rPr>
          <w:rFonts w:ascii="Arial" w:hAnsi="Arial" w:cs="Arial"/>
        </w:rPr>
      </w:pPr>
      <w:r w:rsidRPr="00CF1B34">
        <w:rPr>
          <w:rFonts w:ascii="Arial" w:hAnsi="Arial" w:cs="Arial"/>
        </w:rPr>
        <w:t>Es un indicador retrasado, lo que significa que no anticipa el movimiento del mercado.</w:t>
      </w:r>
    </w:p>
    <w:p w14:paraId="3B9F76E7" w14:textId="29D20AC9" w:rsidR="00772AE2" w:rsidRPr="00CF1B34" w:rsidRDefault="00772AE2" w:rsidP="004F7A62">
      <w:pPr>
        <w:pStyle w:val="Prrafodelista"/>
        <w:numPr>
          <w:ilvl w:val="0"/>
          <w:numId w:val="209"/>
        </w:numPr>
        <w:jc w:val="both"/>
        <w:rPr>
          <w:rFonts w:ascii="Arial" w:hAnsi="Arial" w:cs="Arial"/>
        </w:rPr>
      </w:pPr>
      <w:r w:rsidRPr="00CF1B34">
        <w:rPr>
          <w:rFonts w:ascii="Arial" w:hAnsi="Arial" w:cs="Arial"/>
        </w:rPr>
        <w:t>Requiere ajustes y configuración adecuados para ser efectivo.</w:t>
      </w:r>
    </w:p>
    <w:p w14:paraId="28144532" w14:textId="77777777" w:rsidR="00A72D2F" w:rsidRPr="00CF1B34" w:rsidRDefault="00772AE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rPr>
        <w:t>En resumen, la media móvil es un </w:t>
      </w:r>
      <w:r w:rsidRPr="00CF1B34">
        <w:rPr>
          <w:rStyle w:val="highlight-answer"/>
          <w:rFonts w:ascii="Arial" w:hAnsi="Arial" w:cs="Arial"/>
          <w:b/>
          <w:bCs/>
          <w:color w:val="000000"/>
          <w:sz w:val="22"/>
          <w:szCs w:val="22"/>
        </w:rPr>
        <w:t>indicador técnico que se utiliza para analizar tendencias y patrones en el precio de un activo, pero no anticipa el movimiento del mercado</w:t>
      </w:r>
      <w:r w:rsidRPr="00CF1B34">
        <w:rPr>
          <w:rFonts w:ascii="Arial" w:hAnsi="Arial" w:cs="Arial"/>
        </w:rPr>
        <w:t>. Es importante entender cómo se calcula y configurar adecuadamente para obtener resultados efectivos en el trading.</w:t>
      </w:r>
    </w:p>
    <w:p w14:paraId="49DDDB90" w14:textId="1233278E"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MEFF, Mercado español de futuros y opciones</w:t>
      </w:r>
    </w:p>
    <w:p w14:paraId="5F3D11E8" w14:textId="3134CFF0"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Mercado oficial, regulado y supervisado por la CNMV, en el que se negocian contratos de opciones y futuros sobre una variedad de activos subyacentes (bono</w:t>
      </w:r>
      <w:r w:rsidR="00772AE2" w:rsidRPr="00CF1B34">
        <w:rPr>
          <w:rFonts w:ascii="Arial" w:hAnsi="Arial" w:cs="Arial"/>
          <w:color w:val="212529"/>
          <w:sz w:val="22"/>
          <w:szCs w:val="22"/>
          <w:lang w:val="es-ES_tradnl"/>
        </w:rPr>
        <w:t>s</w:t>
      </w:r>
      <w:r w:rsidRPr="00CF1B34">
        <w:rPr>
          <w:rFonts w:ascii="Arial" w:hAnsi="Arial" w:cs="Arial"/>
          <w:color w:val="212529"/>
          <w:sz w:val="22"/>
          <w:szCs w:val="22"/>
          <w:lang w:val="es-ES_tradnl"/>
        </w:rPr>
        <w:t xml:space="preserve"> nocionales, acciones, índices bursátiles, etc.).</w:t>
      </w:r>
    </w:p>
    <w:p w14:paraId="5ED30E8C" w14:textId="265558B2" w:rsidR="007B1B18" w:rsidRPr="00CF1B34" w:rsidRDefault="007B1B1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Meff renta fija</w:t>
      </w:r>
    </w:p>
    <w:p w14:paraId="1FC6698E" w14:textId="77777777" w:rsidR="00481532" w:rsidRPr="00CF1B34" w:rsidRDefault="0048153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Nombre que recibe el mercado de futuros financieros dedicado a la contratación de futuros y opciones sobre activos de renta fija. Este mercado se localiza en Barcelona.</w:t>
      </w:r>
    </w:p>
    <w:p w14:paraId="381C4F6F" w14:textId="77777777" w:rsidR="00481532" w:rsidRPr="00CF1B34" w:rsidRDefault="0048153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Meff renta variable </w:t>
      </w:r>
    </w:p>
    <w:p w14:paraId="31202546" w14:textId="77777777" w:rsidR="00481532" w:rsidRPr="00CF1B34" w:rsidRDefault="0048153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Nombre que recibe el mercado de futuros financieros dedicado a la contratación de futuros y opciones sobre activos de renta variable. Este mercado se encuentra localizado en Madrid.</w:t>
      </w:r>
    </w:p>
    <w:p w14:paraId="44E4CF04" w14:textId="79E0D69B"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Memoria</w:t>
      </w:r>
    </w:p>
    <w:p w14:paraId="18E6AF36" w14:textId="6B371AE1"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Informe que, junto al balance y a la cuenta de pérdidas y ganancias, compone las cuentas anuales de una compañía. Su elaboración es competencia de los administradores de la sociedad, en un plazo máximo de tres meses desde el cierre del ejercicio. La memoria comenta y amplía la información recogida en el balance y en la cuenta de pérdidas y ganancias. Entre otros contenidos, informa sobre la distribución de resultados, las normas de valoración de los activos, etc. Ver</w:t>
      </w:r>
      <w:r w:rsidR="00DB1CB5" w:rsidRPr="00CF1B34">
        <w:rPr>
          <w:rFonts w:ascii="Arial" w:hAnsi="Arial" w:cs="Arial"/>
          <w:color w:val="212529"/>
          <w:sz w:val="22"/>
          <w:szCs w:val="22"/>
          <w:lang w:val="es-ES_tradnl"/>
        </w:rPr>
        <w:t xml:space="preserve"> </w:t>
      </w:r>
      <w:hyperlink r:id="rId277" w:tgtFrame="_self" w:history="1">
        <w:r w:rsidRPr="00CF1B34">
          <w:rPr>
            <w:rFonts w:ascii="Arial" w:hAnsi="Arial" w:cs="Arial"/>
            <w:b/>
            <w:bCs/>
            <w:color w:val="2F5496" w:themeColor="accent1" w:themeShade="BF"/>
            <w:sz w:val="22"/>
            <w:szCs w:val="22"/>
            <w:u w:val="single"/>
            <w:lang w:val="es-ES_tradnl"/>
          </w:rPr>
          <w:t>Balance</w:t>
        </w:r>
      </w:hyperlink>
      <w:r w:rsidR="00DB1CB5" w:rsidRPr="00CF1B34">
        <w:rPr>
          <w:rFonts w:ascii="Arial" w:hAnsi="Arial" w:cs="Arial"/>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w:t>
      </w:r>
      <w:r w:rsidR="00DB1CB5" w:rsidRPr="00CF1B34">
        <w:rPr>
          <w:rFonts w:ascii="Arial" w:hAnsi="Arial" w:cs="Arial"/>
          <w:color w:val="2F5496" w:themeColor="accent1" w:themeShade="BF"/>
          <w:sz w:val="22"/>
          <w:szCs w:val="22"/>
          <w:lang w:val="es-ES_tradnl"/>
        </w:rPr>
        <w:t xml:space="preserve"> </w:t>
      </w:r>
      <w:hyperlink r:id="rId278" w:tgtFrame="_self" w:history="1">
        <w:r w:rsidRPr="00CF1B34">
          <w:rPr>
            <w:rFonts w:ascii="Arial" w:hAnsi="Arial" w:cs="Arial"/>
            <w:b/>
            <w:bCs/>
            <w:color w:val="2F5496" w:themeColor="accent1" w:themeShade="BF"/>
            <w:sz w:val="22"/>
            <w:szCs w:val="22"/>
            <w:u w:val="single"/>
            <w:lang w:val="es-ES_tradnl"/>
          </w:rPr>
          <w:t>Cuenta de resultados</w:t>
        </w:r>
      </w:hyperlink>
      <w:r w:rsidRPr="00CF1B34">
        <w:rPr>
          <w:rFonts w:ascii="Arial" w:hAnsi="Arial" w:cs="Arial"/>
          <w:color w:val="2F5496" w:themeColor="accent1" w:themeShade="BF"/>
          <w:sz w:val="22"/>
          <w:szCs w:val="22"/>
          <w:lang w:val="es-ES_tradnl"/>
        </w:rPr>
        <w:t>.</w:t>
      </w:r>
    </w:p>
    <w:p w14:paraId="2DE5A948" w14:textId="1077DE01" w:rsidR="00481532" w:rsidRPr="00CF1B34" w:rsidRDefault="0048153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w:t>
      </w:r>
    </w:p>
    <w:p w14:paraId="38A8C2FB" w14:textId="77777777" w:rsidR="00427DB6" w:rsidRPr="00CF1B34" w:rsidRDefault="00427DB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Lugar de encuentro de la oferta y la demanda. No tiene porque ser un sitio físico, sino que puede ser un lugar o entorno electrónico.</w:t>
      </w:r>
    </w:p>
    <w:p w14:paraId="66C76086" w14:textId="459147AF" w:rsidR="00481532" w:rsidRPr="00CF1B34" w:rsidRDefault="00427DB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“ciego”</w:t>
      </w:r>
    </w:p>
    <w:p w14:paraId="6592E404" w14:textId="77777777" w:rsidR="00175C0D" w:rsidRPr="00CF1B34" w:rsidRDefault="00427DB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En el participan los creadores y aspirante a creadores de mercado (negociantes de deuda) y los brokers o MEDAS. Los negociantes se comprometen a cotizar precios de compra y venta de cada </w:t>
      </w:r>
      <w:r w:rsidR="00175C0D" w:rsidRPr="00CF1B34">
        <w:rPr>
          <w:rFonts w:ascii="Arial" w:hAnsi="Arial" w:cs="Arial"/>
          <w:color w:val="000000" w:themeColor="text1"/>
          <w:sz w:val="22"/>
          <w:szCs w:val="22"/>
          <w:lang w:val="es-ES_tradnl"/>
        </w:rPr>
        <w:t>emisión (referencia) a traves de la red informática administrada por los “brokers ciegos” y accesible para todos los negociantes. Cualquiera de estos puede realizar la compra/venta a los precios que aparecen en pantalla, pero no saben quien es la contrapartida (el comprador o vendedor).</w:t>
      </w:r>
    </w:p>
    <w:p w14:paraId="64DC6D87" w14:textId="2F60241C"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AIAF</w:t>
      </w:r>
      <w:r w:rsidR="00356F05" w:rsidRPr="00CF1B34">
        <w:rPr>
          <w:rFonts w:ascii="Arial" w:hAnsi="Arial" w:cs="Arial"/>
          <w:b/>
          <w:bCs/>
          <w:color w:val="004773"/>
          <w:sz w:val="22"/>
          <w:szCs w:val="22"/>
          <w:lang w:val="es-ES_tradnl"/>
        </w:rPr>
        <w:t xml:space="preserve"> de renta fija</w:t>
      </w:r>
    </w:p>
    <w:p w14:paraId="7762B5BF" w14:textId="1481CEB8"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La Asociación de Intermediarios de Activos Financieros es un mercado español de renta fija. Se trata de un mercado secundario organizado, en el que se negocian los activos emitidos por empresas de tipo industrial, entidades financieras y administraciones públicas territoriales para financiar su actividad. Se orienta de forma preferente a inversores institucionales.</w:t>
      </w:r>
      <w:r w:rsidR="00356F05" w:rsidRPr="00CF1B34">
        <w:rPr>
          <w:rFonts w:ascii="Arial" w:hAnsi="Arial" w:cs="Arial"/>
          <w:color w:val="212529"/>
          <w:sz w:val="22"/>
          <w:szCs w:val="22"/>
          <w:lang w:val="es-ES_tradnl"/>
        </w:rPr>
        <w:t xml:space="preserve"> Este mercado destinado a los inversores institucionales no a los privados.</w:t>
      </w:r>
    </w:p>
    <w:p w14:paraId="20E35B32"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ajustado</w:t>
      </w:r>
    </w:p>
    <w:p w14:paraId="4D2E5BEA"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Se llama así al mercado que se caracteriza por sus elevados volúmenes de contratación, y por la existencia de diferenciales muy estrechos entre los precios de oferta y demanda.</w:t>
      </w:r>
    </w:p>
    <w:p w14:paraId="15475A25" w14:textId="139B4E53" w:rsidR="00356F05" w:rsidRPr="00CF1B34" w:rsidRDefault="00356F0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alcista-bajista</w:t>
      </w:r>
    </w:p>
    <w:p w14:paraId="46EE6397" w14:textId="77777777" w:rsidR="00356F05" w:rsidRPr="00CF1B34" w:rsidRDefault="00356F0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mercado alcista se caracteriza por la expectativa en la subida de las cotizaciones y en el mercado bajista la situación es la contraria ya que se caracteriza por una tendencia de caída de precios y volúmenes de contratación.</w:t>
      </w:r>
    </w:p>
    <w:p w14:paraId="13CA5D82" w14:textId="6F5DD3CE" w:rsidR="00A72D2F" w:rsidRPr="00CF1B34" w:rsidRDefault="00A72D2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alternativo bursátil (MAB)</w:t>
      </w:r>
    </w:p>
    <w:p w14:paraId="4F92D79D" w14:textId="0A053F24" w:rsidR="008C67E9" w:rsidRPr="00CF1B34" w:rsidRDefault="008C67E9" w:rsidP="0005621A">
      <w:pPr>
        <w:ind w:left="708"/>
        <w:jc w:val="both"/>
        <w:rPr>
          <w:rFonts w:ascii="Arial" w:hAnsi="Arial" w:cs="Arial"/>
          <w:sz w:val="22"/>
          <w:szCs w:val="22"/>
        </w:rPr>
      </w:pPr>
      <w:r w:rsidRPr="00CF1B34">
        <w:rPr>
          <w:rFonts w:ascii="Arial" w:hAnsi="Arial" w:cs="Arial"/>
          <w:sz w:val="22"/>
          <w:szCs w:val="22"/>
        </w:rPr>
        <w:lastRenderedPageBreak/>
        <w:t>Bolsas y Mercados Españoles (BME) ha creado el Mercado Alternativo Bursátil o BME Growth para dar respuesta a la necesidad de valores, que, por sus especiales características, requieren un tratamiento singularizado, como las SICAVS y las compañías de baja capitalización.</w:t>
      </w:r>
    </w:p>
    <w:p w14:paraId="0795453A" w14:textId="77777777" w:rsidR="008C67E9" w:rsidRPr="00CF1B34" w:rsidRDefault="008C67E9" w:rsidP="0005621A">
      <w:pPr>
        <w:ind w:firstLine="708"/>
        <w:jc w:val="both"/>
        <w:rPr>
          <w:rFonts w:ascii="Arial" w:hAnsi="Arial" w:cs="Arial"/>
          <w:sz w:val="22"/>
          <w:szCs w:val="22"/>
        </w:rPr>
      </w:pPr>
      <w:r w:rsidRPr="00CF1B34">
        <w:rPr>
          <w:rFonts w:ascii="Arial" w:hAnsi="Arial" w:cs="Arial"/>
          <w:sz w:val="22"/>
          <w:szCs w:val="22"/>
        </w:rPr>
        <w:t>El MAB ofrece varias modalidades de negociación de valores:</w:t>
      </w:r>
    </w:p>
    <w:p w14:paraId="048D7327" w14:textId="0C6BA61D" w:rsidR="008C67E9" w:rsidRPr="00CF1B34" w:rsidRDefault="008C67E9" w:rsidP="004F7A62">
      <w:pPr>
        <w:pStyle w:val="Prrafodelista"/>
        <w:numPr>
          <w:ilvl w:val="0"/>
          <w:numId w:val="210"/>
        </w:numPr>
        <w:jc w:val="both"/>
        <w:rPr>
          <w:rFonts w:ascii="Arial" w:hAnsi="Arial" w:cs="Arial"/>
          <w:sz w:val="22"/>
          <w:szCs w:val="22"/>
        </w:rPr>
      </w:pPr>
      <w:r w:rsidRPr="00CF1B34">
        <w:rPr>
          <w:rStyle w:val="Textoennegrita"/>
          <w:rFonts w:ascii="Arial" w:hAnsi="Arial" w:cs="Arial"/>
          <w:color w:val="333333"/>
          <w:sz w:val="22"/>
          <w:szCs w:val="22"/>
        </w:rPr>
        <w:t xml:space="preserve">Contratación general: </w:t>
      </w:r>
      <w:r w:rsidRPr="00CF1B34">
        <w:rPr>
          <w:rFonts w:ascii="Arial" w:hAnsi="Arial" w:cs="Arial"/>
          <w:sz w:val="22"/>
          <w:szCs w:val="22"/>
        </w:rPr>
        <w:t xml:space="preserve">es un mercado </w:t>
      </w:r>
      <w:proofErr w:type="gramStart"/>
      <w:r w:rsidRPr="00CF1B34">
        <w:rPr>
          <w:rFonts w:ascii="Arial" w:hAnsi="Arial" w:cs="Arial"/>
          <w:sz w:val="22"/>
          <w:szCs w:val="22"/>
        </w:rPr>
        <w:t>cont</w:t>
      </w:r>
      <w:r w:rsidR="00527332" w:rsidRPr="00CF1B34">
        <w:rPr>
          <w:rFonts w:ascii="Arial" w:hAnsi="Arial" w:cs="Arial"/>
          <w:sz w:val="22"/>
          <w:szCs w:val="22"/>
        </w:rPr>
        <w:t>i</w:t>
      </w:r>
      <w:r w:rsidRPr="00CF1B34">
        <w:rPr>
          <w:rFonts w:ascii="Arial" w:hAnsi="Arial" w:cs="Arial"/>
          <w:sz w:val="22"/>
          <w:szCs w:val="22"/>
        </w:rPr>
        <w:t>nuo</w:t>
      </w:r>
      <w:proofErr w:type="gramEnd"/>
      <w:r w:rsidRPr="00CF1B34">
        <w:rPr>
          <w:rFonts w:ascii="Arial" w:hAnsi="Arial" w:cs="Arial"/>
          <w:sz w:val="22"/>
          <w:szCs w:val="22"/>
        </w:rPr>
        <w:t xml:space="preserve"> dirigido por órdenes con una subasta de apertura al inicio de la sesión y una subasta de cierre al final de la misma.</w:t>
      </w:r>
    </w:p>
    <w:p w14:paraId="67367BC8" w14:textId="77777777" w:rsidR="008C67E9" w:rsidRPr="00CF1B34" w:rsidRDefault="008C67E9" w:rsidP="004F7A62">
      <w:pPr>
        <w:pStyle w:val="Prrafodelista"/>
        <w:numPr>
          <w:ilvl w:val="0"/>
          <w:numId w:val="210"/>
        </w:numPr>
        <w:jc w:val="both"/>
        <w:rPr>
          <w:rFonts w:ascii="Arial" w:hAnsi="Arial" w:cs="Arial"/>
          <w:sz w:val="22"/>
          <w:szCs w:val="22"/>
        </w:rPr>
      </w:pPr>
      <w:r w:rsidRPr="00CF1B34">
        <w:rPr>
          <w:rStyle w:val="Textoennegrita"/>
          <w:rFonts w:ascii="Arial" w:hAnsi="Arial" w:cs="Arial"/>
          <w:color w:val="333333"/>
          <w:sz w:val="22"/>
          <w:szCs w:val="22"/>
        </w:rPr>
        <w:t>Modalidad de fixing</w:t>
      </w:r>
      <w:r w:rsidRPr="00CF1B34">
        <w:rPr>
          <w:rFonts w:ascii="Arial" w:hAnsi="Arial" w:cs="Arial"/>
          <w:sz w:val="22"/>
          <w:szCs w:val="22"/>
        </w:rPr>
        <w:t xml:space="preserve"> o de fijación de precios únicos: los valores están toda la sesión en subasta, existiendo dos periodos de asignación de títulos. El objetivo de esta modalidad es favorecer la formación de precios y disminuir la volatilidad de los títulos.</w:t>
      </w:r>
    </w:p>
    <w:p w14:paraId="54F6069B" w14:textId="77777777" w:rsidR="008C67E9" w:rsidRPr="00CF1B34" w:rsidRDefault="008C67E9" w:rsidP="004F7A62">
      <w:pPr>
        <w:pStyle w:val="Prrafodelista"/>
        <w:numPr>
          <w:ilvl w:val="0"/>
          <w:numId w:val="210"/>
        </w:numPr>
        <w:jc w:val="both"/>
        <w:rPr>
          <w:rFonts w:ascii="Arial" w:hAnsi="Arial" w:cs="Arial"/>
          <w:sz w:val="22"/>
          <w:szCs w:val="22"/>
        </w:rPr>
      </w:pPr>
      <w:r w:rsidRPr="00CF1B34">
        <w:rPr>
          <w:rStyle w:val="Textoennegrita"/>
          <w:rFonts w:ascii="Arial" w:hAnsi="Arial" w:cs="Arial"/>
          <w:color w:val="333333"/>
          <w:sz w:val="22"/>
          <w:szCs w:val="22"/>
        </w:rPr>
        <w:t>Contratación de bloques</w:t>
      </w:r>
      <w:r w:rsidRPr="00CF1B34">
        <w:rPr>
          <w:rFonts w:ascii="Arial" w:hAnsi="Arial" w:cs="Arial"/>
          <w:sz w:val="22"/>
          <w:szCs w:val="22"/>
        </w:rPr>
        <w:t>: permite a los miembros del mercado ejecutar operaciones previamente negociadas, siempre que se cumplan los requisitos de volumen.</w:t>
      </w:r>
    </w:p>
    <w:p w14:paraId="209E83FE" w14:textId="4F28FB91" w:rsidR="008C67E9" w:rsidRPr="00CF1B34" w:rsidRDefault="008C67E9" w:rsidP="004F7A62">
      <w:pPr>
        <w:pStyle w:val="Prrafodelista"/>
        <w:numPr>
          <w:ilvl w:val="0"/>
          <w:numId w:val="210"/>
        </w:numPr>
        <w:jc w:val="both"/>
        <w:rPr>
          <w:rFonts w:ascii="Arial" w:hAnsi="Arial" w:cs="Arial"/>
          <w:sz w:val="22"/>
          <w:szCs w:val="22"/>
        </w:rPr>
      </w:pPr>
      <w:r w:rsidRPr="00CF1B34">
        <w:rPr>
          <w:rStyle w:val="Textoennegrita"/>
          <w:rFonts w:ascii="Arial" w:hAnsi="Arial" w:cs="Arial"/>
          <w:color w:val="333333"/>
          <w:sz w:val="22"/>
          <w:szCs w:val="22"/>
        </w:rPr>
        <w:t>Operaciones fuera del horario de contratación general</w:t>
      </w:r>
      <w:r w:rsidRPr="00CF1B34">
        <w:rPr>
          <w:rFonts w:ascii="Arial" w:hAnsi="Arial" w:cs="Arial"/>
          <w:sz w:val="22"/>
          <w:szCs w:val="22"/>
        </w:rPr>
        <w:t>: los miembros del mercado pueden ejecutar operaciones fuera del horario de contratación general (entre las 17:40 y las 20:00 horas).</w:t>
      </w:r>
    </w:p>
    <w:p w14:paraId="72D46888" w14:textId="77777777" w:rsidR="008C67E9" w:rsidRPr="00CF1B34" w:rsidRDefault="008C67E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El BME Growth o MAB ofrece ventajas para medianas empresas que necesitan financiación para sus procesos de desarrollo y expansión.</w:t>
      </w:r>
    </w:p>
    <w:p w14:paraId="426F7152" w14:textId="293086F9" w:rsidR="00356F05" w:rsidRPr="00CF1B34" w:rsidRDefault="006E18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bursátil</w:t>
      </w:r>
    </w:p>
    <w:p w14:paraId="696A84B8" w14:textId="5CA4A7D7" w:rsidR="00CA0B6B" w:rsidRPr="00CF1B34" w:rsidRDefault="00CA0B6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Mercado primario y secundario de compraventa y emisión de valores de renta fija y variable. El primero es el que recoge la emisión de títulos y el secundario es aquel en el que se produce el intercambio de títulos previamente emitidos entre los distintos inversores.</w:t>
      </w:r>
    </w:p>
    <w:p w14:paraId="5CF0DAEF" w14:textId="39994349" w:rsidR="009632A3" w:rsidRPr="00CF1B34" w:rsidRDefault="009632A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Mercado de capitales </w:t>
      </w:r>
    </w:p>
    <w:p w14:paraId="2C6CE45A" w14:textId="77777777" w:rsidR="00140753" w:rsidRPr="00CF1B34" w:rsidRDefault="009632A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Algunos economistas definen el Mercado de Capitales como el motor de la economía de un país; es decir, a través de este mercado, el Ahorro se transforma en Inversión, y la inversión a su vez genera el Crecimiento Económico necesario para el desarrollo de un país. En otras palabras, el Mercado de Capitales como cualquier otro mercado financiero, funge como un canalizador del ahorro interno a objeto de ofrecer un rendimiento al inversionista; mientras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para las empresas de un país, el Mercado de Capitales se constituye como una fuente para obtener fondos, explotando así su crecimiento económico. Dentro del Mercado de Capitales están definidos ciertos mercados como son: el mercado accionario o mercado de renta variable; los mercados de deuda o mercado de renta fija tal como es el mercado de bonos; el Mercado de Dinero especializado en obligaciones de muy corto plazo; el mercado de futuros y opciones, entre otros</w:t>
      </w:r>
      <w:r w:rsidRPr="00CF1B34">
        <w:rPr>
          <w:rFonts w:ascii="Arial" w:hAnsi="Arial" w:cs="Arial"/>
          <w:sz w:val="26"/>
          <w:szCs w:val="26"/>
          <w:lang w:val="es-ES_tradnl"/>
        </w:rPr>
        <w:t>.</w:t>
      </w:r>
    </w:p>
    <w:p w14:paraId="0688F62E" w14:textId="2B362FAE"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continuo</w:t>
      </w:r>
    </w:p>
    <w:p w14:paraId="785FD557" w14:textId="2BFF9D5A" w:rsidR="00D92D2A" w:rsidRPr="00CF1B34" w:rsidRDefault="00696A3C" w:rsidP="0005621A">
      <w:pPr>
        <w:pStyle w:val="NormalWeb"/>
        <w:shd w:val="clear" w:color="auto" w:fill="FFFFFF"/>
        <w:spacing w:before="0" w:beforeAutospacing="0"/>
        <w:ind w:left="708"/>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Sistema informatizado de contratación, que en general permite la negociación de los principales valores cotizados en la Bolsa española, de forma ininterrumpida, durante un amplio horario preestablecido. Ver</w:t>
      </w:r>
      <w:r w:rsidR="00DB1CB5" w:rsidRPr="00CF1B34">
        <w:rPr>
          <w:rFonts w:ascii="Arial" w:hAnsi="Arial" w:cs="Arial"/>
          <w:color w:val="212529"/>
          <w:sz w:val="22"/>
          <w:szCs w:val="22"/>
          <w:lang w:val="es-ES_tradnl"/>
        </w:rPr>
        <w:t xml:space="preserve"> </w:t>
      </w:r>
      <w:hyperlink r:id="rId279" w:tgtFrame="_self" w:history="1">
        <w:r w:rsidRPr="00CF1B34">
          <w:rPr>
            <w:rFonts w:ascii="Arial" w:hAnsi="Arial" w:cs="Arial"/>
            <w:b/>
            <w:bCs/>
            <w:color w:val="2F5496" w:themeColor="accent1" w:themeShade="BF"/>
            <w:sz w:val="22"/>
            <w:szCs w:val="22"/>
            <w:u w:val="single"/>
            <w:lang w:val="es-ES_tradnl"/>
          </w:rPr>
          <w:t>Sistema de Interconexión Bursátil Español, SIBE</w:t>
        </w:r>
      </w:hyperlink>
      <w:r w:rsidRPr="00CF1B34">
        <w:rPr>
          <w:rFonts w:ascii="Arial" w:hAnsi="Arial" w:cs="Arial"/>
          <w:color w:val="2F5496" w:themeColor="accent1" w:themeShade="BF"/>
          <w:sz w:val="22"/>
          <w:szCs w:val="22"/>
          <w:lang w:val="es-ES_tradnl"/>
        </w:rPr>
        <w:t>.</w:t>
      </w:r>
    </w:p>
    <w:p w14:paraId="07B31F13" w14:textId="7BC60FFA" w:rsidR="00D92D2A" w:rsidRPr="00CF1B34" w:rsidRDefault="00D92D2A" w:rsidP="0005621A">
      <w:pPr>
        <w:pStyle w:val="NormalWeb"/>
        <w:shd w:val="clear" w:color="auto" w:fill="FFFFFF"/>
        <w:spacing w:before="0" w:beforeAutospacing="0"/>
        <w:ind w:left="708"/>
        <w:jc w:val="both"/>
        <w:rPr>
          <w:rFonts w:ascii="Arial" w:hAnsi="Arial" w:cs="Arial"/>
          <w:color w:val="191B1C"/>
          <w:sz w:val="21"/>
          <w:szCs w:val="21"/>
          <w:lang w:val="es-ES_tradnl"/>
        </w:rPr>
      </w:pPr>
      <w:r w:rsidRPr="00CF1B34">
        <w:rPr>
          <w:rFonts w:ascii="Arial" w:hAnsi="Arial" w:cs="Arial"/>
          <w:color w:val="191B1C"/>
          <w:lang w:val="es-ES_tradnl"/>
        </w:rPr>
        <w:t xml:space="preserve"> </w:t>
      </w:r>
      <w:r w:rsidRPr="00CF1B34">
        <w:rPr>
          <w:rFonts w:ascii="Arial" w:hAnsi="Arial" w:cs="Arial"/>
          <w:color w:val="191B1C"/>
          <w:sz w:val="21"/>
          <w:szCs w:val="21"/>
          <w:lang w:val="es-ES_tradnl"/>
        </w:rPr>
        <w:t>En principio eran cinco las empresas intermediarias que participaban en el mercado, y interconectaban mediante el Computer Assisted Trading System (CATS), un software adaptado de la Bolsa de Toronto. En 1995 el Sistema de Interconexión Bursátil Español (SIBE) sustituyó al CATS, que sigue siendo el utilizado a día de hoy. Y en 2001, con nuestra entrada en la Unión Europea estas cuatro bolsas se unificaron definitivamente.</w:t>
      </w:r>
    </w:p>
    <w:p w14:paraId="6BD4EB4A" w14:textId="77777777" w:rsidR="00CA0B6B" w:rsidRPr="00CF1B34" w:rsidRDefault="00D92D2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1"/>
          <w:szCs w:val="21"/>
          <w:lang w:val="es-ES_tradnl"/>
        </w:rPr>
        <w:t>Este mercado agrupa a más de 130 empresas, siendo parte de él las compañías que integran el índice IBEX. Es supervisado por la Comisió</w:t>
      </w:r>
      <w:r w:rsidR="00CA0B6B" w:rsidRPr="00CF1B34">
        <w:rPr>
          <w:rFonts w:ascii="Arial" w:hAnsi="Arial" w:cs="Arial"/>
          <w:color w:val="191B1C"/>
          <w:sz w:val="21"/>
          <w:szCs w:val="21"/>
          <w:lang w:val="es-ES_tradnl"/>
        </w:rPr>
        <w:t>n.</w:t>
      </w:r>
    </w:p>
    <w:p w14:paraId="2242A89D"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Mercado de corros</w:t>
      </w:r>
    </w:p>
    <w:p w14:paraId="724B4AE6"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Sistema de contratación bursátil, en el que los operadores miembros de la Bolsa se reúnen físicamente en el salón de contratación (´parqué´), para negociar de viva voz. En la actualidad, este mercado tiene en España un carácter residual, ya que representa un porcentaje mínimo de la contratación, aunque congrega un gran número de compañías de escasa liquidez.</w:t>
      </w:r>
    </w:p>
    <w:p w14:paraId="4D855EC7"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de deuda pública anotada</w:t>
      </w:r>
    </w:p>
    <w:p w14:paraId="1091D0A3" w14:textId="4048D101"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Mercado regido en un principio por el Banco de España, y ahora integrado en la plataforma Senaf, en el que se negocian bonos, obligaciones y letras del Tesoro, así como deuda emitida por las Comunidades Autónomas y algunos organismos públicos. Los miembros, características y funcionamiento de este mercado se describen en la sección Mercado de deuda pública anotada. Ver</w:t>
      </w:r>
      <w:r w:rsidR="00DB1CB5" w:rsidRPr="00CF1B34">
        <w:rPr>
          <w:rFonts w:ascii="Arial" w:hAnsi="Arial" w:cs="Arial"/>
          <w:color w:val="212529"/>
          <w:sz w:val="22"/>
          <w:szCs w:val="22"/>
          <w:lang w:val="es-ES_tradnl"/>
        </w:rPr>
        <w:t xml:space="preserve"> </w:t>
      </w:r>
      <w:hyperlink r:id="rId280" w:tgtFrame="_self" w:history="1">
        <w:r w:rsidRPr="00CF1B34">
          <w:rPr>
            <w:rFonts w:ascii="Arial" w:hAnsi="Arial" w:cs="Arial"/>
            <w:b/>
            <w:bCs/>
            <w:color w:val="2F5496" w:themeColor="accent1" w:themeShade="BF"/>
            <w:sz w:val="22"/>
            <w:szCs w:val="22"/>
            <w:u w:val="single"/>
            <w:lang w:val="es-ES_tradnl"/>
          </w:rPr>
          <w:t>Senaf</w:t>
        </w:r>
      </w:hyperlink>
      <w:r w:rsidRPr="00CF1B34">
        <w:rPr>
          <w:rFonts w:ascii="Arial" w:hAnsi="Arial" w:cs="Arial"/>
          <w:color w:val="2F5496" w:themeColor="accent1" w:themeShade="BF"/>
          <w:sz w:val="22"/>
          <w:szCs w:val="22"/>
          <w:lang w:val="es-ES_tradnl"/>
        </w:rPr>
        <w:t>.</w:t>
      </w:r>
    </w:p>
    <w:p w14:paraId="0F331E7D" w14:textId="3883ED25" w:rsidR="00527332" w:rsidRPr="00CF1B34" w:rsidRDefault="00527332"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de divisas</w:t>
      </w:r>
    </w:p>
    <w:p w14:paraId="11E01C60" w14:textId="77777777" w:rsidR="0085417C" w:rsidRPr="00CF1B34" w:rsidRDefault="0085417C" w:rsidP="0005621A">
      <w:pPr>
        <w:pBdr>
          <w:bottom w:val="dotted" w:sz="12" w:space="12" w:color="666666"/>
        </w:pBdr>
        <w:spacing w:after="240"/>
        <w:ind w:left="720"/>
        <w:jc w:val="both"/>
        <w:rPr>
          <w:rFonts w:ascii="Arial" w:hAnsi="Arial" w:cs="Arial"/>
          <w:color w:val="212529"/>
          <w:sz w:val="22"/>
          <w:szCs w:val="22"/>
          <w:lang w:val="es-ES_tradnl"/>
        </w:rPr>
      </w:pPr>
      <w:r w:rsidRPr="0085417C">
        <w:rPr>
          <w:rFonts w:ascii="Arial" w:hAnsi="Arial" w:cs="Arial"/>
          <w:color w:val="202122"/>
          <w:sz w:val="22"/>
          <w:szCs w:val="22"/>
          <w:shd w:val="clear" w:color="auto" w:fill="FFFFFF"/>
        </w:rPr>
        <w:t>El</w:t>
      </w:r>
      <w:r w:rsidRPr="00CF1B34">
        <w:rPr>
          <w:rFonts w:ascii="Arial" w:hAnsi="Arial" w:cs="Arial"/>
          <w:color w:val="202122"/>
          <w:sz w:val="22"/>
          <w:szCs w:val="22"/>
          <w:shd w:val="clear" w:color="auto" w:fill="FFFFFF"/>
        </w:rPr>
        <w:t xml:space="preserve"> </w:t>
      </w:r>
      <w:r w:rsidRPr="0085417C">
        <w:rPr>
          <w:rFonts w:ascii="Arial" w:hAnsi="Arial" w:cs="Arial"/>
          <w:b/>
          <w:bCs/>
          <w:color w:val="202122"/>
          <w:sz w:val="22"/>
          <w:szCs w:val="22"/>
          <w:shd w:val="clear" w:color="auto" w:fill="FFFFFF"/>
        </w:rPr>
        <w:t>mercado de divisas</w:t>
      </w:r>
      <w:r w:rsidRPr="00CF1B34">
        <w:rPr>
          <w:rFonts w:ascii="Arial" w:hAnsi="Arial" w:cs="Arial"/>
          <w:color w:val="202122"/>
          <w:sz w:val="22"/>
          <w:szCs w:val="22"/>
          <w:shd w:val="clear" w:color="auto" w:fill="FFFFFF"/>
        </w:rPr>
        <w:t xml:space="preserve"> </w:t>
      </w:r>
      <w:r w:rsidRPr="0085417C">
        <w:rPr>
          <w:rFonts w:ascii="Arial" w:hAnsi="Arial" w:cs="Arial"/>
          <w:color w:val="202122"/>
          <w:sz w:val="22"/>
          <w:szCs w:val="22"/>
          <w:shd w:val="clear" w:color="auto" w:fill="FFFFFF"/>
        </w:rPr>
        <w:t>o</w:t>
      </w:r>
      <w:r w:rsidRPr="00CF1B34">
        <w:rPr>
          <w:rFonts w:ascii="Arial" w:hAnsi="Arial" w:cs="Arial"/>
          <w:color w:val="202122"/>
          <w:sz w:val="22"/>
          <w:szCs w:val="22"/>
          <w:shd w:val="clear" w:color="auto" w:fill="FFFFFF"/>
        </w:rPr>
        <w:t xml:space="preserve"> </w:t>
      </w:r>
      <w:r w:rsidRPr="0085417C">
        <w:rPr>
          <w:rFonts w:ascii="Arial" w:hAnsi="Arial" w:cs="Arial"/>
          <w:b/>
          <w:bCs/>
          <w:color w:val="202122"/>
          <w:sz w:val="22"/>
          <w:szCs w:val="22"/>
          <w:shd w:val="clear" w:color="auto" w:fill="FFFFFF"/>
        </w:rPr>
        <w:t>mercado cambiario</w:t>
      </w:r>
      <w:r w:rsidRPr="0085417C">
        <w:rPr>
          <w:rFonts w:ascii="Arial" w:hAnsi="Arial" w:cs="Arial"/>
          <w:color w:val="202122"/>
          <w:sz w:val="22"/>
          <w:szCs w:val="22"/>
          <w:shd w:val="clear" w:color="auto" w:fill="FFFFFF"/>
        </w:rPr>
        <w:t>, también conocido como</w:t>
      </w:r>
      <w:r w:rsidRPr="00CF1B34">
        <w:rPr>
          <w:rFonts w:ascii="Arial" w:hAnsi="Arial" w:cs="Arial"/>
          <w:color w:val="202122"/>
          <w:sz w:val="22"/>
          <w:szCs w:val="22"/>
          <w:shd w:val="clear" w:color="auto" w:fill="FFFFFF"/>
        </w:rPr>
        <w:t xml:space="preserve"> </w:t>
      </w:r>
      <w:r w:rsidRPr="0085417C">
        <w:rPr>
          <w:rFonts w:ascii="Arial" w:hAnsi="Arial" w:cs="Arial"/>
          <w:b/>
          <w:bCs/>
          <w:color w:val="202122"/>
          <w:sz w:val="22"/>
          <w:szCs w:val="22"/>
          <w:shd w:val="clear" w:color="auto" w:fill="FFFFFF"/>
        </w:rPr>
        <w:t>Forex (</w:t>
      </w:r>
      <w:r w:rsidRPr="0085417C">
        <w:rPr>
          <w:rFonts w:ascii="Arial" w:hAnsi="Arial" w:cs="Arial"/>
          <w:color w:val="202122"/>
          <w:sz w:val="22"/>
          <w:szCs w:val="22"/>
          <w:shd w:val="clear" w:color="auto" w:fill="FFFFFF"/>
        </w:rPr>
        <w:t>abreviatura del término</w:t>
      </w:r>
      <w:r w:rsidRPr="00CF1B34">
        <w:rPr>
          <w:rFonts w:ascii="Arial" w:hAnsi="Arial" w:cs="Arial"/>
          <w:sz w:val="22"/>
          <w:szCs w:val="22"/>
        </w:rPr>
        <w:t xml:space="preserve"> inglés </w:t>
      </w:r>
      <w:r w:rsidRPr="0085417C">
        <w:rPr>
          <w:rFonts w:ascii="Arial" w:hAnsi="Arial" w:cs="Arial"/>
          <w:b/>
          <w:bCs/>
          <w:color w:val="202122"/>
          <w:sz w:val="22"/>
          <w:szCs w:val="22"/>
          <w:shd w:val="clear" w:color="auto" w:fill="FFFFFF"/>
        </w:rPr>
        <w:t>For</w:t>
      </w:r>
      <w:r w:rsidRPr="0085417C">
        <w:rPr>
          <w:rFonts w:ascii="Arial" w:hAnsi="Arial" w:cs="Arial"/>
          <w:color w:val="202122"/>
          <w:sz w:val="22"/>
          <w:szCs w:val="22"/>
          <w:shd w:val="clear" w:color="auto" w:fill="FFFFFF"/>
        </w:rPr>
        <w:t>eign</w:t>
      </w:r>
      <w:r w:rsidRPr="00CF1B34">
        <w:rPr>
          <w:rFonts w:ascii="Arial" w:hAnsi="Arial" w:cs="Arial"/>
          <w:color w:val="202122"/>
          <w:sz w:val="22"/>
          <w:szCs w:val="22"/>
          <w:shd w:val="clear" w:color="auto" w:fill="FFFFFF"/>
        </w:rPr>
        <w:t xml:space="preserve"> </w:t>
      </w:r>
      <w:r w:rsidRPr="0085417C">
        <w:rPr>
          <w:rFonts w:ascii="Arial" w:hAnsi="Arial" w:cs="Arial"/>
          <w:b/>
          <w:bCs/>
          <w:color w:val="202122"/>
          <w:sz w:val="22"/>
          <w:szCs w:val="22"/>
          <w:shd w:val="clear" w:color="auto" w:fill="FFFFFF"/>
        </w:rPr>
        <w:t>Ex</w:t>
      </w:r>
      <w:r w:rsidRPr="0085417C">
        <w:rPr>
          <w:rFonts w:ascii="Arial" w:hAnsi="Arial" w:cs="Arial"/>
          <w:color w:val="202122"/>
          <w:sz w:val="22"/>
          <w:szCs w:val="22"/>
          <w:shd w:val="clear" w:color="auto" w:fill="FFFFFF"/>
        </w:rPr>
        <w:t>change),</w:t>
      </w:r>
      <w:r w:rsidRPr="00CF1B34">
        <w:rPr>
          <w:rFonts w:ascii="Arial" w:hAnsi="Arial" w:cs="Arial"/>
          <w:color w:val="202122"/>
          <w:sz w:val="22"/>
          <w:szCs w:val="22"/>
          <w:shd w:val="clear" w:color="auto" w:fill="FFFFFF"/>
        </w:rPr>
        <w:t xml:space="preserve"> </w:t>
      </w:r>
      <w:r w:rsidRPr="0085417C">
        <w:rPr>
          <w:rFonts w:ascii="Arial" w:hAnsi="Arial" w:cs="Arial"/>
          <w:b/>
          <w:bCs/>
          <w:color w:val="202122"/>
          <w:sz w:val="22"/>
          <w:szCs w:val="22"/>
          <w:shd w:val="clear" w:color="auto" w:fill="FFFFFF"/>
        </w:rPr>
        <w:t>FX</w:t>
      </w:r>
      <w:r w:rsidRPr="00CF1B34">
        <w:rPr>
          <w:rFonts w:ascii="Arial" w:hAnsi="Arial" w:cs="Arial"/>
          <w:color w:val="202122"/>
          <w:sz w:val="22"/>
          <w:szCs w:val="22"/>
          <w:shd w:val="clear" w:color="auto" w:fill="FFFFFF"/>
        </w:rPr>
        <w:t xml:space="preserve"> </w:t>
      </w:r>
      <w:r w:rsidRPr="0085417C">
        <w:rPr>
          <w:rFonts w:ascii="Arial" w:hAnsi="Arial" w:cs="Arial"/>
          <w:color w:val="202122"/>
          <w:sz w:val="22"/>
          <w:szCs w:val="22"/>
          <w:shd w:val="clear" w:color="auto" w:fill="FFFFFF"/>
        </w:rPr>
        <w:t>o</w:t>
      </w:r>
      <w:r w:rsidRPr="00CF1B34">
        <w:rPr>
          <w:rFonts w:ascii="Arial" w:hAnsi="Arial" w:cs="Arial"/>
          <w:color w:val="202122"/>
          <w:sz w:val="22"/>
          <w:szCs w:val="22"/>
          <w:shd w:val="clear" w:color="auto" w:fill="FFFFFF"/>
        </w:rPr>
        <w:t xml:space="preserve"> </w:t>
      </w:r>
      <w:r w:rsidRPr="0085417C">
        <w:rPr>
          <w:rFonts w:ascii="Arial" w:hAnsi="Arial" w:cs="Arial"/>
          <w:b/>
          <w:bCs/>
          <w:color w:val="202122"/>
          <w:sz w:val="22"/>
          <w:szCs w:val="22"/>
          <w:shd w:val="clear" w:color="auto" w:fill="FFFFFF"/>
        </w:rPr>
        <w:t>Currency Market,</w:t>
      </w:r>
      <w:r w:rsidRPr="00CF1B34">
        <w:rPr>
          <w:rFonts w:ascii="Arial" w:hAnsi="Arial" w:cs="Arial"/>
          <w:color w:val="202122"/>
          <w:sz w:val="22"/>
          <w:szCs w:val="22"/>
          <w:shd w:val="clear" w:color="auto" w:fill="FFFFFF"/>
        </w:rPr>
        <w:t xml:space="preserve"> </w:t>
      </w:r>
      <w:r w:rsidRPr="0085417C">
        <w:rPr>
          <w:rFonts w:ascii="Arial" w:hAnsi="Arial" w:cs="Arial"/>
          <w:color w:val="202122"/>
          <w:sz w:val="22"/>
          <w:szCs w:val="22"/>
          <w:shd w:val="clear" w:color="auto" w:fill="FFFFFF"/>
        </w:rPr>
        <w:t>es un</w:t>
      </w:r>
      <w:r w:rsidRPr="00CF1B34">
        <w:rPr>
          <w:rFonts w:ascii="Arial" w:hAnsi="Arial" w:cs="Arial"/>
          <w:color w:val="202122"/>
          <w:sz w:val="22"/>
          <w:szCs w:val="22"/>
          <w:shd w:val="clear" w:color="auto" w:fill="FFFFFF"/>
        </w:rPr>
        <w:t xml:space="preserve"> mercado </w:t>
      </w:r>
      <w:r w:rsidRPr="0085417C">
        <w:rPr>
          <w:rFonts w:ascii="Arial" w:hAnsi="Arial" w:cs="Arial"/>
          <w:color w:val="202122"/>
          <w:sz w:val="22"/>
          <w:szCs w:val="22"/>
          <w:shd w:val="clear" w:color="auto" w:fill="FFFFFF"/>
        </w:rPr>
        <w:t>mundial y descentralizado en el que se negocian</w:t>
      </w:r>
      <w:r w:rsidRPr="00CF1B34">
        <w:rPr>
          <w:rFonts w:ascii="Arial" w:hAnsi="Arial" w:cs="Arial"/>
          <w:color w:val="202122"/>
          <w:sz w:val="22"/>
          <w:szCs w:val="22"/>
          <w:shd w:val="clear" w:color="auto" w:fill="FFFFFF"/>
        </w:rPr>
        <w:t xml:space="preserve"> divisas</w:t>
      </w:r>
      <w:r w:rsidRPr="0085417C">
        <w:rPr>
          <w:rFonts w:ascii="Arial" w:hAnsi="Arial" w:cs="Arial"/>
          <w:color w:val="202122"/>
          <w:shd w:val="clear" w:color="auto" w:fill="FFFFFF"/>
        </w:rPr>
        <w:t>.</w:t>
      </w:r>
    </w:p>
    <w:p w14:paraId="44FDB69C" w14:textId="23995E75"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dirigido por órdenes</w:t>
      </w:r>
    </w:p>
    <w:p w14:paraId="54535DC1" w14:textId="07AB510A"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Los sistemas de contratación continua dan lugar a dos tipos de mercados: dirigidos por precios y dirigidos por órdenes. En los mercados dirigidos por órdenes, la transacción se realiza cuando se cruzan dos órdenes de signo contrario. Los intermediarios del mercado no están obligados a ofrecer liquidez. En vez de creadores de mercado, hay un Libro Electrónico de Órdenes al que los inversores, a través de los intermediarios, envían sus propuestas de precio y cantidad. En el Libro, estas propuestas se ordenan según el precio (de más a menos competitivas) y el momento de introducción (a igualdad de precios, tiene prioridad la más antigua). Ver</w:t>
      </w:r>
      <w:r w:rsidR="00DB1CB5" w:rsidRPr="00CF1B34">
        <w:rPr>
          <w:rFonts w:ascii="Arial" w:hAnsi="Arial" w:cs="Arial"/>
          <w:color w:val="212529"/>
          <w:sz w:val="22"/>
          <w:szCs w:val="22"/>
          <w:lang w:val="es-ES_tradnl"/>
        </w:rPr>
        <w:t xml:space="preserve"> </w:t>
      </w:r>
      <w:hyperlink r:id="rId281" w:tgtFrame="_self" w:history="1">
        <w:r w:rsidRPr="00CF1B34">
          <w:rPr>
            <w:rFonts w:ascii="Arial" w:hAnsi="Arial" w:cs="Arial"/>
            <w:b/>
            <w:bCs/>
            <w:color w:val="2F5496" w:themeColor="accent1" w:themeShade="BF"/>
            <w:sz w:val="22"/>
            <w:szCs w:val="22"/>
            <w:u w:val="single"/>
            <w:lang w:val="es-ES_tradnl"/>
          </w:rPr>
          <w:t>Mercado dirigido por precios</w:t>
        </w:r>
      </w:hyperlink>
      <w:r w:rsidRPr="00CF1B34">
        <w:rPr>
          <w:rFonts w:ascii="Arial" w:hAnsi="Arial" w:cs="Arial"/>
          <w:color w:val="2F5496" w:themeColor="accent1" w:themeShade="BF"/>
          <w:sz w:val="22"/>
          <w:szCs w:val="22"/>
          <w:lang w:val="es-ES_tradnl"/>
        </w:rPr>
        <w:t>.</w:t>
      </w:r>
    </w:p>
    <w:p w14:paraId="1D40A236"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dirigido por precios</w:t>
      </w:r>
    </w:p>
    <w:p w14:paraId="539BB713" w14:textId="7B6B74B6"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Los sistemas de contratación continua dan lugar a dos tipos de mercados: dirigidos por precios y dirigidos por órdenes. En los mercados dirigidos por precios, existen creadores de mercado, o market makers, que en cualquier momento durante la contratación ofrecen precios de oferta (bid) y demanda (ask), con cantidades de acciones a esos precios. La diferencia entre bid y ask es el spread u horquilla, y la suma de las cantidades ofrecidas a cada precio determina la profundidad. Ver</w:t>
      </w:r>
      <w:r w:rsidR="00DB1CB5" w:rsidRPr="00CF1B34">
        <w:rPr>
          <w:rFonts w:ascii="Arial" w:hAnsi="Arial" w:cs="Arial"/>
          <w:color w:val="212529"/>
          <w:sz w:val="22"/>
          <w:szCs w:val="22"/>
          <w:lang w:val="es-ES_tradnl"/>
        </w:rPr>
        <w:t xml:space="preserve"> </w:t>
      </w:r>
      <w:hyperlink r:id="rId282" w:tgtFrame="_self" w:history="1">
        <w:r w:rsidRPr="00CF1B34">
          <w:rPr>
            <w:rFonts w:ascii="Arial" w:hAnsi="Arial" w:cs="Arial"/>
            <w:b/>
            <w:bCs/>
            <w:color w:val="2F5496" w:themeColor="accent1" w:themeShade="BF"/>
            <w:sz w:val="22"/>
            <w:szCs w:val="22"/>
            <w:u w:val="single"/>
            <w:lang w:val="es-ES_tradnl"/>
          </w:rPr>
          <w:t>Mercado dirigido por órdenes</w:t>
        </w:r>
      </w:hyperlink>
      <w:r w:rsidRPr="00CF1B34">
        <w:rPr>
          <w:rFonts w:ascii="Arial" w:hAnsi="Arial" w:cs="Arial"/>
          <w:color w:val="2F5496" w:themeColor="accent1" w:themeShade="BF"/>
          <w:sz w:val="22"/>
          <w:szCs w:val="22"/>
          <w:lang w:val="es-ES_tradnl"/>
        </w:rPr>
        <w:t>.</w:t>
      </w:r>
    </w:p>
    <w:p w14:paraId="6BA4F33C" w14:textId="7CFF9879" w:rsidR="006E1828" w:rsidRPr="00CF1B34" w:rsidRDefault="006E18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eficiente</w:t>
      </w:r>
    </w:p>
    <w:p w14:paraId="1CA0DA68" w14:textId="420D8011" w:rsidR="00EF7D93" w:rsidRPr="00CF1B34" w:rsidRDefault="00CE67D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En sentido estricto, aquel en el que el precio o cotización de los títulos oscila alrededor de su valor intrínseco, siendo este el valor actual neto de todos los cobros y pagos esperados por el poseedor del titulo hasta su </w:t>
      </w:r>
      <w:r w:rsidR="00DF6B31" w:rsidRPr="00CF1B34">
        <w:rPr>
          <w:rFonts w:ascii="Arial" w:hAnsi="Arial" w:cs="Arial"/>
          <w:color w:val="000000" w:themeColor="text1"/>
          <w:sz w:val="22"/>
          <w:szCs w:val="22"/>
          <w:lang w:val="es-ES_tradnl"/>
        </w:rPr>
        <w:t>vencimiento o cesi</w:t>
      </w:r>
      <w:r w:rsidR="00527332" w:rsidRPr="00CF1B34">
        <w:rPr>
          <w:rFonts w:ascii="Arial" w:hAnsi="Arial" w:cs="Arial"/>
          <w:color w:val="000000" w:themeColor="text1"/>
          <w:sz w:val="22"/>
          <w:szCs w:val="22"/>
          <w:lang w:val="es-ES_tradnl"/>
        </w:rPr>
        <w:t>ó</w:t>
      </w:r>
      <w:r w:rsidR="00DF6B31" w:rsidRPr="00CF1B34">
        <w:rPr>
          <w:rFonts w:ascii="Arial" w:hAnsi="Arial" w:cs="Arial"/>
          <w:color w:val="000000" w:themeColor="text1"/>
          <w:sz w:val="22"/>
          <w:szCs w:val="22"/>
          <w:lang w:val="es-ES_tradnl"/>
        </w:rPr>
        <w:t>n, actualizados a un tipo de descuento ajustado al riesgo del titul</w:t>
      </w:r>
      <w:r w:rsidR="00115036" w:rsidRPr="00CF1B34">
        <w:rPr>
          <w:rFonts w:ascii="Arial" w:hAnsi="Arial" w:cs="Arial"/>
          <w:color w:val="000000" w:themeColor="text1"/>
          <w:sz w:val="22"/>
          <w:szCs w:val="22"/>
          <w:lang w:val="es-ES_tradnl"/>
        </w:rPr>
        <w:t>o</w:t>
      </w:r>
      <w:r w:rsidR="00DF6B31" w:rsidRPr="00CF1B34">
        <w:rPr>
          <w:rFonts w:ascii="Arial" w:hAnsi="Arial" w:cs="Arial"/>
          <w:color w:val="000000" w:themeColor="text1"/>
          <w:sz w:val="22"/>
          <w:szCs w:val="22"/>
          <w:lang w:val="es-ES_tradnl"/>
        </w:rPr>
        <w:t xml:space="preserve">. En sentido usual, y teniendo en cuenta la información disponible, se aplica a la característica de un mercado asegurar la </w:t>
      </w:r>
      <w:r w:rsidR="00590828" w:rsidRPr="00CF1B34">
        <w:rPr>
          <w:rFonts w:ascii="Arial" w:hAnsi="Arial" w:cs="Arial"/>
          <w:color w:val="000000" w:themeColor="text1"/>
          <w:sz w:val="22"/>
          <w:szCs w:val="22"/>
          <w:lang w:val="es-ES_tradnl"/>
        </w:rPr>
        <w:t>ejecución de todas las operaciones a un precio cercano al de referencia</w:t>
      </w:r>
      <w:r w:rsidR="00115036" w:rsidRPr="00CF1B34">
        <w:rPr>
          <w:rFonts w:ascii="Arial" w:hAnsi="Arial" w:cs="Arial"/>
          <w:color w:val="000000" w:themeColor="text1"/>
          <w:sz w:val="22"/>
          <w:szCs w:val="22"/>
          <w:lang w:val="es-ES_tradnl"/>
        </w:rPr>
        <w:t xml:space="preserve"> preexistente con m</w:t>
      </w:r>
      <w:r w:rsidR="00527332" w:rsidRPr="00CF1B34">
        <w:rPr>
          <w:rFonts w:ascii="Arial" w:hAnsi="Arial" w:cs="Arial"/>
          <w:color w:val="000000" w:themeColor="text1"/>
          <w:sz w:val="22"/>
          <w:szCs w:val="22"/>
          <w:lang w:val="es-ES_tradnl"/>
        </w:rPr>
        <w:t>í</w:t>
      </w:r>
      <w:r w:rsidR="00115036" w:rsidRPr="00CF1B34">
        <w:rPr>
          <w:rFonts w:ascii="Arial" w:hAnsi="Arial" w:cs="Arial"/>
          <w:color w:val="000000" w:themeColor="text1"/>
          <w:sz w:val="22"/>
          <w:szCs w:val="22"/>
          <w:lang w:val="es-ES_tradnl"/>
        </w:rPr>
        <w:t>nimos costes, y a que, una vez ejecutadas dichas operaciones, su compensación y liquidación se realice rápidamente y con garantía para las partes</w:t>
      </w:r>
      <w:r w:rsidR="00EF7D93" w:rsidRPr="00CF1B34">
        <w:rPr>
          <w:rFonts w:ascii="Arial" w:hAnsi="Arial" w:cs="Arial"/>
          <w:color w:val="000000" w:themeColor="text1"/>
          <w:sz w:val="22"/>
          <w:szCs w:val="22"/>
          <w:lang w:val="es-ES_tradnl"/>
        </w:rPr>
        <w:t>.</w:t>
      </w:r>
    </w:p>
    <w:p w14:paraId="17CB3C5B" w14:textId="007C907E"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estrecho</w:t>
      </w:r>
    </w:p>
    <w:p w14:paraId="6AD72A79"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Se emplea esta expresión para referirse a mercados poco líquidos y, como consecuencia, poco representativos. En general, son mercados con escasa oferta y demanda.</w:t>
      </w:r>
    </w:p>
    <w:p w14:paraId="70849B7B" w14:textId="2F0702CE" w:rsidR="00140753" w:rsidRPr="00CF1B34" w:rsidRDefault="0014075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financiero</w:t>
      </w:r>
    </w:p>
    <w:p w14:paraId="01CF3061" w14:textId="36820E17" w:rsidR="00140753" w:rsidRPr="00CF1B34" w:rsidRDefault="0014075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Conjunto de mercados formado por el mercado de capitales, el mercado de dinero y el mercado de divisas. </w:t>
      </w:r>
      <w:r w:rsidR="00BD4C94" w:rsidRPr="00CF1B34">
        <w:rPr>
          <w:rFonts w:ascii="Arial" w:hAnsi="Arial" w:cs="Arial"/>
          <w:color w:val="000000" w:themeColor="text1"/>
          <w:sz w:val="22"/>
          <w:szCs w:val="22"/>
          <w:lang w:val="es-ES_tradnl"/>
        </w:rPr>
        <w:t>En ellos se opera al contado y a plazo (opciones y futuros) Es un mercado en que se contratan solo activos financieros.</w:t>
      </w:r>
    </w:p>
    <w:p w14:paraId="50F64F70" w14:textId="2F399D58" w:rsidR="006E1828" w:rsidRPr="00CF1B34" w:rsidRDefault="006E18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gris</w:t>
      </w:r>
    </w:p>
    <w:p w14:paraId="7713A85B" w14:textId="77777777" w:rsidR="00542A70" w:rsidRPr="00CF1B34" w:rsidRDefault="00542A7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Cotización gradual fuera del mercado oficial. Permite tener una apreciación previa de un precio antes de su cotización.</w:t>
      </w:r>
    </w:p>
    <w:p w14:paraId="0A15410C" w14:textId="6B8B73D7" w:rsidR="006E1828" w:rsidRPr="00CF1B34" w:rsidRDefault="006E18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inmobiliario</w:t>
      </w:r>
    </w:p>
    <w:p w14:paraId="71C5AB7B" w14:textId="77777777" w:rsidR="008666E0" w:rsidRPr="00CF1B34" w:rsidRDefault="0010307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mercado inmobiliario no existe pues nadie</w:t>
      </w:r>
      <w:r w:rsidR="008666E0" w:rsidRPr="00CF1B34">
        <w:rPr>
          <w:rFonts w:ascii="Arial" w:hAnsi="Arial" w:cs="Arial"/>
          <w:color w:val="000000" w:themeColor="text1"/>
          <w:sz w:val="22"/>
          <w:szCs w:val="22"/>
          <w:lang w:val="es-ES_tradnl"/>
        </w:rPr>
        <w:t xml:space="preserve"> difunde precios ni las operaciones se registran. Este mercado surge cuando se realiza una operacion de compraventa de un inmueble, el concepto se utiliza para hacer predicciones globales o sectoriales de las distintas modalidades de inmuebles que se negocian</w:t>
      </w:r>
      <w:r w:rsidR="008666E0" w:rsidRPr="00CF1B34">
        <w:rPr>
          <w:rFonts w:ascii="Arial" w:hAnsi="Arial" w:cs="Arial"/>
          <w:b/>
          <w:bCs/>
          <w:color w:val="000000" w:themeColor="text1"/>
          <w:sz w:val="22"/>
          <w:szCs w:val="22"/>
          <w:lang w:val="es-ES_tradnl"/>
        </w:rPr>
        <w:t>.</w:t>
      </w:r>
    </w:p>
    <w:p w14:paraId="7ED9F039" w14:textId="77777777" w:rsidR="00C47810" w:rsidRPr="00CF1B34" w:rsidRDefault="00C478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interbancario</w:t>
      </w:r>
    </w:p>
    <w:p w14:paraId="4A41FD63" w14:textId="30A9DBF2" w:rsidR="009660F4" w:rsidRPr="00CF1B34" w:rsidRDefault="00C47810" w:rsidP="0005621A">
      <w:pPr>
        <w:ind w:left="708"/>
        <w:jc w:val="both"/>
        <w:rPr>
          <w:rFonts w:ascii="Arial" w:hAnsi="Arial" w:cs="Arial"/>
          <w:sz w:val="22"/>
          <w:szCs w:val="22"/>
        </w:rPr>
      </w:pPr>
      <w:r w:rsidRPr="00CF1B34">
        <w:rPr>
          <w:rFonts w:ascii="Arial" w:hAnsi="Arial" w:cs="Arial"/>
          <w:color w:val="000000" w:themeColor="text1"/>
          <w:sz w:val="22"/>
          <w:szCs w:val="22"/>
          <w:lang w:val="es-ES_tradnl"/>
        </w:rPr>
        <w:t>Este mercado esta reservado exclusivamente para las entidades financieras, bancos y cajas de ahorros. Entre ellos se prestan dinero y fijan los tipos de interés de las operaciones sobre todo a plazo corto.</w:t>
      </w:r>
      <w:r w:rsidR="009660F4" w:rsidRPr="00CF1B34">
        <w:rPr>
          <w:rFonts w:ascii="Arial" w:hAnsi="Arial" w:cs="Arial"/>
          <w:sz w:val="22"/>
          <w:szCs w:val="22"/>
        </w:rPr>
        <w:t xml:space="preserve"> En la actualidad, y con el funcionamiento de la zona euro, y el Banco Central Europeo, </w:t>
      </w:r>
      <w:r w:rsidR="009660F4" w:rsidRPr="00CF1B34">
        <w:rPr>
          <w:rFonts w:ascii="Arial" w:hAnsi="Arial" w:cs="Arial"/>
          <w:b/>
          <w:bCs/>
          <w:sz w:val="22"/>
          <w:szCs w:val="22"/>
        </w:rPr>
        <w:t>en nuestro continente suele hablarse de dos mercados interbancarios.</w:t>
      </w:r>
    </w:p>
    <w:p w14:paraId="60A28D0A" w14:textId="77777777" w:rsidR="009660F4" w:rsidRPr="00CF1B34" w:rsidRDefault="009660F4" w:rsidP="0005621A">
      <w:pPr>
        <w:ind w:left="708"/>
        <w:jc w:val="both"/>
        <w:rPr>
          <w:rFonts w:ascii="Arial" w:hAnsi="Arial" w:cs="Arial"/>
          <w:sz w:val="22"/>
          <w:szCs w:val="22"/>
        </w:rPr>
      </w:pPr>
      <w:r w:rsidRPr="00CF1B34">
        <w:rPr>
          <w:rFonts w:ascii="Arial" w:hAnsi="Arial" w:cs="Arial"/>
          <w:b/>
          <w:bCs/>
          <w:sz w:val="22"/>
          <w:szCs w:val="22"/>
        </w:rPr>
        <w:t>Uno, aquel que engloba las operaciones entre entidades financieras y otras entidades financieras</w:t>
      </w:r>
      <w:r w:rsidRPr="00CF1B34">
        <w:rPr>
          <w:rFonts w:ascii="Arial" w:hAnsi="Arial" w:cs="Arial"/>
          <w:sz w:val="22"/>
          <w:szCs w:val="22"/>
        </w:rPr>
        <w:t> de la forma que se describió anteriormente.</w:t>
      </w:r>
    </w:p>
    <w:p w14:paraId="57099CD0" w14:textId="77777777" w:rsidR="009660F4" w:rsidRPr="00CF1B34" w:rsidRDefault="009660F4" w:rsidP="0005621A">
      <w:pPr>
        <w:ind w:left="708"/>
        <w:jc w:val="both"/>
        <w:rPr>
          <w:rFonts w:ascii="Arial" w:hAnsi="Arial" w:cs="Arial"/>
          <w:sz w:val="22"/>
          <w:szCs w:val="22"/>
        </w:rPr>
      </w:pPr>
      <w:r w:rsidRPr="00CF1B34">
        <w:rPr>
          <w:rFonts w:ascii="Arial" w:hAnsi="Arial" w:cs="Arial"/>
          <w:b/>
          <w:bCs/>
          <w:sz w:val="22"/>
          <w:szCs w:val="22"/>
        </w:rPr>
        <w:t>Otro, es el mercado interbancario donde actúa el Banco Central Europeo</w:t>
      </w:r>
      <w:r w:rsidRPr="00CF1B34">
        <w:rPr>
          <w:rFonts w:ascii="Arial" w:hAnsi="Arial" w:cs="Arial"/>
          <w:sz w:val="22"/>
          <w:szCs w:val="22"/>
        </w:rPr>
        <w:t> y las entidades financieras de la zona euro, y que es utilizado </w:t>
      </w:r>
      <w:r w:rsidRPr="00CF1B34">
        <w:rPr>
          <w:rFonts w:ascii="Arial" w:hAnsi="Arial" w:cs="Arial"/>
          <w:b/>
          <w:bCs/>
          <w:sz w:val="22"/>
          <w:szCs w:val="22"/>
        </w:rPr>
        <w:t>como medio de control de la política monetaria</w:t>
      </w:r>
      <w:r w:rsidRPr="00CF1B34">
        <w:rPr>
          <w:rFonts w:ascii="Arial" w:hAnsi="Arial" w:cs="Arial"/>
          <w:sz w:val="22"/>
          <w:szCs w:val="22"/>
        </w:rPr>
        <w:t> de la zona euro.</w:t>
      </w:r>
    </w:p>
    <w:p w14:paraId="0F69C02C" w14:textId="77777777" w:rsidR="009660F4" w:rsidRPr="00CF1B34" w:rsidRDefault="009660F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rPr>
        <w:t>En este segundo mercado interbancario, el Banco Central Europeo, interviene con el objetivo primordial de controlar la inflación en los países de la zona euro. Para ello, el BCE utiliza su poder de fijar el</w:t>
      </w:r>
      <w:r w:rsidRPr="00CF1B34">
        <w:rPr>
          <w:rFonts w:ascii="Arial" w:hAnsi="Arial" w:cs="Arial"/>
          <w:b/>
          <w:bCs/>
          <w:sz w:val="22"/>
          <w:szCs w:val="22"/>
        </w:rPr>
        <w:t xml:space="preserve"> tipo de interés oficial del dinero</w:t>
      </w:r>
      <w:r w:rsidRPr="00CF1B34">
        <w:rPr>
          <w:rFonts w:ascii="Arial" w:hAnsi="Arial" w:cs="Arial"/>
          <w:sz w:val="22"/>
          <w:szCs w:val="22"/>
        </w:rPr>
        <w:t>.</w:t>
      </w:r>
    </w:p>
    <w:p w14:paraId="55C634FA" w14:textId="7A9DB9FB" w:rsidR="009660F4" w:rsidRPr="00CF1B34" w:rsidRDefault="009660F4" w:rsidP="0005621A">
      <w:pPr>
        <w:jc w:val="both"/>
        <w:rPr>
          <w:rFonts w:ascii="Arial" w:hAnsi="Arial" w:cs="Arial"/>
          <w:b/>
          <w:bCs/>
          <w:color w:val="2F5496" w:themeColor="accent1" w:themeShade="BF"/>
          <w:sz w:val="22"/>
          <w:szCs w:val="22"/>
        </w:rPr>
      </w:pPr>
      <w:r w:rsidRPr="00CF1B34">
        <w:rPr>
          <w:rFonts w:ascii="Arial" w:hAnsi="Arial" w:cs="Arial"/>
          <w:b/>
          <w:bCs/>
          <w:color w:val="2F5496" w:themeColor="accent1" w:themeShade="BF"/>
          <w:sz w:val="22"/>
          <w:szCs w:val="22"/>
        </w:rPr>
        <w:t>Mercado de materias primas</w:t>
      </w:r>
    </w:p>
    <w:p w14:paraId="4FE23001" w14:textId="77777777" w:rsidR="000F4100" w:rsidRPr="000F4100" w:rsidRDefault="000F4100" w:rsidP="0005621A">
      <w:pPr>
        <w:shd w:val="clear" w:color="auto" w:fill="FFFFFF"/>
        <w:spacing w:afterAutospacing="1"/>
        <w:ind w:left="708"/>
        <w:jc w:val="both"/>
        <w:rPr>
          <w:rFonts w:ascii="Arial" w:hAnsi="Arial" w:cs="Arial"/>
          <w:color w:val="000000"/>
          <w:sz w:val="22"/>
          <w:szCs w:val="22"/>
        </w:rPr>
      </w:pPr>
      <w:r w:rsidRPr="000F4100">
        <w:rPr>
          <w:rFonts w:ascii="Arial" w:hAnsi="Arial" w:cs="Arial"/>
          <w:color w:val="000000"/>
          <w:sz w:val="22"/>
          <w:szCs w:val="22"/>
        </w:rPr>
        <w:t>El mercado de materias primas se refiere a un </w:t>
      </w:r>
      <w:r w:rsidRPr="000F4100">
        <w:rPr>
          <w:rFonts w:ascii="Arial" w:hAnsi="Arial" w:cs="Arial"/>
          <w:b/>
          <w:bCs/>
          <w:color w:val="000000"/>
          <w:sz w:val="22"/>
          <w:szCs w:val="22"/>
        </w:rPr>
        <w:t>mercado donde se comercializan productos en su forma natural, sin procesar o con un mínimo de procesamiento, que son necesarios para la producción de bienes y servicios</w:t>
      </w:r>
      <w:r w:rsidRPr="000F4100">
        <w:rPr>
          <w:rFonts w:ascii="Arial" w:hAnsi="Arial" w:cs="Arial"/>
          <w:color w:val="000000"/>
          <w:sz w:val="22"/>
          <w:szCs w:val="22"/>
        </w:rPr>
        <w:t>. Estos productos se originan directamente de la naturaleza, como la agricultura, la minería o la pesca, y son intercambiables por otros bienes del mismo tipo.</w:t>
      </w:r>
    </w:p>
    <w:p w14:paraId="335866D6" w14:textId="77777777" w:rsidR="000F4100" w:rsidRPr="000F4100" w:rsidRDefault="000F4100" w:rsidP="0005621A">
      <w:pPr>
        <w:shd w:val="clear" w:color="auto" w:fill="FFFFFF"/>
        <w:spacing w:beforeAutospacing="1" w:afterAutospacing="1"/>
        <w:ind w:firstLine="708"/>
        <w:jc w:val="both"/>
        <w:rPr>
          <w:rFonts w:ascii="Arial" w:hAnsi="Arial" w:cs="Arial"/>
          <w:color w:val="000000"/>
          <w:sz w:val="22"/>
          <w:szCs w:val="22"/>
        </w:rPr>
      </w:pPr>
      <w:r w:rsidRPr="000F4100">
        <w:rPr>
          <w:rFonts w:ascii="Arial" w:hAnsi="Arial" w:cs="Arial"/>
          <w:b/>
          <w:bCs/>
          <w:color w:val="000000"/>
          <w:sz w:val="22"/>
          <w:szCs w:val="22"/>
        </w:rPr>
        <w:t>Características</w:t>
      </w:r>
    </w:p>
    <w:p w14:paraId="616DFCBA" w14:textId="77777777" w:rsidR="000F4100" w:rsidRPr="000F4100" w:rsidRDefault="000F4100" w:rsidP="004F7A62">
      <w:pPr>
        <w:numPr>
          <w:ilvl w:val="0"/>
          <w:numId w:val="211"/>
        </w:numPr>
        <w:shd w:val="clear" w:color="auto" w:fill="FFFFFF"/>
        <w:spacing w:afterAutospacing="1"/>
        <w:jc w:val="both"/>
        <w:rPr>
          <w:rFonts w:ascii="Arial" w:hAnsi="Arial" w:cs="Arial"/>
          <w:color w:val="000000"/>
          <w:sz w:val="22"/>
          <w:szCs w:val="22"/>
        </w:rPr>
      </w:pPr>
      <w:r w:rsidRPr="000F4100">
        <w:rPr>
          <w:rFonts w:ascii="Arial" w:hAnsi="Arial" w:cs="Arial"/>
          <w:b/>
          <w:bCs/>
          <w:color w:val="000000"/>
          <w:sz w:val="22"/>
          <w:szCs w:val="22"/>
        </w:rPr>
        <w:t>Productos en bruto</w:t>
      </w:r>
      <w:r w:rsidRPr="000F4100">
        <w:rPr>
          <w:rFonts w:ascii="Arial" w:hAnsi="Arial" w:cs="Arial"/>
          <w:color w:val="000000"/>
          <w:sz w:val="22"/>
          <w:szCs w:val="22"/>
        </w:rPr>
        <w:t>: Los productos se venden en su estado natural, sin procesar o con un mínimo de procesamiento.</w:t>
      </w:r>
    </w:p>
    <w:p w14:paraId="5385555E" w14:textId="77777777" w:rsidR="000F4100" w:rsidRPr="000F4100" w:rsidRDefault="000F4100" w:rsidP="004F7A62">
      <w:pPr>
        <w:numPr>
          <w:ilvl w:val="0"/>
          <w:numId w:val="211"/>
        </w:numPr>
        <w:shd w:val="clear" w:color="auto" w:fill="FFFFFF"/>
        <w:spacing w:beforeAutospacing="1" w:afterAutospacing="1"/>
        <w:jc w:val="both"/>
        <w:rPr>
          <w:rFonts w:ascii="Arial" w:hAnsi="Arial" w:cs="Arial"/>
          <w:color w:val="000000"/>
          <w:sz w:val="22"/>
          <w:szCs w:val="22"/>
        </w:rPr>
      </w:pPr>
      <w:r w:rsidRPr="000F4100">
        <w:rPr>
          <w:rFonts w:ascii="Arial" w:hAnsi="Arial" w:cs="Arial"/>
          <w:b/>
          <w:bCs/>
          <w:color w:val="000000"/>
          <w:sz w:val="22"/>
          <w:szCs w:val="22"/>
        </w:rPr>
        <w:t>Dependencia de recursos naturales</w:t>
      </w:r>
      <w:r w:rsidRPr="000F4100">
        <w:rPr>
          <w:rFonts w:ascii="Arial" w:hAnsi="Arial" w:cs="Arial"/>
          <w:color w:val="000000"/>
          <w:sz w:val="22"/>
          <w:szCs w:val="22"/>
        </w:rPr>
        <w:t>: La disponibilidad de materias primas está vinculada a la naturaleza, como la producción agrícola, la minería o la pesca.</w:t>
      </w:r>
    </w:p>
    <w:p w14:paraId="3D28E345" w14:textId="77777777" w:rsidR="000F4100" w:rsidRPr="000F4100" w:rsidRDefault="000F4100" w:rsidP="004F7A62">
      <w:pPr>
        <w:numPr>
          <w:ilvl w:val="0"/>
          <w:numId w:val="211"/>
        </w:numPr>
        <w:shd w:val="clear" w:color="auto" w:fill="FFFFFF"/>
        <w:spacing w:beforeAutospacing="1" w:afterAutospacing="1"/>
        <w:jc w:val="both"/>
        <w:rPr>
          <w:rFonts w:ascii="Arial" w:hAnsi="Arial" w:cs="Arial"/>
          <w:color w:val="000000"/>
          <w:sz w:val="22"/>
          <w:szCs w:val="22"/>
        </w:rPr>
      </w:pPr>
      <w:r w:rsidRPr="000F4100">
        <w:rPr>
          <w:rFonts w:ascii="Arial" w:hAnsi="Arial" w:cs="Arial"/>
          <w:b/>
          <w:bCs/>
          <w:color w:val="000000"/>
          <w:sz w:val="22"/>
          <w:szCs w:val="22"/>
        </w:rPr>
        <w:t>Global</w:t>
      </w:r>
      <w:r w:rsidRPr="000F4100">
        <w:rPr>
          <w:rFonts w:ascii="Arial" w:hAnsi="Arial" w:cs="Arial"/>
          <w:color w:val="000000"/>
          <w:sz w:val="22"/>
          <w:szCs w:val="22"/>
        </w:rPr>
        <w:t>: El mercado de materias primas es global, con operaciones que se realizan en todo el mundo.</w:t>
      </w:r>
    </w:p>
    <w:p w14:paraId="64A3AC06" w14:textId="77777777" w:rsidR="000F4100" w:rsidRPr="000F4100" w:rsidRDefault="000F4100" w:rsidP="004F7A62">
      <w:pPr>
        <w:numPr>
          <w:ilvl w:val="0"/>
          <w:numId w:val="211"/>
        </w:numPr>
        <w:shd w:val="clear" w:color="auto" w:fill="FFFFFF"/>
        <w:spacing w:beforeAutospacing="1" w:afterAutospacing="1"/>
        <w:jc w:val="both"/>
        <w:rPr>
          <w:rFonts w:ascii="Arial" w:hAnsi="Arial" w:cs="Arial"/>
          <w:color w:val="000000"/>
          <w:sz w:val="22"/>
          <w:szCs w:val="22"/>
        </w:rPr>
      </w:pPr>
      <w:r w:rsidRPr="000F4100">
        <w:rPr>
          <w:rFonts w:ascii="Arial" w:hAnsi="Arial" w:cs="Arial"/>
          <w:b/>
          <w:bCs/>
          <w:color w:val="000000"/>
          <w:sz w:val="22"/>
          <w:szCs w:val="22"/>
        </w:rPr>
        <w:lastRenderedPageBreak/>
        <w:t>Subjetos a factores estacionales</w:t>
      </w:r>
      <w:r w:rsidRPr="000F4100">
        <w:rPr>
          <w:rFonts w:ascii="Arial" w:hAnsi="Arial" w:cs="Arial"/>
          <w:color w:val="000000"/>
          <w:sz w:val="22"/>
          <w:szCs w:val="22"/>
        </w:rPr>
        <w:t>: La oferta y la demanda de ciertas materias primas pueden fluctuar a lo largo del año debido a condiciones climáticas, ciclos de crecimiento de los cultivos o patrones estacionales de consumo.</w:t>
      </w:r>
    </w:p>
    <w:p w14:paraId="760B59D6" w14:textId="77777777" w:rsidR="000F4100" w:rsidRPr="000F4100" w:rsidRDefault="000F4100" w:rsidP="004F7A62">
      <w:pPr>
        <w:numPr>
          <w:ilvl w:val="0"/>
          <w:numId w:val="211"/>
        </w:numPr>
        <w:shd w:val="clear" w:color="auto" w:fill="FFFFFF"/>
        <w:spacing w:beforeAutospacing="1"/>
        <w:jc w:val="both"/>
        <w:rPr>
          <w:rFonts w:ascii="Arial" w:hAnsi="Arial" w:cs="Arial"/>
          <w:color w:val="000000"/>
          <w:sz w:val="22"/>
          <w:szCs w:val="22"/>
        </w:rPr>
      </w:pPr>
      <w:r w:rsidRPr="000F4100">
        <w:rPr>
          <w:rFonts w:ascii="Arial" w:hAnsi="Arial" w:cs="Arial"/>
          <w:b/>
          <w:bCs/>
          <w:color w:val="000000"/>
          <w:sz w:val="22"/>
          <w:szCs w:val="22"/>
        </w:rPr>
        <w:t>Instrumentos financieros</w:t>
      </w:r>
      <w:r w:rsidRPr="000F4100">
        <w:rPr>
          <w:rFonts w:ascii="Arial" w:hAnsi="Arial" w:cs="Arial"/>
          <w:color w:val="000000"/>
          <w:sz w:val="22"/>
          <w:szCs w:val="22"/>
        </w:rPr>
        <w:t>: Los productos derivados, como opciones, contratos a plazo y futuros, se utilizan para especular con el precio futuro de las materias primas o para protegerse contra posibles cambios en el mercado.</w:t>
      </w:r>
    </w:p>
    <w:p w14:paraId="2C826A05" w14:textId="77777777" w:rsidR="000F4100" w:rsidRPr="000F4100" w:rsidRDefault="000F4100" w:rsidP="0005621A">
      <w:pPr>
        <w:shd w:val="clear" w:color="auto" w:fill="FFFFFF"/>
        <w:spacing w:beforeAutospacing="1" w:afterAutospacing="1"/>
        <w:ind w:firstLine="708"/>
        <w:jc w:val="both"/>
        <w:rPr>
          <w:rFonts w:ascii="Arial" w:hAnsi="Arial" w:cs="Arial"/>
          <w:color w:val="000000"/>
          <w:sz w:val="22"/>
          <w:szCs w:val="22"/>
        </w:rPr>
      </w:pPr>
      <w:r w:rsidRPr="000F4100">
        <w:rPr>
          <w:rFonts w:ascii="Arial" w:hAnsi="Arial" w:cs="Arial"/>
          <w:b/>
          <w:bCs/>
          <w:color w:val="000000"/>
          <w:sz w:val="22"/>
          <w:szCs w:val="22"/>
        </w:rPr>
        <w:t>Ejemplos de materias primas</w:t>
      </w:r>
    </w:p>
    <w:p w14:paraId="2229FE49" w14:textId="3FE3A1C5" w:rsidR="000F4100" w:rsidRPr="000F4100" w:rsidRDefault="000F4100" w:rsidP="004F7A62">
      <w:pPr>
        <w:numPr>
          <w:ilvl w:val="0"/>
          <w:numId w:val="212"/>
        </w:numPr>
        <w:shd w:val="clear" w:color="auto" w:fill="FFFFFF"/>
        <w:spacing w:after="100" w:afterAutospacing="1"/>
        <w:jc w:val="both"/>
        <w:rPr>
          <w:rFonts w:ascii="Arial" w:hAnsi="Arial" w:cs="Arial"/>
          <w:color w:val="000000"/>
          <w:sz w:val="22"/>
          <w:szCs w:val="22"/>
        </w:rPr>
      </w:pPr>
      <w:r w:rsidRPr="000F4100">
        <w:rPr>
          <w:rFonts w:ascii="Arial" w:hAnsi="Arial" w:cs="Arial"/>
          <w:color w:val="000000"/>
          <w:sz w:val="22"/>
          <w:szCs w:val="22"/>
        </w:rPr>
        <w:t>Energía: petróleo crudo, gas natural, gasóleo doméstico y combustible para aviación</w:t>
      </w:r>
      <w:r w:rsidRPr="00CF1B34">
        <w:rPr>
          <w:rFonts w:ascii="Arial" w:hAnsi="Arial" w:cs="Arial"/>
          <w:color w:val="000000"/>
          <w:sz w:val="22"/>
          <w:szCs w:val="22"/>
        </w:rPr>
        <w:t>.</w:t>
      </w:r>
    </w:p>
    <w:p w14:paraId="400D0066" w14:textId="66006796" w:rsidR="000F4100" w:rsidRPr="000F4100" w:rsidRDefault="000F4100" w:rsidP="004F7A62">
      <w:pPr>
        <w:numPr>
          <w:ilvl w:val="0"/>
          <w:numId w:val="212"/>
        </w:numPr>
        <w:shd w:val="clear" w:color="auto" w:fill="FFFFFF"/>
        <w:spacing w:before="100" w:beforeAutospacing="1" w:after="100" w:afterAutospacing="1"/>
        <w:jc w:val="both"/>
        <w:rPr>
          <w:rFonts w:ascii="Arial" w:hAnsi="Arial" w:cs="Arial"/>
          <w:color w:val="000000"/>
          <w:sz w:val="22"/>
          <w:szCs w:val="22"/>
        </w:rPr>
      </w:pPr>
      <w:r w:rsidRPr="000F4100">
        <w:rPr>
          <w:rFonts w:ascii="Arial" w:hAnsi="Arial" w:cs="Arial"/>
          <w:color w:val="000000"/>
          <w:sz w:val="22"/>
          <w:szCs w:val="22"/>
        </w:rPr>
        <w:t>Metales: oro, plata, cobre, aluminio, zinc, plomo, estaño, níquel, platino</w:t>
      </w:r>
      <w:r w:rsidRPr="00CF1B34">
        <w:rPr>
          <w:rFonts w:ascii="Arial" w:hAnsi="Arial" w:cs="Arial"/>
          <w:color w:val="000000"/>
          <w:sz w:val="22"/>
          <w:szCs w:val="22"/>
        </w:rPr>
        <w:t>, hierro, metales raros</w:t>
      </w:r>
    </w:p>
    <w:p w14:paraId="4DD526A4" w14:textId="6DD8251A" w:rsidR="000F4100" w:rsidRPr="000F4100" w:rsidRDefault="000F4100" w:rsidP="004F7A62">
      <w:pPr>
        <w:numPr>
          <w:ilvl w:val="0"/>
          <w:numId w:val="212"/>
        </w:numPr>
        <w:shd w:val="clear" w:color="auto" w:fill="FFFFFF"/>
        <w:spacing w:before="100" w:beforeAutospacing="1" w:after="100" w:afterAutospacing="1"/>
        <w:jc w:val="both"/>
        <w:rPr>
          <w:rFonts w:ascii="Arial" w:hAnsi="Arial" w:cs="Arial"/>
          <w:color w:val="000000"/>
          <w:sz w:val="22"/>
          <w:szCs w:val="22"/>
        </w:rPr>
      </w:pPr>
      <w:r w:rsidRPr="000F4100">
        <w:rPr>
          <w:rFonts w:ascii="Arial" w:hAnsi="Arial" w:cs="Arial"/>
          <w:color w:val="000000"/>
          <w:sz w:val="22"/>
          <w:szCs w:val="22"/>
        </w:rPr>
        <w:t>Agrícolas: trigo,</w:t>
      </w:r>
      <w:r w:rsidR="006A6D80" w:rsidRPr="00CF1B34">
        <w:rPr>
          <w:rFonts w:ascii="Arial" w:hAnsi="Arial" w:cs="Arial"/>
          <w:color w:val="000000"/>
          <w:sz w:val="22"/>
          <w:szCs w:val="22"/>
        </w:rPr>
        <w:t xml:space="preserve"> cebada,</w:t>
      </w:r>
      <w:r w:rsidRPr="000F4100">
        <w:rPr>
          <w:rFonts w:ascii="Arial" w:hAnsi="Arial" w:cs="Arial"/>
          <w:color w:val="000000"/>
          <w:sz w:val="22"/>
          <w:szCs w:val="22"/>
        </w:rPr>
        <w:t xml:space="preserve"> maíz, azúcar, café, algodón, cacao</w:t>
      </w:r>
      <w:r w:rsidRPr="00CF1B34">
        <w:rPr>
          <w:rFonts w:ascii="Arial" w:hAnsi="Arial" w:cs="Arial"/>
          <w:color w:val="000000"/>
          <w:sz w:val="22"/>
          <w:szCs w:val="22"/>
        </w:rPr>
        <w:t>, soja, arroz</w:t>
      </w:r>
    </w:p>
    <w:p w14:paraId="05383667" w14:textId="77777777" w:rsidR="000F4100" w:rsidRPr="000F4100" w:rsidRDefault="000F4100" w:rsidP="004F7A62">
      <w:pPr>
        <w:numPr>
          <w:ilvl w:val="0"/>
          <w:numId w:val="212"/>
        </w:numPr>
        <w:shd w:val="clear" w:color="auto" w:fill="FFFFFF"/>
        <w:spacing w:before="100" w:beforeAutospacing="1"/>
        <w:jc w:val="both"/>
        <w:rPr>
          <w:rFonts w:ascii="Arial" w:hAnsi="Arial" w:cs="Arial"/>
          <w:color w:val="000000"/>
          <w:sz w:val="22"/>
          <w:szCs w:val="22"/>
        </w:rPr>
      </w:pPr>
      <w:r w:rsidRPr="000F4100">
        <w:rPr>
          <w:rFonts w:ascii="Arial" w:hAnsi="Arial" w:cs="Arial"/>
          <w:color w:val="000000"/>
          <w:sz w:val="22"/>
          <w:szCs w:val="22"/>
        </w:rPr>
        <w:t>Ganado y carne: animales criados para el consumo alimenticio, productos como cuero y gelatina</w:t>
      </w:r>
    </w:p>
    <w:p w14:paraId="7EE9FF1A" w14:textId="77777777" w:rsidR="000F4100" w:rsidRPr="00CF1B34" w:rsidRDefault="000F4100" w:rsidP="0005621A">
      <w:pPr>
        <w:pBdr>
          <w:bottom w:val="dotted" w:sz="12" w:space="12" w:color="666666"/>
        </w:pBdr>
        <w:spacing w:after="240"/>
        <w:ind w:left="720"/>
        <w:jc w:val="both"/>
        <w:rPr>
          <w:rFonts w:ascii="Arial" w:hAnsi="Arial" w:cs="Arial"/>
          <w:color w:val="212529"/>
          <w:sz w:val="22"/>
          <w:szCs w:val="22"/>
          <w:lang w:val="es-ES_tradnl"/>
        </w:rPr>
      </w:pPr>
      <w:r w:rsidRPr="000F4100">
        <w:rPr>
          <w:rFonts w:ascii="Arial" w:hAnsi="Arial" w:cs="Arial"/>
          <w:color w:val="000000"/>
          <w:sz w:val="22"/>
          <w:szCs w:val="22"/>
        </w:rPr>
        <w:t>En resumen, el mercado de materias primas es un </w:t>
      </w:r>
      <w:r w:rsidRPr="000F4100">
        <w:rPr>
          <w:rFonts w:ascii="Arial" w:hAnsi="Arial" w:cs="Arial"/>
          <w:b/>
          <w:bCs/>
          <w:color w:val="000000"/>
          <w:sz w:val="22"/>
          <w:szCs w:val="22"/>
        </w:rPr>
        <w:t>mercado donde se comercian productos naturales que son necesarios para la producción de bienes y servicios</w:t>
      </w:r>
      <w:r w:rsidRPr="000F4100">
        <w:rPr>
          <w:rFonts w:ascii="Arial" w:hAnsi="Arial" w:cs="Arial"/>
          <w:color w:val="000000"/>
          <w:sz w:val="22"/>
          <w:szCs w:val="22"/>
        </w:rPr>
        <w:t>, y se caracteriza por ser global, subjetivo a factores estacionales y tener instrumentos financieros para especular o protegerse contra cambios en el mercado.</w:t>
      </w:r>
    </w:p>
    <w:p w14:paraId="38479EA9" w14:textId="0ABB41CB" w:rsidR="006E1828" w:rsidRPr="00CF1B34" w:rsidRDefault="006E18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monetario</w:t>
      </w:r>
    </w:p>
    <w:p w14:paraId="4E2CF456" w14:textId="77777777" w:rsidR="00D26C14" w:rsidRPr="00CF1B34" w:rsidRDefault="00C4781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sentido estricto, conjunto de mercados financieros en los que se negocian</w:t>
      </w:r>
      <w:r w:rsidR="00DC2801" w:rsidRPr="00CF1B34">
        <w:rPr>
          <w:rFonts w:ascii="Arial" w:hAnsi="Arial" w:cs="Arial"/>
          <w:color w:val="000000" w:themeColor="text1"/>
          <w:sz w:val="22"/>
          <w:szCs w:val="22"/>
          <w:lang w:val="es-ES_tradnl"/>
        </w:rPr>
        <w:t xml:space="preserve"> instrumentos</w:t>
      </w:r>
      <w:r w:rsidR="00D26C14" w:rsidRPr="00CF1B34">
        <w:rPr>
          <w:rFonts w:ascii="Arial" w:hAnsi="Arial" w:cs="Arial"/>
          <w:color w:val="000000" w:themeColor="text1"/>
          <w:sz w:val="22"/>
          <w:szCs w:val="22"/>
          <w:lang w:val="es-ES_tradnl"/>
        </w:rPr>
        <w:t xml:space="preserve"> financieros a corto plazo, de elevada liquidez y muy bajo riesgo, derivado de la solvencia de los emisores y de la garantía de los títulos.</w:t>
      </w:r>
    </w:p>
    <w:p w14:paraId="1295FD45" w14:textId="1964EAC4" w:rsidR="006E1828" w:rsidRPr="00CF1B34" w:rsidRDefault="006E18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negociado de créditos a interés variable</w:t>
      </w:r>
    </w:p>
    <w:p w14:paraId="5EE3FE0E" w14:textId="495EF570" w:rsidR="00707B98" w:rsidRPr="00CF1B34" w:rsidRDefault="00294AB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relativo a los créditos concedidos por un grupo de entidades bancarias (créditos sindicados) a interés variable, tomando como referencia para su calculo en cada momento un margen que se añade a la e</w:t>
      </w:r>
      <w:r w:rsidR="00707B98" w:rsidRPr="00CF1B34">
        <w:rPr>
          <w:rFonts w:ascii="Arial" w:hAnsi="Arial" w:cs="Arial"/>
          <w:color w:val="000000" w:themeColor="text1"/>
          <w:sz w:val="22"/>
          <w:szCs w:val="22"/>
          <w:lang w:val="es-ES_tradnl"/>
        </w:rPr>
        <w:t>v</w:t>
      </w:r>
      <w:r w:rsidRPr="00CF1B34">
        <w:rPr>
          <w:rFonts w:ascii="Arial" w:hAnsi="Arial" w:cs="Arial"/>
          <w:color w:val="000000" w:themeColor="text1"/>
          <w:sz w:val="22"/>
          <w:szCs w:val="22"/>
          <w:lang w:val="es-ES_tradnl"/>
        </w:rPr>
        <w:t>oluci</w:t>
      </w:r>
      <w:r w:rsidR="009632A3" w:rsidRPr="00CF1B34">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 bien de un tipo preferencial, sin vinculación especifica con el coste de los recursos, o bien de un tipo MIBOR, como coste medio de los recursos a tipos del mercado intercambiario.</w:t>
      </w:r>
    </w:p>
    <w:p w14:paraId="10C00B5C" w14:textId="017A5035" w:rsidR="006E1828" w:rsidRPr="00CF1B34" w:rsidRDefault="006E182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organizado</w:t>
      </w:r>
    </w:p>
    <w:p w14:paraId="1ADB761B" w14:textId="77777777" w:rsidR="00707B98" w:rsidRPr="00CF1B34" w:rsidRDefault="00707B9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Mercado financiero en el que existen unas reglas especificas de actuación.</w:t>
      </w:r>
    </w:p>
    <w:p w14:paraId="5B8565BB" w14:textId="46ED7FA8"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OTC</w:t>
      </w:r>
      <w:r w:rsidR="006E1828" w:rsidRPr="00CF1B34">
        <w:rPr>
          <w:rFonts w:ascii="Arial" w:hAnsi="Arial" w:cs="Arial"/>
          <w:b/>
          <w:bCs/>
          <w:color w:val="004773"/>
          <w:sz w:val="22"/>
          <w:szCs w:val="22"/>
          <w:lang w:val="es-ES_tradnl"/>
        </w:rPr>
        <w:t xml:space="preserve"> (Over The Counter)</w:t>
      </w:r>
    </w:p>
    <w:p w14:paraId="279CA7DA" w14:textId="3FCCEF7D"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Mercado que no está sujeto a regulación ni supervisión externa. Los mercados OTC no suelen tener una sede física, y la negociación se realiza por teléfono u ordenador</w:t>
      </w:r>
      <w:r w:rsidR="009632A3" w:rsidRPr="00CF1B34">
        <w:rPr>
          <w:rFonts w:ascii="Arial" w:hAnsi="Arial" w:cs="Arial"/>
          <w:color w:val="212529"/>
          <w:sz w:val="22"/>
          <w:szCs w:val="22"/>
          <w:lang w:val="es-ES_tradnl"/>
        </w:rPr>
        <w:t xml:space="preserve">, es decir, a través de redes de </w:t>
      </w:r>
      <w:proofErr w:type="gramStart"/>
      <w:r w:rsidR="009632A3" w:rsidRPr="00CF1B34">
        <w:rPr>
          <w:rFonts w:ascii="Arial" w:hAnsi="Arial" w:cs="Arial"/>
          <w:color w:val="212529"/>
          <w:sz w:val="22"/>
          <w:szCs w:val="22"/>
          <w:lang w:val="es-ES_tradnl"/>
        </w:rPr>
        <w:t>telecomunicación.</w:t>
      </w:r>
      <w:r w:rsidRPr="00CF1B34">
        <w:rPr>
          <w:rFonts w:ascii="Arial" w:hAnsi="Arial" w:cs="Arial"/>
          <w:color w:val="212529"/>
          <w:sz w:val="22"/>
          <w:szCs w:val="22"/>
          <w:lang w:val="es-ES_tradnl"/>
        </w:rPr>
        <w:t>.</w:t>
      </w:r>
      <w:proofErr w:type="gramEnd"/>
      <w:r w:rsidRPr="00CF1B34">
        <w:rPr>
          <w:rFonts w:ascii="Arial" w:hAnsi="Arial" w:cs="Arial"/>
          <w:color w:val="212529"/>
          <w:sz w:val="22"/>
          <w:szCs w:val="22"/>
          <w:lang w:val="es-ES_tradnl"/>
        </w:rPr>
        <w:t xml:space="preserve"> A diferencia de lo que ocurre en los mercados organizados, las operaciones no están estandarizadas, sino que las condiciones de las mismas son fijadas de forma libre y directa por las partes (aunque pueden existir acuerdos generales sobre procedimientos). No existe ningún órgano de compensación y liquidación que garantice el cumplimiento de los compromisos adquiridos por los contratantes; por ello, en estos mercados suelen operar entidades de gran solvencia.</w:t>
      </w:r>
    </w:p>
    <w:p w14:paraId="3FE025C5"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primario</w:t>
      </w:r>
    </w:p>
    <w:p w14:paraId="1515CCA9"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Captación de fondos del público por parte de una empresa, mediante la emisión de nuevos valores. Es decir, los inversores obtienen títulos recién creados, que adquieren </w:t>
      </w:r>
      <w:r w:rsidRPr="00CF1B34">
        <w:rPr>
          <w:rFonts w:ascii="Arial" w:hAnsi="Arial" w:cs="Arial"/>
          <w:color w:val="212529"/>
          <w:sz w:val="22"/>
          <w:szCs w:val="22"/>
          <w:lang w:val="es-ES_tradnl"/>
        </w:rPr>
        <w:lastRenderedPageBreak/>
        <w:t>directamente del emisor (por contraposición a los mercados secundarios, en los que se negocian títulos ya emitidos con anterioridad que estaban en poder de otros inversores). Sin embargo, también se consideran operaciones de mercado primario las compras o ventas de valores que ya estaban en circulación, cuando se realizan a través de una oferta pública.</w:t>
      </w:r>
    </w:p>
    <w:p w14:paraId="6485E842" w14:textId="69BAAAF0" w:rsidR="00BA74E9" w:rsidRPr="00CF1B34" w:rsidRDefault="00BA74E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 secundario</w:t>
      </w:r>
    </w:p>
    <w:p w14:paraId="7E5D8775" w14:textId="77777777" w:rsidR="00707B98" w:rsidRPr="00CF1B34" w:rsidRDefault="00707B9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Mercado en el que los valores móviles se cambian después de haber sido emitidos y suscritos.</w:t>
      </w:r>
    </w:p>
    <w:p w14:paraId="1CD6E026" w14:textId="6B135CF2" w:rsidR="00707B98" w:rsidRPr="00CF1B34" w:rsidRDefault="00707B9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Mercados de productos derivados</w:t>
      </w:r>
    </w:p>
    <w:p w14:paraId="4A98538E" w14:textId="77777777" w:rsidR="00516A81" w:rsidRPr="00CF1B34" w:rsidRDefault="00707B9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Aquellos en los que no se negocian instrumentos financieros sino contratos relativos a instrumentos </w:t>
      </w:r>
      <w:r w:rsidR="00516A81" w:rsidRPr="00CF1B34">
        <w:rPr>
          <w:rFonts w:ascii="Arial" w:hAnsi="Arial" w:cs="Arial"/>
          <w:color w:val="000000" w:themeColor="text1"/>
          <w:sz w:val="22"/>
          <w:szCs w:val="22"/>
          <w:lang w:val="es-ES_tradnl"/>
        </w:rPr>
        <w:t>financieros. Los mas importantes son los de futuros y opciones.</w:t>
      </w:r>
    </w:p>
    <w:p w14:paraId="354AD348" w14:textId="2BE58113" w:rsidR="00707B98" w:rsidRPr="00CF1B34" w:rsidRDefault="00707B98"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Mercados emergentes</w:t>
      </w:r>
    </w:p>
    <w:p w14:paraId="49A7A8FE" w14:textId="4F36A36B" w:rsidR="00757175" w:rsidRPr="00CF1B34" w:rsidRDefault="00E21C0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Los merc</w:t>
      </w:r>
      <w:r w:rsidR="00757175"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 xml:space="preserve">dos de los países en vías </w:t>
      </w:r>
      <w:r w:rsidR="00527332" w:rsidRPr="00CF1B34">
        <w:rPr>
          <w:rFonts w:ascii="Arial" w:hAnsi="Arial" w:cs="Arial"/>
          <w:color w:val="000000" w:themeColor="text1"/>
          <w:sz w:val="22"/>
          <w:szCs w:val="22"/>
          <w:lang w:val="es-ES_tradnl"/>
        </w:rPr>
        <w:t>d</w:t>
      </w:r>
      <w:r w:rsidRPr="00CF1B34">
        <w:rPr>
          <w:rFonts w:ascii="Arial" w:hAnsi="Arial" w:cs="Arial"/>
          <w:color w:val="000000" w:themeColor="text1"/>
          <w:sz w:val="22"/>
          <w:szCs w:val="22"/>
          <w:lang w:val="es-ES_tradnl"/>
        </w:rPr>
        <w:t>e desarrollo reciben el nombre de emergentes. En estos países se debe dar la circunst</w:t>
      </w:r>
      <w:r w:rsidR="00757175"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ncia</w:t>
      </w:r>
      <w:r w:rsidR="00757175" w:rsidRPr="00CF1B34">
        <w:rPr>
          <w:rFonts w:ascii="Arial" w:hAnsi="Arial" w:cs="Arial"/>
          <w:color w:val="000000" w:themeColor="text1"/>
          <w:sz w:val="22"/>
          <w:szCs w:val="22"/>
          <w:lang w:val="es-ES_tradnl"/>
        </w:rPr>
        <w:t xml:space="preserve"> de que la economía crezca con gran rapidez y fuerza</w:t>
      </w:r>
      <w:r w:rsidR="00527332" w:rsidRPr="00CF1B34">
        <w:rPr>
          <w:rFonts w:ascii="Arial" w:hAnsi="Arial" w:cs="Arial"/>
          <w:color w:val="000000" w:themeColor="text1"/>
          <w:sz w:val="22"/>
          <w:szCs w:val="22"/>
          <w:lang w:val="es-ES_tradnl"/>
        </w:rPr>
        <w:t>,</w:t>
      </w:r>
      <w:r w:rsidR="00757175" w:rsidRPr="00CF1B34">
        <w:rPr>
          <w:rFonts w:ascii="Arial" w:hAnsi="Arial" w:cs="Arial"/>
          <w:color w:val="000000" w:themeColor="text1"/>
          <w:sz w:val="22"/>
          <w:szCs w:val="22"/>
          <w:lang w:val="es-ES_tradnl"/>
        </w:rPr>
        <w:t xml:space="preserve"> pero tienen el riesgo de una situación política inestable.</w:t>
      </w:r>
    </w:p>
    <w:p w14:paraId="5F0DB2E5" w14:textId="04417C33" w:rsidR="006A6D80" w:rsidRPr="00CF1B34" w:rsidRDefault="006A6D8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Mercantilismo</w:t>
      </w:r>
    </w:p>
    <w:p w14:paraId="37CF0B92" w14:textId="1FA64DF6" w:rsidR="006A6D80" w:rsidRPr="00CF1B34" w:rsidRDefault="006A6D80"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 xml:space="preserve">El </w:t>
      </w:r>
      <w:r w:rsidRPr="00CF1B34">
        <w:rPr>
          <w:rStyle w:val="Textoennegrita"/>
          <w:rFonts w:ascii="Arial" w:hAnsi="Arial" w:cs="Arial"/>
          <w:color w:val="333333"/>
          <w:sz w:val="22"/>
          <w:szCs w:val="22"/>
          <w:shd w:val="clear" w:color="auto" w:fill="FFFFFF"/>
        </w:rPr>
        <w:t>mercantilismo</w:t>
      </w:r>
      <w:r w:rsidRPr="00CF1B34">
        <w:rPr>
          <w:rFonts w:ascii="Arial" w:hAnsi="Arial" w:cs="Arial"/>
          <w:color w:val="333333"/>
          <w:sz w:val="22"/>
          <w:szCs w:val="22"/>
          <w:shd w:val="clear" w:color="auto" w:fill="FFFFFF"/>
        </w:rPr>
        <w:t xml:space="preserve"> apareció durante los siglos XVI hasta el XVIII, y tenía como base una fuerte intervención del Estado en la economía. Las premisas de este sistema eran que la riqueza y prosperidad de una nación dependían del capital acumulable y que el mercado global es inalterable. Asimismo, dicho capital era significado por los metales preciosos, donde los estados buscaban aumentar sus arcas de mediante una balanza comercial positiva.</w:t>
      </w:r>
    </w:p>
    <w:p w14:paraId="230005C4" w14:textId="36C22DC4" w:rsidR="00D04C0D" w:rsidRPr="00CF1B34" w:rsidRDefault="00D04C0D" w:rsidP="0005621A">
      <w:pPr>
        <w:ind w:left="708"/>
        <w:jc w:val="both"/>
        <w:rPr>
          <w:rFonts w:ascii="Arial" w:hAnsi="Arial" w:cs="Arial"/>
          <w:sz w:val="22"/>
          <w:szCs w:val="22"/>
        </w:rPr>
      </w:pPr>
      <w:r w:rsidRPr="00CF1B34">
        <w:rPr>
          <w:rStyle w:val="Textoennegrita"/>
          <w:rFonts w:ascii="Arial" w:hAnsi="Arial" w:cs="Arial"/>
          <w:color w:val="333333"/>
          <w:sz w:val="22"/>
          <w:szCs w:val="22"/>
          <w:shd w:val="clear" w:color="auto" w:fill="FFFFFF"/>
        </w:rPr>
        <w:t>El mercantilismo,</w:t>
      </w:r>
      <w:r w:rsidRPr="00CF1B34">
        <w:rPr>
          <w:rFonts w:ascii="Arial" w:hAnsi="Arial" w:cs="Arial"/>
          <w:color w:val="333333"/>
          <w:sz w:val="22"/>
          <w:szCs w:val="22"/>
          <w:shd w:val="clear" w:color="auto" w:fill="FFFFFF"/>
        </w:rPr>
        <w:t xml:space="preserve"> para lograr su cometido de acumular capital, debía estar regido por una </w:t>
      </w:r>
      <w:r w:rsidRPr="00CF1B34">
        <w:rPr>
          <w:rStyle w:val="Textoennegrita"/>
          <w:rFonts w:ascii="Arial" w:hAnsi="Arial" w:cs="Arial"/>
          <w:color w:val="333333"/>
          <w:sz w:val="22"/>
          <w:szCs w:val="22"/>
          <w:shd w:val="clear" w:color="auto" w:fill="FFFFFF"/>
        </w:rPr>
        <w:t>política proteccionista que favorezca a la exportación y disminuya la importación</w:t>
      </w:r>
    </w:p>
    <w:p w14:paraId="6D9B715B" w14:textId="10531462" w:rsidR="006A6D80" w:rsidRPr="00CF1B34" w:rsidRDefault="00D04C0D" w:rsidP="0005621A">
      <w:pPr>
        <w:ind w:firstLine="708"/>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Características:</w:t>
      </w:r>
    </w:p>
    <w:p w14:paraId="086E49F1" w14:textId="77777777" w:rsidR="00D04C0D" w:rsidRPr="00CF1B34" w:rsidRDefault="00D04C0D" w:rsidP="004F7A62">
      <w:pPr>
        <w:numPr>
          <w:ilvl w:val="0"/>
          <w:numId w:val="213"/>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Agricultura, minería o manufacturas son la base de la economía.</w:t>
      </w:r>
    </w:p>
    <w:p w14:paraId="0A1750EF" w14:textId="77777777" w:rsidR="00D04C0D" w:rsidRPr="00CF1B34" w:rsidRDefault="00D04C0D" w:rsidP="004F7A62">
      <w:pPr>
        <w:numPr>
          <w:ilvl w:val="0"/>
          <w:numId w:val="213"/>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Las primeras materias de un país se utilizan para manufacturas nacionales.</w:t>
      </w:r>
    </w:p>
    <w:p w14:paraId="3B88A502" w14:textId="77777777" w:rsidR="00D04C0D" w:rsidRPr="00CF1B34" w:rsidRDefault="00D04C0D" w:rsidP="004F7A62">
      <w:pPr>
        <w:numPr>
          <w:ilvl w:val="0"/>
          <w:numId w:val="213"/>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Población grande y trabajadora.</w:t>
      </w:r>
    </w:p>
    <w:p w14:paraId="042F22CF" w14:textId="77777777" w:rsidR="00D04C0D" w:rsidRPr="00CF1B34" w:rsidRDefault="00D04C0D" w:rsidP="004F7A62">
      <w:pPr>
        <w:numPr>
          <w:ilvl w:val="0"/>
          <w:numId w:val="213"/>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Prohibición de todas las exportaciones de oro y plata.</w:t>
      </w:r>
    </w:p>
    <w:p w14:paraId="1F5713F3" w14:textId="77777777" w:rsidR="00D04C0D" w:rsidRPr="00CF1B34" w:rsidRDefault="00D04C0D" w:rsidP="004F7A62">
      <w:pPr>
        <w:numPr>
          <w:ilvl w:val="0"/>
          <w:numId w:val="213"/>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Barreras a las importaciones de bienes.</w:t>
      </w:r>
    </w:p>
    <w:p w14:paraId="6AA52652" w14:textId="77777777" w:rsidR="00D04C0D" w:rsidRPr="00CF1B34" w:rsidRDefault="00D04C0D" w:rsidP="004F7A62">
      <w:pPr>
        <w:numPr>
          <w:ilvl w:val="0"/>
          <w:numId w:val="213"/>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Si ha de importar que sea por trueque y no a cambio de oro y plata.</w:t>
      </w:r>
    </w:p>
    <w:p w14:paraId="5CBBF7D9" w14:textId="77777777" w:rsidR="00D04C0D" w:rsidRPr="00CF1B34" w:rsidRDefault="00D04C0D" w:rsidP="004F7A62">
      <w:pPr>
        <w:numPr>
          <w:ilvl w:val="0"/>
          <w:numId w:val="213"/>
        </w:numPr>
        <w:shd w:val="clear" w:color="auto" w:fill="FFFFFF"/>
        <w:spacing w:before="100" w:beforeAutospacing="1" w:after="100" w:afterAutospacing="1"/>
        <w:jc w:val="both"/>
        <w:rPr>
          <w:rFonts w:ascii="Arial" w:hAnsi="Arial" w:cs="Arial"/>
          <w:color w:val="333333"/>
          <w:sz w:val="22"/>
          <w:szCs w:val="22"/>
        </w:rPr>
      </w:pPr>
      <w:r w:rsidRPr="00CF1B34">
        <w:rPr>
          <w:rFonts w:ascii="Arial" w:hAnsi="Arial" w:cs="Arial"/>
          <w:color w:val="333333"/>
          <w:sz w:val="22"/>
          <w:szCs w:val="22"/>
        </w:rPr>
        <w:t>Exportar todo el excedente de manufacturas a cambio de oro y plata</w:t>
      </w:r>
    </w:p>
    <w:p w14:paraId="7F63DAE1" w14:textId="77777777" w:rsidR="0070633D" w:rsidRPr="00CF1B34" w:rsidRDefault="0070633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333333"/>
          <w:sz w:val="22"/>
          <w:szCs w:val="22"/>
          <w:shd w:val="clear" w:color="auto" w:fill="FFFFFF"/>
        </w:rPr>
        <w:t>Uno de los flagelos de este sistema era que se basaba en la</w:t>
      </w:r>
      <w:r w:rsidRPr="00CF1B34">
        <w:rPr>
          <w:rStyle w:val="Textoennegrita"/>
          <w:rFonts w:ascii="Arial" w:hAnsi="Arial" w:cs="Arial"/>
          <w:color w:val="333333"/>
          <w:sz w:val="22"/>
          <w:szCs w:val="22"/>
          <w:shd w:val="clear" w:color="auto" w:fill="FFFFFF"/>
        </w:rPr>
        <w:t xml:space="preserve"> producción a menor costo posible, y los trabajadores y granjeros sufrían de una economía de subsistencia y casi no consumían.</w:t>
      </w:r>
    </w:p>
    <w:p w14:paraId="1EBABE54" w14:textId="0D121DF8" w:rsidR="00BD4C94" w:rsidRPr="00CF1B34" w:rsidRDefault="00BD4C9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MERCOSUR</w:t>
      </w:r>
    </w:p>
    <w:p w14:paraId="242BE550" w14:textId="77777777" w:rsidR="00BD4C94" w:rsidRPr="00CF1B34" w:rsidRDefault="00BD4C9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 xml:space="preserve">Integrado inicialmente por Brasil, Argentina, Uruguay y Paraguay, se estableció, a partir de 1995, una unión aduanera mediante un programa de liberación comercial que incluye un proceso de desgravación progresiva y automática para el universo arancelario, aunque con listas de excepciones que deberán ser eliminadas progresivamente. Obviamente, incluye la adopción de un arancel externo común. Para facilitar y complementar este </w:t>
      </w:r>
      <w:r w:rsidRPr="00CF1B34">
        <w:rPr>
          <w:rFonts w:ascii="Arial" w:hAnsi="Arial" w:cs="Arial"/>
          <w:color w:val="000000"/>
          <w:sz w:val="22"/>
          <w:szCs w:val="22"/>
          <w:shd w:val="clear" w:color="auto" w:fill="FFFFFF"/>
          <w:lang w:val="es-ES_tradnl"/>
        </w:rPr>
        <w:lastRenderedPageBreak/>
        <w:t>programa dirigido al intercambio se contempla una armonización de las políticas macroeconómicas y sectoriales. La participación de las dos economías más grandes de América del Sur -Brasil y Argentina-, unida a la creciente liberación que han venido experimentando las demás economías de la región, ha llevado a otros países a vincularse al acuerdo como es el caso de Chile y Bolivia. Con el tiempo, es probable que Mercosur atraiga nuevos miembros y se constituya en la unión económica más importante de América Latina.</w:t>
      </w:r>
    </w:p>
    <w:p w14:paraId="764C1D53" w14:textId="5F63F03B" w:rsidR="00EC49AF" w:rsidRPr="00CF1B34" w:rsidRDefault="00EC49A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Microcreditos</w:t>
      </w:r>
    </w:p>
    <w:p w14:paraId="2F8CA109" w14:textId="77777777" w:rsidR="00EC49AF" w:rsidRPr="00CF1B34" w:rsidRDefault="00EC49AF" w:rsidP="0005621A">
      <w:pPr>
        <w:ind w:firstLine="708"/>
        <w:jc w:val="both"/>
        <w:rPr>
          <w:rFonts w:ascii="Arial" w:hAnsi="Arial" w:cs="Arial"/>
        </w:rPr>
      </w:pPr>
      <w:r w:rsidRPr="00CF1B34">
        <w:rPr>
          <w:rFonts w:ascii="Arial" w:hAnsi="Arial" w:cs="Arial"/>
        </w:rPr>
        <w:t>Son créditos de:</w:t>
      </w:r>
    </w:p>
    <w:p w14:paraId="410AB461" w14:textId="47CB162A" w:rsidR="00EC49AF" w:rsidRPr="00CF1B34" w:rsidRDefault="00EC49AF" w:rsidP="004F7A62">
      <w:pPr>
        <w:pStyle w:val="Prrafodelista"/>
        <w:numPr>
          <w:ilvl w:val="0"/>
          <w:numId w:val="87"/>
        </w:numPr>
        <w:jc w:val="both"/>
        <w:rPr>
          <w:rFonts w:ascii="Arial" w:hAnsi="Arial" w:cs="Arial"/>
        </w:rPr>
      </w:pPr>
      <w:r w:rsidRPr="00CF1B34">
        <w:rPr>
          <w:rFonts w:ascii="Arial" w:hAnsi="Arial" w:cs="Arial"/>
        </w:rPr>
        <w:t>un importe no muy alto</w:t>
      </w:r>
    </w:p>
    <w:p w14:paraId="52B6CC79" w14:textId="17BD0C7C" w:rsidR="00EC49AF" w:rsidRPr="00CF1B34" w:rsidRDefault="00EC49AF" w:rsidP="004F7A62">
      <w:pPr>
        <w:pStyle w:val="Prrafodelista"/>
        <w:numPr>
          <w:ilvl w:val="0"/>
          <w:numId w:val="87"/>
        </w:numPr>
        <w:jc w:val="both"/>
        <w:rPr>
          <w:rFonts w:ascii="Arial" w:hAnsi="Arial" w:cs="Arial"/>
        </w:rPr>
      </w:pPr>
      <w:r w:rsidRPr="00CF1B34">
        <w:rPr>
          <w:rFonts w:ascii="Arial" w:hAnsi="Arial" w:cs="Arial"/>
        </w:rPr>
        <w:t>con un interés inferior a los préstamos de consumo</w:t>
      </w:r>
    </w:p>
    <w:p w14:paraId="49CF12A0" w14:textId="7B54DA17" w:rsidR="00EC49AF" w:rsidRPr="00CF1B34" w:rsidRDefault="00EC49AF" w:rsidP="004F7A62">
      <w:pPr>
        <w:pStyle w:val="Prrafodelista"/>
        <w:numPr>
          <w:ilvl w:val="0"/>
          <w:numId w:val="87"/>
        </w:numPr>
        <w:jc w:val="both"/>
        <w:rPr>
          <w:rFonts w:ascii="Arial" w:hAnsi="Arial" w:cs="Arial"/>
        </w:rPr>
      </w:pPr>
      <w:r w:rsidRPr="00CF1B34">
        <w:rPr>
          <w:rFonts w:ascii="Arial" w:hAnsi="Arial" w:cs="Arial"/>
        </w:rPr>
        <w:t>con plazos y cuotas de devolución flexibles</w:t>
      </w:r>
    </w:p>
    <w:p w14:paraId="280A67B5" w14:textId="2E9A30CE" w:rsidR="00EC49AF" w:rsidRPr="00CF1B34" w:rsidRDefault="00EC49AF" w:rsidP="004F7A62">
      <w:pPr>
        <w:pStyle w:val="Prrafodelista"/>
        <w:numPr>
          <w:ilvl w:val="0"/>
          <w:numId w:val="87"/>
        </w:numPr>
        <w:jc w:val="both"/>
        <w:rPr>
          <w:rFonts w:ascii="Arial" w:hAnsi="Arial" w:cs="Arial"/>
        </w:rPr>
      </w:pPr>
      <w:r w:rsidRPr="00CF1B34">
        <w:rPr>
          <w:rFonts w:ascii="Arial" w:hAnsi="Arial" w:cs="Arial"/>
        </w:rPr>
        <w:t>sin comisiones</w:t>
      </w:r>
    </w:p>
    <w:p w14:paraId="32394D97" w14:textId="6A544B69" w:rsidR="00EC49AF" w:rsidRPr="00CF1B34" w:rsidRDefault="00EC49AF" w:rsidP="004F7A62">
      <w:pPr>
        <w:pStyle w:val="Prrafodelista"/>
        <w:numPr>
          <w:ilvl w:val="0"/>
          <w:numId w:val="87"/>
        </w:numPr>
        <w:jc w:val="both"/>
        <w:rPr>
          <w:rFonts w:ascii="Arial" w:hAnsi="Arial" w:cs="Arial"/>
        </w:rPr>
      </w:pPr>
      <w:r w:rsidRPr="00CF1B34">
        <w:rPr>
          <w:rFonts w:ascii="Arial" w:hAnsi="Arial" w:cs="Arial"/>
        </w:rPr>
        <w:t>están diseñados para financiar proyectos de autoempleo.</w:t>
      </w:r>
    </w:p>
    <w:p w14:paraId="21DCB656" w14:textId="77777777" w:rsidR="00EC49AF" w:rsidRPr="00CF1B34" w:rsidRDefault="00EC49A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21212"/>
          <w:sz w:val="22"/>
          <w:szCs w:val="22"/>
          <w:shd w:val="clear" w:color="auto" w:fill="FFFFFF"/>
        </w:rPr>
        <w:t>Los microcréditos nacieron como una herramienta financiera enfocada a ayudar a personas y comunidades vulnerables. Con un papel social, este tipo de préstamos de pequeñas cantidades sirven para ayudar a aquellos que no pueden acceder a los servicios financieros formales. Hoy, también se han extendido a pymes y emprendedores que requieren una pequeña cantidad de dinero de forma rápida. Analizamos cuáles son sus ventajas y sus inconvenientes, en qué se diferencian de los créditos rápidos y de los minicréditos y qué información hay que tener en cuenta para salvaguardar la salud financiera.</w:t>
      </w:r>
    </w:p>
    <w:p w14:paraId="00593DEC" w14:textId="3155DAF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Miembro del mercado</w:t>
      </w:r>
    </w:p>
    <w:p w14:paraId="7AA947FE"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aquellos intermediarios financieros que pueden operar directamente en los mercados de valores, por haber recibido una autorización especial y cumplir con determinados requisitos específicos, impuestos por cada mercado. Los intermediarios que no son miembros de un mercado deben transmitir las órdenes de sus clientes a otras entidades que sí lo sean. </w:t>
      </w:r>
    </w:p>
    <w:p w14:paraId="68CC4C91" w14:textId="6B2041C7" w:rsidR="00BA74E9" w:rsidRPr="00CF1B34" w:rsidRDefault="00BA74E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Miembro liquidador</w:t>
      </w:r>
    </w:p>
    <w:p w14:paraId="1254AC8A" w14:textId="77777777" w:rsidR="00B378AC" w:rsidRPr="00CF1B34" w:rsidRDefault="00B378A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Categoría de intermediarios adheridos a un mercado de futuros y opciones a través de los que debe realizarse la compensación y la liquidación de los contratos negociados.</w:t>
      </w:r>
    </w:p>
    <w:p w14:paraId="41739E4B" w14:textId="0A1C95BE" w:rsidR="00E16EE1" w:rsidRPr="00CF1B34" w:rsidRDefault="00E16EE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MiFID</w:t>
      </w:r>
    </w:p>
    <w:p w14:paraId="21A8F414" w14:textId="77777777" w:rsidR="00490040" w:rsidRPr="00CF1B34" w:rsidRDefault="00490040"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La Directiva 2004/39/CE, conocida como MiFID (Markets in Financial Instruments Directive), pilar del Plan de Acción de Servicios Financieros (PASF), y sus normas de desarrollo -la Directiva 2006/73/CE, el Reglamento 1287/2006 de la Comisión y los textos legales de nivel III derivados del asesoramiento del Comité de Reguladores Europeos (CESR)-,</w:t>
      </w:r>
      <w:r w:rsidRPr="00CF1B34">
        <w:rPr>
          <w:rStyle w:val="Textoennegrita"/>
          <w:rFonts w:ascii="Arial" w:hAnsi="Arial" w:cs="Arial"/>
          <w:color w:val="333333"/>
          <w:sz w:val="22"/>
          <w:szCs w:val="22"/>
          <w:shd w:val="clear" w:color="auto" w:fill="FFFFFF"/>
        </w:rPr>
        <w:t> serán de aplicación a todas las personas y entidades que actúen en los mercados de valores. MiFID afectará a la forma de operar de las empresas de servicios de inversión (ESI), a su organización y a cómo se relacionan dichas entidades con sus clientes.</w:t>
      </w:r>
    </w:p>
    <w:p w14:paraId="5E5CC3E7" w14:textId="29FB4837" w:rsidR="00E16EE1" w:rsidRPr="00CF1B34" w:rsidRDefault="00490040" w:rsidP="0005621A">
      <w:pPr>
        <w:ind w:firstLine="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Los objetivos principales de la aplicación de la directiva son:</w:t>
      </w:r>
    </w:p>
    <w:p w14:paraId="6C7983AC" w14:textId="7934B621" w:rsidR="00490040" w:rsidRPr="00490040" w:rsidRDefault="00490040" w:rsidP="0005621A">
      <w:pPr>
        <w:shd w:val="clear" w:color="auto" w:fill="FFFFFF"/>
        <w:spacing w:after="165"/>
        <w:ind w:left="708"/>
        <w:jc w:val="both"/>
        <w:rPr>
          <w:rFonts w:ascii="Arial" w:hAnsi="Arial" w:cs="Arial"/>
          <w:color w:val="333333"/>
          <w:sz w:val="22"/>
          <w:szCs w:val="22"/>
        </w:rPr>
      </w:pPr>
      <w:r w:rsidRPr="00490040">
        <w:rPr>
          <w:rFonts w:ascii="Arial" w:hAnsi="Arial" w:cs="Arial"/>
          <w:color w:val="333333"/>
          <w:sz w:val="22"/>
          <w:szCs w:val="22"/>
        </w:rPr>
        <w:t>1.</w:t>
      </w:r>
      <w:r w:rsidR="00C63798" w:rsidRPr="00CF1B34">
        <w:rPr>
          <w:rFonts w:ascii="Arial" w:hAnsi="Arial" w:cs="Arial"/>
          <w:color w:val="333333"/>
          <w:sz w:val="22"/>
          <w:szCs w:val="22"/>
        </w:rPr>
        <w:t xml:space="preserve"> </w:t>
      </w:r>
      <w:r w:rsidRPr="00490040">
        <w:rPr>
          <w:rFonts w:ascii="Arial" w:hAnsi="Arial" w:cs="Arial"/>
          <w:b/>
          <w:bCs/>
          <w:color w:val="333333"/>
          <w:sz w:val="22"/>
          <w:szCs w:val="22"/>
        </w:rPr>
        <w:t>Armonizar el marco legal europeo,</w:t>
      </w:r>
      <w:r w:rsidR="00C63798" w:rsidRPr="00CF1B34">
        <w:rPr>
          <w:rFonts w:ascii="Arial" w:hAnsi="Arial" w:cs="Arial"/>
          <w:color w:val="333333"/>
          <w:sz w:val="22"/>
          <w:szCs w:val="22"/>
        </w:rPr>
        <w:t xml:space="preserve"> </w:t>
      </w:r>
      <w:r w:rsidRPr="00490040">
        <w:rPr>
          <w:rFonts w:ascii="Arial" w:hAnsi="Arial" w:cs="Arial"/>
          <w:color w:val="333333"/>
          <w:sz w:val="22"/>
          <w:szCs w:val="22"/>
        </w:rPr>
        <w:t>completando el mercado único de servicios financieros de la UE e introduciendo un régimen regulatorio común para los servicios financieros en los 27 estados miembros de la Unión Europea, y en otros 3 estados del Área Económica Europea (Islandia, Noruega y Liechtenstein).</w:t>
      </w:r>
    </w:p>
    <w:p w14:paraId="3F1CFFBB" w14:textId="24806FD6" w:rsidR="00490040" w:rsidRPr="00CF1B34" w:rsidRDefault="00490040" w:rsidP="0005621A">
      <w:pPr>
        <w:shd w:val="clear" w:color="auto" w:fill="FFFFFF"/>
        <w:spacing w:after="165"/>
        <w:ind w:left="708"/>
        <w:jc w:val="both"/>
        <w:rPr>
          <w:rFonts w:ascii="Arial" w:hAnsi="Arial" w:cs="Arial"/>
          <w:color w:val="333333"/>
          <w:sz w:val="22"/>
          <w:szCs w:val="22"/>
        </w:rPr>
      </w:pPr>
      <w:r w:rsidRPr="00490040">
        <w:rPr>
          <w:rFonts w:ascii="Arial" w:hAnsi="Arial" w:cs="Arial"/>
          <w:color w:val="333333"/>
          <w:sz w:val="22"/>
          <w:szCs w:val="22"/>
        </w:rPr>
        <w:lastRenderedPageBreak/>
        <w:t>2.</w:t>
      </w:r>
      <w:r w:rsidR="00C63798" w:rsidRPr="00CF1B34">
        <w:rPr>
          <w:rFonts w:ascii="Arial" w:hAnsi="Arial" w:cs="Arial"/>
          <w:color w:val="333333"/>
          <w:sz w:val="22"/>
          <w:szCs w:val="22"/>
        </w:rPr>
        <w:t xml:space="preserve"> </w:t>
      </w:r>
      <w:r w:rsidRPr="00490040">
        <w:rPr>
          <w:rFonts w:ascii="Arial" w:hAnsi="Arial" w:cs="Arial"/>
          <w:b/>
          <w:bCs/>
          <w:color w:val="333333"/>
          <w:sz w:val="22"/>
          <w:szCs w:val="22"/>
        </w:rPr>
        <w:t>Reforzar l</w:t>
      </w:r>
      <w:r w:rsidRPr="00CF1B34">
        <w:rPr>
          <w:rFonts w:ascii="Arial" w:hAnsi="Arial" w:cs="Arial"/>
          <w:b/>
          <w:bCs/>
          <w:color w:val="333333"/>
          <w:sz w:val="22"/>
          <w:szCs w:val="22"/>
        </w:rPr>
        <w:t>a protec</w:t>
      </w:r>
      <w:r w:rsidR="00C63798" w:rsidRPr="00CF1B34">
        <w:rPr>
          <w:rFonts w:ascii="Arial" w:hAnsi="Arial" w:cs="Arial"/>
          <w:b/>
          <w:bCs/>
          <w:color w:val="333333"/>
          <w:sz w:val="22"/>
          <w:szCs w:val="22"/>
        </w:rPr>
        <w:t>c</w:t>
      </w:r>
      <w:r w:rsidRPr="00CF1B34">
        <w:rPr>
          <w:rFonts w:ascii="Arial" w:hAnsi="Arial" w:cs="Arial"/>
          <w:b/>
          <w:bCs/>
          <w:color w:val="333333"/>
          <w:sz w:val="22"/>
          <w:szCs w:val="22"/>
        </w:rPr>
        <w:t>ión los inversores</w:t>
      </w:r>
      <w:r w:rsidRPr="00490040">
        <w:rPr>
          <w:rFonts w:ascii="Arial" w:hAnsi="Arial" w:cs="Arial"/>
          <w:color w:val="333333"/>
          <w:sz w:val="22"/>
          <w:szCs w:val="22"/>
        </w:rPr>
        <w:t>, a través de un suministro de información de mayor calidad, el establecimiento de una mayor transparencia en los mercados de valores, el perfeccionamiento de las normas de conducta en la relación con los clientes, y la aplicación del principio de mejor ejecución por parte de las ESI, consistente en la obligación de obtener el mejor resultado posible al ejecutar órdenes de clientes.</w:t>
      </w:r>
    </w:p>
    <w:p w14:paraId="0CBD432A" w14:textId="2C04617F" w:rsidR="00490040" w:rsidRPr="00490040" w:rsidRDefault="00490040" w:rsidP="0005621A">
      <w:pPr>
        <w:shd w:val="clear" w:color="auto" w:fill="FFFFFF"/>
        <w:spacing w:after="165"/>
        <w:ind w:left="708"/>
        <w:jc w:val="both"/>
        <w:rPr>
          <w:rFonts w:ascii="Arial" w:hAnsi="Arial" w:cs="Arial"/>
          <w:color w:val="333333"/>
          <w:sz w:val="22"/>
          <w:szCs w:val="22"/>
        </w:rPr>
      </w:pPr>
      <w:r w:rsidRPr="00490040">
        <w:rPr>
          <w:rFonts w:ascii="Arial" w:hAnsi="Arial" w:cs="Arial"/>
          <w:color w:val="333333"/>
          <w:sz w:val="22"/>
          <w:szCs w:val="22"/>
        </w:rPr>
        <w:t>Pero además de una adecuada información y transparencia dirigida al inversor, se exigirá que las empresas de inversión, en su labor de comercialización de productos, adecuen previamente su oferta al test de idoneidad o conveniencia del cliente.</w:t>
      </w:r>
    </w:p>
    <w:p w14:paraId="41CF2FBA" w14:textId="77777777" w:rsidR="00C63798" w:rsidRPr="00CF1B34" w:rsidRDefault="00490040" w:rsidP="0005621A">
      <w:pPr>
        <w:pBdr>
          <w:bottom w:val="dotted" w:sz="12" w:space="12" w:color="666666"/>
        </w:pBdr>
        <w:spacing w:after="240"/>
        <w:ind w:left="720"/>
        <w:jc w:val="both"/>
        <w:rPr>
          <w:rFonts w:ascii="Arial" w:hAnsi="Arial" w:cs="Arial"/>
          <w:color w:val="212529"/>
          <w:sz w:val="22"/>
          <w:szCs w:val="22"/>
          <w:lang w:val="es-ES_tradnl"/>
        </w:rPr>
      </w:pPr>
      <w:r w:rsidRPr="00490040">
        <w:rPr>
          <w:rFonts w:ascii="Arial" w:hAnsi="Arial" w:cs="Arial"/>
          <w:color w:val="333333"/>
          <w:sz w:val="22"/>
          <w:szCs w:val="22"/>
        </w:rPr>
        <w:t>3.</w:t>
      </w:r>
      <w:r w:rsidRPr="00CF1B34">
        <w:rPr>
          <w:rFonts w:ascii="Arial" w:hAnsi="Arial" w:cs="Arial"/>
          <w:color w:val="333333"/>
          <w:sz w:val="22"/>
          <w:szCs w:val="22"/>
        </w:rPr>
        <w:t xml:space="preserve"> </w:t>
      </w:r>
      <w:r w:rsidRPr="00490040">
        <w:rPr>
          <w:rFonts w:ascii="Arial" w:hAnsi="Arial" w:cs="Arial"/>
          <w:b/>
          <w:bCs/>
          <w:color w:val="333333"/>
          <w:sz w:val="22"/>
          <w:szCs w:val="22"/>
        </w:rPr>
        <w:t>Incrementar la competencia</w:t>
      </w:r>
      <w:r w:rsidRPr="00490040">
        <w:rPr>
          <w:rFonts w:ascii="Arial" w:hAnsi="Arial" w:cs="Arial"/>
          <w:color w:val="333333"/>
          <w:sz w:val="22"/>
          <w:szCs w:val="22"/>
        </w:rPr>
        <w:t>, con una mayor diversificación mediante la ruptura del monopolio de las bolsas y el establecimiento de plataformas alternativas de negociación, un régimen de mayor transparencia de precios y la flexibilización de la regulación del pasaporte europeo (con más empresas de inversión de los distintos Estados de la UE actuando en diversos países libremente mediante agentes vinculados). El actual régimen de actuación transfronteriza será sometido,</w:t>
      </w:r>
      <w:r w:rsidRPr="00CF1B34">
        <w:rPr>
          <w:rFonts w:ascii="Arial" w:hAnsi="Arial" w:cs="Arial"/>
          <w:color w:val="333333"/>
          <w:sz w:val="22"/>
          <w:szCs w:val="22"/>
        </w:rPr>
        <w:t xml:space="preserve"> </w:t>
      </w:r>
      <w:r w:rsidRPr="00490040">
        <w:rPr>
          <w:rFonts w:ascii="Arial" w:hAnsi="Arial" w:cs="Arial"/>
          <w:b/>
          <w:bCs/>
          <w:color w:val="333333"/>
          <w:sz w:val="22"/>
          <w:szCs w:val="22"/>
        </w:rPr>
        <w:t>cuando entre en vigor la nueva normativa MiFID, a una importante mejora basada, principalmente, en la resolución de los problemas hasta ahora generados por un insufic</w:t>
      </w:r>
      <w:r w:rsidRPr="00CF1B34">
        <w:rPr>
          <w:rFonts w:ascii="Arial" w:hAnsi="Arial" w:cs="Arial"/>
          <w:b/>
          <w:bCs/>
          <w:color w:val="333333"/>
          <w:sz w:val="22"/>
          <w:szCs w:val="22"/>
        </w:rPr>
        <w:t>i</w:t>
      </w:r>
      <w:r w:rsidRPr="00490040">
        <w:rPr>
          <w:rFonts w:ascii="Arial" w:hAnsi="Arial" w:cs="Arial"/>
          <w:b/>
          <w:bCs/>
          <w:color w:val="333333"/>
          <w:sz w:val="22"/>
          <w:szCs w:val="22"/>
        </w:rPr>
        <w:t>ente reparto</w:t>
      </w:r>
      <w:r w:rsidRPr="00CF1B34">
        <w:rPr>
          <w:rFonts w:ascii="Arial" w:hAnsi="Arial" w:cs="Arial"/>
          <w:b/>
          <w:bCs/>
          <w:color w:val="333333"/>
          <w:sz w:val="22"/>
          <w:szCs w:val="22"/>
        </w:rPr>
        <w:t xml:space="preserve"> de competencia entre el Estado </w:t>
      </w:r>
      <w:r w:rsidRPr="00490040">
        <w:rPr>
          <w:rFonts w:ascii="Arial" w:hAnsi="Arial" w:cs="Arial"/>
          <w:b/>
          <w:bCs/>
          <w:color w:val="333333"/>
          <w:sz w:val="22"/>
          <w:szCs w:val="22"/>
        </w:rPr>
        <w:t>de acogida y el de origen.</w:t>
      </w:r>
    </w:p>
    <w:p w14:paraId="01BF33EE" w14:textId="27D46C21" w:rsidR="00BA74E9" w:rsidRPr="00CF1B34" w:rsidRDefault="00BA74E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MILBOR (Madrid Interbanking Offered Rate)</w:t>
      </w:r>
    </w:p>
    <w:p w14:paraId="0E8BD590" w14:textId="763C0B18" w:rsidR="004D5811" w:rsidRPr="00CF1B34" w:rsidRDefault="00FA653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Este termino viene del inglés, y sirve para definir el tipo de las operaciones que se realizan en el mercado interbancario. En Francia se llama Pibor, y en Londres Libor</w:t>
      </w:r>
      <w:r w:rsidR="004D5811" w:rsidRPr="00CF1B34">
        <w:rPr>
          <w:rFonts w:ascii="Arial" w:hAnsi="Arial" w:cs="Arial"/>
          <w:color w:val="000000" w:themeColor="text1"/>
          <w:sz w:val="22"/>
          <w:szCs w:val="22"/>
          <w:lang w:val="es-ES_tradnl"/>
        </w:rPr>
        <w:t>.</w:t>
      </w:r>
    </w:p>
    <w:p w14:paraId="20612CB7" w14:textId="50B84E47" w:rsidR="004D1D60" w:rsidRPr="00CF1B34" w:rsidRDefault="004D1D6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w:t>
      </w:r>
      <w:r w:rsidR="000D2CBB" w:rsidRPr="00CF1B34">
        <w:rPr>
          <w:rFonts w:ascii="Arial" w:hAnsi="Arial" w:cs="Arial"/>
          <w:b/>
          <w:bCs/>
          <w:color w:val="004773"/>
          <w:sz w:val="22"/>
          <w:szCs w:val="22"/>
          <w:lang w:val="es-ES_tradnl"/>
        </w:rPr>
        <w:t>i</w:t>
      </w:r>
      <w:r w:rsidRPr="00CF1B34">
        <w:rPr>
          <w:rFonts w:ascii="Arial" w:hAnsi="Arial" w:cs="Arial"/>
          <w:b/>
          <w:bCs/>
          <w:color w:val="004773"/>
          <w:sz w:val="22"/>
          <w:szCs w:val="22"/>
          <w:lang w:val="es-ES_tradnl"/>
        </w:rPr>
        <w:t>leurista</w:t>
      </w:r>
    </w:p>
    <w:p w14:paraId="2627D997" w14:textId="3DE47B18" w:rsidR="000D2CBB" w:rsidRPr="000D2CBB" w:rsidRDefault="000D2CBB" w:rsidP="0005621A">
      <w:pPr>
        <w:ind w:left="708"/>
        <w:jc w:val="both"/>
        <w:rPr>
          <w:rFonts w:ascii="Arial" w:hAnsi="Arial" w:cs="Arial"/>
          <w:sz w:val="22"/>
          <w:szCs w:val="22"/>
        </w:rPr>
      </w:pPr>
      <w:r w:rsidRPr="000D2CBB">
        <w:rPr>
          <w:rFonts w:ascii="Arial" w:hAnsi="Arial" w:cs="Arial"/>
          <w:color w:val="202122"/>
          <w:sz w:val="22"/>
          <w:szCs w:val="22"/>
          <w:shd w:val="clear" w:color="auto" w:fill="FFFFFF"/>
        </w:rPr>
        <w:t>La palabra fue acuñada en agosto de 2005 por Carolina Alguacil en una carta al director al diario</w:t>
      </w:r>
      <w:r w:rsidRPr="00CF1B34">
        <w:rPr>
          <w:rFonts w:ascii="Arial" w:hAnsi="Arial" w:cs="Arial"/>
          <w:color w:val="202122"/>
          <w:sz w:val="22"/>
          <w:szCs w:val="22"/>
          <w:shd w:val="clear" w:color="auto" w:fill="FFFFFF"/>
        </w:rPr>
        <w:t xml:space="preserve"> El País </w:t>
      </w:r>
      <w:r w:rsidRPr="000D2CBB">
        <w:rPr>
          <w:rFonts w:ascii="Arial" w:hAnsi="Arial" w:cs="Arial"/>
          <w:color w:val="202122"/>
          <w:sz w:val="22"/>
          <w:szCs w:val="22"/>
          <w:shd w:val="clear" w:color="auto" w:fill="FFFFFF"/>
        </w:rPr>
        <w:t>titulada</w:t>
      </w:r>
      <w:r w:rsidRPr="00CF1B34">
        <w:rPr>
          <w:rFonts w:ascii="Arial" w:hAnsi="Arial" w:cs="Arial"/>
          <w:color w:val="202122"/>
          <w:sz w:val="22"/>
          <w:szCs w:val="22"/>
          <w:shd w:val="clear" w:color="auto" w:fill="FFFFFF"/>
        </w:rPr>
        <w:t xml:space="preserve"> </w:t>
      </w:r>
      <w:r w:rsidRPr="000D2CBB">
        <w:rPr>
          <w:rFonts w:ascii="Arial" w:hAnsi="Arial" w:cs="Arial"/>
          <w:i/>
          <w:iCs/>
          <w:color w:val="202122"/>
          <w:sz w:val="22"/>
          <w:szCs w:val="22"/>
          <w:shd w:val="clear" w:color="auto" w:fill="FFFFFF"/>
        </w:rPr>
        <w:t>Yo soy 'mileurista'</w:t>
      </w:r>
      <w:r w:rsidRPr="000D2CBB">
        <w:rPr>
          <w:rFonts w:ascii="Arial" w:hAnsi="Arial" w:cs="Arial"/>
          <w:color w:val="202122"/>
          <w:sz w:val="22"/>
          <w:szCs w:val="22"/>
          <w:shd w:val="clear" w:color="auto" w:fill="FFFFFF"/>
        </w:rPr>
        <w:t>,</w:t>
      </w:r>
      <w:r w:rsidRPr="000D2CBB">
        <w:rPr>
          <w:rFonts w:ascii="Arial" w:hAnsi="Arial" w:cs="Arial"/>
          <w:color w:val="0000FF"/>
          <w:sz w:val="22"/>
          <w:szCs w:val="22"/>
          <w:u w:val="single"/>
          <w:shd w:val="clear" w:color="auto" w:fill="FFFFFF"/>
          <w:vertAlign w:val="superscript"/>
        </w:rPr>
        <w:t>4</w:t>
      </w:r>
      <w:r w:rsidRPr="000D2CBB">
        <w:rPr>
          <w:rFonts w:ascii="Arial" w:hAnsi="Arial" w:cs="Arial"/>
          <w:color w:val="202122"/>
          <w:sz w:val="22"/>
          <w:szCs w:val="22"/>
          <w:shd w:val="clear" w:color="auto" w:fill="FFFFFF"/>
        </w:rPr>
        <w:t>​ y desde entonces ha obtenido una buena acogida y una rápida difusión entre los afectados, posiblemente por tratarse de una forma muy expresiva de describir una situación compleja y frustrante.</w:t>
      </w:r>
    </w:p>
    <w:p w14:paraId="02C70A25" w14:textId="2B3A517D" w:rsidR="000D2CBB" w:rsidRPr="00CF1B34" w:rsidRDefault="000D2CBB" w:rsidP="0005621A">
      <w:pPr>
        <w:ind w:left="708"/>
        <w:jc w:val="both"/>
        <w:rPr>
          <w:rFonts w:ascii="Arial" w:hAnsi="Arial" w:cs="Arial"/>
          <w:sz w:val="22"/>
          <w:szCs w:val="22"/>
        </w:rPr>
      </w:pPr>
      <w:r w:rsidRPr="00CF1B34">
        <w:rPr>
          <w:rFonts w:ascii="Arial" w:hAnsi="Arial" w:cs="Arial"/>
          <w:color w:val="333333"/>
          <w:sz w:val="22"/>
          <w:szCs w:val="22"/>
          <w:shd w:val="clear" w:color="auto" w:fill="FFFFFF"/>
        </w:rPr>
        <w:t>Anteriormente ya existían otros términos que señalaban a una generación, por ejemplo: JASP («</w:t>
      </w:r>
      <w:proofErr w:type="gramStart"/>
      <w:r w:rsidRPr="00CF1B34">
        <w:rPr>
          <w:rFonts w:ascii="Arial" w:hAnsi="Arial" w:cs="Arial"/>
          <w:color w:val="333333"/>
          <w:sz w:val="22"/>
          <w:szCs w:val="22"/>
          <w:shd w:val="clear" w:color="auto" w:fill="FFFFFF"/>
        </w:rPr>
        <w:t>Joven</w:t>
      </w:r>
      <w:proofErr w:type="gramEnd"/>
      <w:r w:rsidRPr="00CF1B34">
        <w:rPr>
          <w:rFonts w:ascii="Arial" w:hAnsi="Arial" w:cs="Arial"/>
          <w:color w:val="333333"/>
          <w:sz w:val="22"/>
          <w:szCs w:val="22"/>
          <w:shd w:val="clear" w:color="auto" w:fill="FFFFFF"/>
        </w:rPr>
        <w:t xml:space="preserve"> Aunque Sobradamente Preparado») para referirse a un supuesto sector de la juventud española. Para referirse a los investigadores becarios suele aprovecharse la similitud entre las voces becario y precario, sustituyendo la primera por la segunda</w:t>
      </w:r>
    </w:p>
    <w:p w14:paraId="382BDDF3" w14:textId="72300B1B" w:rsidR="0008109F" w:rsidRPr="00CF1B34" w:rsidRDefault="000D2CB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02122"/>
          <w:sz w:val="22"/>
          <w:szCs w:val="22"/>
          <w:shd w:val="clear" w:color="auto" w:fill="FFFFFF"/>
        </w:rPr>
        <w:t>El</w:t>
      </w:r>
      <w:r w:rsidR="0008109F" w:rsidRPr="00CF1B34">
        <w:rPr>
          <w:rFonts w:ascii="Arial" w:hAnsi="Arial" w:cs="Arial"/>
          <w:color w:val="202122"/>
          <w:sz w:val="22"/>
          <w:szCs w:val="22"/>
          <w:shd w:val="clear" w:color="auto" w:fill="FFFFFF"/>
        </w:rPr>
        <w:t xml:space="preserve"> neologismo</w:t>
      </w:r>
      <w:r w:rsidRPr="00CF1B34">
        <w:rPr>
          <w:rFonts w:ascii="Arial" w:hAnsi="Arial" w:cs="Arial"/>
          <w:color w:val="202122"/>
          <w:sz w:val="22"/>
          <w:szCs w:val="22"/>
          <w:shd w:val="clear" w:color="auto" w:fill="FFFFFF"/>
        </w:rPr>
        <w:t>,</w:t>
      </w:r>
      <w:r w:rsidR="0008109F" w:rsidRPr="00CF1B34">
        <w:rPr>
          <w:rFonts w:ascii="Arial" w:hAnsi="Arial" w:cs="Arial"/>
          <w:color w:val="202122"/>
          <w:sz w:val="22"/>
          <w:szCs w:val="22"/>
          <w:shd w:val="clear" w:color="auto" w:fill="FFFFFF"/>
        </w:rPr>
        <w:t xml:space="preserve"> </w:t>
      </w:r>
      <w:r w:rsidRPr="00CF1B34">
        <w:rPr>
          <w:rFonts w:ascii="Arial" w:hAnsi="Arial" w:cs="Arial"/>
          <w:b/>
          <w:bCs/>
          <w:color w:val="202122"/>
          <w:sz w:val="22"/>
          <w:szCs w:val="22"/>
          <w:shd w:val="clear" w:color="auto" w:fill="FFFFFF"/>
        </w:rPr>
        <w:t>mileurista</w:t>
      </w:r>
      <w:r w:rsidR="0008109F" w:rsidRPr="00CF1B34">
        <w:rPr>
          <w:rFonts w:ascii="Arial" w:hAnsi="Arial" w:cs="Arial"/>
          <w:color w:val="202122"/>
          <w:sz w:val="22"/>
          <w:szCs w:val="22"/>
          <w:shd w:val="clear" w:color="auto" w:fill="FFFFFF"/>
        </w:rPr>
        <w:t xml:space="preserve"> </w:t>
      </w:r>
      <w:r w:rsidRPr="00CF1B34">
        <w:rPr>
          <w:rFonts w:ascii="Arial" w:hAnsi="Arial" w:cs="Arial"/>
          <w:color w:val="202122"/>
          <w:sz w:val="22"/>
          <w:szCs w:val="22"/>
          <w:shd w:val="clear" w:color="auto" w:fill="FFFFFF"/>
        </w:rPr>
        <w:t>(surgido a partir de</w:t>
      </w:r>
      <w:r w:rsidR="0008109F" w:rsidRPr="00CF1B34">
        <w:rPr>
          <w:rFonts w:ascii="Arial" w:hAnsi="Arial" w:cs="Arial"/>
          <w:color w:val="202122"/>
          <w:sz w:val="22"/>
          <w:szCs w:val="22"/>
          <w:shd w:val="clear" w:color="auto" w:fill="FFFFFF"/>
        </w:rPr>
        <w:t xml:space="preserve"> </w:t>
      </w:r>
      <w:r w:rsidRPr="00CF1B34">
        <w:rPr>
          <w:rFonts w:ascii="Arial" w:hAnsi="Arial" w:cs="Arial"/>
          <w:i/>
          <w:iCs/>
          <w:color w:val="202122"/>
          <w:sz w:val="22"/>
          <w:szCs w:val="22"/>
          <w:shd w:val="clear" w:color="auto" w:fill="FFFFFF"/>
        </w:rPr>
        <w:t>mil euros</w:t>
      </w:r>
      <w:r w:rsidRPr="00CF1B34">
        <w:rPr>
          <w:rFonts w:ascii="Arial" w:hAnsi="Arial" w:cs="Arial"/>
          <w:color w:val="202122"/>
          <w:sz w:val="22"/>
          <w:szCs w:val="22"/>
          <w:shd w:val="clear" w:color="auto" w:fill="FFFFFF"/>
        </w:rPr>
        <w:t>) se emplea en</w:t>
      </w:r>
      <w:r w:rsidR="0008109F" w:rsidRPr="00CF1B34">
        <w:rPr>
          <w:rFonts w:ascii="Arial" w:hAnsi="Arial" w:cs="Arial"/>
          <w:color w:val="202122"/>
          <w:sz w:val="22"/>
          <w:szCs w:val="22"/>
          <w:shd w:val="clear" w:color="auto" w:fill="FFFFFF"/>
        </w:rPr>
        <w:t xml:space="preserve"> España </w:t>
      </w:r>
      <w:r w:rsidRPr="00CF1B34">
        <w:rPr>
          <w:rFonts w:ascii="Arial" w:hAnsi="Arial" w:cs="Arial"/>
          <w:color w:val="202122"/>
          <w:sz w:val="22"/>
          <w:szCs w:val="22"/>
          <w:shd w:val="clear" w:color="auto" w:fill="FFFFFF"/>
        </w:rPr>
        <w:t>para definir a una persona con unos ingresos que suelen rondar los 1000 euros al mes. Según el</w:t>
      </w:r>
      <w:r w:rsidR="0008109F" w:rsidRPr="00CF1B34">
        <w:rPr>
          <w:rFonts w:ascii="Arial" w:hAnsi="Arial" w:cs="Arial"/>
          <w:color w:val="202122"/>
          <w:sz w:val="22"/>
          <w:szCs w:val="22"/>
          <w:shd w:val="clear" w:color="auto" w:fill="FFFFFF"/>
        </w:rPr>
        <w:t xml:space="preserve"> INE</w:t>
      </w:r>
      <w:r w:rsidRPr="00CF1B34">
        <w:rPr>
          <w:rFonts w:ascii="Arial" w:hAnsi="Arial" w:cs="Arial"/>
          <w:color w:val="202122"/>
          <w:sz w:val="22"/>
          <w:szCs w:val="22"/>
          <w:shd w:val="clear" w:color="auto" w:fill="FFFFFF"/>
        </w:rPr>
        <w:t xml:space="preserve"> el salario medio del asalariado español en 2014 era de 1.881,30 euros brutos al mes.</w:t>
      </w:r>
      <w:r w:rsidR="0008109F" w:rsidRPr="00CF1B34">
        <w:rPr>
          <w:rFonts w:ascii="Arial" w:hAnsi="Arial" w:cs="Arial"/>
          <w:color w:val="202122"/>
          <w:sz w:val="22"/>
          <w:szCs w:val="22"/>
          <w:shd w:val="clear" w:color="auto" w:fill="FFFFFF"/>
        </w:rPr>
        <w:t xml:space="preserve"> </w:t>
      </w:r>
      <w:r w:rsidRPr="00CF1B34">
        <w:rPr>
          <w:rFonts w:ascii="Arial" w:hAnsi="Arial" w:cs="Arial"/>
          <w:color w:val="202122"/>
          <w:sz w:val="22"/>
          <w:szCs w:val="22"/>
          <w:shd w:val="clear" w:color="auto" w:fill="FFFFFF"/>
        </w:rPr>
        <w:t>Sin embargo, esta cifra es mayor que el sueldo mediano, que es de 16.490€ al año, o 1.374€ al mes, a fecha de octubre de 2016.</w:t>
      </w:r>
      <w:r w:rsidR="0008109F" w:rsidRPr="00CF1B34">
        <w:rPr>
          <w:rFonts w:ascii="Arial" w:hAnsi="Arial" w:cs="Arial"/>
          <w:sz w:val="22"/>
          <w:szCs w:val="22"/>
        </w:rPr>
        <w:t xml:space="preserve"> </w:t>
      </w:r>
    </w:p>
    <w:p w14:paraId="4B3BE37F" w14:textId="4131F320"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Minusvalías</w:t>
      </w:r>
    </w:p>
    <w:p w14:paraId="73B4362F" w14:textId="0ABD9F52" w:rsidR="00D92D2A" w:rsidRPr="00CF1B34" w:rsidRDefault="00696A3C"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212529"/>
          <w:sz w:val="22"/>
          <w:szCs w:val="22"/>
          <w:lang w:val="es-ES_tradnl"/>
        </w:rPr>
        <w:t>Pérdidas generadas por una disminución del valor de una inversión (caída de la cotización de las acciones, disminución del valor liquidativo de un fondo, etc.). Mientras se mantiene la inversión, las minusvalías son potenciales o latentes. Deshacerla supone la realización de las minusvalías, al hacerse efectivas las pérdidas.</w:t>
      </w:r>
      <w:r w:rsidR="00D92D2A" w:rsidRPr="00CF1B34">
        <w:rPr>
          <w:rFonts w:ascii="Arial" w:hAnsi="Arial" w:cs="Arial"/>
          <w:color w:val="191B1C"/>
          <w:lang w:val="es-ES_tradnl"/>
        </w:rPr>
        <w:t xml:space="preserve"> </w:t>
      </w:r>
      <w:r w:rsidR="00D92D2A" w:rsidRPr="00CF1B34">
        <w:rPr>
          <w:rFonts w:ascii="Arial" w:hAnsi="Arial" w:cs="Arial"/>
          <w:color w:val="191B1C"/>
          <w:sz w:val="22"/>
          <w:szCs w:val="22"/>
          <w:lang w:val="es-ES_tradnl"/>
        </w:rPr>
        <w:t>El mercado sufre fluctuaciones constantes, estas variaciones en sus valores se denominan plusvalías cuando sus precios aumentan, por el contrario, cuando estos valores disminuyen se denominan minusvalías. La minusvalía puede afectar al precio de títulos, valores o inmovilizado.</w:t>
      </w:r>
    </w:p>
    <w:p w14:paraId="638F8BFA" w14:textId="77777777" w:rsidR="00D92D2A" w:rsidRPr="00CF1B34" w:rsidRDefault="00D92D2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Tanto la plusvalía como la minusvalía son un dato importante que debe ser registrado en el Impuesto sobre la Renta de las Personas Físicas (IRPF).</w:t>
      </w:r>
    </w:p>
    <w:p w14:paraId="14F9ED09" w14:textId="77777777" w:rsidR="00D92D2A" w:rsidRPr="00CF1B34" w:rsidRDefault="00D92D2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En el caso de que el resultado del ejercicio fiscal indique que el balance de pérdidas y ganancias es negativo, este importe podría ser compensado mediante el saldo positivo en ese mismo periodo, del otro componente de la base imponible del ahorro. Esta base imponible del ahorro está compuesta principalmente por rendimientos del capital mobiliario derivados de intereses de cuentas, bonos, obligaciones y dividendos.</w:t>
      </w:r>
    </w:p>
    <w:p w14:paraId="7CF418E7" w14:textId="77777777" w:rsidR="00F865B3" w:rsidRPr="00CF1B34" w:rsidRDefault="00D92D2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 xml:space="preserve">Esta compensación de las pérdidas con el saldo positivo del mismo periodo tiene un límite que se sitúa en el veinticinco por ciento del saldo positivo. En caso de </w:t>
      </w:r>
      <w:proofErr w:type="gramStart"/>
      <w:r w:rsidRPr="00CF1B34">
        <w:rPr>
          <w:rFonts w:ascii="Arial" w:hAnsi="Arial" w:cs="Arial"/>
          <w:color w:val="191B1C"/>
          <w:sz w:val="22"/>
          <w:szCs w:val="22"/>
          <w:lang w:val="es-ES_tradnl"/>
        </w:rPr>
        <w:t>que</w:t>
      </w:r>
      <w:proofErr w:type="gramEnd"/>
      <w:r w:rsidRPr="00CF1B34">
        <w:rPr>
          <w:rFonts w:ascii="Arial" w:hAnsi="Arial" w:cs="Arial"/>
          <w:color w:val="191B1C"/>
          <w:sz w:val="22"/>
          <w:szCs w:val="22"/>
          <w:lang w:val="es-ES_tradnl"/>
        </w:rPr>
        <w:t xml:space="preserve"> una vez aplicada la compensación, el saldo continuase siendo negativo, este importe podrá ser compensado durante los siguientes cuatro años.</w:t>
      </w:r>
    </w:p>
    <w:p w14:paraId="54791B22"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Mitigación del cambio climático </w:t>
      </w:r>
    </w:p>
    <w:p w14:paraId="4512C5B0"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Proceso de mantener el aumento de la temperatura media mundial muy por debajo de los 2ºC respecto de los niveles preindustriales y de continuar con los esfuerzos para limitar este aumento a 1,5ºC según lo establecido en el Acuerdo de París. </w:t>
      </w:r>
    </w:p>
    <w:p w14:paraId="4C8527C5" w14:textId="46D94861" w:rsidR="0008109F" w:rsidRPr="00CF1B34" w:rsidRDefault="0008109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Mobbing</w:t>
      </w:r>
    </w:p>
    <w:p w14:paraId="70E1D776" w14:textId="03917FA1" w:rsidR="0008109F" w:rsidRPr="0008109F" w:rsidRDefault="0008109F" w:rsidP="0005621A">
      <w:pPr>
        <w:jc w:val="both"/>
        <w:rPr>
          <w:rFonts w:ascii="Arial" w:hAnsi="Arial" w:cs="Arial"/>
          <w:sz w:val="22"/>
          <w:szCs w:val="22"/>
        </w:rPr>
      </w:pPr>
      <w:r w:rsidRPr="0008109F">
        <w:rPr>
          <w:rFonts w:ascii="Arial" w:hAnsi="Arial" w:cs="Arial"/>
          <w:b/>
          <w:bCs/>
          <w:color w:val="333333"/>
          <w:sz w:val="22"/>
          <w:szCs w:val="22"/>
          <w:shd w:val="clear" w:color="auto" w:fill="FFFFFF"/>
        </w:rPr>
        <w:t>El</w:t>
      </w:r>
      <w:r w:rsidRPr="00CF1B34">
        <w:rPr>
          <w:rFonts w:ascii="Arial" w:hAnsi="Arial" w:cs="Arial"/>
          <w:b/>
          <w:bCs/>
          <w:color w:val="333333"/>
          <w:sz w:val="22"/>
          <w:szCs w:val="22"/>
          <w:shd w:val="clear" w:color="auto" w:fill="FFFFFF"/>
        </w:rPr>
        <w:t xml:space="preserve"> mobbing laboral </w:t>
      </w:r>
      <w:r w:rsidRPr="0008109F">
        <w:rPr>
          <w:rFonts w:ascii="Arial" w:hAnsi="Arial" w:cs="Arial"/>
          <w:b/>
          <w:bCs/>
          <w:color w:val="333333"/>
          <w:sz w:val="22"/>
          <w:szCs w:val="22"/>
          <w:shd w:val="clear" w:color="auto" w:fill="FFFFFF"/>
        </w:rPr>
        <w:t>como así define a las situaciones de violencia, este tipo de</w:t>
      </w:r>
      <w:r w:rsidR="004017FC" w:rsidRPr="00CF1B34">
        <w:rPr>
          <w:rFonts w:ascii="Arial" w:hAnsi="Arial" w:cs="Arial"/>
          <w:b/>
          <w:bCs/>
          <w:color w:val="333333"/>
          <w:sz w:val="22"/>
          <w:szCs w:val="22"/>
          <w:shd w:val="clear" w:color="auto" w:fill="FFFFFF"/>
        </w:rPr>
        <w:t xml:space="preserve"> </w:t>
      </w:r>
      <w:r w:rsidRPr="0008109F">
        <w:rPr>
          <w:rFonts w:ascii="Arial" w:hAnsi="Arial" w:cs="Arial"/>
          <w:b/>
          <w:bCs/>
          <w:color w:val="333333"/>
          <w:sz w:val="22"/>
          <w:szCs w:val="22"/>
          <w:shd w:val="clear" w:color="auto" w:fill="FFFFFF"/>
        </w:rPr>
        <w:t>acoso dentro del ámbito laboral que puede crecer en momentos que</w:t>
      </w:r>
      <w:r w:rsidRPr="00CF1B34">
        <w:rPr>
          <w:rFonts w:ascii="Arial" w:hAnsi="Arial" w:cs="Arial"/>
          <w:b/>
          <w:bCs/>
          <w:color w:val="333333"/>
          <w:sz w:val="22"/>
          <w:szCs w:val="22"/>
          <w:shd w:val="clear" w:color="auto" w:fill="FFFFFF"/>
        </w:rPr>
        <w:t xml:space="preserve"> mas paro hay</w:t>
      </w:r>
      <w:r w:rsidR="005F3C92" w:rsidRPr="00CF1B34">
        <w:rPr>
          <w:rFonts w:ascii="Arial" w:hAnsi="Arial" w:cs="Arial"/>
          <w:color w:val="333333"/>
          <w:sz w:val="22"/>
          <w:szCs w:val="22"/>
          <w:shd w:val="clear" w:color="auto" w:fill="FFFFFF"/>
        </w:rPr>
        <w:t>.</w:t>
      </w:r>
    </w:p>
    <w:p w14:paraId="7A92A56E" w14:textId="09DFAF64" w:rsidR="004017FC" w:rsidRPr="00CF1B34" w:rsidRDefault="004017FC" w:rsidP="0005621A">
      <w:pPr>
        <w:jc w:val="both"/>
        <w:rPr>
          <w:rFonts w:ascii="Arial" w:hAnsi="Arial" w:cs="Arial"/>
          <w:sz w:val="22"/>
          <w:szCs w:val="22"/>
        </w:rPr>
      </w:pPr>
      <w:r w:rsidRPr="00CF1B34">
        <w:rPr>
          <w:rFonts w:ascii="Arial" w:hAnsi="Arial" w:cs="Arial"/>
          <w:color w:val="000024"/>
          <w:sz w:val="22"/>
          <w:szCs w:val="22"/>
          <w:shd w:val="clear" w:color="auto" w:fill="FFFFFF"/>
        </w:rPr>
        <w:t xml:space="preserve">La </w:t>
      </w:r>
      <w:r w:rsidRPr="00CF1B34">
        <w:rPr>
          <w:rFonts w:ascii="Arial" w:hAnsi="Arial" w:cs="Arial"/>
          <w:color w:val="000000" w:themeColor="text1"/>
          <w:sz w:val="22"/>
          <w:szCs w:val="22"/>
          <w:shd w:val="clear" w:color="auto" w:fill="FFFFFF"/>
        </w:rPr>
        <w:t xml:space="preserve">primera </w:t>
      </w:r>
      <w:hyperlink r:id="rId283" w:tgtFrame="_blank" w:history="1">
        <w:r w:rsidRPr="00CF1B34">
          <w:rPr>
            <w:rStyle w:val="Hipervnculo"/>
            <w:rFonts w:ascii="Arial" w:hAnsi="Arial" w:cs="Arial"/>
            <w:color w:val="000000" w:themeColor="text1"/>
            <w:sz w:val="22"/>
            <w:szCs w:val="22"/>
            <w:bdr w:val="none" w:sz="0" w:space="0" w:color="auto" w:frame="1"/>
            <w:shd w:val="clear" w:color="auto" w:fill="FFFFFF"/>
          </w:rPr>
          <w:t>encuesta mundial realizada por la Organización Internacional del Trabajo (OIT) sobre experiencias de violencia y acoso en el trabajo</w:t>
        </w:r>
      </w:hyperlink>
      <w:r w:rsidRPr="00CF1B34">
        <w:rPr>
          <w:rFonts w:ascii="Arial" w:hAnsi="Arial" w:cs="Arial"/>
          <w:color w:val="000024"/>
          <w:sz w:val="22"/>
          <w:szCs w:val="22"/>
          <w:shd w:val="clear" w:color="auto" w:fill="FFFFFF"/>
        </w:rPr>
        <w:t xml:space="preserve"> afirma que más de la quinta parte de los trabajadores sufre</w:t>
      </w:r>
      <w:r w:rsidRPr="00CF1B34">
        <w:rPr>
          <w:rStyle w:val="nfasis"/>
          <w:rFonts w:ascii="Arial" w:hAnsi="Arial" w:cs="Arial"/>
          <w:color w:val="000024"/>
          <w:sz w:val="22"/>
          <w:szCs w:val="22"/>
          <w:bdr w:val="none" w:sz="0" w:space="0" w:color="auto" w:frame="1"/>
          <w:shd w:val="clear" w:color="auto" w:fill="FFFFFF"/>
        </w:rPr>
        <w:t xml:space="preserve"> mobbing</w:t>
      </w:r>
    </w:p>
    <w:p w14:paraId="09B7F19B" w14:textId="0B1B130C" w:rsidR="004017FC" w:rsidRPr="00CF1B34" w:rsidRDefault="004017FC" w:rsidP="0005621A">
      <w:pPr>
        <w:jc w:val="both"/>
        <w:rPr>
          <w:rFonts w:ascii="Arial" w:hAnsi="Arial" w:cs="Arial"/>
          <w:sz w:val="22"/>
          <w:szCs w:val="22"/>
        </w:rPr>
      </w:pPr>
      <w:r w:rsidRPr="00CF1B34">
        <w:rPr>
          <w:rStyle w:val="Textoennegrita"/>
          <w:rFonts w:ascii="Arial" w:hAnsi="Arial" w:cs="Arial"/>
          <w:color w:val="000024"/>
          <w:sz w:val="22"/>
          <w:szCs w:val="22"/>
          <w:bdr w:val="none" w:sz="0" w:space="0" w:color="auto" w:frame="1"/>
          <w:shd w:val="clear" w:color="auto" w:fill="FFFFFF"/>
        </w:rPr>
        <w:t>No todo conflicto en el trabajo se traduce en acoso</w:t>
      </w:r>
      <w:r w:rsidRPr="00CF1B34">
        <w:rPr>
          <w:rFonts w:ascii="Arial" w:hAnsi="Arial" w:cs="Arial"/>
          <w:color w:val="000024"/>
          <w:sz w:val="22"/>
          <w:szCs w:val="22"/>
          <w:shd w:val="clear" w:color="auto" w:fill="FFFFFF"/>
        </w:rPr>
        <w:t>. Hay que diferenciarlo de las "tensiones ordinarias que subyacen en toda comunidad de personas", y la clave es que se den tres elementos: la intención de dañar, la producción de un daño en los derechos personales más esenciales, y el carácter continuado, predeterminado y sistemático del hostigamiento.</w:t>
      </w:r>
    </w:p>
    <w:p w14:paraId="372515CB" w14:textId="6563303D" w:rsidR="004017FC" w:rsidRPr="00CF1B34" w:rsidRDefault="004017FC" w:rsidP="0005621A">
      <w:pPr>
        <w:jc w:val="both"/>
        <w:rPr>
          <w:rFonts w:ascii="Arial" w:hAnsi="Arial" w:cs="Arial"/>
          <w:sz w:val="22"/>
          <w:szCs w:val="22"/>
        </w:rPr>
      </w:pPr>
      <w:r w:rsidRPr="00CF1B34">
        <w:rPr>
          <w:rStyle w:val="Textoennegrita"/>
          <w:rFonts w:ascii="Arial" w:hAnsi="Arial" w:cs="Arial"/>
          <w:color w:val="000024"/>
          <w:sz w:val="22"/>
          <w:szCs w:val="22"/>
          <w:bdr w:val="none" w:sz="0" w:space="0" w:color="auto" w:frame="1"/>
          <w:shd w:val="clear" w:color="auto" w:fill="FFFFFF"/>
        </w:rPr>
        <w:t>¿</w:t>
      </w:r>
      <w:r w:rsidR="005F3C92" w:rsidRPr="00CF1B34">
        <w:rPr>
          <w:rStyle w:val="Textoennegrita"/>
          <w:rFonts w:ascii="Arial" w:hAnsi="Arial" w:cs="Arial"/>
          <w:color w:val="000024"/>
          <w:sz w:val="22"/>
          <w:szCs w:val="22"/>
          <w:bdr w:val="none" w:sz="0" w:space="0" w:color="auto" w:frame="1"/>
          <w:shd w:val="clear" w:color="auto" w:fill="FFFFFF"/>
        </w:rPr>
        <w:t>Q</w:t>
      </w:r>
      <w:r w:rsidRPr="00CF1B34">
        <w:rPr>
          <w:rStyle w:val="Textoennegrita"/>
          <w:rFonts w:ascii="Arial" w:hAnsi="Arial" w:cs="Arial"/>
          <w:color w:val="000024"/>
          <w:sz w:val="22"/>
          <w:szCs w:val="22"/>
          <w:bdr w:val="none" w:sz="0" w:space="0" w:color="auto" w:frame="1"/>
          <w:shd w:val="clear" w:color="auto" w:fill="FFFFFF"/>
        </w:rPr>
        <w:t>ué acciones concretas pueden considerarse </w:t>
      </w:r>
      <w:hyperlink r:id="rId284" w:tgtFrame="_blank" w:history="1">
        <w:r w:rsidRPr="00CF1B34">
          <w:rPr>
            <w:rStyle w:val="Textoennegrita"/>
            <w:rFonts w:ascii="Arial" w:hAnsi="Arial" w:cs="Arial"/>
            <w:color w:val="000024"/>
            <w:sz w:val="22"/>
            <w:szCs w:val="22"/>
            <w:u w:val="single"/>
            <w:bdr w:val="none" w:sz="0" w:space="0" w:color="auto" w:frame="1"/>
            <w:shd w:val="clear" w:color="auto" w:fill="FFFFFF"/>
          </w:rPr>
          <w:t>"violencia psicológica extrema"</w:t>
        </w:r>
      </w:hyperlink>
      <w:r w:rsidRPr="00CF1B34">
        <w:rPr>
          <w:rStyle w:val="Textoennegrita"/>
          <w:rFonts w:ascii="Arial" w:hAnsi="Arial" w:cs="Arial"/>
          <w:color w:val="000024"/>
          <w:sz w:val="22"/>
          <w:szCs w:val="22"/>
          <w:bdr w:val="none" w:sz="0" w:space="0" w:color="auto" w:frame="1"/>
          <w:shd w:val="clear" w:color="auto" w:fill="FFFFFF"/>
        </w:rPr>
        <w:t> sobre otra persona en su lugar de trabajo?</w:t>
      </w:r>
    </w:p>
    <w:p w14:paraId="3B4190AD" w14:textId="48802301" w:rsidR="004017FC" w:rsidRPr="00CF1B34" w:rsidRDefault="004017FC" w:rsidP="004F7A62">
      <w:pPr>
        <w:numPr>
          <w:ilvl w:val="0"/>
          <w:numId w:val="214"/>
        </w:numPr>
        <w:shd w:val="clear" w:color="auto" w:fill="FFFFFF"/>
        <w:ind w:left="960"/>
        <w:jc w:val="both"/>
        <w:textAlignment w:val="baseline"/>
        <w:rPr>
          <w:rFonts w:ascii="Arial" w:hAnsi="Arial" w:cs="Arial"/>
          <w:color w:val="000024"/>
          <w:sz w:val="22"/>
          <w:szCs w:val="22"/>
        </w:rPr>
      </w:pPr>
      <w:r w:rsidRPr="00CF1B34">
        <w:rPr>
          <w:rStyle w:val="Textoennegrita"/>
          <w:rFonts w:ascii="Arial" w:hAnsi="Arial" w:cs="Arial"/>
          <w:color w:val="000024"/>
          <w:sz w:val="22"/>
          <w:szCs w:val="22"/>
          <w:bdr w:val="none" w:sz="0" w:space="0" w:color="auto" w:frame="1"/>
        </w:rPr>
        <w:t>Que se den dificultades para el teletrabajo cuando el resto de la plantilla teletrabaja</w:t>
      </w:r>
      <w:r w:rsidRPr="00CF1B34">
        <w:rPr>
          <w:rFonts w:ascii="Arial" w:hAnsi="Arial" w:cs="Arial"/>
          <w:color w:val="000024"/>
          <w:sz w:val="22"/>
          <w:szCs w:val="22"/>
        </w:rPr>
        <w:t>. Recientemente, una</w:t>
      </w:r>
      <w:r w:rsidR="005F3C92" w:rsidRPr="00CF1B34">
        <w:rPr>
          <w:rFonts w:ascii="Arial" w:hAnsi="Arial" w:cs="Arial"/>
          <w:color w:val="000024"/>
          <w:sz w:val="22"/>
          <w:szCs w:val="22"/>
        </w:rPr>
        <w:t xml:space="preserve"> </w:t>
      </w:r>
      <w:hyperlink r:id="rId285" w:tgtFrame="_blank" w:history="1">
        <w:r w:rsidRPr="00CF1B34">
          <w:rPr>
            <w:rStyle w:val="Hipervnculo"/>
            <w:rFonts w:ascii="Arial" w:hAnsi="Arial" w:cs="Arial"/>
            <w:color w:val="000024"/>
            <w:sz w:val="22"/>
            <w:szCs w:val="22"/>
            <w:bdr w:val="none" w:sz="0" w:space="0" w:color="auto" w:frame="1"/>
          </w:rPr>
          <w:t>sentencia del TSJ de Galicia</w:t>
        </w:r>
      </w:hyperlink>
      <w:r w:rsidRPr="00CF1B34">
        <w:rPr>
          <w:rFonts w:ascii="Arial" w:hAnsi="Arial" w:cs="Arial"/>
          <w:color w:val="000024"/>
          <w:sz w:val="22"/>
          <w:szCs w:val="22"/>
        </w:rPr>
        <w:t> declaró nulo el despido de una trabajadora por apreciar acoso moral ante las negativas injustificadas a la solicitud de teletrabajo. Y es que, como explica Pere Vidal, </w:t>
      </w:r>
      <w:r w:rsidRPr="00CF1B34">
        <w:rPr>
          <w:rStyle w:val="Textoennegrita"/>
          <w:rFonts w:ascii="Arial" w:hAnsi="Arial" w:cs="Arial"/>
          <w:color w:val="000024"/>
          <w:sz w:val="22"/>
          <w:szCs w:val="22"/>
          <w:bdr w:val="none" w:sz="0" w:space="0" w:color="auto" w:frame="1"/>
        </w:rPr>
        <w:t>que la empresa se niegue sin razones objetivas a que la persona teletrabaje, al igual que facilitar equipos inadecuados para poder teletrabajar</w:t>
      </w:r>
      <w:r w:rsidRPr="00CF1B34">
        <w:rPr>
          <w:rFonts w:ascii="Arial" w:hAnsi="Arial" w:cs="Arial"/>
          <w:color w:val="000024"/>
          <w:sz w:val="22"/>
          <w:szCs w:val="22"/>
        </w:rPr>
        <w:t>, se pueden considerar hechos que constituyen acoso laboral. Por eso, la empresa fue condenada a resarcir a la trabajadora despedida con 15.000 euros "a la vista de la gravedad objetiva de la vulneración creadora de un ambiente de trabajo hostil, degradante u ofensivo derivada de la tozudez de la empresa en dificultar el teletrabajo a la trabajadora".</w:t>
      </w:r>
    </w:p>
    <w:p w14:paraId="5D5812DD" w14:textId="77777777" w:rsidR="004017FC" w:rsidRPr="00CF1B34" w:rsidRDefault="004017FC" w:rsidP="004F7A62">
      <w:pPr>
        <w:numPr>
          <w:ilvl w:val="0"/>
          <w:numId w:val="214"/>
        </w:numPr>
        <w:shd w:val="clear" w:color="auto" w:fill="FFFFFF"/>
        <w:ind w:left="960"/>
        <w:jc w:val="both"/>
        <w:textAlignment w:val="baseline"/>
        <w:rPr>
          <w:rFonts w:ascii="Arial" w:hAnsi="Arial" w:cs="Arial"/>
          <w:color w:val="000024"/>
          <w:sz w:val="22"/>
          <w:szCs w:val="22"/>
        </w:rPr>
      </w:pPr>
      <w:r w:rsidRPr="00CF1B34">
        <w:rPr>
          <w:rStyle w:val="Textoennegrita"/>
          <w:rFonts w:ascii="Arial" w:hAnsi="Arial" w:cs="Arial"/>
          <w:color w:val="000024"/>
          <w:sz w:val="22"/>
          <w:szCs w:val="22"/>
          <w:bdr w:val="none" w:sz="0" w:space="0" w:color="auto" w:frame="1"/>
        </w:rPr>
        <w:t>Que no se facilite la conciliación de manera injustificada</w:t>
      </w:r>
      <w:r w:rsidRPr="00CF1B34">
        <w:rPr>
          <w:rFonts w:ascii="Arial" w:hAnsi="Arial" w:cs="Arial"/>
          <w:color w:val="000024"/>
          <w:sz w:val="22"/>
          <w:szCs w:val="22"/>
        </w:rPr>
        <w:t>. Como explica el profesor colaborador de la UOC, si la negativa de la empresa a facilitar las medidas de conciliación solicitadas por la persona empleada "es del todo injustificada y arbitraria"</w:t>
      </w:r>
      <w:r w:rsidRPr="00CF1B34">
        <w:rPr>
          <w:rStyle w:val="Textoennegrita"/>
          <w:rFonts w:ascii="Arial" w:hAnsi="Arial" w:cs="Arial"/>
          <w:color w:val="000024"/>
          <w:sz w:val="22"/>
          <w:szCs w:val="22"/>
          <w:bdr w:val="none" w:sz="0" w:space="0" w:color="auto" w:frame="1"/>
        </w:rPr>
        <w:t>, puede considerarse acoso laboral en caso de que esta situación se dé "en el marco de un ambiente laboral enrarecido</w:t>
      </w:r>
      <w:r w:rsidRPr="00CF1B34">
        <w:rPr>
          <w:rFonts w:ascii="Arial" w:hAnsi="Arial" w:cs="Arial"/>
          <w:color w:val="000024"/>
          <w:sz w:val="22"/>
          <w:szCs w:val="22"/>
        </w:rPr>
        <w:t> en el que se han sucedido arbitrariedades en el ejercicio del poder de dirección que se hayan exteriorizado con hechos, órdenes o palabras repetidas y duraderas en el tiempo dirigidas a desacreditar, desconsiderar y aislar a la víctima con el fin de conseguir un autoabandono del trabajo y de producir un daño progresivo y continuo".</w:t>
      </w:r>
    </w:p>
    <w:p w14:paraId="16D89635" w14:textId="77777777" w:rsidR="004017FC" w:rsidRPr="00CF1B34" w:rsidRDefault="004017FC" w:rsidP="004F7A62">
      <w:pPr>
        <w:numPr>
          <w:ilvl w:val="0"/>
          <w:numId w:val="214"/>
        </w:numPr>
        <w:shd w:val="clear" w:color="auto" w:fill="FFFFFF"/>
        <w:ind w:left="960"/>
        <w:jc w:val="both"/>
        <w:textAlignment w:val="baseline"/>
        <w:rPr>
          <w:rFonts w:ascii="Arial" w:hAnsi="Arial" w:cs="Arial"/>
          <w:color w:val="000024"/>
          <w:sz w:val="22"/>
          <w:szCs w:val="22"/>
        </w:rPr>
      </w:pPr>
      <w:r w:rsidRPr="00CF1B34">
        <w:rPr>
          <w:rStyle w:val="Textoennegrita"/>
          <w:rFonts w:ascii="Arial" w:hAnsi="Arial" w:cs="Arial"/>
          <w:color w:val="000024"/>
          <w:sz w:val="22"/>
          <w:szCs w:val="22"/>
          <w:bdr w:val="none" w:sz="0" w:space="0" w:color="auto" w:frame="1"/>
        </w:rPr>
        <w:t>Que se deje a la persona empleada fuera del grupo de WhatsApp de la oficina</w:t>
      </w:r>
      <w:r w:rsidRPr="00CF1B34">
        <w:rPr>
          <w:rFonts w:ascii="Arial" w:hAnsi="Arial" w:cs="Arial"/>
          <w:color w:val="000024"/>
          <w:sz w:val="22"/>
          <w:szCs w:val="22"/>
        </w:rPr>
        <w:t xml:space="preserve">. También puede considerarse acoso laboral el hecho de no incluir a la persona trabajadora en grupos de WhatsApp o cadenas de correos creados con fines laborales y en los que participa el resto de la plantilla o grupo de trabajo, siempre que no se trate de un hecho aislado y haya una intencionalidad. La razón es que ocultar información relevante para el desempeño del trabajo o la negación por parte del equipo de </w:t>
      </w:r>
      <w:r w:rsidRPr="00CF1B34">
        <w:rPr>
          <w:rFonts w:ascii="Arial" w:hAnsi="Arial" w:cs="Arial"/>
          <w:color w:val="000024"/>
          <w:sz w:val="22"/>
          <w:szCs w:val="22"/>
        </w:rPr>
        <w:lastRenderedPageBreak/>
        <w:t>referencia o del superior a comunicarse con la persona trabajadora pueden ser considerados acoso moral.</w:t>
      </w:r>
    </w:p>
    <w:p w14:paraId="0E0734A4" w14:textId="77777777" w:rsidR="004017FC" w:rsidRPr="00CF1B34" w:rsidRDefault="004017FC" w:rsidP="004F7A62">
      <w:pPr>
        <w:numPr>
          <w:ilvl w:val="0"/>
          <w:numId w:val="214"/>
        </w:numPr>
        <w:shd w:val="clear" w:color="auto" w:fill="FFFFFF"/>
        <w:ind w:left="960"/>
        <w:jc w:val="both"/>
        <w:textAlignment w:val="baseline"/>
        <w:rPr>
          <w:rFonts w:ascii="Arial" w:hAnsi="Arial" w:cs="Arial"/>
          <w:color w:val="000024"/>
          <w:sz w:val="22"/>
          <w:szCs w:val="22"/>
        </w:rPr>
      </w:pPr>
      <w:r w:rsidRPr="00CF1B34">
        <w:rPr>
          <w:rStyle w:val="Textoennegrita"/>
          <w:rFonts w:ascii="Arial" w:hAnsi="Arial" w:cs="Arial"/>
          <w:color w:val="000024"/>
          <w:sz w:val="22"/>
          <w:szCs w:val="22"/>
          <w:bdr w:val="none" w:sz="0" w:space="0" w:color="auto" w:frame="1"/>
        </w:rPr>
        <w:t>Que se encarguen tareas de excesiva dificultad</w:t>
      </w:r>
      <w:r w:rsidRPr="00CF1B34">
        <w:rPr>
          <w:rFonts w:ascii="Arial" w:hAnsi="Arial" w:cs="Arial"/>
          <w:color w:val="000024"/>
          <w:sz w:val="22"/>
          <w:szCs w:val="22"/>
        </w:rPr>
        <w:t>. Como recuerda Pere Vidal, "obstaculizar la actividad profesional de la víctima, con el objeto de dificultar el desempeño de su trabajo, encomendándole tareas de excesiva dificultad o trabajo en exceso, con la inevitable disminución de rendimiento y de pluses retributivos no fijos" es un ejemplo claro de acoso. Igualmente se considera acoso laboral el encargo de trabajos humillantes o inferiores a los propios de la cualificación y competencia de la persona trabajadora.</w:t>
      </w:r>
    </w:p>
    <w:p w14:paraId="457B32B2" w14:textId="08462C45" w:rsidR="004017FC" w:rsidRPr="00CF1B34" w:rsidRDefault="004017FC" w:rsidP="004F7A62">
      <w:pPr>
        <w:numPr>
          <w:ilvl w:val="0"/>
          <w:numId w:val="214"/>
        </w:numPr>
        <w:shd w:val="clear" w:color="auto" w:fill="FFFFFF"/>
        <w:ind w:left="960"/>
        <w:jc w:val="both"/>
        <w:textAlignment w:val="baseline"/>
        <w:rPr>
          <w:rFonts w:ascii="Arial" w:hAnsi="Arial" w:cs="Arial"/>
          <w:color w:val="000024"/>
          <w:sz w:val="22"/>
          <w:szCs w:val="22"/>
        </w:rPr>
      </w:pPr>
      <w:r w:rsidRPr="00CF1B34">
        <w:rPr>
          <w:rStyle w:val="Textoennegrita"/>
          <w:rFonts w:ascii="Arial" w:hAnsi="Arial" w:cs="Arial"/>
          <w:color w:val="000024"/>
          <w:sz w:val="22"/>
          <w:szCs w:val="22"/>
          <w:bdr w:val="none" w:sz="0" w:space="0" w:color="auto" w:frame="1"/>
        </w:rPr>
        <w:t>Que se haga luz de gas o </w:t>
      </w:r>
      <w:r w:rsidRPr="00CF1B34">
        <w:rPr>
          <w:rStyle w:val="nfasis"/>
          <w:rFonts w:ascii="Arial" w:hAnsi="Arial" w:cs="Arial"/>
          <w:b/>
          <w:bCs/>
          <w:color w:val="000024"/>
          <w:sz w:val="22"/>
          <w:szCs w:val="22"/>
          <w:bdr w:val="none" w:sz="0" w:space="0" w:color="auto" w:frame="1"/>
        </w:rPr>
        <w:t>gaslighting</w:t>
      </w:r>
      <w:r w:rsidRPr="00CF1B34">
        <w:rPr>
          <w:rFonts w:ascii="Arial" w:hAnsi="Arial" w:cs="Arial"/>
          <w:color w:val="000024"/>
          <w:sz w:val="22"/>
          <w:szCs w:val="22"/>
        </w:rPr>
        <w:t>. Se trata de un tipo de acoso muy sutil que puede traducirse en bromas inapropiadas e hirientes, exageración de los errores, evaluaciones negativas constantes del rendimiento de la persona trabajadora o hacer circular rumores y calumnias sobre ella, entre otras situaciones. Vidal indica que el acoso laboral o </w:t>
      </w:r>
      <w:r w:rsidRPr="00CF1B34">
        <w:rPr>
          <w:rStyle w:val="nfasis"/>
          <w:rFonts w:ascii="Arial" w:hAnsi="Arial" w:cs="Arial"/>
          <w:color w:val="000024"/>
          <w:sz w:val="22"/>
          <w:szCs w:val="22"/>
          <w:bdr w:val="none" w:sz="0" w:space="0" w:color="auto" w:frame="1"/>
        </w:rPr>
        <w:t>mobbing</w:t>
      </w:r>
      <w:r w:rsidRPr="00CF1B34">
        <w:rPr>
          <w:rFonts w:ascii="Arial" w:hAnsi="Arial" w:cs="Arial"/>
          <w:color w:val="000024"/>
          <w:sz w:val="22"/>
          <w:szCs w:val="22"/>
        </w:rPr>
        <w:t>, que en inglés significa literalmente 'atacar' o 'atropellar' y se conoce como psicoterror laboral u hostigamiento psicológico en el trabajo, es un </w:t>
      </w:r>
      <w:r w:rsidRPr="00CF1B34">
        <w:rPr>
          <w:rStyle w:val="Textoennegrita"/>
          <w:rFonts w:ascii="Arial" w:hAnsi="Arial" w:cs="Arial"/>
          <w:color w:val="000024"/>
          <w:sz w:val="22"/>
          <w:szCs w:val="22"/>
          <w:bdr w:val="none" w:sz="0" w:space="0" w:color="auto" w:frame="1"/>
        </w:rPr>
        <w:t>proceso que se compone de una serie de actuaciones hostiles que, tomadas de forma aislada, podrían parecer anodinas</w:t>
      </w:r>
      <w:r w:rsidRPr="00CF1B34">
        <w:rPr>
          <w:rFonts w:ascii="Arial" w:hAnsi="Arial" w:cs="Arial"/>
          <w:color w:val="000024"/>
          <w:sz w:val="22"/>
          <w:szCs w:val="22"/>
        </w:rPr>
        <w:t>, pero cuya repetición constante tiene efectos perniciosos, y hacer luz de gas o </w:t>
      </w:r>
      <w:r w:rsidRPr="00CF1B34">
        <w:rPr>
          <w:rStyle w:val="nfasis"/>
          <w:rFonts w:ascii="Arial" w:hAnsi="Arial" w:cs="Arial"/>
          <w:color w:val="000024"/>
          <w:sz w:val="22"/>
          <w:szCs w:val="22"/>
          <w:bdr w:val="none" w:sz="0" w:space="0" w:color="auto" w:frame="1"/>
        </w:rPr>
        <w:t>gaslighting </w:t>
      </w:r>
      <w:r w:rsidRPr="00CF1B34">
        <w:rPr>
          <w:rFonts w:ascii="Arial" w:hAnsi="Arial" w:cs="Arial"/>
          <w:color w:val="000024"/>
          <w:sz w:val="22"/>
          <w:szCs w:val="22"/>
        </w:rPr>
        <w:t>es un ejemplo de ello.</w:t>
      </w:r>
    </w:p>
    <w:p w14:paraId="7E5D4201" w14:textId="77777777" w:rsidR="005F3C92" w:rsidRPr="00CF1B34" w:rsidRDefault="005F3C92" w:rsidP="0005621A">
      <w:pPr>
        <w:pStyle w:val="Prrafodelista"/>
        <w:pBdr>
          <w:bottom w:val="dotted" w:sz="12" w:space="12" w:color="666666"/>
        </w:pBdr>
        <w:spacing w:after="240"/>
        <w:jc w:val="both"/>
        <w:rPr>
          <w:rFonts w:ascii="Arial" w:hAnsi="Arial" w:cs="Arial"/>
          <w:color w:val="212529"/>
          <w:sz w:val="22"/>
          <w:szCs w:val="22"/>
          <w:lang w:val="es-ES_tradnl"/>
        </w:rPr>
      </w:pPr>
    </w:p>
    <w:p w14:paraId="3122A59D" w14:textId="1A314139" w:rsidR="005F3C92" w:rsidRPr="00CF1B34" w:rsidRDefault="005F3C92" w:rsidP="0005621A">
      <w:pPr>
        <w:shd w:val="clear" w:color="auto" w:fill="FFFFFF"/>
        <w:jc w:val="both"/>
        <w:textAlignment w:val="baseline"/>
        <w:rPr>
          <w:rFonts w:ascii="Arial" w:hAnsi="Arial" w:cs="Arial"/>
          <w:b/>
          <w:bCs/>
          <w:color w:val="000024"/>
          <w:sz w:val="22"/>
          <w:szCs w:val="22"/>
        </w:rPr>
      </w:pPr>
      <w:r w:rsidRPr="00CF1B34">
        <w:rPr>
          <w:rFonts w:ascii="Arial" w:hAnsi="Arial" w:cs="Arial"/>
          <w:b/>
          <w:bCs/>
          <w:color w:val="1F3864" w:themeColor="accent1" w:themeShade="80"/>
          <w:sz w:val="22"/>
          <w:szCs w:val="22"/>
        </w:rPr>
        <w:t>Modelo 347 de la renta, clave para PYMEs</w:t>
      </w:r>
    </w:p>
    <w:p w14:paraId="1B3B4615" w14:textId="39409498" w:rsidR="003A3B59" w:rsidRPr="00CF1B34" w:rsidRDefault="005F3C92" w:rsidP="0005621A">
      <w:pPr>
        <w:ind w:left="708"/>
        <w:jc w:val="both"/>
        <w:rPr>
          <w:rFonts w:ascii="Arial" w:hAnsi="Arial" w:cs="Arial"/>
          <w:color w:val="333333"/>
          <w:sz w:val="22"/>
          <w:szCs w:val="22"/>
          <w:shd w:val="clear" w:color="auto" w:fill="FFFFFF"/>
        </w:rPr>
      </w:pPr>
      <w:r w:rsidRPr="00CF1B34">
        <w:rPr>
          <w:rFonts w:ascii="Arial" w:hAnsi="Arial" w:cs="Arial"/>
        </w:rPr>
        <w:t>Las operaciones con terceros que superen los 3005,06 euros durante un año natural deben incluirse en el modelo 347 de la declaración de la renta</w:t>
      </w:r>
      <w:r w:rsidRPr="00CF1B34">
        <w:rPr>
          <w:rFonts w:ascii="Arial" w:hAnsi="Arial" w:cs="Arial"/>
          <w:sz w:val="22"/>
          <w:szCs w:val="22"/>
        </w:rPr>
        <w:t>.</w:t>
      </w:r>
      <w:r w:rsidR="003A3B59" w:rsidRPr="00CF1B34">
        <w:rPr>
          <w:rFonts w:ascii="Arial" w:hAnsi="Arial" w:cs="Arial"/>
          <w:sz w:val="22"/>
          <w:szCs w:val="22"/>
        </w:rPr>
        <w:t xml:space="preserve"> </w:t>
      </w:r>
      <w:r w:rsidR="003A3B59" w:rsidRPr="00CF1B34">
        <w:rPr>
          <w:rFonts w:ascii="Arial" w:hAnsi="Arial" w:cs="Arial"/>
          <w:color w:val="333333"/>
          <w:sz w:val="22"/>
          <w:szCs w:val="22"/>
          <w:shd w:val="clear" w:color="auto" w:fill="FFFFFF"/>
        </w:rPr>
        <w:t xml:space="preserve">Esta </w:t>
      </w:r>
      <w:r w:rsidR="003A3B59" w:rsidRPr="00CF1B34">
        <w:rPr>
          <w:rStyle w:val="Textoennegrita"/>
          <w:rFonts w:ascii="Arial" w:hAnsi="Arial" w:cs="Arial"/>
          <w:b w:val="0"/>
          <w:bCs w:val="0"/>
          <w:color w:val="333333"/>
          <w:sz w:val="22"/>
          <w:szCs w:val="22"/>
          <w:shd w:val="clear" w:color="auto" w:fill="FFFFFF"/>
        </w:rPr>
        <w:t>declaración informativa</w:t>
      </w:r>
      <w:r w:rsidR="003A3B59" w:rsidRPr="00CF1B34">
        <w:rPr>
          <w:rFonts w:ascii="Arial" w:hAnsi="Arial" w:cs="Arial"/>
          <w:color w:val="333333"/>
          <w:sz w:val="22"/>
          <w:szCs w:val="22"/>
          <w:shd w:val="clear" w:color="auto" w:fill="FFFFFF"/>
        </w:rPr>
        <w:t xml:space="preserve"> es de carácter obligatorio y se presenta en el mes de</w:t>
      </w:r>
      <w:r w:rsidR="003A3B59" w:rsidRPr="00CF1B34">
        <w:rPr>
          <w:rStyle w:val="Textoennegrita"/>
          <w:rFonts w:ascii="Arial" w:hAnsi="Arial" w:cs="Arial"/>
          <w:color w:val="333333"/>
          <w:sz w:val="22"/>
          <w:szCs w:val="22"/>
          <w:shd w:val="clear" w:color="auto" w:fill="FFFFFF"/>
        </w:rPr>
        <w:t xml:space="preserve"> febrero</w:t>
      </w:r>
      <w:r w:rsidR="003A3B59" w:rsidRPr="00CF1B34">
        <w:rPr>
          <w:rFonts w:ascii="Arial" w:hAnsi="Arial" w:cs="Arial"/>
          <w:color w:val="333333"/>
          <w:sz w:val="22"/>
          <w:szCs w:val="22"/>
          <w:shd w:val="clear" w:color="auto" w:fill="FFFFFF"/>
        </w:rPr>
        <w:t xml:space="preserve"> del ejercicio siguiente a aquel a que se refiere las operaciones que contiene.</w:t>
      </w:r>
      <w:r w:rsidR="008B67C6" w:rsidRPr="00CF1B34">
        <w:rPr>
          <w:rFonts w:ascii="Arial" w:hAnsi="Arial" w:cs="Arial"/>
          <w:color w:val="333333"/>
          <w:sz w:val="22"/>
          <w:szCs w:val="22"/>
          <w:shd w:val="clear" w:color="auto" w:fill="FFFFFF"/>
        </w:rPr>
        <w:t xml:space="preserve"> Estas son las operaciones a declarar:</w:t>
      </w:r>
    </w:p>
    <w:p w14:paraId="7D916C8C" w14:textId="246E6BAA" w:rsidR="008B67C6" w:rsidRPr="00CF1B34" w:rsidRDefault="008B67C6" w:rsidP="004F7A62">
      <w:pPr>
        <w:pStyle w:val="Prrafodelista"/>
        <w:numPr>
          <w:ilvl w:val="0"/>
          <w:numId w:val="216"/>
        </w:numPr>
        <w:jc w:val="both"/>
        <w:rPr>
          <w:rFonts w:ascii="Arial" w:hAnsi="Arial" w:cs="Arial"/>
          <w:sz w:val="22"/>
          <w:szCs w:val="22"/>
        </w:rPr>
      </w:pPr>
      <w:r w:rsidRPr="00CF1B34">
        <w:rPr>
          <w:rFonts w:ascii="Arial" w:hAnsi="Arial" w:cs="Arial"/>
          <w:sz w:val="22"/>
          <w:szCs w:val="22"/>
        </w:rPr>
        <w:t>Entregas y adquisiciones de bienes y servicios</w:t>
      </w:r>
    </w:p>
    <w:p w14:paraId="3B2515FA" w14:textId="30C04E62" w:rsidR="008B67C6" w:rsidRPr="00CF1B34" w:rsidRDefault="008B67C6" w:rsidP="004F7A62">
      <w:pPr>
        <w:pStyle w:val="Prrafodelista"/>
        <w:numPr>
          <w:ilvl w:val="0"/>
          <w:numId w:val="216"/>
        </w:numPr>
        <w:jc w:val="both"/>
        <w:rPr>
          <w:rFonts w:ascii="Arial" w:hAnsi="Arial" w:cs="Arial"/>
          <w:sz w:val="22"/>
          <w:szCs w:val="22"/>
        </w:rPr>
      </w:pPr>
      <w:r w:rsidRPr="00CF1B34">
        <w:rPr>
          <w:rFonts w:ascii="Arial" w:hAnsi="Arial" w:cs="Arial"/>
          <w:sz w:val="22"/>
          <w:szCs w:val="22"/>
        </w:rPr>
        <w:t>Operaciones inmobiliarias</w:t>
      </w:r>
    </w:p>
    <w:p w14:paraId="56EF2DE3" w14:textId="0730A0C0" w:rsidR="008B67C6" w:rsidRPr="00CF1B34" w:rsidRDefault="008B67C6" w:rsidP="004F7A62">
      <w:pPr>
        <w:pStyle w:val="Prrafodelista"/>
        <w:numPr>
          <w:ilvl w:val="0"/>
          <w:numId w:val="216"/>
        </w:numPr>
        <w:jc w:val="both"/>
        <w:rPr>
          <w:rFonts w:ascii="Arial" w:hAnsi="Arial" w:cs="Arial"/>
          <w:sz w:val="22"/>
          <w:szCs w:val="22"/>
        </w:rPr>
      </w:pPr>
      <w:r w:rsidRPr="00CF1B34">
        <w:rPr>
          <w:rFonts w:ascii="Arial" w:hAnsi="Arial" w:cs="Arial"/>
          <w:sz w:val="22"/>
          <w:szCs w:val="22"/>
        </w:rPr>
        <w:t>Subvenciones y ayudas no reembolsables</w:t>
      </w:r>
    </w:p>
    <w:p w14:paraId="6F939B52" w14:textId="6CBA9AFC" w:rsidR="008B67C6" w:rsidRPr="00CF1B34" w:rsidRDefault="008B67C6" w:rsidP="004F7A62">
      <w:pPr>
        <w:pStyle w:val="Prrafodelista"/>
        <w:numPr>
          <w:ilvl w:val="0"/>
          <w:numId w:val="216"/>
        </w:numPr>
        <w:jc w:val="both"/>
        <w:rPr>
          <w:rFonts w:ascii="Arial" w:hAnsi="Arial" w:cs="Arial"/>
          <w:sz w:val="22"/>
          <w:szCs w:val="22"/>
        </w:rPr>
      </w:pPr>
      <w:r w:rsidRPr="00CF1B34">
        <w:rPr>
          <w:rFonts w:ascii="Arial" w:hAnsi="Arial" w:cs="Arial"/>
          <w:sz w:val="22"/>
          <w:szCs w:val="22"/>
        </w:rPr>
        <w:t>Operaciones de entidades aseguradoras</w:t>
      </w:r>
    </w:p>
    <w:p w14:paraId="4DD8A590" w14:textId="3B07DA5C" w:rsidR="008B67C6" w:rsidRPr="00CF1B34" w:rsidRDefault="008B67C6" w:rsidP="004F7A62">
      <w:pPr>
        <w:pStyle w:val="Prrafodelista"/>
        <w:numPr>
          <w:ilvl w:val="0"/>
          <w:numId w:val="216"/>
        </w:numPr>
        <w:jc w:val="both"/>
        <w:rPr>
          <w:rFonts w:ascii="Arial" w:hAnsi="Arial" w:cs="Arial"/>
          <w:sz w:val="22"/>
          <w:szCs w:val="22"/>
        </w:rPr>
      </w:pPr>
      <w:r w:rsidRPr="00CF1B34">
        <w:rPr>
          <w:rFonts w:ascii="Arial" w:hAnsi="Arial" w:cs="Arial"/>
          <w:sz w:val="22"/>
          <w:szCs w:val="22"/>
        </w:rPr>
        <w:t>Anticipos de clientes y proveedores arrendamientos no sujetos a retención</w:t>
      </w:r>
    </w:p>
    <w:p w14:paraId="0B1B46B3" w14:textId="6FA68F17" w:rsidR="004E2DC0" w:rsidRPr="00CF1B34" w:rsidRDefault="004E2DC0" w:rsidP="0005621A">
      <w:pPr>
        <w:ind w:firstLine="708"/>
        <w:jc w:val="both"/>
        <w:rPr>
          <w:rFonts w:ascii="Arial" w:hAnsi="Arial" w:cs="Arial"/>
          <w:sz w:val="22"/>
          <w:szCs w:val="22"/>
        </w:rPr>
      </w:pPr>
      <w:r w:rsidRPr="00CF1B34">
        <w:rPr>
          <w:rFonts w:ascii="Arial" w:hAnsi="Arial" w:cs="Arial"/>
          <w:sz w:val="22"/>
          <w:szCs w:val="22"/>
        </w:rPr>
        <w:t xml:space="preserve">Este modelo lo tienen que </w:t>
      </w:r>
      <w:r w:rsidRPr="00CF1B34">
        <w:rPr>
          <w:rFonts w:ascii="Arial" w:hAnsi="Arial" w:cs="Arial"/>
          <w:b/>
          <w:bCs/>
          <w:sz w:val="22"/>
          <w:szCs w:val="22"/>
        </w:rPr>
        <w:t>presentar</w:t>
      </w:r>
      <w:r w:rsidRPr="00CF1B34">
        <w:rPr>
          <w:rFonts w:ascii="Arial" w:hAnsi="Arial" w:cs="Arial"/>
          <w:sz w:val="22"/>
          <w:szCs w:val="22"/>
        </w:rPr>
        <w:t>:</w:t>
      </w:r>
    </w:p>
    <w:p w14:paraId="30901AA5" w14:textId="708DF465" w:rsidR="004E2DC0" w:rsidRPr="00CF1B34" w:rsidRDefault="004E2DC0" w:rsidP="004F7A62">
      <w:pPr>
        <w:pStyle w:val="Prrafodelista"/>
        <w:numPr>
          <w:ilvl w:val="0"/>
          <w:numId w:val="20"/>
        </w:numPr>
        <w:jc w:val="both"/>
        <w:rPr>
          <w:rFonts w:ascii="Arial" w:hAnsi="Arial" w:cs="Arial"/>
          <w:sz w:val="22"/>
          <w:szCs w:val="22"/>
        </w:rPr>
      </w:pPr>
      <w:r w:rsidRPr="00CF1B34">
        <w:rPr>
          <w:rFonts w:ascii="Arial" w:hAnsi="Arial" w:cs="Arial"/>
          <w:sz w:val="22"/>
          <w:szCs w:val="22"/>
        </w:rPr>
        <w:t>Las personas físicas</w:t>
      </w:r>
      <w:r w:rsidR="008B67C6" w:rsidRPr="00CF1B34">
        <w:rPr>
          <w:rFonts w:ascii="Arial" w:hAnsi="Arial" w:cs="Arial"/>
          <w:sz w:val="22"/>
          <w:szCs w:val="22"/>
        </w:rPr>
        <w:t xml:space="preserve"> (autónomos)</w:t>
      </w:r>
      <w:r w:rsidRPr="00CF1B34">
        <w:rPr>
          <w:rFonts w:ascii="Arial" w:hAnsi="Arial" w:cs="Arial"/>
          <w:sz w:val="22"/>
          <w:szCs w:val="22"/>
        </w:rPr>
        <w:t xml:space="preserve"> o jurídicas</w:t>
      </w:r>
      <w:r w:rsidR="008B67C6" w:rsidRPr="00CF1B34">
        <w:rPr>
          <w:rFonts w:ascii="Arial" w:hAnsi="Arial" w:cs="Arial"/>
          <w:sz w:val="22"/>
          <w:szCs w:val="22"/>
        </w:rPr>
        <w:t xml:space="preserve"> (asociaciones)</w:t>
      </w:r>
      <w:r w:rsidRPr="00CF1B34">
        <w:rPr>
          <w:rFonts w:ascii="Arial" w:hAnsi="Arial" w:cs="Arial"/>
          <w:sz w:val="22"/>
          <w:szCs w:val="22"/>
        </w:rPr>
        <w:t>, públicas o privadas, así como las entidades a que se refiere el artículo 35.4 de</w:t>
      </w:r>
      <w:r w:rsidR="008B67C6" w:rsidRPr="00CF1B34">
        <w:rPr>
          <w:rFonts w:ascii="Arial" w:hAnsi="Arial" w:cs="Arial"/>
          <w:sz w:val="22"/>
          <w:szCs w:val="22"/>
        </w:rPr>
        <w:t xml:space="preserve"> </w:t>
      </w:r>
      <w:r w:rsidRPr="00CF1B34">
        <w:rPr>
          <w:rFonts w:ascii="Arial" w:hAnsi="Arial" w:cs="Arial"/>
          <w:sz w:val="22"/>
          <w:szCs w:val="22"/>
        </w:rPr>
        <w:t>la Ley General Tributaria (entidades en atribución de rentas), que desarrollen actividades empresariales o profesionales.</w:t>
      </w:r>
    </w:p>
    <w:p w14:paraId="235AF885" w14:textId="05CFD262" w:rsidR="004E2DC0" w:rsidRPr="00CF1B34" w:rsidRDefault="004E2DC0" w:rsidP="004F7A62">
      <w:pPr>
        <w:pStyle w:val="Prrafodelista"/>
        <w:numPr>
          <w:ilvl w:val="0"/>
          <w:numId w:val="20"/>
        </w:numPr>
        <w:jc w:val="both"/>
        <w:rPr>
          <w:rFonts w:ascii="Arial" w:hAnsi="Arial" w:cs="Arial"/>
        </w:rPr>
      </w:pPr>
      <w:r w:rsidRPr="00CF1B34">
        <w:rPr>
          <w:rFonts w:ascii="Arial" w:hAnsi="Arial" w:cs="Arial"/>
          <w:sz w:val="22"/>
          <w:szCs w:val="22"/>
        </w:rPr>
        <w:t>Las</w:t>
      </w:r>
      <w:r w:rsidR="00AC6ECB" w:rsidRPr="00CF1B34">
        <w:rPr>
          <w:rFonts w:ascii="Arial" w:hAnsi="Arial" w:cs="Arial"/>
          <w:sz w:val="22"/>
          <w:szCs w:val="22"/>
        </w:rPr>
        <w:t xml:space="preserve"> </w:t>
      </w:r>
      <w:r w:rsidRPr="00CF1B34">
        <w:rPr>
          <w:rFonts w:ascii="Arial" w:hAnsi="Arial" w:cs="Arial"/>
          <w:b/>
          <w:bCs/>
          <w:sz w:val="22"/>
          <w:szCs w:val="22"/>
        </w:rPr>
        <w:t>sociedades, asociaciones, colegios profesionales u otras entidades</w:t>
      </w:r>
      <w:r w:rsidR="00AC6ECB" w:rsidRPr="00CF1B34">
        <w:rPr>
          <w:rFonts w:ascii="Arial" w:hAnsi="Arial" w:cs="Arial"/>
          <w:sz w:val="22"/>
          <w:szCs w:val="22"/>
        </w:rPr>
        <w:t xml:space="preserve"> </w:t>
      </w:r>
      <w:r w:rsidRPr="00CF1B34">
        <w:rPr>
          <w:rFonts w:ascii="Arial" w:hAnsi="Arial" w:cs="Arial"/>
          <w:sz w:val="22"/>
          <w:szCs w:val="22"/>
        </w:rPr>
        <w:t>que, entre sus funciones, realicen la de cobro, por cuenta de sus socios, asociados o colegiados, de honorarios profesionales o de derechos derivados de la propiedad</w:t>
      </w:r>
      <w:r w:rsidRPr="00CF1B34">
        <w:rPr>
          <w:rFonts w:ascii="Arial" w:hAnsi="Arial" w:cs="Arial"/>
        </w:rPr>
        <w:t xml:space="preserve"> intelectual, de autor u otros estarán obligadas a declarar.</w:t>
      </w:r>
    </w:p>
    <w:p w14:paraId="28BAD256" w14:textId="6C0DC9A7" w:rsidR="005F3C92" w:rsidRPr="00CF1B34" w:rsidRDefault="004E2DC0" w:rsidP="0005621A">
      <w:pPr>
        <w:ind w:left="708"/>
        <w:jc w:val="both"/>
        <w:rPr>
          <w:rFonts w:ascii="Arial" w:hAnsi="Arial" w:cs="Arial"/>
        </w:rPr>
      </w:pPr>
      <w:r w:rsidRPr="00CF1B34">
        <w:rPr>
          <w:rFonts w:ascii="Arial" w:hAnsi="Arial" w:cs="Arial"/>
        </w:rPr>
        <w:t>La información que se debe suministrar se desglosara trimestralmente</w:t>
      </w:r>
      <w:r w:rsidR="00A67B48" w:rsidRPr="00CF1B34">
        <w:rPr>
          <w:rFonts w:ascii="Arial" w:hAnsi="Arial" w:cs="Arial"/>
        </w:rPr>
        <w:t>, excepto la relativa:</w:t>
      </w:r>
    </w:p>
    <w:p w14:paraId="42965901" w14:textId="18BE992F"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rPr>
        <w:t xml:space="preserve">A </w:t>
      </w:r>
      <w:r w:rsidRPr="00CF1B34">
        <w:rPr>
          <w:rFonts w:ascii="Arial" w:hAnsi="Arial" w:cs="Arial"/>
          <w:sz w:val="22"/>
          <w:szCs w:val="22"/>
        </w:rPr>
        <w:t xml:space="preserve">cantidades percibidas en </w:t>
      </w:r>
      <w:r w:rsidRPr="00CF1B34">
        <w:rPr>
          <w:rFonts w:ascii="Arial" w:hAnsi="Arial" w:cs="Arial"/>
          <w:b/>
          <w:bCs/>
          <w:sz w:val="22"/>
          <w:szCs w:val="22"/>
        </w:rPr>
        <w:t>metálico,</w:t>
      </w:r>
      <w:r w:rsidRPr="00CF1B34">
        <w:rPr>
          <w:rFonts w:ascii="Arial" w:hAnsi="Arial" w:cs="Arial"/>
          <w:sz w:val="22"/>
          <w:szCs w:val="22"/>
        </w:rPr>
        <w:t xml:space="preserve"> que se seguirá suministrando en términos anuales.</w:t>
      </w:r>
    </w:p>
    <w:p w14:paraId="1CE14625" w14:textId="7FFCDEAB"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sz w:val="22"/>
          <w:szCs w:val="22"/>
        </w:rPr>
        <w:t xml:space="preserve">A cantidades declaradas por los sujetos pasivos que realicen operaciones a las que sea de aplicación el </w:t>
      </w:r>
      <w:r w:rsidRPr="00CF1B34">
        <w:rPr>
          <w:rFonts w:ascii="Arial" w:hAnsi="Arial" w:cs="Arial"/>
          <w:b/>
          <w:bCs/>
          <w:sz w:val="22"/>
          <w:szCs w:val="22"/>
        </w:rPr>
        <w:t>IVA</w:t>
      </w:r>
      <w:r w:rsidRPr="00CF1B34">
        <w:rPr>
          <w:rFonts w:ascii="Arial" w:hAnsi="Arial" w:cs="Arial"/>
          <w:sz w:val="22"/>
          <w:szCs w:val="22"/>
        </w:rPr>
        <w:t xml:space="preserve"> y las entidades a las que sea de aplicación la legislación sobre la </w:t>
      </w:r>
      <w:r w:rsidRPr="00CF1B34">
        <w:rPr>
          <w:rFonts w:ascii="Arial" w:hAnsi="Arial" w:cs="Arial"/>
          <w:b/>
          <w:bCs/>
          <w:sz w:val="22"/>
          <w:szCs w:val="22"/>
        </w:rPr>
        <w:t>propiedad horizontal,</w:t>
      </w:r>
      <w:r w:rsidRPr="00CF1B34">
        <w:rPr>
          <w:rFonts w:ascii="Arial" w:hAnsi="Arial" w:cs="Arial"/>
          <w:sz w:val="22"/>
          <w:szCs w:val="22"/>
        </w:rPr>
        <w:t xml:space="preserve"> que están obligados a suministrar toda la información que vengan obligados a relacionar en su declaración anual, sobre una base de cómputo anual.</w:t>
      </w:r>
    </w:p>
    <w:p w14:paraId="094CB790" w14:textId="5E52D361" w:rsidR="00A67B48" w:rsidRPr="00CF1B34" w:rsidRDefault="00A67B48" w:rsidP="004F7A62">
      <w:pPr>
        <w:pStyle w:val="Prrafodelista"/>
        <w:numPr>
          <w:ilvl w:val="0"/>
          <w:numId w:val="20"/>
        </w:numPr>
        <w:jc w:val="both"/>
        <w:rPr>
          <w:rFonts w:ascii="Arial" w:hAnsi="Arial" w:cs="Arial"/>
        </w:rPr>
      </w:pPr>
      <w:r w:rsidRPr="00CF1B34">
        <w:rPr>
          <w:rFonts w:ascii="Arial" w:hAnsi="Arial" w:cs="Arial"/>
          <w:sz w:val="22"/>
          <w:szCs w:val="22"/>
        </w:rPr>
        <w:t xml:space="preserve">A cantidades declaradas por los sujetos pasivos que sean destinatarios de las operaciones incluidas en el </w:t>
      </w:r>
      <w:r w:rsidRPr="00CF1B34">
        <w:rPr>
          <w:rFonts w:ascii="Arial" w:hAnsi="Arial" w:cs="Arial"/>
          <w:b/>
          <w:bCs/>
          <w:sz w:val="22"/>
          <w:szCs w:val="22"/>
        </w:rPr>
        <w:t>régimen especial del criterio de caja,</w:t>
      </w:r>
      <w:r w:rsidRPr="00CF1B34">
        <w:rPr>
          <w:rFonts w:ascii="Arial" w:hAnsi="Arial" w:cs="Arial"/>
          <w:sz w:val="22"/>
          <w:szCs w:val="22"/>
        </w:rPr>
        <w:t xml:space="preserve"> que estarán obligados a suministrar la información corresp</w:t>
      </w:r>
      <w:r w:rsidRPr="00CF1B34">
        <w:rPr>
          <w:rFonts w:ascii="Arial" w:hAnsi="Arial" w:cs="Arial"/>
        </w:rPr>
        <w:t>ondiente a estas operaciones sobre una base de cómputo anual.</w:t>
      </w:r>
    </w:p>
    <w:p w14:paraId="216D4741" w14:textId="3582743E" w:rsidR="005F3C92" w:rsidRPr="00CF1B34" w:rsidRDefault="00A67B48" w:rsidP="0005621A">
      <w:pPr>
        <w:shd w:val="clear" w:color="auto" w:fill="FFFFFF"/>
        <w:ind w:left="708"/>
        <w:jc w:val="both"/>
        <w:textAlignment w:val="baseline"/>
        <w:rPr>
          <w:rFonts w:ascii="Arial" w:hAnsi="Arial" w:cs="Arial"/>
          <w:color w:val="000024"/>
          <w:sz w:val="22"/>
          <w:szCs w:val="22"/>
        </w:rPr>
      </w:pPr>
      <w:r w:rsidRPr="00CF1B34">
        <w:rPr>
          <w:rFonts w:ascii="Arial" w:hAnsi="Arial" w:cs="Arial"/>
          <w:color w:val="000024"/>
          <w:sz w:val="22"/>
          <w:szCs w:val="22"/>
        </w:rPr>
        <w:t xml:space="preserve">Hay que tener en cuenta que están </w:t>
      </w:r>
      <w:r w:rsidRPr="00CF1B34">
        <w:rPr>
          <w:rFonts w:ascii="Arial" w:hAnsi="Arial" w:cs="Arial"/>
          <w:b/>
          <w:bCs/>
          <w:color w:val="000024"/>
          <w:sz w:val="22"/>
          <w:szCs w:val="22"/>
        </w:rPr>
        <w:t xml:space="preserve">excluidas </w:t>
      </w:r>
      <w:r w:rsidRPr="00CF1B34">
        <w:rPr>
          <w:rFonts w:ascii="Arial" w:hAnsi="Arial" w:cs="Arial"/>
          <w:color w:val="000024"/>
          <w:sz w:val="22"/>
          <w:szCs w:val="22"/>
        </w:rPr>
        <w:t>del deber de declaración</w:t>
      </w:r>
      <w:r w:rsidR="00AC6ECB" w:rsidRPr="00CF1B34">
        <w:rPr>
          <w:rFonts w:ascii="Arial" w:hAnsi="Arial" w:cs="Arial"/>
          <w:color w:val="000024"/>
          <w:sz w:val="22"/>
          <w:szCs w:val="22"/>
        </w:rPr>
        <w:t xml:space="preserve"> en el modelo 347</w:t>
      </w:r>
      <w:r w:rsidRPr="00CF1B34">
        <w:rPr>
          <w:rFonts w:ascii="Arial" w:hAnsi="Arial" w:cs="Arial"/>
          <w:color w:val="000024"/>
          <w:sz w:val="22"/>
          <w:szCs w:val="22"/>
        </w:rPr>
        <w:t xml:space="preserve"> l</w:t>
      </w:r>
      <w:r w:rsidR="00AC6ECB" w:rsidRPr="00CF1B34">
        <w:rPr>
          <w:rFonts w:ascii="Arial" w:hAnsi="Arial" w:cs="Arial"/>
          <w:color w:val="000024"/>
          <w:sz w:val="22"/>
          <w:szCs w:val="22"/>
        </w:rPr>
        <w:t>a</w:t>
      </w:r>
      <w:r w:rsidRPr="00CF1B34">
        <w:rPr>
          <w:rFonts w:ascii="Arial" w:hAnsi="Arial" w:cs="Arial"/>
          <w:color w:val="000024"/>
          <w:sz w:val="22"/>
          <w:szCs w:val="22"/>
        </w:rPr>
        <w:t>s siguientes operaciones-</w:t>
      </w:r>
    </w:p>
    <w:p w14:paraId="530B1BA5" w14:textId="466C468D"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sz w:val="22"/>
          <w:szCs w:val="22"/>
        </w:rPr>
        <w:lastRenderedPageBreak/>
        <w:t>Aquellas que hayan supuesto</w:t>
      </w:r>
      <w:r w:rsidR="00AC6ECB" w:rsidRPr="00CF1B34">
        <w:rPr>
          <w:rFonts w:ascii="Arial" w:hAnsi="Arial" w:cs="Arial"/>
          <w:sz w:val="22"/>
          <w:szCs w:val="22"/>
        </w:rPr>
        <w:t xml:space="preserve"> </w:t>
      </w:r>
      <w:r w:rsidRPr="00CF1B34">
        <w:rPr>
          <w:rStyle w:val="Textoennegrita"/>
          <w:rFonts w:ascii="Arial" w:hAnsi="Arial" w:cs="Arial"/>
          <w:color w:val="333333"/>
          <w:sz w:val="22"/>
          <w:szCs w:val="22"/>
        </w:rPr>
        <w:t>entregas de bienes o prestaciones de servicios</w:t>
      </w:r>
      <w:r w:rsidR="00AC6ECB" w:rsidRPr="00CF1B34">
        <w:rPr>
          <w:rStyle w:val="Textoennegrita"/>
          <w:rFonts w:ascii="Arial" w:hAnsi="Arial" w:cs="Arial"/>
          <w:color w:val="333333"/>
          <w:sz w:val="22"/>
          <w:szCs w:val="22"/>
        </w:rPr>
        <w:t xml:space="preserve"> </w:t>
      </w:r>
      <w:r w:rsidRPr="00CF1B34">
        <w:rPr>
          <w:rFonts w:ascii="Arial" w:hAnsi="Arial" w:cs="Arial"/>
          <w:sz w:val="22"/>
          <w:szCs w:val="22"/>
        </w:rPr>
        <w:t>por las que los obligados tributarios </w:t>
      </w:r>
      <w:r w:rsidRPr="00CF1B34">
        <w:rPr>
          <w:rStyle w:val="Textoennegrita"/>
          <w:rFonts w:ascii="Arial" w:hAnsi="Arial" w:cs="Arial"/>
          <w:color w:val="333333"/>
          <w:sz w:val="22"/>
          <w:szCs w:val="22"/>
        </w:rPr>
        <w:t>no debieron expedir y entregar factura</w:t>
      </w:r>
      <w:r w:rsidR="00AC6ECB" w:rsidRPr="00CF1B34">
        <w:rPr>
          <w:rStyle w:val="Textoennegrita"/>
          <w:rFonts w:ascii="Arial" w:hAnsi="Arial" w:cs="Arial"/>
          <w:color w:val="333333"/>
          <w:sz w:val="22"/>
          <w:szCs w:val="22"/>
        </w:rPr>
        <w:t xml:space="preserve"> </w:t>
      </w:r>
      <w:r w:rsidRPr="00CF1B34">
        <w:rPr>
          <w:rFonts w:ascii="Arial" w:hAnsi="Arial" w:cs="Arial"/>
          <w:sz w:val="22"/>
          <w:szCs w:val="22"/>
        </w:rPr>
        <w:t>o documento sustitutivo.</w:t>
      </w:r>
    </w:p>
    <w:p w14:paraId="6C3075E3" w14:textId="76A23940"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sz w:val="22"/>
          <w:szCs w:val="22"/>
        </w:rPr>
        <w:t>Aquellas operaciones realizadas</w:t>
      </w:r>
      <w:r w:rsidR="00AC6ECB" w:rsidRPr="00CF1B34">
        <w:rPr>
          <w:rFonts w:ascii="Arial" w:hAnsi="Arial" w:cs="Arial"/>
          <w:sz w:val="22"/>
          <w:szCs w:val="22"/>
        </w:rPr>
        <w:t xml:space="preserve"> </w:t>
      </w:r>
      <w:r w:rsidRPr="00CF1B34">
        <w:rPr>
          <w:rStyle w:val="Textoennegrita"/>
          <w:rFonts w:ascii="Arial" w:hAnsi="Arial" w:cs="Arial"/>
          <w:color w:val="333333"/>
          <w:sz w:val="22"/>
          <w:szCs w:val="22"/>
        </w:rPr>
        <w:t>al margen de la actividad empresarial </w:t>
      </w:r>
      <w:r w:rsidRPr="00CF1B34">
        <w:rPr>
          <w:rFonts w:ascii="Arial" w:hAnsi="Arial" w:cs="Arial"/>
          <w:sz w:val="22"/>
          <w:szCs w:val="22"/>
        </w:rPr>
        <w:t>o profesional del obligado tributario.</w:t>
      </w:r>
    </w:p>
    <w:p w14:paraId="1A27635A" w14:textId="4B0D5542"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sz w:val="22"/>
          <w:szCs w:val="22"/>
        </w:rPr>
        <w:t>Las entregas, prestaciones o adquisiciones de bienes o servicios efectuadas</w:t>
      </w:r>
      <w:r w:rsidR="00AC6ECB" w:rsidRPr="00CF1B34">
        <w:rPr>
          <w:rFonts w:ascii="Arial" w:hAnsi="Arial" w:cs="Arial"/>
          <w:sz w:val="22"/>
          <w:szCs w:val="22"/>
        </w:rPr>
        <w:t xml:space="preserve"> </w:t>
      </w:r>
      <w:r w:rsidRPr="00CF1B34">
        <w:rPr>
          <w:rStyle w:val="Textoennegrita"/>
          <w:rFonts w:ascii="Arial" w:hAnsi="Arial" w:cs="Arial"/>
          <w:color w:val="333333"/>
          <w:sz w:val="22"/>
          <w:szCs w:val="22"/>
        </w:rPr>
        <w:t>a título gratuito</w:t>
      </w:r>
      <w:r w:rsidR="00AC6ECB" w:rsidRPr="00CF1B34">
        <w:rPr>
          <w:rStyle w:val="Textoennegrita"/>
          <w:rFonts w:ascii="Arial" w:hAnsi="Arial" w:cs="Arial"/>
          <w:color w:val="333333"/>
          <w:sz w:val="22"/>
          <w:szCs w:val="22"/>
        </w:rPr>
        <w:t xml:space="preserve"> </w:t>
      </w:r>
      <w:r w:rsidRPr="00CF1B34">
        <w:rPr>
          <w:rFonts w:ascii="Arial" w:hAnsi="Arial" w:cs="Arial"/>
          <w:sz w:val="22"/>
          <w:szCs w:val="22"/>
        </w:rPr>
        <w:t>no sujetas o exentas del Impuesto sobre el Valor Añadido.</w:t>
      </w:r>
    </w:p>
    <w:p w14:paraId="741B3E19" w14:textId="63498462"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sz w:val="22"/>
          <w:szCs w:val="22"/>
        </w:rPr>
        <w:t>Los</w:t>
      </w:r>
      <w:r w:rsidR="00AC6ECB" w:rsidRPr="00CF1B34">
        <w:rPr>
          <w:rFonts w:ascii="Arial" w:hAnsi="Arial" w:cs="Arial"/>
          <w:sz w:val="22"/>
          <w:szCs w:val="22"/>
        </w:rPr>
        <w:t xml:space="preserve"> </w:t>
      </w:r>
      <w:r w:rsidRPr="00CF1B34">
        <w:rPr>
          <w:rStyle w:val="Textoennegrita"/>
          <w:rFonts w:ascii="Arial" w:hAnsi="Arial" w:cs="Arial"/>
          <w:color w:val="333333"/>
          <w:sz w:val="22"/>
          <w:szCs w:val="22"/>
        </w:rPr>
        <w:t>arrendamientos de bienes exentos</w:t>
      </w:r>
      <w:r w:rsidR="00AC6ECB" w:rsidRPr="00CF1B34">
        <w:rPr>
          <w:rStyle w:val="Textoennegrita"/>
          <w:rFonts w:ascii="Arial" w:hAnsi="Arial" w:cs="Arial"/>
          <w:color w:val="333333"/>
          <w:sz w:val="22"/>
          <w:szCs w:val="22"/>
        </w:rPr>
        <w:t xml:space="preserve"> </w:t>
      </w:r>
      <w:r w:rsidRPr="00CF1B34">
        <w:rPr>
          <w:rStyle w:val="Textoennegrita"/>
          <w:rFonts w:ascii="Arial" w:hAnsi="Arial" w:cs="Arial"/>
          <w:color w:val="333333"/>
          <w:sz w:val="22"/>
          <w:szCs w:val="22"/>
        </w:rPr>
        <w:t>del</w:t>
      </w:r>
      <w:r w:rsidR="00AC6ECB" w:rsidRPr="00CF1B34">
        <w:rPr>
          <w:rStyle w:val="Textoennegrita"/>
          <w:rFonts w:ascii="Arial" w:hAnsi="Arial" w:cs="Arial"/>
          <w:color w:val="333333"/>
          <w:sz w:val="22"/>
          <w:szCs w:val="22"/>
        </w:rPr>
        <w:t xml:space="preserve"> impuesto sobre el valor añadido (IVA)</w:t>
      </w:r>
      <w:r w:rsidR="00AC6ECB" w:rsidRPr="00CF1B34">
        <w:rPr>
          <w:rFonts w:ascii="Arial" w:hAnsi="Arial" w:cs="Arial"/>
          <w:sz w:val="22"/>
          <w:szCs w:val="22"/>
        </w:rPr>
        <w:t xml:space="preserve"> </w:t>
      </w:r>
      <w:r w:rsidRPr="00CF1B34">
        <w:rPr>
          <w:rFonts w:ascii="Arial" w:hAnsi="Arial" w:cs="Arial"/>
          <w:sz w:val="22"/>
          <w:szCs w:val="22"/>
        </w:rPr>
        <w:t>realizados por personas físicas o entidades sin personalidad jurídica al margen de cualquier otra actividad empresarial o profesional.</w:t>
      </w:r>
    </w:p>
    <w:p w14:paraId="542A2D15" w14:textId="26963477"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sz w:val="22"/>
          <w:szCs w:val="22"/>
        </w:rPr>
        <w:t>Las</w:t>
      </w:r>
      <w:r w:rsidR="00AC6ECB" w:rsidRPr="00CF1B34">
        <w:rPr>
          <w:rFonts w:ascii="Arial" w:hAnsi="Arial" w:cs="Arial"/>
          <w:sz w:val="22"/>
          <w:szCs w:val="22"/>
        </w:rPr>
        <w:t xml:space="preserve"> </w:t>
      </w:r>
      <w:r w:rsidRPr="00CF1B34">
        <w:rPr>
          <w:rStyle w:val="Textoennegrita"/>
          <w:rFonts w:ascii="Arial" w:hAnsi="Arial" w:cs="Arial"/>
          <w:color w:val="333333"/>
          <w:sz w:val="22"/>
          <w:szCs w:val="22"/>
        </w:rPr>
        <w:t>adquisiciones</w:t>
      </w:r>
      <w:r w:rsidR="00AC6ECB" w:rsidRPr="00CF1B34">
        <w:rPr>
          <w:rFonts w:ascii="Arial" w:hAnsi="Arial" w:cs="Arial"/>
          <w:sz w:val="22"/>
          <w:szCs w:val="22"/>
        </w:rPr>
        <w:t xml:space="preserve"> </w:t>
      </w:r>
      <w:r w:rsidRPr="00CF1B34">
        <w:rPr>
          <w:rFonts w:ascii="Arial" w:hAnsi="Arial" w:cs="Arial"/>
          <w:sz w:val="22"/>
          <w:szCs w:val="22"/>
        </w:rPr>
        <w:t>de efectos timbrados o estancados y signos de franqueo postal, excepto los que tengan la consideración de objetos de colección.</w:t>
      </w:r>
    </w:p>
    <w:p w14:paraId="71105CF6" w14:textId="69D822A4"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sz w:val="22"/>
          <w:szCs w:val="22"/>
        </w:rPr>
        <w:t>Las operaciones realizadas por las entidades o</w:t>
      </w:r>
      <w:r w:rsidR="00AC6ECB" w:rsidRPr="00CF1B34">
        <w:rPr>
          <w:rFonts w:ascii="Arial" w:hAnsi="Arial" w:cs="Arial"/>
          <w:sz w:val="22"/>
          <w:szCs w:val="22"/>
        </w:rPr>
        <w:t xml:space="preserve"> </w:t>
      </w:r>
      <w:r w:rsidRPr="00CF1B34">
        <w:rPr>
          <w:rStyle w:val="Textoennegrita"/>
          <w:rFonts w:ascii="Arial" w:hAnsi="Arial" w:cs="Arial"/>
          <w:color w:val="333333"/>
          <w:sz w:val="22"/>
          <w:szCs w:val="22"/>
        </w:rPr>
        <w:t>establecimientos de carácter social</w:t>
      </w:r>
      <w:r w:rsidRPr="00CF1B34">
        <w:rPr>
          <w:rFonts w:ascii="Arial" w:hAnsi="Arial" w:cs="Arial"/>
          <w:sz w:val="22"/>
          <w:szCs w:val="22"/>
        </w:rPr>
        <w:t>.</w:t>
      </w:r>
    </w:p>
    <w:p w14:paraId="1BCB3D82" w14:textId="70379852"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sz w:val="22"/>
          <w:szCs w:val="22"/>
        </w:rPr>
        <w:t>Las</w:t>
      </w:r>
      <w:r w:rsidR="00AC6ECB" w:rsidRPr="00CF1B34">
        <w:rPr>
          <w:rFonts w:ascii="Arial" w:hAnsi="Arial" w:cs="Arial"/>
          <w:sz w:val="22"/>
          <w:szCs w:val="22"/>
        </w:rPr>
        <w:t xml:space="preserve"> </w:t>
      </w:r>
      <w:r w:rsidRPr="00CF1B34">
        <w:rPr>
          <w:rStyle w:val="Textoennegrita"/>
          <w:rFonts w:ascii="Arial" w:hAnsi="Arial" w:cs="Arial"/>
          <w:color w:val="333333"/>
          <w:sz w:val="22"/>
          <w:szCs w:val="22"/>
        </w:rPr>
        <w:t>importaciones y exportaciones</w:t>
      </w:r>
      <w:r w:rsidR="00AC6ECB" w:rsidRPr="00CF1B34">
        <w:rPr>
          <w:rStyle w:val="Textoennegrita"/>
          <w:rFonts w:ascii="Arial" w:hAnsi="Arial" w:cs="Arial"/>
          <w:color w:val="333333"/>
          <w:sz w:val="22"/>
          <w:szCs w:val="22"/>
        </w:rPr>
        <w:t xml:space="preserve"> </w:t>
      </w:r>
      <w:r w:rsidRPr="00CF1B34">
        <w:rPr>
          <w:rFonts w:ascii="Arial" w:hAnsi="Arial" w:cs="Arial"/>
          <w:sz w:val="22"/>
          <w:szCs w:val="22"/>
        </w:rPr>
        <w:t>de mercancías, así como las operaciones realizadas directamente desde o para un establecimiento permanente del obligado tributario situado fuera del territorio español, salvo que aquel tenga su sede en España y la persona o entidad con quien se realice la operación actúe desde un establecimiento situado en territorio español.</w:t>
      </w:r>
    </w:p>
    <w:p w14:paraId="5F036CAE" w14:textId="64B75813" w:rsidR="00A67B48" w:rsidRPr="00CF1B34" w:rsidRDefault="00A67B48" w:rsidP="004F7A62">
      <w:pPr>
        <w:pStyle w:val="Prrafodelista"/>
        <w:numPr>
          <w:ilvl w:val="0"/>
          <w:numId w:val="20"/>
        </w:numPr>
        <w:jc w:val="both"/>
        <w:rPr>
          <w:rFonts w:ascii="Arial" w:hAnsi="Arial" w:cs="Arial"/>
          <w:sz w:val="22"/>
          <w:szCs w:val="22"/>
        </w:rPr>
      </w:pPr>
      <w:r w:rsidRPr="00CF1B34">
        <w:rPr>
          <w:rFonts w:ascii="Arial" w:hAnsi="Arial" w:cs="Arial"/>
          <w:sz w:val="22"/>
          <w:szCs w:val="22"/>
        </w:rPr>
        <w:t>Las</w:t>
      </w:r>
      <w:r w:rsidR="00AC6ECB" w:rsidRPr="00CF1B34">
        <w:rPr>
          <w:rFonts w:ascii="Arial" w:hAnsi="Arial" w:cs="Arial"/>
          <w:sz w:val="22"/>
          <w:szCs w:val="22"/>
        </w:rPr>
        <w:t xml:space="preserve"> </w:t>
      </w:r>
      <w:r w:rsidRPr="00CF1B34">
        <w:rPr>
          <w:rStyle w:val="Textoennegrita"/>
          <w:rFonts w:ascii="Arial" w:hAnsi="Arial" w:cs="Arial"/>
          <w:color w:val="333333"/>
          <w:sz w:val="22"/>
          <w:szCs w:val="22"/>
        </w:rPr>
        <w:t>entregas</w:t>
      </w:r>
      <w:r w:rsidR="00AC6ECB" w:rsidRPr="00CF1B34">
        <w:rPr>
          <w:rFonts w:ascii="Arial" w:hAnsi="Arial" w:cs="Arial"/>
          <w:sz w:val="22"/>
          <w:szCs w:val="22"/>
        </w:rPr>
        <w:t xml:space="preserve"> </w:t>
      </w:r>
      <w:r w:rsidRPr="00CF1B34">
        <w:rPr>
          <w:rFonts w:ascii="Arial" w:hAnsi="Arial" w:cs="Arial"/>
          <w:sz w:val="22"/>
          <w:szCs w:val="22"/>
        </w:rPr>
        <w:t>y adquisiciones de bienes que supongan envíos entre el territorio peninsular español o las islas Baleares y las islas Canarias, Ceuta y Melilla.</w:t>
      </w:r>
    </w:p>
    <w:p w14:paraId="216D41DA" w14:textId="61B2AD74" w:rsidR="00A67B48" w:rsidRPr="00CF1B34" w:rsidRDefault="00A67B48" w:rsidP="0005621A">
      <w:pPr>
        <w:ind w:left="708"/>
        <w:jc w:val="both"/>
        <w:rPr>
          <w:rFonts w:ascii="Arial" w:hAnsi="Arial" w:cs="Arial"/>
          <w:sz w:val="22"/>
          <w:szCs w:val="22"/>
        </w:rPr>
      </w:pPr>
      <w:r w:rsidRPr="00CF1B34">
        <w:rPr>
          <w:rFonts w:ascii="Arial" w:hAnsi="Arial" w:cs="Arial"/>
          <w:sz w:val="22"/>
          <w:szCs w:val="22"/>
        </w:rPr>
        <w:t>En general, todas aquellas</w:t>
      </w:r>
      <w:r w:rsidR="00AC6ECB" w:rsidRPr="00CF1B34">
        <w:rPr>
          <w:rFonts w:ascii="Arial" w:hAnsi="Arial" w:cs="Arial"/>
          <w:sz w:val="22"/>
          <w:szCs w:val="22"/>
        </w:rPr>
        <w:t xml:space="preserve"> </w:t>
      </w:r>
      <w:r w:rsidRPr="00CF1B34">
        <w:rPr>
          <w:rStyle w:val="Textoennegrita"/>
          <w:rFonts w:ascii="Arial" w:hAnsi="Arial" w:cs="Arial"/>
          <w:color w:val="333333"/>
          <w:sz w:val="22"/>
          <w:szCs w:val="22"/>
        </w:rPr>
        <w:t>operaciones</w:t>
      </w:r>
      <w:r w:rsidR="00AC6ECB" w:rsidRPr="00CF1B34">
        <w:rPr>
          <w:rFonts w:ascii="Arial" w:hAnsi="Arial" w:cs="Arial"/>
          <w:sz w:val="22"/>
          <w:szCs w:val="22"/>
        </w:rPr>
        <w:t xml:space="preserve"> </w:t>
      </w:r>
      <w:r w:rsidRPr="00CF1B34">
        <w:rPr>
          <w:rFonts w:ascii="Arial" w:hAnsi="Arial" w:cs="Arial"/>
          <w:sz w:val="22"/>
          <w:szCs w:val="22"/>
        </w:rPr>
        <w:t>respecto de las que exista una obligación periódica de suministro de información a la Administración tributaria estatal mediante declaraciones específicas.</w:t>
      </w:r>
    </w:p>
    <w:p w14:paraId="302322C4" w14:textId="21267E42" w:rsidR="005F3C92" w:rsidRPr="00CF1B34" w:rsidRDefault="00A85777" w:rsidP="0005621A">
      <w:pPr>
        <w:shd w:val="clear" w:color="auto" w:fill="FFFFFF"/>
        <w:ind w:firstLine="708"/>
        <w:jc w:val="both"/>
        <w:textAlignment w:val="baseline"/>
        <w:rPr>
          <w:rFonts w:ascii="Arial" w:hAnsi="Arial" w:cs="Arial"/>
          <w:color w:val="000024"/>
          <w:sz w:val="22"/>
          <w:szCs w:val="22"/>
        </w:rPr>
      </w:pPr>
      <w:r w:rsidRPr="00CF1B34">
        <w:rPr>
          <w:rFonts w:ascii="Arial" w:hAnsi="Arial" w:cs="Arial"/>
          <w:color w:val="000024"/>
          <w:sz w:val="22"/>
          <w:szCs w:val="22"/>
        </w:rPr>
        <w:t xml:space="preserve">Quiénes están </w:t>
      </w:r>
      <w:r w:rsidRPr="00CF1B34">
        <w:rPr>
          <w:rFonts w:ascii="Arial" w:hAnsi="Arial" w:cs="Arial"/>
          <w:b/>
          <w:bCs/>
          <w:color w:val="000024"/>
          <w:sz w:val="22"/>
          <w:szCs w:val="22"/>
        </w:rPr>
        <w:t xml:space="preserve">exentos </w:t>
      </w:r>
      <w:r w:rsidRPr="00CF1B34">
        <w:rPr>
          <w:rFonts w:ascii="Arial" w:hAnsi="Arial" w:cs="Arial"/>
          <w:color w:val="000024"/>
          <w:sz w:val="22"/>
          <w:szCs w:val="22"/>
        </w:rPr>
        <w:t>de presentar el modelo 347:</w:t>
      </w:r>
    </w:p>
    <w:p w14:paraId="21350F09" w14:textId="1873EE9B" w:rsidR="00A85777" w:rsidRPr="00CF1B34" w:rsidRDefault="00A85777" w:rsidP="004F7A62">
      <w:pPr>
        <w:pStyle w:val="Prrafodelista"/>
        <w:numPr>
          <w:ilvl w:val="0"/>
          <w:numId w:val="215"/>
        </w:numPr>
        <w:jc w:val="both"/>
        <w:rPr>
          <w:rFonts w:ascii="Arial" w:hAnsi="Arial" w:cs="Arial"/>
          <w:sz w:val="22"/>
          <w:szCs w:val="22"/>
        </w:rPr>
      </w:pPr>
      <w:r w:rsidRPr="00CF1B34">
        <w:rPr>
          <w:rFonts w:ascii="Arial" w:hAnsi="Arial" w:cs="Arial"/>
          <w:sz w:val="22"/>
          <w:szCs w:val="22"/>
        </w:rPr>
        <w:t xml:space="preserve">Quienes realicen en España actividades empresariales o profesionales </w:t>
      </w:r>
      <w:r w:rsidRPr="00CF1B34">
        <w:rPr>
          <w:rStyle w:val="Textoennegrita"/>
          <w:rFonts w:ascii="Arial" w:hAnsi="Arial" w:cs="Arial"/>
          <w:color w:val="333333"/>
          <w:sz w:val="22"/>
          <w:szCs w:val="22"/>
        </w:rPr>
        <w:t>sin tener en territorio español la sede de su actividad económica,</w:t>
      </w:r>
      <w:r w:rsidRPr="00CF1B34">
        <w:rPr>
          <w:rFonts w:ascii="Arial" w:hAnsi="Arial" w:cs="Arial"/>
          <w:sz w:val="22"/>
          <w:szCs w:val="22"/>
        </w:rPr>
        <w:t xml:space="preserve"> un establecimiento permanente o su domicilio fiscal o, en el caso de entidades en régimen de atribución de rentas constituidas en el extranjero, sin tener presencia en territorio español.</w:t>
      </w:r>
    </w:p>
    <w:p w14:paraId="5A292BB8" w14:textId="3E36F847" w:rsidR="00A85777" w:rsidRPr="00CF1B34" w:rsidRDefault="00A85777" w:rsidP="004F7A62">
      <w:pPr>
        <w:pStyle w:val="Prrafodelista"/>
        <w:numPr>
          <w:ilvl w:val="0"/>
          <w:numId w:val="215"/>
        </w:numPr>
        <w:jc w:val="both"/>
        <w:rPr>
          <w:rFonts w:ascii="Arial" w:hAnsi="Arial" w:cs="Arial"/>
          <w:sz w:val="22"/>
          <w:szCs w:val="22"/>
        </w:rPr>
      </w:pPr>
      <w:r w:rsidRPr="00CF1B34">
        <w:rPr>
          <w:rFonts w:ascii="Arial" w:hAnsi="Arial" w:cs="Arial"/>
          <w:sz w:val="22"/>
          <w:szCs w:val="22"/>
        </w:rPr>
        <w:t>Las personas físicas y entidades en atribución de rentas en el</w:t>
      </w:r>
      <w:r w:rsidR="00954C17" w:rsidRPr="00CF1B34">
        <w:rPr>
          <w:rFonts w:ascii="Arial" w:hAnsi="Arial" w:cs="Arial"/>
          <w:sz w:val="22"/>
          <w:szCs w:val="22"/>
        </w:rPr>
        <w:t xml:space="preserve"> impuesto sobre la renta de las personas físicas</w:t>
      </w:r>
      <w:r w:rsidR="008B67C6" w:rsidRPr="00CF1B34">
        <w:rPr>
          <w:rFonts w:ascii="Arial" w:hAnsi="Arial" w:cs="Arial"/>
          <w:sz w:val="22"/>
          <w:szCs w:val="22"/>
        </w:rPr>
        <w:t xml:space="preserve"> (IRPF)</w:t>
      </w:r>
      <w:r w:rsidRPr="00CF1B34">
        <w:rPr>
          <w:rFonts w:ascii="Arial" w:hAnsi="Arial" w:cs="Arial"/>
          <w:sz w:val="22"/>
          <w:szCs w:val="22"/>
        </w:rPr>
        <w:t xml:space="preserve"> las actividades que tributen en dicho impuesto por el </w:t>
      </w:r>
      <w:r w:rsidRPr="00CF1B34">
        <w:rPr>
          <w:rStyle w:val="Textoennegrita"/>
          <w:rFonts w:ascii="Arial" w:hAnsi="Arial" w:cs="Arial"/>
          <w:color w:val="333333"/>
          <w:sz w:val="22"/>
          <w:szCs w:val="22"/>
        </w:rPr>
        <w:t>método de estimación objetiva </w:t>
      </w:r>
      <w:r w:rsidRPr="00CF1B34">
        <w:rPr>
          <w:rFonts w:ascii="Arial" w:hAnsi="Arial" w:cs="Arial"/>
          <w:sz w:val="22"/>
          <w:szCs w:val="22"/>
        </w:rPr>
        <w:t>y, simultáneamente, en el </w:t>
      </w:r>
      <w:r w:rsidRPr="00CF1B34">
        <w:rPr>
          <w:rStyle w:val="Textoennegrita"/>
          <w:rFonts w:ascii="Arial" w:hAnsi="Arial" w:cs="Arial"/>
          <w:color w:val="333333"/>
          <w:sz w:val="22"/>
          <w:szCs w:val="22"/>
        </w:rPr>
        <w:t>IVA</w:t>
      </w:r>
      <w:r w:rsidRPr="00CF1B34">
        <w:rPr>
          <w:rFonts w:ascii="Arial" w:hAnsi="Arial" w:cs="Arial"/>
          <w:sz w:val="22"/>
          <w:szCs w:val="22"/>
        </w:rPr>
        <w:t> por los regímenes especiales simplificado o de la agricultura, ganadería y pesca o del recargo de equivalencia, salvo por las operaciones que estén excluidas de la aplicación de los citados regímenes, así como aquellas otras por las que emitan factura.</w:t>
      </w:r>
    </w:p>
    <w:p w14:paraId="20C4C63A" w14:textId="155BFCC6" w:rsidR="00A85777" w:rsidRPr="00CF1B34" w:rsidRDefault="00A85777" w:rsidP="004F7A62">
      <w:pPr>
        <w:pStyle w:val="Prrafodelista"/>
        <w:numPr>
          <w:ilvl w:val="0"/>
          <w:numId w:val="215"/>
        </w:numPr>
        <w:jc w:val="both"/>
        <w:rPr>
          <w:rFonts w:ascii="Arial" w:hAnsi="Arial" w:cs="Arial"/>
          <w:sz w:val="22"/>
          <w:szCs w:val="22"/>
        </w:rPr>
      </w:pPr>
      <w:r w:rsidRPr="00CF1B34">
        <w:rPr>
          <w:rFonts w:ascii="Arial" w:hAnsi="Arial" w:cs="Arial"/>
          <w:sz w:val="22"/>
          <w:szCs w:val="22"/>
        </w:rPr>
        <w:t xml:space="preserve">Los obligados tributarios que no hayan realizado operaciones que, en su conjunto, respecto de otra persona o entidad, </w:t>
      </w:r>
      <w:r w:rsidRPr="00CF1B34">
        <w:rPr>
          <w:rStyle w:val="Textoennegrita"/>
          <w:rFonts w:ascii="Arial" w:hAnsi="Arial" w:cs="Arial"/>
          <w:color w:val="333333"/>
          <w:sz w:val="22"/>
          <w:szCs w:val="22"/>
        </w:rPr>
        <w:t xml:space="preserve">hayan superado la cifra de 3.005,06 euros durante el año natural </w:t>
      </w:r>
      <w:r w:rsidRPr="00CF1B34">
        <w:rPr>
          <w:rFonts w:ascii="Arial" w:hAnsi="Arial" w:cs="Arial"/>
          <w:sz w:val="22"/>
          <w:szCs w:val="22"/>
        </w:rPr>
        <w:t>correspondiente o de 300,51 euros durante el mismo periodo, cuando, en este último supuesto, realicen la función de cobro por cuenta de terceros de honorarios profesionales o de derechos derivados de la propiedad intelectual, industrial o de autor u otros por cuenta de sus socios, asociados o colegiados.</w:t>
      </w:r>
    </w:p>
    <w:p w14:paraId="79E1A0A2" w14:textId="054C0991" w:rsidR="00A85777" w:rsidRPr="00CF1B34" w:rsidRDefault="00A85777" w:rsidP="004F7A62">
      <w:pPr>
        <w:pStyle w:val="Prrafodelista"/>
        <w:numPr>
          <w:ilvl w:val="0"/>
          <w:numId w:val="215"/>
        </w:numPr>
        <w:jc w:val="both"/>
        <w:rPr>
          <w:rFonts w:ascii="Arial" w:hAnsi="Arial" w:cs="Arial"/>
          <w:sz w:val="22"/>
          <w:szCs w:val="22"/>
        </w:rPr>
      </w:pPr>
      <w:r w:rsidRPr="00CF1B34">
        <w:rPr>
          <w:rFonts w:ascii="Arial" w:hAnsi="Arial" w:cs="Arial"/>
          <w:sz w:val="22"/>
          <w:szCs w:val="22"/>
        </w:rPr>
        <w:t>Los obligados tributarios que hayan realizado exclusivamente</w:t>
      </w:r>
      <w:r w:rsidRPr="00CF1B34">
        <w:rPr>
          <w:rFonts w:ascii="Arial" w:hAnsi="Arial" w:cs="Arial"/>
          <w:b/>
          <w:bCs/>
          <w:sz w:val="22"/>
          <w:szCs w:val="22"/>
        </w:rPr>
        <w:t> </w:t>
      </w:r>
      <w:r w:rsidRPr="00CF1B34">
        <w:rPr>
          <w:rStyle w:val="Textoennegrita"/>
          <w:rFonts w:ascii="Arial" w:hAnsi="Arial" w:cs="Arial"/>
          <w:color w:val="333333"/>
          <w:sz w:val="22"/>
          <w:szCs w:val="22"/>
        </w:rPr>
        <w:t>operaciones </w:t>
      </w:r>
      <w:r w:rsidRPr="00CF1B34">
        <w:rPr>
          <w:rFonts w:ascii="Arial" w:hAnsi="Arial" w:cs="Arial"/>
          <w:sz w:val="22"/>
          <w:szCs w:val="22"/>
        </w:rPr>
        <w:t xml:space="preserve">no sometidas al deber de </w:t>
      </w:r>
      <w:r w:rsidRPr="00CF1B34">
        <w:rPr>
          <w:rStyle w:val="Textoennegrita"/>
          <w:rFonts w:ascii="Arial" w:hAnsi="Arial" w:cs="Arial"/>
          <w:color w:val="333333"/>
          <w:sz w:val="22"/>
          <w:szCs w:val="22"/>
        </w:rPr>
        <w:t>declaración</w:t>
      </w:r>
    </w:p>
    <w:p w14:paraId="1D88F418" w14:textId="32957BFD" w:rsidR="00A85777" w:rsidRPr="00CF1B34" w:rsidRDefault="00A85777" w:rsidP="0005621A">
      <w:pPr>
        <w:jc w:val="both"/>
        <w:rPr>
          <w:rFonts w:ascii="Arial" w:hAnsi="Arial" w:cs="Arial"/>
        </w:rPr>
      </w:pPr>
    </w:p>
    <w:p w14:paraId="0D02415E" w14:textId="77777777" w:rsidR="00AC6ECB" w:rsidRPr="00CF1B34" w:rsidRDefault="00AC6ECB" w:rsidP="0005621A">
      <w:pPr>
        <w:shd w:val="clear" w:color="auto" w:fill="FFFFFF"/>
        <w:jc w:val="both"/>
        <w:textAlignment w:val="baseline"/>
        <w:rPr>
          <w:rFonts w:ascii="Arial" w:hAnsi="Arial" w:cs="Arial"/>
          <w:color w:val="000024"/>
          <w:sz w:val="22"/>
          <w:szCs w:val="22"/>
        </w:rPr>
      </w:pPr>
    </w:p>
    <w:p w14:paraId="540A0704" w14:textId="77777777" w:rsidR="005F3C92" w:rsidRPr="00CF1B34" w:rsidRDefault="005F3C92" w:rsidP="0005621A">
      <w:pPr>
        <w:shd w:val="clear" w:color="auto" w:fill="FFFFFF"/>
        <w:jc w:val="both"/>
        <w:textAlignment w:val="baseline"/>
        <w:rPr>
          <w:rFonts w:ascii="Arial" w:hAnsi="Arial" w:cs="Arial"/>
          <w:color w:val="000024"/>
          <w:sz w:val="22"/>
          <w:szCs w:val="22"/>
        </w:rPr>
      </w:pPr>
    </w:p>
    <w:p w14:paraId="7F04271F" w14:textId="4EF97BAA" w:rsidR="00D92D2A" w:rsidRPr="00CF1B34" w:rsidRDefault="00BA74E9" w:rsidP="0005621A">
      <w:pPr>
        <w:shd w:val="clear" w:color="auto" w:fill="FFFFFF"/>
        <w:jc w:val="both"/>
        <w:textAlignment w:val="baseline"/>
        <w:rPr>
          <w:rFonts w:ascii="Arial" w:hAnsi="Arial" w:cs="Arial"/>
          <w:color w:val="000024"/>
          <w:sz w:val="22"/>
          <w:szCs w:val="22"/>
        </w:rPr>
      </w:pPr>
      <w:r w:rsidRPr="00CF1B34">
        <w:rPr>
          <w:rFonts w:ascii="Arial" w:hAnsi="Arial" w:cs="Arial"/>
          <w:b/>
          <w:bCs/>
          <w:color w:val="004773"/>
          <w:sz w:val="22"/>
          <w:szCs w:val="22"/>
          <w:lang w:val="es-ES_tradnl"/>
        </w:rPr>
        <w:t>Modelo APT (Arbitra</w:t>
      </w:r>
      <w:r w:rsidR="00F865B3" w:rsidRPr="00CF1B34">
        <w:rPr>
          <w:rFonts w:ascii="Arial" w:hAnsi="Arial" w:cs="Arial"/>
          <w:b/>
          <w:bCs/>
          <w:color w:val="004773"/>
          <w:sz w:val="22"/>
          <w:szCs w:val="22"/>
          <w:lang w:val="es-ES_tradnl"/>
        </w:rPr>
        <w:t>j</w:t>
      </w:r>
      <w:r w:rsidRPr="00CF1B34">
        <w:rPr>
          <w:rFonts w:ascii="Arial" w:hAnsi="Arial" w:cs="Arial"/>
          <w:b/>
          <w:bCs/>
          <w:color w:val="004773"/>
          <w:sz w:val="22"/>
          <w:szCs w:val="22"/>
          <w:lang w:val="es-ES_tradnl"/>
        </w:rPr>
        <w:t>e Pricing Theory)</w:t>
      </w:r>
    </w:p>
    <w:p w14:paraId="41487409" w14:textId="607E0914" w:rsidR="003C2F4F" w:rsidRPr="00CF1B34" w:rsidRDefault="00F865B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Su base se encuentra en la Ley del Precio Unico que postula que carteras y activos equivalentes</w:t>
      </w:r>
      <w:r w:rsidR="001F1C58" w:rsidRPr="00CF1B34">
        <w:rPr>
          <w:rFonts w:ascii="Arial" w:hAnsi="Arial" w:cs="Arial"/>
          <w:color w:val="000000" w:themeColor="text1"/>
          <w:sz w:val="22"/>
          <w:szCs w:val="22"/>
          <w:lang w:val="es-ES_tradnl"/>
        </w:rPr>
        <w:t xml:space="preserve"> en riesgo</w:t>
      </w:r>
      <w:r w:rsidR="001B0FE1" w:rsidRPr="00CF1B34">
        <w:rPr>
          <w:rFonts w:ascii="Arial" w:hAnsi="Arial" w:cs="Arial"/>
          <w:color w:val="000000" w:themeColor="text1"/>
          <w:sz w:val="22"/>
          <w:szCs w:val="22"/>
          <w:lang w:val="es-ES_tradnl"/>
        </w:rPr>
        <w:t xml:space="preserve"> </w:t>
      </w:r>
      <w:r w:rsidR="001F1C58" w:rsidRPr="00CF1B34">
        <w:rPr>
          <w:rFonts w:ascii="Arial" w:hAnsi="Arial" w:cs="Arial"/>
          <w:color w:val="000000" w:themeColor="text1"/>
          <w:sz w:val="22"/>
          <w:szCs w:val="22"/>
          <w:lang w:val="es-ES_tradnl"/>
        </w:rPr>
        <w:t>seran equivalentes</w:t>
      </w:r>
      <w:r w:rsidR="00A95B78" w:rsidRPr="00CF1B34">
        <w:rPr>
          <w:rFonts w:ascii="Arial" w:hAnsi="Arial" w:cs="Arial"/>
          <w:color w:val="000000" w:themeColor="text1"/>
          <w:sz w:val="22"/>
          <w:szCs w:val="22"/>
          <w:lang w:val="es-ES_tradnl"/>
        </w:rPr>
        <w:t xml:space="preserve"> en rendimiento</w:t>
      </w:r>
      <w:r w:rsidR="003C2F4F" w:rsidRPr="00CF1B34">
        <w:rPr>
          <w:rFonts w:ascii="Arial" w:hAnsi="Arial" w:cs="Arial"/>
          <w:color w:val="000000" w:themeColor="text1"/>
          <w:sz w:val="22"/>
          <w:szCs w:val="22"/>
          <w:lang w:val="es-ES_tradnl"/>
        </w:rPr>
        <w:t>s. En caso de que no fuese asi estas oportunidades serian aprovechadas por los arbitrajistas.</w:t>
      </w:r>
      <w:r w:rsidR="003F0983" w:rsidRPr="00CF1B34">
        <w:rPr>
          <w:rFonts w:ascii="Arial" w:hAnsi="Arial" w:cs="Arial"/>
          <w:color w:val="000000" w:themeColor="text1"/>
          <w:sz w:val="22"/>
          <w:szCs w:val="22"/>
          <w:lang w:val="es-ES_tradnl"/>
        </w:rPr>
        <w:t xml:space="preserve"> P</w:t>
      </w:r>
      <w:r w:rsidR="003C2F4F" w:rsidRPr="00CF1B34">
        <w:rPr>
          <w:rFonts w:ascii="Arial" w:hAnsi="Arial" w:cs="Arial"/>
          <w:color w:val="000000" w:themeColor="text1"/>
          <w:sz w:val="22"/>
          <w:szCs w:val="22"/>
          <w:lang w:val="es-ES_tradnl"/>
        </w:rPr>
        <w:t>or lo tanto, según este modelo el rendimiento de valor se explica por añadir al rendimiento de un activo sin riesgo las primas que se corresponden con los riesgos que explican la rentabilidad de ese valor.</w:t>
      </w:r>
    </w:p>
    <w:p w14:paraId="54312AFA" w14:textId="1E4F8487" w:rsidR="00BA74E9" w:rsidRPr="00CF1B34" w:rsidRDefault="00BA74E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Modelo de Black-Scholes de valoración de opciones</w:t>
      </w:r>
    </w:p>
    <w:p w14:paraId="4D9E228C" w14:textId="539D1EA7" w:rsidR="00E042E3" w:rsidRPr="00CF1B34" w:rsidRDefault="00F72EB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Probablemente la aportación mas importante, en los últimos años, en el campo de la teoría y practica financiera haya sido la realizada por Fisher Black y Myron Scholes con su formula para valoración de opciones. En la actualidad, el uso de esta formula</w:t>
      </w:r>
      <w:r w:rsidR="00E042E3" w:rsidRPr="00CF1B34">
        <w:rPr>
          <w:rFonts w:ascii="Arial" w:hAnsi="Arial" w:cs="Arial"/>
          <w:color w:val="000000" w:themeColor="text1"/>
          <w:sz w:val="22"/>
          <w:szCs w:val="22"/>
          <w:lang w:val="es-ES_tradnl"/>
        </w:rPr>
        <w:t xml:space="preserve"> esta muy extendido entre los participantes de los mercados financieros, habiendo constituido, además, una herramienta fundamental en el desarrollo de los mercados de opciones. Los factores determinantes del precio de una opción son: el precio actual de la acción o del activo subyacente, el precio de ejercicio o “strike”, la volatilidad, el tipo de interés, los dividendos y el tiempo hasta la fecha del ejercicio.</w:t>
      </w:r>
    </w:p>
    <w:p w14:paraId="072ECFE4" w14:textId="500C9DB2" w:rsidR="00F865B3" w:rsidRPr="00CF1B34" w:rsidRDefault="00F865B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Modelo de Markowitz</w:t>
      </w:r>
    </w:p>
    <w:p w14:paraId="0DF6A9C6" w14:textId="470813CF" w:rsidR="00B2678A" w:rsidRPr="00CF1B34" w:rsidRDefault="00D830E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un</w:t>
      </w:r>
      <w:r w:rsidR="003F0983"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modelo matemático que cu</w:t>
      </w:r>
      <w:r w:rsidR="003F0983"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ntifica el rendimiento y el riesgo de una cartera de valores. El rendimiento de la cartera es la media ponderada de los rendimientos de los valores y el riesgo viene determin</w:t>
      </w:r>
      <w:r w:rsidR="003F0983"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do por la varianza de la cartera. Este modelo intenta cuantificar</w:t>
      </w:r>
      <w:r w:rsidR="00B2678A" w:rsidRPr="00CF1B34">
        <w:rPr>
          <w:rFonts w:ascii="Arial" w:hAnsi="Arial" w:cs="Arial"/>
          <w:color w:val="000000" w:themeColor="text1"/>
          <w:sz w:val="22"/>
          <w:szCs w:val="22"/>
          <w:lang w:val="es-ES_tradnl"/>
        </w:rPr>
        <w:t xml:space="preserve"> la interrelaci</w:t>
      </w:r>
      <w:r w:rsidR="0002157B">
        <w:rPr>
          <w:rFonts w:ascii="Arial" w:hAnsi="Arial" w:cs="Arial"/>
          <w:color w:val="000000" w:themeColor="text1"/>
          <w:sz w:val="22"/>
          <w:szCs w:val="22"/>
          <w:lang w:val="es-ES_tradnl"/>
        </w:rPr>
        <w:t>ó</w:t>
      </w:r>
      <w:r w:rsidR="00B2678A" w:rsidRPr="00CF1B34">
        <w:rPr>
          <w:rFonts w:ascii="Arial" w:hAnsi="Arial" w:cs="Arial"/>
          <w:color w:val="000000" w:themeColor="text1"/>
          <w:sz w:val="22"/>
          <w:szCs w:val="22"/>
          <w:lang w:val="es-ES_tradnl"/>
        </w:rPr>
        <w:t>n entre el comportamiento de los componentes de la cartera para determinar en una situación especifica una cartera lo suficientemente diversificada como para que el riesgo total sea menor que la suma ponderada de sus componentes.</w:t>
      </w:r>
    </w:p>
    <w:p w14:paraId="19B1F9BE" w14:textId="3E77AC55" w:rsidR="00BA74E9" w:rsidRPr="00CF1B34" w:rsidRDefault="00BA74E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Modelo Dupont</w:t>
      </w:r>
    </w:p>
    <w:p w14:paraId="38E93C49" w14:textId="73B331FB" w:rsidR="006A70EE" w:rsidRPr="00CF1B34" w:rsidRDefault="00B2678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Este modelo descompone uno de l</w:t>
      </w:r>
      <w:r w:rsidR="0002157B">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 xml:space="preserve">s ratios de rentabilidad mas utilizados, la rentabilidad sobre recursos propios (ROE), en </w:t>
      </w:r>
      <w:r w:rsidR="006A70EE" w:rsidRPr="00CF1B34">
        <w:rPr>
          <w:rFonts w:ascii="Arial" w:hAnsi="Arial" w:cs="Arial"/>
          <w:color w:val="000000" w:themeColor="text1"/>
          <w:sz w:val="22"/>
          <w:szCs w:val="22"/>
          <w:lang w:val="es-ES_tradnl"/>
        </w:rPr>
        <w:t>varios componentes que nos ayudan a estudiar de donde viene la mejora o el deterioro de la empresa. El estudio de estos componentes a lo largo del t</w:t>
      </w:r>
      <w:r w:rsidR="0002157B">
        <w:rPr>
          <w:rFonts w:ascii="Arial" w:hAnsi="Arial" w:cs="Arial"/>
          <w:color w:val="000000" w:themeColor="text1"/>
          <w:sz w:val="22"/>
          <w:szCs w:val="22"/>
          <w:lang w:val="es-ES_tradnl"/>
        </w:rPr>
        <w:t>ie</w:t>
      </w:r>
      <w:r w:rsidR="006A70EE" w:rsidRPr="00CF1B34">
        <w:rPr>
          <w:rFonts w:ascii="Arial" w:hAnsi="Arial" w:cs="Arial"/>
          <w:color w:val="000000" w:themeColor="text1"/>
          <w:sz w:val="22"/>
          <w:szCs w:val="22"/>
          <w:lang w:val="es-ES_tradnl"/>
        </w:rPr>
        <w:t>mpo nos dar</w:t>
      </w:r>
      <w:r w:rsidR="0002157B">
        <w:rPr>
          <w:rFonts w:ascii="Arial" w:hAnsi="Arial" w:cs="Arial"/>
          <w:color w:val="000000" w:themeColor="text1"/>
          <w:sz w:val="22"/>
          <w:szCs w:val="22"/>
          <w:lang w:val="es-ES_tradnl"/>
        </w:rPr>
        <w:t>á</w:t>
      </w:r>
      <w:r w:rsidR="006A70EE" w:rsidRPr="00CF1B34">
        <w:rPr>
          <w:rFonts w:ascii="Arial" w:hAnsi="Arial" w:cs="Arial"/>
          <w:color w:val="000000" w:themeColor="text1"/>
          <w:sz w:val="22"/>
          <w:szCs w:val="22"/>
          <w:lang w:val="es-ES_tradnl"/>
        </w:rPr>
        <w:t xml:space="preserve"> idea de cómo evoluciona el negocio de una compañía, la rentabilidad de sus activos y la gestión de su endeudamiento.</w:t>
      </w:r>
    </w:p>
    <w:p w14:paraId="322F63C4" w14:textId="1341DD2E" w:rsidR="0002157B" w:rsidRDefault="0002157B"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Modificación de la hipoteca</w:t>
      </w:r>
    </w:p>
    <w:p w14:paraId="63A77E95" w14:textId="77777777" w:rsidR="0002157B" w:rsidRPr="0002157B" w:rsidRDefault="0002157B" w:rsidP="0005621A">
      <w:pPr>
        <w:shd w:val="clear" w:color="auto" w:fill="FFFFFF"/>
        <w:spacing w:afterAutospacing="1"/>
        <w:ind w:left="708"/>
        <w:jc w:val="both"/>
        <w:rPr>
          <w:rFonts w:ascii="Arial" w:hAnsi="Arial" w:cs="Arial"/>
          <w:color w:val="000000"/>
          <w:sz w:val="22"/>
          <w:szCs w:val="22"/>
        </w:rPr>
      </w:pPr>
      <w:r w:rsidRPr="0002157B">
        <w:rPr>
          <w:rFonts w:ascii="Arial" w:hAnsi="Arial" w:cs="Arial"/>
          <w:color w:val="000000"/>
          <w:sz w:val="22"/>
          <w:szCs w:val="22"/>
        </w:rPr>
        <w:t>Una modificación de la hipoteca se refiere a un </w:t>
      </w:r>
      <w:r w:rsidRPr="0002157B">
        <w:rPr>
          <w:rFonts w:ascii="Arial" w:hAnsi="Arial" w:cs="Arial"/>
          <w:b/>
          <w:bCs/>
          <w:color w:val="000000"/>
          <w:sz w:val="22"/>
          <w:szCs w:val="22"/>
        </w:rPr>
        <w:t>cambio en los términos del préstamo hipotecario, como la alteración de los sujetos, el acreedor o las condiciones de pago</w:t>
      </w:r>
      <w:r w:rsidRPr="0002157B">
        <w:rPr>
          <w:rFonts w:ascii="Arial" w:hAnsi="Arial" w:cs="Arial"/>
          <w:color w:val="000000"/>
          <w:sz w:val="22"/>
          <w:szCs w:val="22"/>
        </w:rPr>
        <w:t>. La modificación se puede realizar de varias maneras, como:</w:t>
      </w:r>
    </w:p>
    <w:p w14:paraId="2BB0055A" w14:textId="77777777" w:rsidR="0002157B" w:rsidRPr="0002157B" w:rsidRDefault="0002157B" w:rsidP="004F7A62">
      <w:pPr>
        <w:numPr>
          <w:ilvl w:val="0"/>
          <w:numId w:val="217"/>
        </w:numPr>
        <w:shd w:val="clear" w:color="auto" w:fill="FFFFFF"/>
        <w:spacing w:afterAutospacing="1"/>
        <w:jc w:val="both"/>
        <w:rPr>
          <w:rFonts w:ascii="Arial" w:hAnsi="Arial" w:cs="Arial"/>
          <w:color w:val="000000"/>
          <w:sz w:val="22"/>
          <w:szCs w:val="22"/>
        </w:rPr>
      </w:pPr>
      <w:r w:rsidRPr="0002157B">
        <w:rPr>
          <w:rFonts w:ascii="Arial" w:hAnsi="Arial" w:cs="Arial"/>
          <w:b/>
          <w:bCs/>
          <w:color w:val="000000"/>
          <w:sz w:val="22"/>
          <w:szCs w:val="22"/>
        </w:rPr>
        <w:t>Cesión del crédito</w:t>
      </w:r>
      <w:r w:rsidRPr="0002157B">
        <w:rPr>
          <w:rFonts w:ascii="Arial" w:hAnsi="Arial" w:cs="Arial"/>
          <w:color w:val="000000"/>
          <w:sz w:val="22"/>
          <w:szCs w:val="22"/>
        </w:rPr>
        <w:t>: El acreedor puede ceder su crédito a otra persona, notificando al deudor y obligándolo a pagar al nuevo acreedor.</w:t>
      </w:r>
    </w:p>
    <w:p w14:paraId="1ACA24C4" w14:textId="77777777" w:rsidR="0002157B" w:rsidRPr="0002157B" w:rsidRDefault="0002157B" w:rsidP="004F7A62">
      <w:pPr>
        <w:numPr>
          <w:ilvl w:val="0"/>
          <w:numId w:val="217"/>
        </w:numPr>
        <w:shd w:val="clear" w:color="auto" w:fill="FFFFFF"/>
        <w:spacing w:beforeAutospacing="1" w:afterAutospacing="1"/>
        <w:jc w:val="both"/>
        <w:rPr>
          <w:rFonts w:ascii="Arial" w:hAnsi="Arial" w:cs="Arial"/>
          <w:color w:val="000000"/>
          <w:sz w:val="22"/>
          <w:szCs w:val="22"/>
        </w:rPr>
      </w:pPr>
      <w:r w:rsidRPr="0002157B">
        <w:rPr>
          <w:rFonts w:ascii="Arial" w:hAnsi="Arial" w:cs="Arial"/>
          <w:b/>
          <w:bCs/>
          <w:color w:val="000000"/>
          <w:sz w:val="22"/>
          <w:szCs w:val="22"/>
        </w:rPr>
        <w:t>Novación</w:t>
      </w:r>
      <w:r w:rsidRPr="0002157B">
        <w:rPr>
          <w:rFonts w:ascii="Arial" w:hAnsi="Arial" w:cs="Arial"/>
          <w:color w:val="000000"/>
          <w:sz w:val="22"/>
          <w:szCs w:val="22"/>
        </w:rPr>
        <w:t>: Se sustituye el deudor actual por un nuevo prestatario que asume las obligaciones y derechos del anterior, con la autorización expresa o tácita de la entidad financiera.</w:t>
      </w:r>
    </w:p>
    <w:p w14:paraId="57F1293A" w14:textId="77777777" w:rsidR="0002157B" w:rsidRPr="0002157B" w:rsidRDefault="0002157B" w:rsidP="004F7A62">
      <w:pPr>
        <w:numPr>
          <w:ilvl w:val="0"/>
          <w:numId w:val="217"/>
        </w:numPr>
        <w:shd w:val="clear" w:color="auto" w:fill="FFFFFF"/>
        <w:spacing w:beforeAutospacing="1"/>
        <w:jc w:val="both"/>
        <w:rPr>
          <w:rFonts w:ascii="Arial" w:hAnsi="Arial" w:cs="Arial"/>
          <w:color w:val="000000"/>
          <w:sz w:val="22"/>
          <w:szCs w:val="22"/>
        </w:rPr>
      </w:pPr>
      <w:r w:rsidRPr="0002157B">
        <w:rPr>
          <w:rFonts w:ascii="Arial" w:hAnsi="Arial" w:cs="Arial"/>
          <w:b/>
          <w:bCs/>
          <w:color w:val="000000"/>
          <w:sz w:val="22"/>
          <w:szCs w:val="22"/>
        </w:rPr>
        <w:t>Cambios en las condiciones</w:t>
      </w:r>
      <w:r w:rsidRPr="0002157B">
        <w:rPr>
          <w:rFonts w:ascii="Arial" w:hAnsi="Arial" w:cs="Arial"/>
          <w:color w:val="000000"/>
          <w:sz w:val="22"/>
          <w:szCs w:val="22"/>
        </w:rPr>
        <w:t>: La entidad financiera puede aceptar cambios en las condiciones inicialmente pactadas, siempre y cuando se mantenga la garantía y se realice un análisis de viabilidad económica.</w:t>
      </w:r>
    </w:p>
    <w:p w14:paraId="59C76E7C" w14:textId="77777777" w:rsidR="0002157B" w:rsidRPr="0002157B" w:rsidRDefault="0002157B" w:rsidP="0005621A">
      <w:pPr>
        <w:ind w:firstLine="708"/>
        <w:jc w:val="both"/>
        <w:rPr>
          <w:b/>
          <w:bCs/>
        </w:rPr>
      </w:pPr>
      <w:r w:rsidRPr="0002157B">
        <w:rPr>
          <w:b/>
          <w:bCs/>
        </w:rPr>
        <w:t>Requisitos y formalidades</w:t>
      </w:r>
    </w:p>
    <w:p w14:paraId="52E671C6" w14:textId="77777777" w:rsidR="0002157B" w:rsidRPr="0002157B" w:rsidRDefault="0002157B" w:rsidP="0005621A">
      <w:pPr>
        <w:ind w:firstLine="708"/>
        <w:jc w:val="both"/>
      </w:pPr>
      <w:r w:rsidRPr="0002157B">
        <w:t>Para realizar una modificación de la hipoteca, es necesario:</w:t>
      </w:r>
    </w:p>
    <w:p w14:paraId="6DA793E4" w14:textId="77777777" w:rsidR="0002157B" w:rsidRPr="0002157B" w:rsidRDefault="0002157B" w:rsidP="004F7A62">
      <w:pPr>
        <w:numPr>
          <w:ilvl w:val="0"/>
          <w:numId w:val="218"/>
        </w:numPr>
        <w:shd w:val="clear" w:color="auto" w:fill="FFFFFF"/>
        <w:spacing w:afterAutospacing="1"/>
        <w:jc w:val="both"/>
        <w:rPr>
          <w:rFonts w:ascii="Arial" w:hAnsi="Arial" w:cs="Arial"/>
          <w:color w:val="000000"/>
          <w:sz w:val="22"/>
          <w:szCs w:val="22"/>
        </w:rPr>
      </w:pPr>
      <w:r w:rsidRPr="0002157B">
        <w:rPr>
          <w:rFonts w:ascii="Arial" w:hAnsi="Arial" w:cs="Arial"/>
          <w:b/>
          <w:bCs/>
          <w:color w:val="000000"/>
          <w:sz w:val="22"/>
          <w:szCs w:val="22"/>
        </w:rPr>
        <w:t>Escritura pública</w:t>
      </w:r>
      <w:r w:rsidRPr="0002157B">
        <w:rPr>
          <w:rFonts w:ascii="Arial" w:hAnsi="Arial" w:cs="Arial"/>
          <w:color w:val="000000"/>
          <w:sz w:val="22"/>
          <w:szCs w:val="22"/>
        </w:rPr>
        <w:t>: La modificación debe formalizarse en escritura pública y ser inscrita en el Registro de la Propiedad.</w:t>
      </w:r>
    </w:p>
    <w:p w14:paraId="50E17F4C" w14:textId="77777777" w:rsidR="0002157B" w:rsidRPr="0002157B" w:rsidRDefault="0002157B" w:rsidP="004F7A62">
      <w:pPr>
        <w:numPr>
          <w:ilvl w:val="0"/>
          <w:numId w:val="218"/>
        </w:numPr>
        <w:shd w:val="clear" w:color="auto" w:fill="FFFFFF"/>
        <w:spacing w:beforeAutospacing="1" w:afterAutospacing="1"/>
        <w:jc w:val="both"/>
        <w:rPr>
          <w:rFonts w:ascii="Arial" w:hAnsi="Arial" w:cs="Arial"/>
          <w:color w:val="000000"/>
          <w:sz w:val="22"/>
          <w:szCs w:val="22"/>
        </w:rPr>
      </w:pPr>
      <w:r w:rsidRPr="0002157B">
        <w:rPr>
          <w:rFonts w:ascii="Arial" w:hAnsi="Arial" w:cs="Arial"/>
          <w:b/>
          <w:bCs/>
          <w:color w:val="000000"/>
          <w:sz w:val="22"/>
          <w:szCs w:val="22"/>
        </w:rPr>
        <w:t>Autorización de la entidad</w:t>
      </w:r>
      <w:r w:rsidRPr="0002157B">
        <w:rPr>
          <w:rFonts w:ascii="Arial" w:hAnsi="Arial" w:cs="Arial"/>
          <w:color w:val="000000"/>
          <w:sz w:val="22"/>
          <w:szCs w:val="22"/>
        </w:rPr>
        <w:t>: La entidad financiera debe dar su consentimiento para la modificación, excepto en casos de cesión del crédito, donde el deudor no tiene que consentir la transferencia.</w:t>
      </w:r>
    </w:p>
    <w:p w14:paraId="75DD6EFB" w14:textId="77777777" w:rsidR="0002157B" w:rsidRPr="0002157B" w:rsidRDefault="0002157B" w:rsidP="004F7A62">
      <w:pPr>
        <w:numPr>
          <w:ilvl w:val="0"/>
          <w:numId w:val="218"/>
        </w:numPr>
        <w:shd w:val="clear" w:color="auto" w:fill="FFFFFF"/>
        <w:spacing w:beforeAutospacing="1"/>
        <w:jc w:val="both"/>
        <w:rPr>
          <w:rFonts w:ascii="Arial" w:hAnsi="Arial" w:cs="Arial"/>
          <w:color w:val="000000"/>
          <w:sz w:val="22"/>
          <w:szCs w:val="22"/>
        </w:rPr>
      </w:pPr>
      <w:r w:rsidRPr="0002157B">
        <w:rPr>
          <w:rFonts w:ascii="Arial" w:hAnsi="Arial" w:cs="Arial"/>
          <w:b/>
          <w:bCs/>
          <w:color w:val="000000"/>
          <w:sz w:val="22"/>
          <w:szCs w:val="22"/>
        </w:rPr>
        <w:t>Información previa</w:t>
      </w:r>
      <w:r w:rsidRPr="0002157B">
        <w:rPr>
          <w:rFonts w:ascii="Arial" w:hAnsi="Arial" w:cs="Arial"/>
          <w:color w:val="000000"/>
          <w:sz w:val="22"/>
          <w:szCs w:val="22"/>
        </w:rPr>
        <w:t>: A partir del 16 de junio de 2019, la entidad financiera debe informar al prestatario de los contenidos que se han modificado respecto a lo contratado inicialmente.</w:t>
      </w:r>
    </w:p>
    <w:p w14:paraId="4AF7945C" w14:textId="77777777" w:rsidR="0002157B" w:rsidRPr="0002157B" w:rsidRDefault="0002157B" w:rsidP="0005621A">
      <w:pPr>
        <w:ind w:firstLine="708"/>
        <w:jc w:val="both"/>
        <w:rPr>
          <w:b/>
          <w:bCs/>
        </w:rPr>
      </w:pPr>
      <w:r w:rsidRPr="0002157B">
        <w:rPr>
          <w:b/>
          <w:bCs/>
        </w:rPr>
        <w:t>Consecuencias</w:t>
      </w:r>
    </w:p>
    <w:p w14:paraId="17036CF5" w14:textId="77777777" w:rsidR="0002157B" w:rsidRPr="0002157B" w:rsidRDefault="0002157B" w:rsidP="0005621A">
      <w:pPr>
        <w:ind w:left="708"/>
        <w:jc w:val="both"/>
      </w:pPr>
      <w:r w:rsidRPr="0002157B">
        <w:t>La modificación de la hipoteca puede tener implicaciones en la cuota de pago y en la estructura del préstamo. Es importante considerar las siguientes consecuencias:</w:t>
      </w:r>
    </w:p>
    <w:p w14:paraId="7977BD2E" w14:textId="77777777" w:rsidR="0002157B" w:rsidRPr="0002157B" w:rsidRDefault="0002157B" w:rsidP="004F7A62">
      <w:pPr>
        <w:numPr>
          <w:ilvl w:val="0"/>
          <w:numId w:val="219"/>
        </w:numPr>
        <w:shd w:val="clear" w:color="auto" w:fill="FFFFFF"/>
        <w:spacing w:afterAutospacing="1"/>
        <w:jc w:val="both"/>
        <w:rPr>
          <w:rFonts w:ascii="Arial" w:hAnsi="Arial" w:cs="Arial"/>
          <w:color w:val="000000"/>
          <w:sz w:val="22"/>
          <w:szCs w:val="22"/>
        </w:rPr>
      </w:pPr>
      <w:r w:rsidRPr="0002157B">
        <w:rPr>
          <w:rFonts w:ascii="Arial" w:hAnsi="Arial" w:cs="Arial"/>
          <w:b/>
          <w:bCs/>
          <w:color w:val="000000"/>
          <w:sz w:val="22"/>
          <w:szCs w:val="22"/>
        </w:rPr>
        <w:lastRenderedPageBreak/>
        <w:t>Cambios en la cuota de pago</w:t>
      </w:r>
      <w:r w:rsidRPr="0002157B">
        <w:rPr>
          <w:rFonts w:ascii="Arial" w:hAnsi="Arial" w:cs="Arial"/>
          <w:color w:val="000000"/>
          <w:sz w:val="22"/>
          <w:szCs w:val="22"/>
        </w:rPr>
        <w:t>: La modificación puede afectar la cantidad y frecuencia de las cuotas de pago.</w:t>
      </w:r>
    </w:p>
    <w:p w14:paraId="01A1872D" w14:textId="77777777" w:rsidR="0002157B" w:rsidRPr="0002157B" w:rsidRDefault="0002157B" w:rsidP="004F7A62">
      <w:pPr>
        <w:numPr>
          <w:ilvl w:val="0"/>
          <w:numId w:val="219"/>
        </w:numPr>
        <w:shd w:val="clear" w:color="auto" w:fill="FFFFFF"/>
        <w:spacing w:beforeAutospacing="1" w:afterAutospacing="1"/>
        <w:jc w:val="both"/>
        <w:rPr>
          <w:rFonts w:ascii="Arial" w:hAnsi="Arial" w:cs="Arial"/>
          <w:color w:val="000000"/>
          <w:sz w:val="22"/>
          <w:szCs w:val="22"/>
        </w:rPr>
      </w:pPr>
      <w:r w:rsidRPr="0002157B">
        <w:rPr>
          <w:rFonts w:ascii="Arial" w:hAnsi="Arial" w:cs="Arial"/>
          <w:b/>
          <w:bCs/>
          <w:color w:val="000000"/>
          <w:sz w:val="22"/>
          <w:szCs w:val="22"/>
        </w:rPr>
        <w:t>Nuevos gastos</w:t>
      </w:r>
      <w:r w:rsidRPr="0002157B">
        <w:rPr>
          <w:rFonts w:ascii="Arial" w:hAnsi="Arial" w:cs="Arial"/>
          <w:color w:val="000000"/>
          <w:sz w:val="22"/>
          <w:szCs w:val="22"/>
        </w:rPr>
        <w:t>: La modificación puede generar nuevos gastos, como comisiones o cargos adicionales.</w:t>
      </w:r>
    </w:p>
    <w:p w14:paraId="2CCB6765" w14:textId="77777777" w:rsidR="0002157B" w:rsidRPr="0002157B" w:rsidRDefault="0002157B" w:rsidP="004F7A62">
      <w:pPr>
        <w:numPr>
          <w:ilvl w:val="0"/>
          <w:numId w:val="219"/>
        </w:numPr>
        <w:shd w:val="clear" w:color="auto" w:fill="FFFFFF"/>
        <w:spacing w:beforeAutospacing="1"/>
        <w:jc w:val="both"/>
        <w:rPr>
          <w:rFonts w:ascii="Arial" w:hAnsi="Arial" w:cs="Arial"/>
          <w:color w:val="000000"/>
          <w:sz w:val="22"/>
          <w:szCs w:val="22"/>
        </w:rPr>
      </w:pPr>
      <w:r w:rsidRPr="0002157B">
        <w:rPr>
          <w:rFonts w:ascii="Arial" w:hAnsi="Arial" w:cs="Arial"/>
          <w:b/>
          <w:bCs/>
          <w:color w:val="000000"/>
          <w:sz w:val="22"/>
          <w:szCs w:val="22"/>
        </w:rPr>
        <w:t>Impacto en la garantía</w:t>
      </w:r>
      <w:r w:rsidRPr="0002157B">
        <w:rPr>
          <w:rFonts w:ascii="Arial" w:hAnsi="Arial" w:cs="Arial"/>
          <w:color w:val="000000"/>
          <w:sz w:val="22"/>
          <w:szCs w:val="22"/>
        </w:rPr>
        <w:t>: La modificación debe mantener la garantía original, es decir, la vivienda o propiedad hipotecada.</w:t>
      </w:r>
    </w:p>
    <w:p w14:paraId="480C25E1" w14:textId="77777777" w:rsidR="0002157B" w:rsidRPr="00CF1B34" w:rsidRDefault="0002157B" w:rsidP="0005621A">
      <w:pPr>
        <w:pBdr>
          <w:bottom w:val="dotted" w:sz="12" w:space="12" w:color="666666"/>
        </w:pBdr>
        <w:spacing w:after="240"/>
        <w:ind w:left="720"/>
        <w:jc w:val="both"/>
        <w:rPr>
          <w:rFonts w:ascii="Arial" w:hAnsi="Arial" w:cs="Arial"/>
          <w:color w:val="212529"/>
          <w:sz w:val="22"/>
          <w:szCs w:val="22"/>
          <w:lang w:val="es-ES_tradnl"/>
        </w:rPr>
      </w:pPr>
      <w:r w:rsidRPr="0002157B">
        <w:rPr>
          <w:rFonts w:ascii="Arial" w:hAnsi="Arial" w:cs="Arial"/>
          <w:color w:val="000000"/>
          <w:sz w:val="22"/>
          <w:szCs w:val="22"/>
        </w:rPr>
        <w:t>Es importante consultar con la entidad financiera y un profesional jurídico especializado en derecho hipotecario para obtener asesoramiento personalizado y garantizar que la modificación se realice de manera legal y efectiva.</w:t>
      </w:r>
    </w:p>
    <w:p w14:paraId="534B429F" w14:textId="27EBB26A" w:rsidR="0088640C" w:rsidRDefault="0088640C"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Monetarismo</w:t>
      </w:r>
    </w:p>
    <w:p w14:paraId="47ECE915" w14:textId="48C8B66F" w:rsidR="0088640C" w:rsidRPr="0088640C" w:rsidRDefault="0088640C" w:rsidP="0005621A">
      <w:pPr>
        <w:ind w:left="708"/>
        <w:jc w:val="both"/>
        <w:rPr>
          <w:rFonts w:ascii="Arial" w:hAnsi="Arial" w:cs="Arial"/>
          <w:sz w:val="22"/>
          <w:szCs w:val="22"/>
        </w:rPr>
      </w:pPr>
      <w:r w:rsidRPr="0088640C">
        <w:rPr>
          <w:rFonts w:ascii="Arial" w:hAnsi="Arial" w:cs="Arial"/>
          <w:sz w:val="22"/>
          <w:szCs w:val="22"/>
        </w:rPr>
        <w:t xml:space="preserve">El monetarismo ha sido una </w:t>
      </w:r>
      <w:r>
        <w:rPr>
          <w:rFonts w:ascii="Arial" w:hAnsi="Arial" w:cs="Arial"/>
          <w:sz w:val="22"/>
          <w:szCs w:val="22"/>
        </w:rPr>
        <w:t xml:space="preserve">teoría macroeconómica </w:t>
      </w:r>
      <w:r w:rsidRPr="0088640C">
        <w:rPr>
          <w:rFonts w:ascii="Arial" w:hAnsi="Arial" w:cs="Arial"/>
          <w:sz w:val="22"/>
          <w:szCs w:val="22"/>
        </w:rPr>
        <w:t xml:space="preserve">centrada en la oferta monetaria. Los seguidores de esta teoría se encuentran de acuerdo en que el </w:t>
      </w:r>
      <w:r>
        <w:rPr>
          <w:rFonts w:ascii="Arial" w:hAnsi="Arial" w:cs="Arial"/>
          <w:sz w:val="22"/>
          <w:szCs w:val="22"/>
        </w:rPr>
        <w:t xml:space="preserve">dinero circulante </w:t>
      </w:r>
      <w:r w:rsidRPr="0088640C">
        <w:rPr>
          <w:rFonts w:ascii="Arial" w:hAnsi="Arial" w:cs="Arial"/>
          <w:sz w:val="22"/>
          <w:szCs w:val="22"/>
        </w:rPr>
        <w:t>es un elemento esencial para la determinación de los precios.</w:t>
      </w:r>
    </w:p>
    <w:p w14:paraId="66B6AC7C" w14:textId="5439528F" w:rsidR="0088640C" w:rsidRPr="0088640C" w:rsidRDefault="0088640C" w:rsidP="0005621A">
      <w:pPr>
        <w:ind w:left="708"/>
        <w:jc w:val="both"/>
        <w:rPr>
          <w:rFonts w:ascii="Arial" w:hAnsi="Arial" w:cs="Arial"/>
          <w:sz w:val="22"/>
          <w:szCs w:val="22"/>
        </w:rPr>
      </w:pPr>
      <w:r w:rsidRPr="0088640C">
        <w:rPr>
          <w:rFonts w:ascii="Arial" w:hAnsi="Arial" w:cs="Arial"/>
          <w:sz w:val="22"/>
          <w:szCs w:val="22"/>
        </w:rPr>
        <w:t>Fue formulada por Milton Friedman en los 60. Donde hacía foco en la inflación, mencionando que es un problema estrictamente monetario.</w:t>
      </w:r>
    </w:p>
    <w:p w14:paraId="7162C33B" w14:textId="77777777" w:rsidR="0088640C" w:rsidRPr="00CF1B34" w:rsidRDefault="0088640C" w:rsidP="0005621A">
      <w:pPr>
        <w:pBdr>
          <w:bottom w:val="dotted" w:sz="12" w:space="12" w:color="666666"/>
        </w:pBdr>
        <w:spacing w:after="240"/>
        <w:ind w:left="720"/>
        <w:jc w:val="both"/>
        <w:rPr>
          <w:rFonts w:ascii="Arial" w:hAnsi="Arial" w:cs="Arial"/>
          <w:color w:val="212529"/>
          <w:sz w:val="22"/>
          <w:szCs w:val="22"/>
          <w:lang w:val="es-ES_tradnl"/>
        </w:rPr>
      </w:pPr>
      <w:r w:rsidRPr="0088640C">
        <w:rPr>
          <w:rFonts w:ascii="Arial" w:hAnsi="Arial" w:cs="Arial"/>
          <w:color w:val="333333"/>
          <w:sz w:val="22"/>
          <w:szCs w:val="22"/>
          <w:shd w:val="clear" w:color="auto" w:fill="FFFFFF"/>
        </w:rPr>
        <w:t>El</w:t>
      </w:r>
      <w:r w:rsidRPr="0088640C">
        <w:rPr>
          <w:rStyle w:val="Textoennegrita"/>
          <w:rFonts w:ascii="Arial" w:hAnsi="Arial" w:cs="Arial"/>
          <w:color w:val="333333"/>
          <w:sz w:val="22"/>
          <w:szCs w:val="22"/>
          <w:shd w:val="clear" w:color="auto" w:fill="FFFFFF"/>
        </w:rPr>
        <w:t xml:space="preserve"> monetarismo estipula que la inflación debe su existencia a un aumento en la circulación de dinero</w:t>
      </w:r>
      <w:r w:rsidRPr="0088640C">
        <w:rPr>
          <w:rFonts w:ascii="Arial" w:hAnsi="Arial" w:cs="Arial"/>
          <w:color w:val="333333"/>
          <w:sz w:val="22"/>
          <w:szCs w:val="22"/>
          <w:shd w:val="clear" w:color="auto" w:fill="FFFFFF"/>
        </w:rPr>
        <w:t xml:space="preserve"> no en el mercado financiero si no entre las personas, más allá del que debería existir si se toma en cuanta las reservas del Banco Central y la actividad económica. Por lo que el dinero excedente no cuenta con el respaldo y su valor es inferior al que esté respaldado</w:t>
      </w:r>
    </w:p>
    <w:p w14:paraId="738BE31C" w14:textId="1D5B6837" w:rsidR="00BD4C94" w:rsidRPr="00CF1B34" w:rsidRDefault="00BD4C9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Monopolio</w:t>
      </w:r>
    </w:p>
    <w:p w14:paraId="7EC261BE" w14:textId="77777777" w:rsidR="00BD4C94" w:rsidRPr="00CF1B34" w:rsidRDefault="00BD4C9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Mercado en el que un solo oferente determina el precio y las cantidades ofrecidas. Puede ser estable en casos de monopolio natural o imposición legal (por ejemplo, monopolio fiscal para facilitar la recaudación). Se produce también en productos nuevos o muy sofisticados, especialmente cuando están protegidos por patentes o cuando existen barreras de entrada muy fuertes.</w:t>
      </w:r>
    </w:p>
    <w:p w14:paraId="61026A21" w14:textId="238160A6" w:rsidR="00BA74E9" w:rsidRPr="00CF1B34" w:rsidRDefault="00BA74E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Moody’s</w:t>
      </w:r>
    </w:p>
    <w:p w14:paraId="68D5E468" w14:textId="77777777" w:rsidR="004E367E" w:rsidRPr="00CF1B34" w:rsidRDefault="00FB655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Agencia de calificación que opera en todo el mundo y se encarga de medir la solvencia de los distintos emisores de renta fija. Si deciden bajar la calificación de un país se produce una crisis de confianza</w:t>
      </w:r>
      <w:r w:rsidR="004E367E" w:rsidRPr="00CF1B34">
        <w:rPr>
          <w:rFonts w:ascii="Arial" w:hAnsi="Arial" w:cs="Arial"/>
          <w:color w:val="000000" w:themeColor="text1"/>
          <w:sz w:val="22"/>
          <w:szCs w:val="22"/>
          <w:lang w:val="es-ES_tradnl"/>
        </w:rPr>
        <w:t xml:space="preserve"> en ese país ya que los inversores desconfían y buscan otros países mas solventes. Tiene por tanto mucho poder en el mercado.</w:t>
      </w:r>
    </w:p>
    <w:p w14:paraId="6FDFFA84" w14:textId="77777777" w:rsidR="00D92D2A" w:rsidRPr="00CF1B34" w:rsidRDefault="00D92D2A"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Moratoria Hipotecaria</w:t>
      </w:r>
    </w:p>
    <w:p w14:paraId="7E9A83D3" w14:textId="77777777" w:rsidR="00D92D2A" w:rsidRPr="00CF1B34" w:rsidRDefault="00D92D2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Esta circunstancia hipotecaria se produce cuando la entidad bancaria aplaza los pagos de una hipoteca durante un periodo de tiempo. Básicamente consiste en la demora de las cuotas, y viene sujeta a un plazo y a unas condiciones determinadas. Los motivos pueden ser múltiples, pero básicamente están relacionados con aquellas situaciones que afectan a la solvencia del cliente, y están sujetos a unas condiciones de aceptación. En algunos casos más excepcionales, puede ser el propio Estado o la autoridad que corresponda quien impulse dicha moratoria (por ejemplo, ante la actual situación provocada por el Covid-19).</w:t>
      </w:r>
    </w:p>
    <w:p w14:paraId="1E0D6BB9" w14:textId="77777777" w:rsidR="00D92D2A" w:rsidRPr="00CF1B34" w:rsidRDefault="00D92D2A" w:rsidP="0005621A">
      <w:pPr>
        <w:pStyle w:val="Ttulo2"/>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¿En qué se diferencia una moratoria de una carencia hipotecaria?</w:t>
      </w:r>
    </w:p>
    <w:p w14:paraId="03EA477E" w14:textId="38245CD1" w:rsidR="00D92D2A" w:rsidRPr="00CF1B34" w:rsidRDefault="00D92D2A" w:rsidP="0005621A">
      <w:pPr>
        <w:pStyle w:val="Sinespaciado"/>
        <w:ind w:left="708"/>
        <w:jc w:val="both"/>
        <w:rPr>
          <w:rFonts w:ascii="Arial" w:hAnsi="Arial" w:cs="Arial"/>
          <w:lang w:val="es-ES_tradnl"/>
        </w:rPr>
      </w:pPr>
      <w:r w:rsidRPr="00CF1B34">
        <w:rPr>
          <w:rFonts w:ascii="Arial" w:hAnsi="Arial" w:cs="Arial"/>
          <w:lang w:val="es-ES_tradnl"/>
        </w:rPr>
        <w:t>Aunque son términos muy parecidos porque se refieren a la incapacidad de hacer frente al pago, tienen algunas diferencias. La </w:t>
      </w:r>
      <w:r w:rsidRPr="00CF1B34">
        <w:rPr>
          <w:rStyle w:val="Textoennegrita"/>
          <w:rFonts w:ascii="Arial" w:hAnsi="Arial" w:cs="Arial"/>
          <w:sz w:val="22"/>
          <w:szCs w:val="22"/>
          <w:lang w:val="es-ES_tradnl"/>
        </w:rPr>
        <w:t>carencia hipotecaria</w:t>
      </w:r>
      <w:r w:rsidRPr="00CF1B34">
        <w:rPr>
          <w:rFonts w:ascii="Arial" w:hAnsi="Arial" w:cs="Arial"/>
          <w:lang w:val="es-ES_tradnl"/>
        </w:rPr>
        <w:t xml:space="preserve"> implica la reestructuración del préstamo para ser devuelto de forma más flexible. Puede ser </w:t>
      </w:r>
      <w:r w:rsidRPr="00CF1B34">
        <w:rPr>
          <w:rFonts w:ascii="Arial" w:hAnsi="Arial" w:cs="Arial"/>
          <w:lang w:val="es-ES_tradnl"/>
        </w:rPr>
        <w:lastRenderedPageBreak/>
        <w:t>total, si se suprime la cuota del principal y los intereses durante un periodo pactado; o parcial, si solo se abonan los intereses. La carencia se negocia dentro de las condiciones generales del préstamo. En cambio, </w:t>
      </w:r>
      <w:r w:rsidRPr="00CF1B34">
        <w:rPr>
          <w:rStyle w:val="Textoennegrita"/>
          <w:rFonts w:ascii="Arial" w:hAnsi="Arial" w:cs="Arial"/>
          <w:sz w:val="22"/>
          <w:szCs w:val="22"/>
          <w:lang w:val="es-ES_tradnl"/>
        </w:rPr>
        <w:t>la moratoria </w:t>
      </w:r>
      <w:r w:rsidRPr="00CF1B34">
        <w:rPr>
          <w:rFonts w:ascii="Arial" w:hAnsi="Arial" w:cs="Arial"/>
          <w:lang w:val="es-ES_tradnl"/>
        </w:rPr>
        <w:t>viene determinada por una institución ajena al banco (el Estado o la autoridad económica pertinente), y este no tiene poder de decisión, ni de negociación, debido a su carácter de fuerza mayor o excepcionalidad.</w:t>
      </w:r>
    </w:p>
    <w:p w14:paraId="66098CC0" w14:textId="77777777" w:rsidR="00011712" w:rsidRPr="00CF1B34" w:rsidRDefault="00011712" w:rsidP="0005621A">
      <w:pPr>
        <w:pStyle w:val="Sinespaciado"/>
        <w:ind w:left="708"/>
        <w:jc w:val="both"/>
        <w:rPr>
          <w:rFonts w:ascii="Arial" w:hAnsi="Arial" w:cs="Arial"/>
          <w:lang w:val="es-ES_tradnl"/>
        </w:rPr>
      </w:pPr>
    </w:p>
    <w:p w14:paraId="4DC5517D" w14:textId="77777777" w:rsidR="00D92D2A" w:rsidRPr="00CF1B34" w:rsidRDefault="00D92D2A" w:rsidP="0005621A">
      <w:pPr>
        <w:pStyle w:val="Sinespaciado"/>
        <w:ind w:firstLine="708"/>
        <w:jc w:val="both"/>
        <w:rPr>
          <w:rFonts w:ascii="Arial" w:hAnsi="Arial" w:cs="Arial"/>
          <w:lang w:val="es-ES_tradnl"/>
        </w:rPr>
      </w:pPr>
      <w:r w:rsidRPr="00CF1B34">
        <w:rPr>
          <w:rStyle w:val="Textoennegrita"/>
          <w:rFonts w:ascii="Arial" w:hAnsi="Arial" w:cs="Arial"/>
          <w:sz w:val="22"/>
          <w:szCs w:val="22"/>
          <w:lang w:val="es-ES_tradnl"/>
        </w:rPr>
        <w:t>Situación especial Covid-19</w:t>
      </w:r>
    </w:p>
    <w:p w14:paraId="25D40267" w14:textId="77777777" w:rsidR="00D92D2A" w:rsidRPr="00CF1B34" w:rsidRDefault="00D92D2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especial situación que nos afecta desde hace un año ha provocado una disminución de la solvencia de los consumidores, sujetos a ERTES, ERES y despidos que han afectado gravemente a su capacidad económica. Por ello, se ha publicado el Real Decreto-ley 3/2021, de 2 de febrero, que regula las moratorias ya contempladas en los Reales Decretos-ley 8/2020 y 11/2020, de 17 de marzo y 31 de marzo de 2020, respectivamente. Estos decretos protegen a los deudores vulnerables como consecuencia de esta emergencia sanitaria. Así, podrán acogerse a una demora máxima de 9 meses que no implica un mayor pago futuro como consecuencia del aplazamiento. Podrán acogerse a ella los deudores formalizados antes del 18 de marzo de 2020, que hayan solicitado un préstamo para la compra de vivienda habitual, de un inmueble destinado actividad económica, o de una vivienda no habitual en situación de alquiler, cuya renta se haya dejado de percibir. Estos deudores tendrán que estar en situación de desempleo, o de caída mínima del 40% de sus ventas; tener un tope de ingresos por unidad familiar (en función de cada caso); familias que destinarán un mínimo del 35% de los ingresos a pagar la hipoteca y los suministros básicos (luz, agua, gas); y cuando el pago de la hipoteca suponga un 30% más de la renta familiar debido al COVID-19.</w:t>
      </w:r>
    </w:p>
    <w:p w14:paraId="449393B0" w14:textId="77777777" w:rsidR="00D92D2A" w:rsidRPr="00CF1B34" w:rsidRDefault="00D92D2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Si estamos interesados en solicitarla, tendremos que hacerlo a través del banco que nos haya concedido el préstamo. Este resolverá nuestras dudas, nos ayudará con el envío de la documentación pertinente y con la gestión de la moratoria.</w:t>
      </w:r>
    </w:p>
    <w:p w14:paraId="13428E42" w14:textId="010A0343" w:rsidR="00253AAB" w:rsidRDefault="00253AAB"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Movilidad (empresa)</w:t>
      </w:r>
    </w:p>
    <w:p w14:paraId="49C6609F" w14:textId="210B543D" w:rsidR="00253AAB" w:rsidRPr="00253AAB" w:rsidRDefault="00253AAB" w:rsidP="0005621A">
      <w:pPr>
        <w:ind w:left="708"/>
        <w:jc w:val="both"/>
        <w:rPr>
          <w:rFonts w:ascii="Arial" w:hAnsi="Arial" w:cs="Arial"/>
          <w:sz w:val="22"/>
          <w:szCs w:val="22"/>
        </w:rPr>
      </w:pPr>
      <w:r w:rsidRPr="00253AAB">
        <w:rPr>
          <w:rFonts w:ascii="Arial" w:hAnsi="Arial" w:cs="Arial"/>
          <w:color w:val="333333"/>
          <w:sz w:val="22"/>
          <w:szCs w:val="22"/>
          <w:shd w:val="clear" w:color="auto" w:fill="FFFFFF"/>
        </w:rPr>
        <w:t>El término de movilidad está más de moda que nunca que en el ámbito empresarial y pocas son ya las compañías que no han oído hablar de estas soluciones que abarcan desde teléfonos móviles, smart phones, PDA, tablet PC ordenadores portátiles, estos últimos en menor medida debido a su mayor peso y menor autonomía. Su principal objetivo es aumentar la productividad de la empresa a través de los llamados trabajadores móviles (o teletrabajadores), es decir, empleados que bien pasan mucho tiempo fuera de la oficina o que se encuentran en constante desplazamiento dentro de la misma.</w:t>
      </w:r>
    </w:p>
    <w:p w14:paraId="3D21444E" w14:textId="58734D69" w:rsidR="00253AAB" w:rsidRPr="00253AAB" w:rsidRDefault="00253AAB" w:rsidP="0005621A">
      <w:pPr>
        <w:ind w:left="708"/>
        <w:jc w:val="both"/>
        <w:rPr>
          <w:rFonts w:ascii="Arial" w:hAnsi="Arial" w:cs="Arial"/>
          <w:sz w:val="22"/>
          <w:szCs w:val="22"/>
        </w:rPr>
      </w:pPr>
      <w:r w:rsidRPr="00253AAB">
        <w:rPr>
          <w:rFonts w:ascii="Arial" w:hAnsi="Arial" w:cs="Arial"/>
          <w:color w:val="333333"/>
          <w:sz w:val="22"/>
          <w:szCs w:val="22"/>
          <w:shd w:val="clear" w:color="auto" w:fill="FFFFFF"/>
        </w:rPr>
        <w:t>Las ventajas del uso de aparatos móviles son claras y tienen una relación directa en la productividad y se pueden simplificar en siete puntos</w:t>
      </w:r>
      <w:r w:rsidR="00B45A7C">
        <w:rPr>
          <w:rFonts w:ascii="Arial" w:hAnsi="Arial" w:cs="Arial"/>
          <w:color w:val="333333"/>
          <w:sz w:val="22"/>
          <w:szCs w:val="22"/>
          <w:shd w:val="clear" w:color="auto" w:fill="FFFFFF"/>
        </w:rPr>
        <w:t>:</w:t>
      </w:r>
    </w:p>
    <w:p w14:paraId="66A8AAEC" w14:textId="2E87A2B7" w:rsidR="00253AAB" w:rsidRPr="00253AAB" w:rsidRDefault="00253AAB"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253AAB">
        <w:rPr>
          <w:rFonts w:ascii="Arial" w:hAnsi="Arial" w:cs="Arial"/>
          <w:color w:val="333333"/>
          <w:sz w:val="22"/>
          <w:szCs w:val="22"/>
        </w:rPr>
        <w:t>1-</w:t>
      </w:r>
      <w:r>
        <w:rPr>
          <w:rFonts w:ascii="Arial" w:hAnsi="Arial" w:cs="Arial"/>
          <w:color w:val="333333"/>
          <w:sz w:val="22"/>
          <w:szCs w:val="22"/>
        </w:rPr>
        <w:t xml:space="preserve"> </w:t>
      </w:r>
      <w:r w:rsidRPr="00253AAB">
        <w:rPr>
          <w:rFonts w:ascii="Arial" w:hAnsi="Arial" w:cs="Arial"/>
          <w:color w:val="333333"/>
          <w:sz w:val="22"/>
          <w:szCs w:val="22"/>
        </w:rPr>
        <w:t>Ahorro de tiempo, por ejemplo</w:t>
      </w:r>
      <w:r>
        <w:rPr>
          <w:rFonts w:ascii="Arial" w:hAnsi="Arial" w:cs="Arial"/>
          <w:color w:val="333333"/>
          <w:sz w:val="22"/>
          <w:szCs w:val="22"/>
        </w:rPr>
        <w:t>:</w:t>
      </w:r>
      <w:r w:rsidRPr="00253AAB">
        <w:rPr>
          <w:rFonts w:ascii="Arial" w:hAnsi="Arial" w:cs="Arial"/>
          <w:color w:val="333333"/>
          <w:sz w:val="22"/>
          <w:szCs w:val="22"/>
        </w:rPr>
        <w:t xml:space="preserve"> en el almacén de la compañía. Pomar explica que es habitual tener que cesar la actividad del almacén por lo menos una vez al año para comprobar el stock y el producto, una actividad en la que se puede ahorrar hasta el 75% gracias a una PDA y un sistema de códigos de barra (un standar</w:t>
      </w:r>
      <w:r>
        <w:rPr>
          <w:rFonts w:ascii="Arial" w:hAnsi="Arial" w:cs="Arial"/>
          <w:color w:val="333333"/>
          <w:sz w:val="22"/>
          <w:szCs w:val="22"/>
        </w:rPr>
        <w:t>d</w:t>
      </w:r>
      <w:r w:rsidRPr="00253AAB">
        <w:rPr>
          <w:rFonts w:ascii="Arial" w:hAnsi="Arial" w:cs="Arial"/>
          <w:color w:val="333333"/>
          <w:sz w:val="22"/>
          <w:szCs w:val="22"/>
        </w:rPr>
        <w:t xml:space="preserve"> hoy en día).</w:t>
      </w:r>
    </w:p>
    <w:p w14:paraId="6FB211D9" w14:textId="77777777" w:rsidR="00253AAB" w:rsidRPr="00253AAB" w:rsidRDefault="00253AAB"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253AAB">
        <w:rPr>
          <w:rFonts w:ascii="Arial" w:hAnsi="Arial" w:cs="Arial"/>
          <w:color w:val="333333"/>
          <w:sz w:val="22"/>
          <w:szCs w:val="22"/>
        </w:rPr>
        <w:t>2- Reducción de los costes y los desplazamientos, tanto de los empleados dentro de la oficina como de la flota de comerciales y transportistas.</w:t>
      </w:r>
    </w:p>
    <w:p w14:paraId="1D63A42D" w14:textId="122E24C9" w:rsidR="00253AAB" w:rsidRPr="00253AAB" w:rsidRDefault="00253AAB"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253AAB">
        <w:rPr>
          <w:rFonts w:ascii="Arial" w:hAnsi="Arial" w:cs="Arial"/>
          <w:color w:val="333333"/>
          <w:sz w:val="22"/>
          <w:szCs w:val="22"/>
        </w:rPr>
        <w:t>3-</w:t>
      </w:r>
      <w:r>
        <w:rPr>
          <w:rFonts w:ascii="Arial" w:hAnsi="Arial" w:cs="Arial"/>
          <w:color w:val="333333"/>
          <w:sz w:val="22"/>
          <w:szCs w:val="22"/>
        </w:rPr>
        <w:t xml:space="preserve"> </w:t>
      </w:r>
      <w:r w:rsidRPr="00253AAB">
        <w:rPr>
          <w:rFonts w:ascii="Arial" w:hAnsi="Arial" w:cs="Arial"/>
          <w:color w:val="333333"/>
          <w:sz w:val="22"/>
          <w:szCs w:val="22"/>
        </w:rPr>
        <w:t>Mayor productividad: un buen ejemplo son las empresas de restauración, donde se ahorran costes de papel y se mejora la eficacia a lo largo de todo el proceso (se evitan errores, se mejoran los tiempos de preparación, de facturación…). Así, el ahorro en atención al cliente para restaurantes es del 40%.</w:t>
      </w:r>
    </w:p>
    <w:p w14:paraId="129E0D05" w14:textId="07356CFC" w:rsidR="00253AAB" w:rsidRPr="00253AAB" w:rsidRDefault="00253AAB"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253AAB">
        <w:rPr>
          <w:rFonts w:ascii="Arial" w:hAnsi="Arial" w:cs="Arial"/>
          <w:color w:val="333333"/>
          <w:sz w:val="22"/>
          <w:szCs w:val="22"/>
        </w:rPr>
        <w:t>4-</w:t>
      </w:r>
      <w:r>
        <w:rPr>
          <w:rFonts w:ascii="Arial" w:hAnsi="Arial" w:cs="Arial"/>
          <w:color w:val="333333"/>
          <w:sz w:val="22"/>
          <w:szCs w:val="22"/>
        </w:rPr>
        <w:t xml:space="preserve"> </w:t>
      </w:r>
      <w:r w:rsidRPr="00253AAB">
        <w:rPr>
          <w:rFonts w:ascii="Arial" w:hAnsi="Arial" w:cs="Arial"/>
          <w:color w:val="333333"/>
          <w:sz w:val="22"/>
          <w:szCs w:val="22"/>
        </w:rPr>
        <w:t>Se evitan errores debidos, por ejemplo, a la caligrafía de los comerciales o camareros. En concreto, la precisión en la toma de datos es un 30% mayor.</w:t>
      </w:r>
    </w:p>
    <w:p w14:paraId="546634E8" w14:textId="295E6BF9" w:rsidR="00253AAB" w:rsidRPr="00253AAB" w:rsidRDefault="00253AAB" w:rsidP="0005621A">
      <w:pPr>
        <w:pStyle w:val="NormalWeb"/>
        <w:shd w:val="clear" w:color="auto" w:fill="FFFFFF"/>
        <w:spacing w:before="0" w:beforeAutospacing="0" w:after="165" w:afterAutospacing="0"/>
        <w:ind w:firstLine="708"/>
        <w:jc w:val="both"/>
        <w:rPr>
          <w:rFonts w:ascii="Arial" w:hAnsi="Arial" w:cs="Arial"/>
          <w:color w:val="333333"/>
          <w:sz w:val="22"/>
          <w:szCs w:val="22"/>
        </w:rPr>
      </w:pPr>
      <w:r w:rsidRPr="00253AAB">
        <w:rPr>
          <w:rFonts w:ascii="Arial" w:hAnsi="Arial" w:cs="Arial"/>
          <w:color w:val="333333"/>
          <w:sz w:val="22"/>
          <w:szCs w:val="22"/>
        </w:rPr>
        <w:lastRenderedPageBreak/>
        <w:t>5-</w:t>
      </w:r>
      <w:r>
        <w:rPr>
          <w:rFonts w:ascii="Arial" w:hAnsi="Arial" w:cs="Arial"/>
          <w:color w:val="333333"/>
          <w:sz w:val="22"/>
          <w:szCs w:val="22"/>
        </w:rPr>
        <w:t xml:space="preserve"> </w:t>
      </w:r>
      <w:r w:rsidRPr="00253AAB">
        <w:rPr>
          <w:rFonts w:ascii="Arial" w:hAnsi="Arial" w:cs="Arial"/>
          <w:color w:val="333333"/>
          <w:sz w:val="22"/>
          <w:szCs w:val="22"/>
        </w:rPr>
        <w:t>Mejor atención y servicio al cliente.</w:t>
      </w:r>
    </w:p>
    <w:p w14:paraId="70089C0B" w14:textId="6FAF2852" w:rsidR="00253AAB" w:rsidRPr="00253AAB" w:rsidRDefault="00253AAB"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253AAB">
        <w:rPr>
          <w:rFonts w:ascii="Arial" w:hAnsi="Arial" w:cs="Arial"/>
          <w:color w:val="333333"/>
          <w:sz w:val="22"/>
          <w:szCs w:val="22"/>
        </w:rPr>
        <w:t>6-</w:t>
      </w:r>
      <w:r>
        <w:rPr>
          <w:rFonts w:ascii="Arial" w:hAnsi="Arial" w:cs="Arial"/>
          <w:color w:val="333333"/>
          <w:sz w:val="22"/>
          <w:szCs w:val="22"/>
        </w:rPr>
        <w:t xml:space="preserve"> </w:t>
      </w:r>
      <w:r w:rsidRPr="00253AAB">
        <w:rPr>
          <w:rFonts w:ascii="Arial" w:hAnsi="Arial" w:cs="Arial"/>
          <w:color w:val="333333"/>
          <w:sz w:val="22"/>
          <w:szCs w:val="22"/>
        </w:rPr>
        <w:t xml:space="preserve">Evita accidentes laborales al reducir </w:t>
      </w:r>
      <w:proofErr w:type="gramStart"/>
      <w:r w:rsidRPr="00253AAB">
        <w:rPr>
          <w:rFonts w:ascii="Arial" w:hAnsi="Arial" w:cs="Arial"/>
          <w:color w:val="333333"/>
          <w:sz w:val="22"/>
          <w:szCs w:val="22"/>
        </w:rPr>
        <w:t>e</w:t>
      </w:r>
      <w:proofErr w:type="gramEnd"/>
      <w:r w:rsidRPr="00253AAB">
        <w:rPr>
          <w:rFonts w:ascii="Arial" w:hAnsi="Arial" w:cs="Arial"/>
          <w:color w:val="333333"/>
          <w:sz w:val="22"/>
          <w:szCs w:val="22"/>
        </w:rPr>
        <w:t xml:space="preserve"> movimiento de mercancías (siempre y cuando los códigos de barras estén bien colocados, claro está).</w:t>
      </w:r>
    </w:p>
    <w:p w14:paraId="15574431" w14:textId="08DA41FA" w:rsidR="00253AAB" w:rsidRPr="00253AAB" w:rsidRDefault="00253AAB" w:rsidP="0005621A">
      <w:pPr>
        <w:pStyle w:val="NormalWeb"/>
        <w:shd w:val="clear" w:color="auto" w:fill="FFFFFF"/>
        <w:spacing w:before="0" w:beforeAutospacing="0" w:after="165" w:afterAutospacing="0"/>
        <w:ind w:left="708"/>
        <w:jc w:val="both"/>
        <w:rPr>
          <w:rFonts w:ascii="Arial" w:hAnsi="Arial" w:cs="Arial"/>
          <w:color w:val="333333"/>
          <w:sz w:val="22"/>
          <w:szCs w:val="22"/>
        </w:rPr>
      </w:pPr>
      <w:r w:rsidRPr="00253AAB">
        <w:rPr>
          <w:rFonts w:ascii="Arial" w:hAnsi="Arial" w:cs="Arial"/>
          <w:color w:val="333333"/>
          <w:sz w:val="22"/>
          <w:szCs w:val="22"/>
        </w:rPr>
        <w:t>7-</w:t>
      </w:r>
      <w:r>
        <w:rPr>
          <w:rFonts w:ascii="Arial" w:hAnsi="Arial" w:cs="Arial"/>
          <w:color w:val="333333"/>
          <w:sz w:val="22"/>
          <w:szCs w:val="22"/>
        </w:rPr>
        <w:t xml:space="preserve"> </w:t>
      </w:r>
      <w:r w:rsidRPr="00253AAB">
        <w:rPr>
          <w:rFonts w:ascii="Arial" w:hAnsi="Arial" w:cs="Arial"/>
          <w:color w:val="333333"/>
          <w:sz w:val="22"/>
          <w:szCs w:val="22"/>
        </w:rPr>
        <w:t>Mejora la conciliación de la vida laboral y familiar al permitir el teletrabajo y evitar, por ejemplo, que los comerciales tengan que acudir a la oficina a diario.</w:t>
      </w:r>
    </w:p>
    <w:p w14:paraId="071E2AA3" w14:textId="77777777" w:rsidR="00B45A7C" w:rsidRPr="00CF1B34" w:rsidRDefault="00B45A7C" w:rsidP="0005621A">
      <w:pPr>
        <w:pBdr>
          <w:bottom w:val="dotted" w:sz="12" w:space="12" w:color="666666"/>
        </w:pBdr>
        <w:spacing w:after="240"/>
        <w:ind w:left="720"/>
        <w:jc w:val="both"/>
        <w:rPr>
          <w:rFonts w:ascii="Arial" w:hAnsi="Arial" w:cs="Arial"/>
          <w:color w:val="212529"/>
          <w:sz w:val="22"/>
          <w:szCs w:val="22"/>
          <w:lang w:val="es-ES_tradnl"/>
        </w:rPr>
      </w:pPr>
      <w:r w:rsidRPr="00B45A7C">
        <w:rPr>
          <w:rFonts w:ascii="Arial" w:hAnsi="Arial" w:cs="Arial"/>
          <w:color w:val="333333"/>
          <w:sz w:val="22"/>
          <w:szCs w:val="22"/>
          <w:shd w:val="clear" w:color="auto" w:fill="FFFFFF"/>
        </w:rPr>
        <w:t>De todas formas, no es oro todo lo que reluce y existen una serie de retos para la pyme a la hora de implantar estas tecnologías, que no siempre tienen por qué resultar rentables</w:t>
      </w:r>
      <w:r>
        <w:rPr>
          <w:rFonts w:ascii="Arial" w:hAnsi="Arial" w:cs="Arial"/>
          <w:color w:val="333333"/>
          <w:sz w:val="22"/>
          <w:szCs w:val="22"/>
          <w:shd w:val="clear" w:color="auto" w:fill="FFFFFF"/>
        </w:rPr>
        <w:t>.</w:t>
      </w:r>
    </w:p>
    <w:p w14:paraId="7C36BEB6" w14:textId="5BB69D7B"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MTS España</w:t>
      </w:r>
    </w:p>
    <w:p w14:paraId="5B3F3AC9"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Sistema organizado para la negociación electrónica de deuda pública española, autorizado y supervisado por las autoridades de nuestro país. La liquidación se realiza a través de Iberclear. Todos los participantes en MTS deben estar registrados como titulares de cuenta en el Banco de España.</w:t>
      </w:r>
    </w:p>
    <w:p w14:paraId="23BF15CD"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Muralla china</w:t>
      </w:r>
    </w:p>
    <w:p w14:paraId="74B418B6"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 mecanismo que intenta prevenir la aparición de conflictos de interés, entre distintas empresas de un mismo grupo o entre departamentos de una entidad, que se encuentren relacionados con operaciones que tengan efectos en los mercados de valores (por ejemplo, negociaciones para una fusión, que pueden tener repercusiones distintas en diferentes departamentos o empresas de un grupo financiero). El artículo 83 de la Ley del Mercado de Valores establece que todas las empresas de servicios de inversión y demás entidades que actúen en los mercados de valores ´deberán establecer las medidas necesarias para garantizar que la información reservada o privilegiada derivada de la actividad de cada una de sus divisiones o secciones no se encuentre, directa o indirectamente, al alcance del personal de la propia entidad que preste sus servicios en otro sector de actividad, de manera que cada función se ejerza de forma autónoma. Además, deberán adoptar las medidas pertinentes para que en la toma de decisiones no surjan conflictos de interés, tanto en el seno de lo propia entidad, como entre las entidades pertenecientes a un mismo grupo´.</w:t>
      </w:r>
    </w:p>
    <w:p w14:paraId="5BD36991" w14:textId="05A25A99" w:rsidR="00B65466" w:rsidRPr="00CF1B34" w:rsidRDefault="00B65466" w:rsidP="0005621A">
      <w:pPr>
        <w:jc w:val="both"/>
        <w:rPr>
          <w:rFonts w:ascii="Arial" w:hAnsi="Arial" w:cs="Arial"/>
          <w:sz w:val="22"/>
          <w:szCs w:val="22"/>
          <w:lang w:val="es-ES_tradnl"/>
        </w:rPr>
      </w:pPr>
    </w:p>
    <w:p w14:paraId="407A44D2" w14:textId="3C24E3A5" w:rsidR="00696A3C" w:rsidRPr="00CF1B34" w:rsidRDefault="00696A3C"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N</w:t>
      </w:r>
    </w:p>
    <w:p w14:paraId="30203F6D" w14:textId="319E2F6C" w:rsidR="00696A3C" w:rsidRPr="00CF1B34" w:rsidRDefault="00696A3C" w:rsidP="0005621A">
      <w:pPr>
        <w:jc w:val="both"/>
        <w:rPr>
          <w:rFonts w:ascii="Arial" w:hAnsi="Arial" w:cs="Arial"/>
          <w:sz w:val="22"/>
          <w:szCs w:val="22"/>
          <w:lang w:val="es-ES_tradnl"/>
        </w:rPr>
      </w:pPr>
    </w:p>
    <w:p w14:paraId="1C8E0D2A" w14:textId="77777777" w:rsidR="00011712" w:rsidRPr="00CF1B34" w:rsidRDefault="00011712" w:rsidP="0005621A">
      <w:pPr>
        <w:jc w:val="both"/>
        <w:rPr>
          <w:rFonts w:ascii="Arial" w:hAnsi="Arial" w:cs="Arial"/>
          <w:sz w:val="22"/>
          <w:szCs w:val="22"/>
          <w:lang w:val="es-ES_tradnl"/>
        </w:rPr>
      </w:pPr>
    </w:p>
    <w:p w14:paraId="2B369D70" w14:textId="77777777" w:rsidR="00011712" w:rsidRPr="00CF1B34" w:rsidRDefault="00011712" w:rsidP="0005621A">
      <w:pPr>
        <w:pStyle w:val="Ttulo2"/>
        <w:shd w:val="clear" w:color="auto" w:fill="FFFFFF"/>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NASDAQ</w:t>
      </w:r>
    </w:p>
    <w:p w14:paraId="694293D9" w14:textId="77777777" w:rsidR="00011712" w:rsidRPr="00CF1B34" w:rsidRDefault="00011712"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w:t>
      </w:r>
      <w:r w:rsidRPr="00CF1B34">
        <w:rPr>
          <w:rStyle w:val="Textoennegrita"/>
          <w:rFonts w:ascii="Arial" w:hAnsi="Arial" w:cs="Arial"/>
          <w:color w:val="191B1C"/>
          <w:sz w:val="22"/>
          <w:szCs w:val="22"/>
          <w:lang w:val="es-ES_tradnl"/>
        </w:rPr>
        <w:t>NASDAQ</w:t>
      </w:r>
      <w:r w:rsidRPr="00CF1B34">
        <w:rPr>
          <w:rFonts w:ascii="Arial" w:hAnsi="Arial" w:cs="Arial"/>
          <w:color w:val="191B1C"/>
          <w:sz w:val="22"/>
          <w:szCs w:val="22"/>
          <w:lang w:val="es-ES_tradnl"/>
        </w:rPr>
        <w:t> (</w:t>
      </w:r>
      <w:r w:rsidRPr="00CF1B34">
        <w:rPr>
          <w:rFonts w:ascii="Arial" w:hAnsi="Arial" w:cs="Arial"/>
          <w:b/>
          <w:bCs/>
          <w:i/>
          <w:iCs/>
          <w:color w:val="191B1C"/>
          <w:sz w:val="22"/>
          <w:szCs w:val="22"/>
          <w:lang w:val="es-ES_tradnl"/>
        </w:rPr>
        <w:t>National Association of Securities Dealers Automated Quotation</w:t>
      </w:r>
      <w:r w:rsidRPr="00CF1B34">
        <w:rPr>
          <w:rFonts w:ascii="Arial" w:hAnsi="Arial" w:cs="Arial"/>
          <w:color w:val="191B1C"/>
          <w:sz w:val="22"/>
          <w:szCs w:val="22"/>
          <w:lang w:val="es-ES_tradnl"/>
        </w:rPr>
        <w:t>) es la</w:t>
      </w:r>
      <w:r w:rsidRPr="00CF1B34">
        <w:rPr>
          <w:rFonts w:ascii="Arial" w:hAnsi="Arial" w:cs="Arial"/>
          <w:b/>
          <w:bCs/>
          <w:color w:val="191B1C"/>
          <w:sz w:val="22"/>
          <w:szCs w:val="22"/>
          <w:lang w:val="es-ES_tradnl"/>
        </w:rPr>
        <w:t> </w:t>
      </w:r>
      <w:r w:rsidRPr="00CF1B34">
        <w:rPr>
          <w:rStyle w:val="Textoennegrita"/>
          <w:rFonts w:ascii="Arial" w:hAnsi="Arial" w:cs="Arial"/>
          <w:b w:val="0"/>
          <w:bCs w:val="0"/>
          <w:color w:val="191B1C"/>
          <w:sz w:val="22"/>
          <w:szCs w:val="22"/>
          <w:lang w:val="es-ES_tradnl"/>
        </w:rPr>
        <w:t>mayor bolsa de valores en formato electrónico de Estados Unidos</w:t>
      </w:r>
      <w:r w:rsidRPr="00CF1B34">
        <w:rPr>
          <w:rFonts w:ascii="Arial" w:hAnsi="Arial" w:cs="Arial"/>
          <w:color w:val="191B1C"/>
          <w:sz w:val="22"/>
          <w:szCs w:val="22"/>
          <w:lang w:val="es-ES_tradnl"/>
        </w:rPr>
        <w:t>.</w:t>
      </w:r>
    </w:p>
    <w:p w14:paraId="6239479E" w14:textId="77777777" w:rsidR="00011712" w:rsidRPr="00CF1B34" w:rsidRDefault="0001171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Engloba empresas de la llamada “New Economy” (electrónica, informática, telecomunicaciones y biotecnología), ya sean americanas o extranjeras. Éstas son las dos principales diferencias con respecto a otros mercados o índices como el Dow Jones(industriales) o el S&amp;P 500 (generalista), que además no engloban compañías registradas fuera de Estados Unidos</w:t>
      </w:r>
      <w:r w:rsidRPr="00CF1B34">
        <w:rPr>
          <w:rFonts w:ascii="Arial" w:hAnsi="Arial" w:cs="Arial"/>
          <w:color w:val="191B1C"/>
          <w:lang w:val="es-ES_tradnl"/>
        </w:rPr>
        <w:t>.</w:t>
      </w:r>
    </w:p>
    <w:p w14:paraId="07857A54" w14:textId="337ECA59" w:rsidR="00011712" w:rsidRPr="00CF1B34" w:rsidRDefault="0042774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Negociable</w:t>
      </w:r>
    </w:p>
    <w:p w14:paraId="0681EF87" w14:textId="77777777" w:rsidR="00CC400B" w:rsidRPr="00CF1B34" w:rsidRDefault="004A602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Algo que puede ser </w:t>
      </w:r>
      <w:r w:rsidR="00CC400B" w:rsidRPr="00CF1B34">
        <w:rPr>
          <w:rFonts w:ascii="Arial" w:hAnsi="Arial" w:cs="Arial"/>
          <w:color w:val="000000" w:themeColor="text1"/>
          <w:sz w:val="22"/>
          <w:szCs w:val="22"/>
          <w:lang w:val="es-ES_tradnl"/>
        </w:rPr>
        <w:t>c</w:t>
      </w:r>
      <w:r w:rsidRPr="00CF1B34">
        <w:rPr>
          <w:rFonts w:ascii="Arial" w:hAnsi="Arial" w:cs="Arial"/>
          <w:color w:val="000000" w:themeColor="text1"/>
          <w:sz w:val="22"/>
          <w:szCs w:val="22"/>
          <w:lang w:val="es-ES_tradnl"/>
        </w:rPr>
        <w:t xml:space="preserve">omprado </w:t>
      </w:r>
      <w:r w:rsidR="00CC400B" w:rsidRPr="00CF1B34">
        <w:rPr>
          <w:rFonts w:ascii="Arial" w:hAnsi="Arial" w:cs="Arial"/>
          <w:color w:val="000000" w:themeColor="text1"/>
          <w:sz w:val="22"/>
          <w:szCs w:val="22"/>
          <w:lang w:val="es-ES_tradnl"/>
        </w:rPr>
        <w:t>o vendido.</w:t>
      </w:r>
    </w:p>
    <w:p w14:paraId="5055256D" w14:textId="66AE51D6" w:rsidR="00427744" w:rsidRPr="00CF1B34" w:rsidRDefault="0042774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lastRenderedPageBreak/>
        <w:t>Negociación de Bloques</w:t>
      </w:r>
    </w:p>
    <w:p w14:paraId="0E383613" w14:textId="77777777" w:rsidR="00FD5AB0" w:rsidRPr="00CF1B34" w:rsidRDefault="00FD5AB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Operaciones bursátiles realizadas sobre grandes bloques de acciones y que normalmente responden a situaciones especiales de contratación.</w:t>
      </w:r>
    </w:p>
    <w:p w14:paraId="63BB8F41" w14:textId="1456A8A5" w:rsidR="00B45A7C" w:rsidRDefault="00B45A7C" w:rsidP="0005621A">
      <w:pPr>
        <w:jc w:val="both"/>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Negocios híbridos</w:t>
      </w:r>
    </w:p>
    <w:p w14:paraId="48C94551" w14:textId="77777777" w:rsidR="00B45A7C" w:rsidRDefault="00B45A7C" w:rsidP="0005621A">
      <w:pPr>
        <w:jc w:val="both"/>
        <w:rPr>
          <w:rFonts w:ascii="Arial" w:hAnsi="Arial" w:cs="Arial"/>
          <w:b/>
          <w:bCs/>
          <w:color w:val="2F5496" w:themeColor="accent1" w:themeShade="BF"/>
          <w:sz w:val="22"/>
          <w:szCs w:val="22"/>
          <w:lang w:val="es-ES_tradnl"/>
        </w:rPr>
      </w:pPr>
    </w:p>
    <w:p w14:paraId="5FFF0BE7" w14:textId="77777777" w:rsidR="00B45A7C" w:rsidRDefault="00B45A7C" w:rsidP="0005621A">
      <w:pPr>
        <w:jc w:val="both"/>
        <w:rPr>
          <w:rFonts w:ascii="Arial" w:hAnsi="Arial" w:cs="Arial"/>
          <w:b/>
          <w:bCs/>
          <w:color w:val="2F5496" w:themeColor="accent1" w:themeShade="BF"/>
          <w:sz w:val="22"/>
          <w:szCs w:val="22"/>
          <w:lang w:val="es-ES_tradnl"/>
        </w:rPr>
      </w:pPr>
    </w:p>
    <w:p w14:paraId="679D4266" w14:textId="6C7502F3" w:rsidR="00427744" w:rsidRPr="00CF1B34" w:rsidRDefault="0042774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Neto patrimonial</w:t>
      </w:r>
    </w:p>
    <w:p w14:paraId="0510BD74" w14:textId="77777777" w:rsidR="00FD5AB0" w:rsidRPr="00CF1B34" w:rsidRDefault="00FD5AB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Lo que realmente posee la sociedad, y su calculo mas sencillo es el de restar a los fondos propios los gastos amortizables y todos aquellos activos ficticios.</w:t>
      </w:r>
    </w:p>
    <w:p w14:paraId="21133F94" w14:textId="77777777"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No acumulativo</w:t>
      </w:r>
    </w:p>
    <w:p w14:paraId="7A7AD09A" w14:textId="77777777" w:rsidR="00696A3C" w:rsidRPr="00CF1B34" w:rsidRDefault="00696A3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el ámbito de los mercados de valores, esta acepción hace referencia a aquellos derechos de cobro que se pierden si no se hacen efectivos en el momento previsto. Por ejemplo, la remuneración de las participaciones preferentes suele ser no acumulativa; por tanto, si en un ejercicio no hay suficientes beneficios distribuibles, se pierde el derecho a su percepción.</w:t>
      </w:r>
    </w:p>
    <w:p w14:paraId="541CEBB1" w14:textId="4614BEAC" w:rsidR="00B45A7C" w:rsidRDefault="00B45A7C"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Nómina</w:t>
      </w:r>
    </w:p>
    <w:p w14:paraId="7E497EC7" w14:textId="1647EB91" w:rsidR="006A5E2F" w:rsidRPr="006A5E2F" w:rsidRDefault="006A5E2F" w:rsidP="0005621A">
      <w:pPr>
        <w:jc w:val="both"/>
        <w:rPr>
          <w:rFonts w:ascii="Arial" w:hAnsi="Arial" w:cs="Arial"/>
          <w:sz w:val="22"/>
          <w:szCs w:val="22"/>
        </w:rPr>
      </w:pPr>
      <w:r w:rsidRPr="006A5E2F">
        <w:rPr>
          <w:rStyle w:val="Textoennegrita"/>
          <w:rFonts w:ascii="Arial" w:hAnsi="Arial" w:cs="Arial"/>
          <w:color w:val="333333"/>
          <w:sz w:val="22"/>
          <w:szCs w:val="22"/>
          <w:shd w:val="clear" w:color="auto" w:fill="FFFFFF"/>
        </w:rPr>
        <w:t>Una nómina es el recibo del pago de un salario.</w:t>
      </w:r>
      <w:r w:rsidR="00C14A9E">
        <w:rPr>
          <w:rStyle w:val="Textoennegrita"/>
          <w:rFonts w:ascii="Arial" w:hAnsi="Arial" w:cs="Arial"/>
          <w:color w:val="333333"/>
          <w:sz w:val="22"/>
          <w:szCs w:val="22"/>
          <w:shd w:val="clear" w:color="auto" w:fill="FFFFFF"/>
        </w:rPr>
        <w:t xml:space="preserve"> </w:t>
      </w:r>
      <w:r w:rsidRPr="006A5E2F">
        <w:rPr>
          <w:rFonts w:ascii="Arial" w:hAnsi="Arial" w:cs="Arial"/>
          <w:sz w:val="22"/>
          <w:szCs w:val="22"/>
          <w:shd w:val="clear" w:color="auto" w:fill="FFFFFF"/>
        </w:rPr>
        <w:t>Se trata de un documento que la empresa entrega al trabajador en el que se recogen el sueldo que recibe a cambio del trabajo realizado, las retenciones que se le practican y otras percepciones económicas adicionales.</w:t>
      </w:r>
    </w:p>
    <w:p w14:paraId="1526CF94" w14:textId="24567210" w:rsidR="006A5E2F" w:rsidRPr="006A5E2F" w:rsidRDefault="006A5E2F" w:rsidP="0005621A">
      <w:pPr>
        <w:jc w:val="both"/>
        <w:rPr>
          <w:rFonts w:ascii="Arial" w:hAnsi="Arial" w:cs="Arial"/>
          <w:sz w:val="22"/>
          <w:szCs w:val="22"/>
        </w:rPr>
      </w:pPr>
      <w:r w:rsidRPr="006A5E2F">
        <w:rPr>
          <w:rFonts w:ascii="Arial" w:hAnsi="Arial" w:cs="Arial"/>
          <w:sz w:val="22"/>
          <w:szCs w:val="22"/>
          <w:shd w:val="clear" w:color="auto" w:fill="FFFFFF"/>
        </w:rPr>
        <w:t>Las nóminas se pueden clasificar según la </w:t>
      </w:r>
      <w:r w:rsidRPr="006A5E2F">
        <w:rPr>
          <w:rStyle w:val="Textoennegrita"/>
          <w:rFonts w:ascii="Arial" w:hAnsi="Arial" w:cs="Arial"/>
          <w:color w:val="333333"/>
          <w:sz w:val="22"/>
          <w:szCs w:val="22"/>
          <w:shd w:val="clear" w:color="auto" w:fill="FFFFFF"/>
        </w:rPr>
        <w:t>periodicidad del pago</w:t>
      </w:r>
      <w:r w:rsidR="00C14A9E">
        <w:rPr>
          <w:rFonts w:ascii="Arial" w:hAnsi="Arial" w:cs="Arial"/>
          <w:sz w:val="22"/>
          <w:szCs w:val="22"/>
          <w:shd w:val="clear" w:color="auto" w:fill="FFFFFF"/>
        </w:rPr>
        <w:t xml:space="preserve"> </w:t>
      </w:r>
      <w:r w:rsidRPr="006A5E2F">
        <w:rPr>
          <w:rFonts w:ascii="Arial" w:hAnsi="Arial" w:cs="Arial"/>
          <w:sz w:val="22"/>
          <w:szCs w:val="22"/>
          <w:shd w:val="clear" w:color="auto" w:fill="FFFFFF"/>
        </w:rPr>
        <w:t>(semanales, quincenales o mensuales, las más habituales en España), según</w:t>
      </w:r>
      <w:r w:rsidR="00C14A9E">
        <w:rPr>
          <w:rFonts w:ascii="Arial" w:hAnsi="Arial" w:cs="Arial"/>
          <w:sz w:val="22"/>
          <w:szCs w:val="22"/>
          <w:shd w:val="clear" w:color="auto" w:fill="FFFFFF"/>
        </w:rPr>
        <w:t xml:space="preserve"> </w:t>
      </w:r>
      <w:r w:rsidRPr="006A5E2F">
        <w:rPr>
          <w:rStyle w:val="Textoennegrita"/>
          <w:rFonts w:ascii="Arial" w:hAnsi="Arial" w:cs="Arial"/>
          <w:color w:val="333333"/>
          <w:sz w:val="22"/>
          <w:szCs w:val="22"/>
          <w:shd w:val="clear" w:color="auto" w:fill="FFFFFF"/>
        </w:rPr>
        <w:t>el tipo de personal</w:t>
      </w:r>
      <w:r w:rsidR="00C14A9E">
        <w:rPr>
          <w:rFonts w:ascii="Arial" w:hAnsi="Arial" w:cs="Arial"/>
          <w:sz w:val="22"/>
          <w:szCs w:val="22"/>
          <w:shd w:val="clear" w:color="auto" w:fill="FFFFFF"/>
        </w:rPr>
        <w:t xml:space="preserve"> </w:t>
      </w:r>
      <w:r w:rsidRPr="006A5E2F">
        <w:rPr>
          <w:rFonts w:ascii="Arial" w:hAnsi="Arial" w:cs="Arial"/>
          <w:sz w:val="22"/>
          <w:szCs w:val="22"/>
          <w:shd w:val="clear" w:color="auto" w:fill="FFFFFF"/>
        </w:rPr>
        <w:t>(nóminas de altos cargos o ejecutivos y nóminas del personal general) y según</w:t>
      </w:r>
      <w:r w:rsidR="00C14A9E">
        <w:rPr>
          <w:rFonts w:ascii="Arial" w:hAnsi="Arial" w:cs="Arial"/>
          <w:sz w:val="22"/>
          <w:szCs w:val="22"/>
          <w:shd w:val="clear" w:color="auto" w:fill="FFFFFF"/>
        </w:rPr>
        <w:t xml:space="preserve"> </w:t>
      </w:r>
      <w:r w:rsidRPr="006A5E2F">
        <w:rPr>
          <w:rStyle w:val="Textoennegrita"/>
          <w:rFonts w:ascii="Arial" w:hAnsi="Arial" w:cs="Arial"/>
          <w:color w:val="333333"/>
          <w:sz w:val="22"/>
          <w:szCs w:val="22"/>
          <w:shd w:val="clear" w:color="auto" w:fill="FFFFFF"/>
        </w:rPr>
        <w:t>circunstancias especiales.</w:t>
      </w:r>
      <w:r w:rsidRPr="006A5E2F">
        <w:rPr>
          <w:rFonts w:ascii="Arial" w:hAnsi="Arial" w:cs="Arial"/>
          <w:sz w:val="22"/>
          <w:szCs w:val="22"/>
          <w:shd w:val="clear" w:color="auto" w:fill="FFFFFF"/>
        </w:rPr>
        <w:t> En este último caso se engloban las nóminas que incluyen horas extras, pagas extraordinarias prorrateadas o aquellas en las que se contempla una baja por enfermedad.</w:t>
      </w:r>
    </w:p>
    <w:p w14:paraId="330CA348" w14:textId="77FC9FCF" w:rsidR="006A5E2F" w:rsidRPr="006A5E2F" w:rsidRDefault="006A5E2F" w:rsidP="0005621A">
      <w:pPr>
        <w:jc w:val="both"/>
        <w:rPr>
          <w:rFonts w:ascii="Arial" w:hAnsi="Arial" w:cs="Arial"/>
          <w:sz w:val="22"/>
          <w:szCs w:val="22"/>
        </w:rPr>
      </w:pPr>
      <w:r w:rsidRPr="006A5E2F">
        <w:rPr>
          <w:rFonts w:ascii="Arial" w:hAnsi="Arial" w:cs="Arial"/>
          <w:b/>
          <w:bCs/>
          <w:sz w:val="22"/>
          <w:szCs w:val="22"/>
        </w:rPr>
        <w:t>Partes que conforman la nómina:</w:t>
      </w:r>
    </w:p>
    <w:p w14:paraId="1B53023A" w14:textId="77777777" w:rsidR="006A5E2F" w:rsidRPr="006A5E2F" w:rsidRDefault="006A5E2F" w:rsidP="0005621A">
      <w:pPr>
        <w:jc w:val="both"/>
        <w:rPr>
          <w:rFonts w:ascii="Arial" w:hAnsi="Arial" w:cs="Arial"/>
          <w:sz w:val="22"/>
          <w:szCs w:val="22"/>
        </w:rPr>
      </w:pPr>
      <w:r w:rsidRPr="006A5E2F">
        <w:rPr>
          <w:rFonts w:ascii="Arial" w:hAnsi="Arial" w:cs="Arial"/>
          <w:sz w:val="22"/>
          <w:szCs w:val="22"/>
        </w:rPr>
        <w:t>Estos datos se distribuyen en varias partes: el encabezado, los devengos, las deducciones, el líquido a percibir y el bloque de sello y firmas, siguiendo un modelo oficial de recibo individual de salarios aprobado por el Gobierno.</w:t>
      </w:r>
    </w:p>
    <w:p w14:paraId="7EBE6081" w14:textId="77777777" w:rsidR="006A5E2F" w:rsidRPr="006A5E2F" w:rsidRDefault="006A5E2F" w:rsidP="0005621A">
      <w:pPr>
        <w:jc w:val="both"/>
        <w:rPr>
          <w:rFonts w:ascii="Arial" w:hAnsi="Arial" w:cs="Arial"/>
          <w:b/>
          <w:bCs/>
          <w:sz w:val="22"/>
          <w:szCs w:val="22"/>
        </w:rPr>
      </w:pPr>
      <w:r w:rsidRPr="006A5E2F">
        <w:rPr>
          <w:rFonts w:ascii="Arial" w:hAnsi="Arial" w:cs="Arial"/>
          <w:b/>
          <w:bCs/>
          <w:sz w:val="22"/>
          <w:szCs w:val="22"/>
        </w:rPr>
        <w:t>Encabezado</w:t>
      </w:r>
    </w:p>
    <w:p w14:paraId="69336188" w14:textId="77777777" w:rsidR="006A5E2F" w:rsidRPr="006A5E2F" w:rsidRDefault="006A5E2F" w:rsidP="0005621A">
      <w:pPr>
        <w:jc w:val="both"/>
        <w:rPr>
          <w:rFonts w:ascii="Arial" w:hAnsi="Arial" w:cs="Arial"/>
          <w:sz w:val="22"/>
          <w:szCs w:val="22"/>
        </w:rPr>
      </w:pPr>
      <w:r w:rsidRPr="006A5E2F">
        <w:rPr>
          <w:rFonts w:ascii="Arial" w:hAnsi="Arial" w:cs="Arial"/>
          <w:sz w:val="22"/>
          <w:szCs w:val="22"/>
        </w:rPr>
        <w:t>En la parte superior de la nómina deben incluirse obligatoriamente </w:t>
      </w:r>
      <w:r w:rsidRPr="006A5E2F">
        <w:rPr>
          <w:rStyle w:val="Textoennegrita"/>
          <w:rFonts w:ascii="Arial" w:hAnsi="Arial" w:cs="Arial"/>
          <w:color w:val="333333"/>
          <w:sz w:val="22"/>
          <w:szCs w:val="22"/>
        </w:rPr>
        <w:t>datos que sirvan para identificar a la empresa y al trabajador.</w:t>
      </w:r>
      <w:r w:rsidRPr="006A5E2F">
        <w:rPr>
          <w:rFonts w:ascii="Arial" w:hAnsi="Arial" w:cs="Arial"/>
          <w:sz w:val="22"/>
          <w:szCs w:val="22"/>
        </w:rPr>
        <w:t> De la empresa se especificará su denominación social, dirección, CIF y código de la cuenta de cotización de la Seguridad Social. Por parte del empleado se incluirán su nombre y apellidos, DNI, número de afiliación a la Seguridad Social, categoría profesional y antigüedad en la empresa.</w:t>
      </w:r>
    </w:p>
    <w:p w14:paraId="688924CE" w14:textId="2EECB92F" w:rsidR="006A5E2F" w:rsidRPr="006A5E2F" w:rsidRDefault="006A5E2F" w:rsidP="0005621A">
      <w:pPr>
        <w:jc w:val="both"/>
        <w:rPr>
          <w:rFonts w:ascii="Arial" w:hAnsi="Arial" w:cs="Arial"/>
          <w:sz w:val="22"/>
          <w:szCs w:val="22"/>
        </w:rPr>
      </w:pPr>
      <w:r w:rsidRPr="006A5E2F">
        <w:rPr>
          <w:rFonts w:ascii="Arial" w:hAnsi="Arial" w:cs="Arial"/>
          <w:sz w:val="22"/>
          <w:szCs w:val="22"/>
        </w:rPr>
        <w:t>En esta parte de la nómina ha de añadirse el</w:t>
      </w:r>
      <w:r w:rsidR="00C14A9E">
        <w:rPr>
          <w:rFonts w:ascii="Arial" w:hAnsi="Arial" w:cs="Arial"/>
          <w:sz w:val="22"/>
          <w:szCs w:val="22"/>
        </w:rPr>
        <w:t xml:space="preserve"> </w:t>
      </w:r>
      <w:r w:rsidRPr="006A5E2F">
        <w:rPr>
          <w:rStyle w:val="Textoennegrita"/>
          <w:rFonts w:ascii="Arial" w:hAnsi="Arial" w:cs="Arial"/>
          <w:color w:val="333333"/>
          <w:sz w:val="22"/>
          <w:szCs w:val="22"/>
        </w:rPr>
        <w:t>periodo de liquidación</w:t>
      </w:r>
      <w:r w:rsidR="00C14A9E">
        <w:rPr>
          <w:rStyle w:val="Textoennegrita"/>
          <w:rFonts w:ascii="Arial" w:hAnsi="Arial" w:cs="Arial"/>
          <w:color w:val="333333"/>
          <w:sz w:val="22"/>
          <w:szCs w:val="22"/>
        </w:rPr>
        <w:t xml:space="preserve"> </w:t>
      </w:r>
      <w:r w:rsidRPr="006A5E2F">
        <w:rPr>
          <w:rFonts w:ascii="Arial" w:hAnsi="Arial" w:cs="Arial"/>
          <w:sz w:val="22"/>
          <w:szCs w:val="22"/>
        </w:rPr>
        <w:t>de la misma (habitualmente un mes).</w:t>
      </w:r>
    </w:p>
    <w:p w14:paraId="7055DB0F" w14:textId="77777777" w:rsidR="006A5E2F" w:rsidRPr="006A5E2F" w:rsidRDefault="006A5E2F" w:rsidP="0005621A">
      <w:pPr>
        <w:jc w:val="both"/>
        <w:rPr>
          <w:rFonts w:ascii="Arial" w:hAnsi="Arial" w:cs="Arial"/>
          <w:b/>
          <w:bCs/>
          <w:sz w:val="22"/>
          <w:szCs w:val="22"/>
        </w:rPr>
      </w:pPr>
      <w:r w:rsidRPr="006A5E2F">
        <w:rPr>
          <w:rFonts w:ascii="Arial" w:hAnsi="Arial" w:cs="Arial"/>
          <w:b/>
          <w:bCs/>
          <w:sz w:val="22"/>
          <w:szCs w:val="22"/>
        </w:rPr>
        <w:t>Devengos</w:t>
      </w:r>
    </w:p>
    <w:p w14:paraId="28C1C1B1" w14:textId="42EA9135" w:rsidR="006A5E2F" w:rsidRPr="006A5E2F" w:rsidRDefault="006A5E2F" w:rsidP="0005621A">
      <w:pPr>
        <w:jc w:val="both"/>
        <w:rPr>
          <w:rFonts w:ascii="Arial" w:hAnsi="Arial" w:cs="Arial"/>
          <w:sz w:val="22"/>
          <w:szCs w:val="22"/>
        </w:rPr>
      </w:pPr>
      <w:r w:rsidRPr="006A5E2F">
        <w:rPr>
          <w:rFonts w:ascii="Arial" w:hAnsi="Arial" w:cs="Arial"/>
          <w:sz w:val="22"/>
          <w:szCs w:val="22"/>
        </w:rPr>
        <w:t>En el apartado de devengos de la nómina se detallan los ingresos que percibirá el trabajador, incluyendo tanto las </w:t>
      </w:r>
      <w:r w:rsidRPr="006A5E2F">
        <w:rPr>
          <w:rStyle w:val="Textoennegrita"/>
          <w:rFonts w:ascii="Arial" w:hAnsi="Arial" w:cs="Arial"/>
          <w:color w:val="333333"/>
          <w:sz w:val="22"/>
          <w:szCs w:val="22"/>
        </w:rPr>
        <w:t>percepciones salariales</w:t>
      </w:r>
      <w:r w:rsidR="00C14A9E">
        <w:rPr>
          <w:rFonts w:ascii="Arial" w:hAnsi="Arial" w:cs="Arial"/>
          <w:sz w:val="22"/>
          <w:szCs w:val="22"/>
        </w:rPr>
        <w:t xml:space="preserve"> </w:t>
      </w:r>
      <w:r w:rsidRPr="006A5E2F">
        <w:rPr>
          <w:rFonts w:ascii="Arial" w:hAnsi="Arial" w:cs="Arial"/>
          <w:sz w:val="22"/>
          <w:szCs w:val="22"/>
        </w:rPr>
        <w:t>(sueldo base, complementos, horas extra, salario en especie...) como las</w:t>
      </w:r>
      <w:r w:rsidR="00C14A9E">
        <w:rPr>
          <w:rFonts w:ascii="Arial" w:hAnsi="Arial" w:cs="Arial"/>
          <w:sz w:val="22"/>
          <w:szCs w:val="22"/>
        </w:rPr>
        <w:t xml:space="preserve"> </w:t>
      </w:r>
      <w:r w:rsidRPr="006A5E2F">
        <w:rPr>
          <w:rStyle w:val="Textoennegrita"/>
          <w:rFonts w:ascii="Arial" w:hAnsi="Arial" w:cs="Arial"/>
          <w:color w:val="333333"/>
          <w:sz w:val="22"/>
          <w:szCs w:val="22"/>
        </w:rPr>
        <w:t>no salariales</w:t>
      </w:r>
      <w:r w:rsidR="00C14A9E">
        <w:rPr>
          <w:rFonts w:ascii="Arial" w:hAnsi="Arial" w:cs="Arial"/>
          <w:sz w:val="22"/>
          <w:szCs w:val="22"/>
        </w:rPr>
        <w:t xml:space="preserve"> </w:t>
      </w:r>
      <w:r w:rsidRPr="006A5E2F">
        <w:rPr>
          <w:rFonts w:ascii="Arial" w:hAnsi="Arial" w:cs="Arial"/>
          <w:sz w:val="22"/>
          <w:szCs w:val="22"/>
        </w:rPr>
        <w:t>(indemnizaciones y suplidos, dietas, gastos de locomoción, prestaciones de la Seguridad Social...).</w:t>
      </w:r>
    </w:p>
    <w:p w14:paraId="2C3064DD" w14:textId="77777777" w:rsidR="006A5E2F" w:rsidRPr="006A5E2F" w:rsidRDefault="006A5E2F" w:rsidP="0005621A">
      <w:pPr>
        <w:jc w:val="both"/>
        <w:rPr>
          <w:rFonts w:ascii="Arial" w:hAnsi="Arial" w:cs="Arial"/>
          <w:b/>
          <w:bCs/>
          <w:sz w:val="22"/>
          <w:szCs w:val="22"/>
        </w:rPr>
      </w:pPr>
      <w:r w:rsidRPr="006A5E2F">
        <w:rPr>
          <w:rFonts w:ascii="Arial" w:hAnsi="Arial" w:cs="Arial"/>
          <w:b/>
          <w:bCs/>
          <w:sz w:val="22"/>
          <w:szCs w:val="22"/>
        </w:rPr>
        <w:t>Deducciones</w:t>
      </w:r>
    </w:p>
    <w:p w14:paraId="579A49A7" w14:textId="66DA0E21" w:rsidR="006A5E2F" w:rsidRPr="006A5E2F" w:rsidRDefault="006A5E2F" w:rsidP="0005621A">
      <w:pPr>
        <w:jc w:val="both"/>
        <w:rPr>
          <w:rFonts w:ascii="Arial" w:hAnsi="Arial" w:cs="Arial"/>
          <w:sz w:val="22"/>
          <w:szCs w:val="22"/>
        </w:rPr>
      </w:pPr>
      <w:r w:rsidRPr="006A5E2F">
        <w:rPr>
          <w:rFonts w:ascii="Arial" w:hAnsi="Arial" w:cs="Arial"/>
          <w:sz w:val="22"/>
          <w:szCs w:val="22"/>
        </w:rPr>
        <w:t>En la parte de las deducciones de la nómina, se consignan las</w:t>
      </w:r>
      <w:r w:rsidR="00C14A9E">
        <w:rPr>
          <w:rFonts w:ascii="Arial" w:hAnsi="Arial" w:cs="Arial"/>
          <w:sz w:val="22"/>
          <w:szCs w:val="22"/>
        </w:rPr>
        <w:t xml:space="preserve"> </w:t>
      </w:r>
      <w:r w:rsidRPr="006A5E2F">
        <w:rPr>
          <w:rStyle w:val="Textoennegrita"/>
          <w:rFonts w:ascii="Arial" w:hAnsi="Arial" w:cs="Arial"/>
          <w:color w:val="333333"/>
          <w:sz w:val="22"/>
          <w:szCs w:val="22"/>
        </w:rPr>
        <w:t>aportaciones que realiza el trabajador a la Seguridad Social</w:t>
      </w:r>
      <w:r w:rsidR="00C14A9E">
        <w:rPr>
          <w:rFonts w:ascii="Arial" w:hAnsi="Arial" w:cs="Arial"/>
          <w:sz w:val="22"/>
          <w:szCs w:val="22"/>
        </w:rPr>
        <w:t xml:space="preserve"> </w:t>
      </w:r>
      <w:r w:rsidRPr="006A5E2F">
        <w:rPr>
          <w:rFonts w:ascii="Arial" w:hAnsi="Arial" w:cs="Arial"/>
          <w:sz w:val="22"/>
          <w:szCs w:val="22"/>
        </w:rPr>
        <w:t>(las cotizaciones por contingencias comunes, desempleo o formación profesional, entre otras), así como</w:t>
      </w:r>
      <w:r w:rsidR="00C14A9E">
        <w:rPr>
          <w:rFonts w:ascii="Arial" w:hAnsi="Arial" w:cs="Arial"/>
          <w:sz w:val="22"/>
          <w:szCs w:val="22"/>
        </w:rPr>
        <w:t xml:space="preserve"> </w:t>
      </w:r>
      <w:r w:rsidRPr="006A5E2F">
        <w:rPr>
          <w:rStyle w:val="Textoennegrita"/>
          <w:rFonts w:ascii="Arial" w:hAnsi="Arial" w:cs="Arial"/>
          <w:color w:val="333333"/>
          <w:sz w:val="22"/>
          <w:szCs w:val="22"/>
        </w:rPr>
        <w:t>las retenciones del Impuesto sobre la Renta de las Personas Físicas</w:t>
      </w:r>
      <w:r w:rsidR="00C14A9E">
        <w:rPr>
          <w:rFonts w:ascii="Arial" w:hAnsi="Arial" w:cs="Arial"/>
          <w:sz w:val="22"/>
          <w:szCs w:val="22"/>
        </w:rPr>
        <w:t xml:space="preserve"> </w:t>
      </w:r>
      <w:r w:rsidRPr="006A5E2F">
        <w:rPr>
          <w:rFonts w:ascii="Arial" w:hAnsi="Arial" w:cs="Arial"/>
          <w:sz w:val="22"/>
          <w:szCs w:val="22"/>
        </w:rPr>
        <w:t>(IRPF), anticipos y otras deducciones.</w:t>
      </w:r>
    </w:p>
    <w:p w14:paraId="027139B8" w14:textId="77777777" w:rsidR="00C14A9E" w:rsidRPr="00CF1B34" w:rsidRDefault="006A5E2F" w:rsidP="0005621A">
      <w:pPr>
        <w:pBdr>
          <w:bottom w:val="dotted" w:sz="12" w:space="12" w:color="666666"/>
        </w:pBdr>
        <w:spacing w:after="240"/>
        <w:ind w:left="720"/>
        <w:jc w:val="both"/>
        <w:rPr>
          <w:rFonts w:ascii="Arial" w:hAnsi="Arial" w:cs="Arial"/>
          <w:color w:val="212529"/>
          <w:sz w:val="22"/>
          <w:szCs w:val="22"/>
          <w:lang w:val="es-ES_tradnl"/>
        </w:rPr>
      </w:pPr>
      <w:r w:rsidRPr="006A5E2F">
        <w:rPr>
          <w:rFonts w:ascii="Arial" w:hAnsi="Arial" w:cs="Arial"/>
          <w:sz w:val="22"/>
          <w:szCs w:val="22"/>
        </w:rPr>
        <w:t>Tras restar a la suma de los devengos las deducciones realizadas, la nómina especificará el</w:t>
      </w:r>
      <w:r w:rsidR="00C14A9E">
        <w:rPr>
          <w:rFonts w:ascii="Arial" w:hAnsi="Arial" w:cs="Arial"/>
          <w:sz w:val="22"/>
          <w:szCs w:val="22"/>
        </w:rPr>
        <w:t xml:space="preserve"> </w:t>
      </w:r>
      <w:r w:rsidRPr="006A5E2F">
        <w:rPr>
          <w:rStyle w:val="Textoennegrita"/>
          <w:rFonts w:ascii="Arial" w:hAnsi="Arial" w:cs="Arial"/>
          <w:color w:val="333333"/>
          <w:sz w:val="22"/>
          <w:szCs w:val="22"/>
        </w:rPr>
        <w:t>líquido a percibir o salario neto,</w:t>
      </w:r>
      <w:r w:rsidR="00C14A9E">
        <w:rPr>
          <w:rFonts w:ascii="Arial" w:hAnsi="Arial" w:cs="Arial"/>
          <w:sz w:val="22"/>
          <w:szCs w:val="22"/>
        </w:rPr>
        <w:t xml:space="preserve"> </w:t>
      </w:r>
      <w:r w:rsidRPr="006A5E2F">
        <w:rPr>
          <w:rFonts w:ascii="Arial" w:hAnsi="Arial" w:cs="Arial"/>
          <w:sz w:val="22"/>
          <w:szCs w:val="22"/>
        </w:rPr>
        <w:t>que es la cantidad que recibirá el trabajador.</w:t>
      </w:r>
    </w:p>
    <w:p w14:paraId="4C3FF776" w14:textId="09161AE3" w:rsidR="00427744" w:rsidRPr="00CF1B34" w:rsidRDefault="0042774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Nominal</w:t>
      </w:r>
    </w:p>
    <w:p w14:paraId="1C13E90C" w14:textId="3F7E686F" w:rsidR="00FD5AB0" w:rsidRPr="00CF1B34" w:rsidRDefault="00FD5AB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Valor facial </w:t>
      </w:r>
      <w:r w:rsidR="00B45A7C">
        <w:rPr>
          <w:rFonts w:ascii="Arial" w:hAnsi="Arial" w:cs="Arial"/>
          <w:color w:val="000000" w:themeColor="text1"/>
          <w:sz w:val="22"/>
          <w:szCs w:val="22"/>
          <w:lang w:val="es-ES_tradnl"/>
        </w:rPr>
        <w:t xml:space="preserve">o inicial </w:t>
      </w:r>
      <w:r w:rsidRPr="00CF1B34">
        <w:rPr>
          <w:rFonts w:ascii="Arial" w:hAnsi="Arial" w:cs="Arial"/>
          <w:color w:val="000000" w:themeColor="text1"/>
          <w:sz w:val="22"/>
          <w:szCs w:val="22"/>
          <w:lang w:val="es-ES_tradnl"/>
        </w:rPr>
        <w:t>de un valor</w:t>
      </w:r>
      <w:r w:rsidRPr="00CF1B34">
        <w:rPr>
          <w:rFonts w:ascii="Arial" w:hAnsi="Arial" w:cs="Arial"/>
          <w:b/>
          <w:bCs/>
          <w:color w:val="004773"/>
          <w:sz w:val="22"/>
          <w:szCs w:val="22"/>
          <w:lang w:val="es-ES_tradnl"/>
        </w:rPr>
        <w:t>.</w:t>
      </w:r>
      <w:r w:rsidR="00B45A7C">
        <w:rPr>
          <w:rFonts w:ascii="Arial" w:hAnsi="Arial" w:cs="Arial"/>
          <w:b/>
          <w:bCs/>
          <w:color w:val="004773"/>
          <w:sz w:val="22"/>
          <w:szCs w:val="22"/>
          <w:lang w:val="es-ES_tradnl"/>
        </w:rPr>
        <w:t xml:space="preserve"> </w:t>
      </w:r>
    </w:p>
    <w:p w14:paraId="0D12AD27" w14:textId="5D865C8C" w:rsidR="00427744" w:rsidRPr="00CF1B34" w:rsidRDefault="0029282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N</w:t>
      </w:r>
      <w:r w:rsidR="00427744" w:rsidRPr="00CF1B34">
        <w:rPr>
          <w:rFonts w:ascii="Arial" w:hAnsi="Arial" w:cs="Arial"/>
          <w:b/>
          <w:bCs/>
          <w:color w:val="004773"/>
          <w:sz w:val="22"/>
          <w:szCs w:val="22"/>
          <w:lang w:val="es-ES_tradnl"/>
        </w:rPr>
        <w:t>ominativo</w:t>
      </w:r>
      <w:r w:rsidRPr="00CF1B34">
        <w:rPr>
          <w:rFonts w:ascii="Arial" w:hAnsi="Arial" w:cs="Arial"/>
          <w:b/>
          <w:bCs/>
          <w:color w:val="004773"/>
          <w:sz w:val="22"/>
          <w:szCs w:val="22"/>
          <w:lang w:val="es-ES_tradnl"/>
        </w:rPr>
        <w:t xml:space="preserve"> </w:t>
      </w:r>
    </w:p>
    <w:p w14:paraId="36BBFB34" w14:textId="6C7F5C94" w:rsidR="00C14A9E" w:rsidRPr="00FC419D" w:rsidRDefault="00FD5AB0" w:rsidP="0005621A">
      <w:pPr>
        <w:ind w:left="708"/>
        <w:jc w:val="both"/>
        <w:rPr>
          <w:rFonts w:ascii="Arial" w:hAnsi="Arial" w:cs="Arial"/>
          <w:sz w:val="22"/>
          <w:szCs w:val="22"/>
        </w:rPr>
      </w:pPr>
      <w:r w:rsidRPr="00FC419D">
        <w:rPr>
          <w:rFonts w:ascii="Arial" w:hAnsi="Arial" w:cs="Arial"/>
          <w:color w:val="000000" w:themeColor="text1"/>
          <w:sz w:val="22"/>
          <w:szCs w:val="22"/>
          <w:lang w:val="es-ES_tradnl"/>
        </w:rPr>
        <w:t xml:space="preserve">El nombre del propietario es </w:t>
      </w:r>
      <w:proofErr w:type="gramStart"/>
      <w:r w:rsidRPr="00FC419D">
        <w:rPr>
          <w:rFonts w:ascii="Arial" w:hAnsi="Arial" w:cs="Arial"/>
          <w:color w:val="000000" w:themeColor="text1"/>
          <w:sz w:val="22"/>
          <w:szCs w:val="22"/>
          <w:lang w:val="es-ES_tradnl"/>
        </w:rPr>
        <w:t>conocido</w:t>
      </w:r>
      <w:proofErr w:type="gramEnd"/>
      <w:r w:rsidR="000D206A" w:rsidRPr="00FC419D">
        <w:rPr>
          <w:rFonts w:ascii="Arial" w:hAnsi="Arial" w:cs="Arial"/>
          <w:color w:val="000000" w:themeColor="text1"/>
          <w:sz w:val="22"/>
          <w:szCs w:val="22"/>
          <w:lang w:val="es-ES_tradnl"/>
        </w:rPr>
        <w:t xml:space="preserve"> es decir, u</w:t>
      </w:r>
      <w:r w:rsidR="00C14A9E" w:rsidRPr="00FC419D">
        <w:rPr>
          <w:rFonts w:ascii="Arial" w:hAnsi="Arial" w:cs="Arial"/>
          <w:color w:val="000000" w:themeColor="text1"/>
          <w:sz w:val="22"/>
          <w:szCs w:val="22"/>
          <w:lang w:val="es-ES_tradnl"/>
        </w:rPr>
        <w:t xml:space="preserve">n </w:t>
      </w:r>
      <w:r w:rsidR="00BF617D" w:rsidRPr="00FC419D">
        <w:rPr>
          <w:rFonts w:ascii="Arial" w:hAnsi="Arial" w:cs="Arial"/>
          <w:color w:val="000000" w:themeColor="text1"/>
          <w:sz w:val="22"/>
          <w:szCs w:val="22"/>
          <w:lang w:val="es-ES_tradnl"/>
        </w:rPr>
        <w:t>titulo nominativo</w:t>
      </w:r>
      <w:r w:rsidR="00C14A9E" w:rsidRPr="00FC419D">
        <w:rPr>
          <w:rFonts w:ascii="Arial" w:hAnsi="Arial" w:cs="Arial"/>
          <w:color w:val="000000" w:themeColor="text1"/>
          <w:sz w:val="22"/>
          <w:szCs w:val="22"/>
          <w:lang w:val="es-ES_tradnl"/>
        </w:rPr>
        <w:t xml:space="preserve"> </w:t>
      </w:r>
      <w:r w:rsidR="00C14A9E" w:rsidRPr="00FC419D">
        <w:rPr>
          <w:rFonts w:ascii="Arial" w:hAnsi="Arial" w:cs="Arial"/>
          <w:b/>
          <w:bCs/>
          <w:sz w:val="22"/>
          <w:szCs w:val="22"/>
        </w:rPr>
        <w:t>es aquel que tiene un titular específico y registrado</w:t>
      </w:r>
      <w:r w:rsidR="00C14A9E" w:rsidRPr="00FC419D">
        <w:rPr>
          <w:rFonts w:ascii="Arial" w:hAnsi="Arial" w:cs="Arial"/>
          <w:sz w:val="22"/>
          <w:szCs w:val="22"/>
        </w:rPr>
        <w:t>, lo que hace que la transferencia de la propiedad sea más controlada y requiera un proceso formal. En este tipo de títulos, el propietario está identificado y registrado en un registro, generalmente el libro de accionistas de la empresa emisora.</w:t>
      </w:r>
    </w:p>
    <w:p w14:paraId="64A0D0CE" w14:textId="77777777" w:rsidR="00C14A9E" w:rsidRPr="00FC419D" w:rsidRDefault="00C14A9E" w:rsidP="0005621A">
      <w:pPr>
        <w:ind w:firstLine="708"/>
        <w:jc w:val="both"/>
        <w:rPr>
          <w:rFonts w:ascii="Arial" w:hAnsi="Arial" w:cs="Arial"/>
          <w:sz w:val="22"/>
          <w:szCs w:val="22"/>
        </w:rPr>
      </w:pPr>
      <w:r w:rsidRPr="00FC419D">
        <w:rPr>
          <w:rFonts w:ascii="Arial" w:hAnsi="Arial" w:cs="Arial"/>
          <w:sz w:val="22"/>
          <w:szCs w:val="22"/>
        </w:rPr>
        <w:t>Características clave:</w:t>
      </w:r>
    </w:p>
    <w:p w14:paraId="087763A7" w14:textId="34CAB490" w:rsidR="00C14A9E" w:rsidRPr="00FC419D" w:rsidRDefault="00C14A9E" w:rsidP="004F7A62">
      <w:pPr>
        <w:pStyle w:val="Prrafodelista"/>
        <w:numPr>
          <w:ilvl w:val="0"/>
          <w:numId w:val="220"/>
        </w:numPr>
        <w:jc w:val="both"/>
        <w:rPr>
          <w:rFonts w:ascii="Arial" w:hAnsi="Arial" w:cs="Arial"/>
          <w:sz w:val="22"/>
          <w:szCs w:val="22"/>
        </w:rPr>
      </w:pPr>
      <w:r w:rsidRPr="00FC419D">
        <w:rPr>
          <w:rFonts w:ascii="Arial" w:hAnsi="Arial" w:cs="Arial"/>
          <w:sz w:val="22"/>
          <w:szCs w:val="22"/>
        </w:rPr>
        <w:t>El titular está registrado y identificado en un registro.</w:t>
      </w:r>
    </w:p>
    <w:p w14:paraId="5F7DDA9E" w14:textId="2796C6CC" w:rsidR="000D206A" w:rsidRPr="00FC419D" w:rsidRDefault="000D206A" w:rsidP="004F7A62">
      <w:pPr>
        <w:pStyle w:val="Prrafodelista"/>
        <w:numPr>
          <w:ilvl w:val="0"/>
          <w:numId w:val="220"/>
        </w:numPr>
        <w:jc w:val="both"/>
        <w:rPr>
          <w:rFonts w:ascii="Arial" w:hAnsi="Arial" w:cs="Arial"/>
          <w:sz w:val="22"/>
          <w:szCs w:val="22"/>
        </w:rPr>
      </w:pPr>
      <w:r w:rsidRPr="00FC419D">
        <w:rPr>
          <w:rFonts w:ascii="Arial" w:hAnsi="Arial" w:cs="Arial"/>
          <w:sz w:val="22"/>
          <w:szCs w:val="22"/>
        </w:rPr>
        <w:t>La transferencia de propiedad requiere un proceso formal.</w:t>
      </w:r>
    </w:p>
    <w:p w14:paraId="292FB816" w14:textId="77777777" w:rsidR="000D206A" w:rsidRPr="00FC419D" w:rsidRDefault="000D206A" w:rsidP="004F7A62">
      <w:pPr>
        <w:pStyle w:val="Prrafodelista"/>
        <w:numPr>
          <w:ilvl w:val="0"/>
          <w:numId w:val="220"/>
        </w:numPr>
        <w:jc w:val="both"/>
        <w:rPr>
          <w:rFonts w:ascii="Arial" w:hAnsi="Arial" w:cs="Arial"/>
          <w:sz w:val="22"/>
          <w:szCs w:val="22"/>
        </w:rPr>
      </w:pPr>
      <w:r w:rsidRPr="00FC419D">
        <w:rPr>
          <w:rFonts w:ascii="Arial" w:hAnsi="Arial" w:cs="Arial"/>
          <w:sz w:val="22"/>
          <w:szCs w:val="22"/>
        </w:rPr>
        <w:t>No se pueden transferir simplemente entregando el título físico, como en el caso de títulos al portador.</w:t>
      </w:r>
    </w:p>
    <w:p w14:paraId="5E5546C4" w14:textId="31F2B875" w:rsidR="000D206A" w:rsidRPr="00FC419D" w:rsidRDefault="000D206A" w:rsidP="004F7A62">
      <w:pPr>
        <w:pStyle w:val="Prrafodelista"/>
        <w:numPr>
          <w:ilvl w:val="0"/>
          <w:numId w:val="220"/>
        </w:numPr>
        <w:jc w:val="both"/>
        <w:rPr>
          <w:rFonts w:ascii="Arial" w:hAnsi="Arial" w:cs="Arial"/>
          <w:sz w:val="22"/>
          <w:szCs w:val="22"/>
        </w:rPr>
      </w:pPr>
      <w:r w:rsidRPr="00FC419D">
        <w:rPr>
          <w:rFonts w:ascii="Arial" w:hAnsi="Arial" w:cs="Arial"/>
          <w:sz w:val="22"/>
          <w:szCs w:val="22"/>
        </w:rPr>
        <w:t>Los títulos nominativos están sujetos a la inscripción en un registro, según lo establecido por el artículo 648 del Código de Comercio.</w:t>
      </w:r>
    </w:p>
    <w:p w14:paraId="721BE0BB" w14:textId="77777777" w:rsidR="00A0436D" w:rsidRPr="00FC419D" w:rsidRDefault="00C14A9E" w:rsidP="0005621A">
      <w:pPr>
        <w:pBdr>
          <w:bottom w:val="dotted" w:sz="12" w:space="12" w:color="666666"/>
        </w:pBdr>
        <w:spacing w:after="240"/>
        <w:ind w:left="720"/>
        <w:jc w:val="both"/>
        <w:rPr>
          <w:rFonts w:ascii="Arial" w:hAnsi="Arial" w:cs="Arial"/>
          <w:color w:val="212529"/>
          <w:sz w:val="22"/>
          <w:szCs w:val="22"/>
          <w:lang w:val="es-ES_tradnl"/>
        </w:rPr>
      </w:pPr>
      <w:r w:rsidRPr="00FC419D">
        <w:rPr>
          <w:rFonts w:ascii="Arial" w:hAnsi="Arial" w:cs="Arial"/>
          <w:sz w:val="22"/>
          <w:szCs w:val="22"/>
        </w:rPr>
        <w:t>Ejemplos de títulos nominativos incluyen acciones de empresas, bonos y otros valores mobiliarios que requieren la inscripción del titular en un registro.</w:t>
      </w:r>
    </w:p>
    <w:p w14:paraId="54A19ADB" w14:textId="3FD01634" w:rsidR="00696A3C" w:rsidRPr="00CF1B34" w:rsidRDefault="00696A3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Normas de conducta</w:t>
      </w:r>
    </w:p>
    <w:p w14:paraId="59539C95" w14:textId="77777777" w:rsidR="00FC419D" w:rsidRDefault="00696A3C" w:rsidP="0005621A">
      <w:pPr>
        <w:pStyle w:val="NormalWeb"/>
        <w:shd w:val="clear" w:color="auto" w:fill="FFFFFF"/>
        <w:spacing w:before="0" w:beforeAutospacing="0" w:after="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Son aquellas normas de actuación a las que deben ajustarse los intervinientes en los mercados de valores, con el fin de procurar la transparencia de los mercados y la protección del inversor. La legislación básica sobre normas de conducta se recoge en el RD 217/2008 y en la Circular 3/2013, de 12 de junio, sobre determinadas obligaciones de información a los clientes.</w:t>
      </w:r>
      <w:r w:rsidR="00FC419D">
        <w:rPr>
          <w:rFonts w:ascii="Arial" w:hAnsi="Arial" w:cs="Arial"/>
          <w:color w:val="212529"/>
          <w:sz w:val="22"/>
          <w:szCs w:val="22"/>
          <w:lang w:val="es-ES_tradnl"/>
        </w:rPr>
        <w:t xml:space="preserve"> </w:t>
      </w:r>
    </w:p>
    <w:p w14:paraId="7BD15AEE" w14:textId="19E09F7F" w:rsidR="00FC419D" w:rsidRPr="00FC419D" w:rsidRDefault="00FC419D" w:rsidP="0005621A">
      <w:pPr>
        <w:pStyle w:val="NormalWeb"/>
        <w:shd w:val="clear" w:color="auto" w:fill="FFFFFF"/>
        <w:spacing w:before="0" w:beforeAutospacing="0" w:after="0"/>
        <w:ind w:left="708"/>
        <w:jc w:val="both"/>
        <w:rPr>
          <w:rFonts w:ascii="Arial" w:hAnsi="Arial" w:cs="Arial"/>
          <w:color w:val="000000"/>
          <w:sz w:val="22"/>
          <w:szCs w:val="22"/>
        </w:rPr>
      </w:pPr>
      <w:r w:rsidRPr="00FC419D">
        <w:rPr>
          <w:rFonts w:ascii="Arial" w:hAnsi="Arial" w:cs="Arial"/>
          <w:color w:val="000000"/>
          <w:sz w:val="22"/>
          <w:szCs w:val="22"/>
        </w:rPr>
        <w:t>Las normas de conducta financieras son </w:t>
      </w:r>
      <w:r w:rsidRPr="00FC419D">
        <w:rPr>
          <w:rFonts w:ascii="Arial" w:hAnsi="Arial" w:cs="Arial"/>
          <w:b/>
          <w:bCs/>
          <w:color w:val="000000"/>
          <w:sz w:val="22"/>
          <w:szCs w:val="22"/>
        </w:rPr>
        <w:t>regulaciones que establecen los estándares de comportamiento para las entidades financieras</w:t>
      </w:r>
      <w:r w:rsidRPr="00FC419D">
        <w:rPr>
          <w:rFonts w:ascii="Arial" w:hAnsi="Arial" w:cs="Arial"/>
          <w:color w:val="000000"/>
          <w:sz w:val="22"/>
          <w:szCs w:val="22"/>
        </w:rPr>
        <w:t>, incluyendo bancos, empresas de servicios de inversión y otros intermediarios financieros. Estas normas tienen como objetivo proteger los intereses de los clientes, garantizar la transparencia y la integridad en las operaciones financieras, y prevenir prácticas anticompetitivas y fraudulentas.</w:t>
      </w:r>
    </w:p>
    <w:p w14:paraId="299A5E8A" w14:textId="77777777" w:rsidR="00FC419D" w:rsidRPr="00FC419D" w:rsidRDefault="00FC419D" w:rsidP="0005621A">
      <w:pPr>
        <w:shd w:val="clear" w:color="auto" w:fill="FFFFFF"/>
        <w:spacing w:beforeAutospacing="1" w:afterAutospacing="1"/>
        <w:ind w:firstLine="708"/>
        <w:jc w:val="both"/>
        <w:rPr>
          <w:rFonts w:ascii="Arial" w:hAnsi="Arial" w:cs="Arial"/>
          <w:color w:val="000000"/>
          <w:sz w:val="22"/>
          <w:szCs w:val="22"/>
        </w:rPr>
      </w:pPr>
      <w:r w:rsidRPr="00FC419D">
        <w:rPr>
          <w:rFonts w:ascii="Arial" w:hAnsi="Arial" w:cs="Arial"/>
          <w:b/>
          <w:bCs/>
          <w:color w:val="000000"/>
          <w:sz w:val="22"/>
          <w:szCs w:val="22"/>
        </w:rPr>
        <w:t>Características</w:t>
      </w:r>
    </w:p>
    <w:p w14:paraId="22299433" w14:textId="77777777" w:rsidR="00FC419D" w:rsidRPr="00FC419D" w:rsidRDefault="00FC419D" w:rsidP="004F7A62">
      <w:pPr>
        <w:numPr>
          <w:ilvl w:val="0"/>
          <w:numId w:val="221"/>
        </w:numPr>
        <w:shd w:val="clear" w:color="auto" w:fill="FFFFFF"/>
        <w:spacing w:afterAutospacing="1"/>
        <w:jc w:val="both"/>
        <w:rPr>
          <w:rFonts w:ascii="Arial" w:hAnsi="Arial" w:cs="Arial"/>
          <w:color w:val="000000"/>
          <w:sz w:val="22"/>
          <w:szCs w:val="22"/>
        </w:rPr>
      </w:pPr>
      <w:r w:rsidRPr="00FC419D">
        <w:rPr>
          <w:rFonts w:ascii="Arial" w:hAnsi="Arial" w:cs="Arial"/>
          <w:b/>
          <w:bCs/>
          <w:color w:val="000000"/>
          <w:sz w:val="22"/>
          <w:szCs w:val="22"/>
        </w:rPr>
        <w:t>Establecen los deberes de información previa para los clientes, incluyendo la divulgación clara y completa de los productos y servicios financieros</w:t>
      </w:r>
      <w:r w:rsidRPr="00FC419D">
        <w:rPr>
          <w:rFonts w:ascii="Arial" w:hAnsi="Arial" w:cs="Arial"/>
          <w:color w:val="000000"/>
          <w:sz w:val="22"/>
          <w:szCs w:val="22"/>
        </w:rPr>
        <w:t>.</w:t>
      </w:r>
    </w:p>
    <w:p w14:paraId="3027279E" w14:textId="77777777" w:rsidR="00FC419D" w:rsidRPr="00FC419D" w:rsidRDefault="00FC419D" w:rsidP="004F7A62">
      <w:pPr>
        <w:numPr>
          <w:ilvl w:val="0"/>
          <w:numId w:val="221"/>
        </w:numPr>
        <w:shd w:val="clear" w:color="auto" w:fill="FFFFFF"/>
        <w:spacing w:before="100" w:beforeAutospacing="1" w:after="100" w:afterAutospacing="1"/>
        <w:jc w:val="both"/>
        <w:rPr>
          <w:rFonts w:ascii="Arial" w:hAnsi="Arial" w:cs="Arial"/>
          <w:color w:val="000000"/>
          <w:sz w:val="22"/>
          <w:szCs w:val="22"/>
        </w:rPr>
      </w:pPr>
      <w:r w:rsidRPr="00FC419D">
        <w:rPr>
          <w:rFonts w:ascii="Arial" w:hAnsi="Arial" w:cs="Arial"/>
          <w:color w:val="000000"/>
          <w:sz w:val="22"/>
          <w:szCs w:val="22"/>
        </w:rPr>
        <w:t>Regulan la manera en que se informa a los inversores y cómo se deben gestionar y ejecutar las órdenes de éstos.</w:t>
      </w:r>
    </w:p>
    <w:p w14:paraId="6927AFFD" w14:textId="77777777" w:rsidR="00FC419D" w:rsidRPr="00FC419D" w:rsidRDefault="00FC419D" w:rsidP="004F7A62">
      <w:pPr>
        <w:numPr>
          <w:ilvl w:val="0"/>
          <w:numId w:val="221"/>
        </w:numPr>
        <w:shd w:val="clear" w:color="auto" w:fill="FFFFFF"/>
        <w:spacing w:before="100" w:beforeAutospacing="1" w:after="100" w:afterAutospacing="1"/>
        <w:jc w:val="both"/>
        <w:rPr>
          <w:rFonts w:ascii="Arial" w:hAnsi="Arial" w:cs="Arial"/>
          <w:color w:val="000000"/>
          <w:sz w:val="22"/>
          <w:szCs w:val="22"/>
        </w:rPr>
      </w:pPr>
      <w:r w:rsidRPr="00FC419D">
        <w:rPr>
          <w:rFonts w:ascii="Arial" w:hAnsi="Arial" w:cs="Arial"/>
          <w:color w:val="000000"/>
          <w:sz w:val="22"/>
          <w:szCs w:val="22"/>
        </w:rPr>
        <w:t>Exigen que las entidades financieras actúen de manera transparente y diligente en relación con los intereses de sus clientes, debiendo cuidar de dichos intereses como si fueran propios.</w:t>
      </w:r>
    </w:p>
    <w:p w14:paraId="329763B7" w14:textId="77777777" w:rsidR="00FC419D" w:rsidRPr="00FC419D" w:rsidRDefault="00FC419D" w:rsidP="004F7A62">
      <w:pPr>
        <w:numPr>
          <w:ilvl w:val="0"/>
          <w:numId w:val="221"/>
        </w:numPr>
        <w:shd w:val="clear" w:color="auto" w:fill="FFFFFF"/>
        <w:spacing w:beforeAutospacing="1"/>
        <w:jc w:val="both"/>
        <w:rPr>
          <w:rFonts w:ascii="Arial" w:hAnsi="Arial" w:cs="Arial"/>
          <w:color w:val="000000"/>
          <w:sz w:val="22"/>
          <w:szCs w:val="22"/>
        </w:rPr>
      </w:pPr>
      <w:r w:rsidRPr="00FC419D">
        <w:rPr>
          <w:rFonts w:ascii="Arial" w:hAnsi="Arial" w:cs="Arial"/>
          <w:color w:val="000000"/>
          <w:sz w:val="22"/>
          <w:szCs w:val="22"/>
        </w:rPr>
        <w:t>Protegen los intereses de los consumidores y inversores, incluyendo la regulación de la publicidad, la protección contra prácticas engañosas y la garantía de que los productos y servicios </w:t>
      </w:r>
      <w:r w:rsidRPr="00FC419D">
        <w:rPr>
          <w:rFonts w:ascii="Arial" w:hAnsi="Arial" w:cs="Arial"/>
          <w:b/>
          <w:bCs/>
          <w:color w:val="000000"/>
          <w:sz w:val="22"/>
          <w:szCs w:val="22"/>
        </w:rPr>
        <w:t>financieros</w:t>
      </w:r>
      <w:r w:rsidRPr="00FC419D">
        <w:rPr>
          <w:rFonts w:ascii="Arial" w:hAnsi="Arial" w:cs="Arial"/>
          <w:color w:val="000000"/>
          <w:sz w:val="22"/>
          <w:szCs w:val="22"/>
        </w:rPr>
        <w:t> se venden de manera justa y con una divulgación completa de los riesgos.</w:t>
      </w:r>
    </w:p>
    <w:p w14:paraId="74D91F0C" w14:textId="77777777" w:rsidR="00FC419D" w:rsidRPr="00FC419D" w:rsidRDefault="00FC419D" w:rsidP="0005621A">
      <w:pPr>
        <w:shd w:val="clear" w:color="auto" w:fill="FFFFFF"/>
        <w:spacing w:beforeAutospacing="1" w:afterAutospacing="1"/>
        <w:ind w:firstLine="708"/>
        <w:jc w:val="both"/>
        <w:rPr>
          <w:rFonts w:ascii="Arial" w:hAnsi="Arial" w:cs="Arial"/>
          <w:color w:val="000000"/>
          <w:sz w:val="22"/>
          <w:szCs w:val="22"/>
        </w:rPr>
      </w:pPr>
      <w:r w:rsidRPr="00FC419D">
        <w:rPr>
          <w:rFonts w:ascii="Arial" w:hAnsi="Arial" w:cs="Arial"/>
          <w:b/>
          <w:bCs/>
          <w:color w:val="000000"/>
          <w:sz w:val="22"/>
          <w:szCs w:val="22"/>
        </w:rPr>
        <w:t>Aplicación</w:t>
      </w:r>
    </w:p>
    <w:p w14:paraId="4888F8B5" w14:textId="77777777" w:rsidR="00FC419D" w:rsidRPr="00FC419D" w:rsidRDefault="00FC419D" w:rsidP="004F7A62">
      <w:pPr>
        <w:numPr>
          <w:ilvl w:val="0"/>
          <w:numId w:val="222"/>
        </w:numPr>
        <w:shd w:val="clear" w:color="auto" w:fill="FFFFFF"/>
        <w:spacing w:after="100" w:afterAutospacing="1"/>
        <w:jc w:val="both"/>
        <w:rPr>
          <w:rFonts w:ascii="Arial" w:hAnsi="Arial" w:cs="Arial"/>
          <w:color w:val="000000"/>
          <w:sz w:val="22"/>
          <w:szCs w:val="22"/>
        </w:rPr>
      </w:pPr>
      <w:r w:rsidRPr="00FC419D">
        <w:rPr>
          <w:rFonts w:ascii="Arial" w:hAnsi="Arial" w:cs="Arial"/>
          <w:color w:val="000000"/>
          <w:sz w:val="22"/>
          <w:szCs w:val="22"/>
        </w:rPr>
        <w:t>Estas normas se aplican a todas las entidades financieras, incluyendo bancos, empresas de servicios de inversión, aseguradoras y otros intermediarios financieros.</w:t>
      </w:r>
    </w:p>
    <w:p w14:paraId="49BA2094" w14:textId="77777777" w:rsidR="00FC419D" w:rsidRPr="00FC419D" w:rsidRDefault="00FC419D" w:rsidP="004F7A62">
      <w:pPr>
        <w:numPr>
          <w:ilvl w:val="0"/>
          <w:numId w:val="222"/>
        </w:numPr>
        <w:shd w:val="clear" w:color="auto" w:fill="FFFFFF"/>
        <w:spacing w:before="100" w:beforeAutospacing="1" w:after="100" w:afterAutospacing="1"/>
        <w:jc w:val="both"/>
        <w:rPr>
          <w:rFonts w:ascii="Arial" w:hAnsi="Arial" w:cs="Arial"/>
          <w:color w:val="000000"/>
          <w:sz w:val="22"/>
          <w:szCs w:val="22"/>
        </w:rPr>
      </w:pPr>
      <w:r w:rsidRPr="00FC419D">
        <w:rPr>
          <w:rFonts w:ascii="Arial" w:hAnsi="Arial" w:cs="Arial"/>
          <w:color w:val="000000"/>
          <w:sz w:val="22"/>
          <w:szCs w:val="22"/>
        </w:rPr>
        <w:t>Las normas de conducta financieras se establecen a través de leyes y regulaciones, como la Ley de Mercado de Valores (LMV) en España.</w:t>
      </w:r>
    </w:p>
    <w:p w14:paraId="0480AC08" w14:textId="77777777" w:rsidR="00FC419D" w:rsidRPr="00FC419D" w:rsidRDefault="00FC419D" w:rsidP="004F7A62">
      <w:pPr>
        <w:numPr>
          <w:ilvl w:val="0"/>
          <w:numId w:val="222"/>
        </w:numPr>
        <w:shd w:val="clear" w:color="auto" w:fill="FFFFFF"/>
        <w:spacing w:before="100" w:beforeAutospacing="1"/>
        <w:jc w:val="both"/>
        <w:rPr>
          <w:rFonts w:ascii="Arial" w:hAnsi="Arial" w:cs="Arial"/>
          <w:color w:val="000000"/>
          <w:sz w:val="22"/>
          <w:szCs w:val="22"/>
        </w:rPr>
      </w:pPr>
      <w:r w:rsidRPr="00FC419D">
        <w:rPr>
          <w:rFonts w:ascii="Arial" w:hAnsi="Arial" w:cs="Arial"/>
          <w:color w:val="000000"/>
          <w:sz w:val="22"/>
          <w:szCs w:val="22"/>
        </w:rPr>
        <w:lastRenderedPageBreak/>
        <w:t>Las entidades financieras deben cumplir con estas normas y establecer políticas y procedimientos internos para garantizar su cumplimiento.</w:t>
      </w:r>
    </w:p>
    <w:p w14:paraId="57544F59" w14:textId="77777777" w:rsidR="00FC419D" w:rsidRPr="00FC419D" w:rsidRDefault="00FC419D" w:rsidP="0005621A">
      <w:pPr>
        <w:shd w:val="clear" w:color="auto" w:fill="FFFFFF"/>
        <w:spacing w:beforeAutospacing="1" w:afterAutospacing="1"/>
        <w:ind w:firstLine="708"/>
        <w:jc w:val="both"/>
        <w:rPr>
          <w:rFonts w:ascii="Arial" w:hAnsi="Arial" w:cs="Arial"/>
          <w:color w:val="000000"/>
          <w:sz w:val="22"/>
          <w:szCs w:val="22"/>
        </w:rPr>
      </w:pPr>
      <w:r w:rsidRPr="00FC419D">
        <w:rPr>
          <w:rFonts w:ascii="Arial" w:hAnsi="Arial" w:cs="Arial"/>
          <w:b/>
          <w:bCs/>
          <w:color w:val="000000"/>
          <w:sz w:val="22"/>
          <w:szCs w:val="22"/>
        </w:rPr>
        <w:t>Importancia</w:t>
      </w:r>
    </w:p>
    <w:p w14:paraId="5874FC1F" w14:textId="77777777" w:rsidR="00FC419D" w:rsidRPr="00FC419D" w:rsidRDefault="00FC419D" w:rsidP="004F7A62">
      <w:pPr>
        <w:numPr>
          <w:ilvl w:val="0"/>
          <w:numId w:val="223"/>
        </w:numPr>
        <w:shd w:val="clear" w:color="auto" w:fill="FFFFFF"/>
        <w:spacing w:afterAutospacing="1"/>
        <w:jc w:val="both"/>
        <w:rPr>
          <w:rFonts w:ascii="Arial" w:hAnsi="Arial" w:cs="Arial"/>
          <w:color w:val="000000"/>
          <w:sz w:val="22"/>
          <w:szCs w:val="22"/>
        </w:rPr>
      </w:pPr>
      <w:r w:rsidRPr="00FC419D">
        <w:rPr>
          <w:rFonts w:ascii="Arial" w:hAnsi="Arial" w:cs="Arial"/>
          <w:color w:val="000000"/>
          <w:sz w:val="22"/>
          <w:szCs w:val="22"/>
        </w:rPr>
        <w:t>Las normas de conducta financieras </w:t>
      </w:r>
      <w:r w:rsidRPr="00FC419D">
        <w:rPr>
          <w:rFonts w:ascii="Arial" w:hAnsi="Arial" w:cs="Arial"/>
          <w:b/>
          <w:bCs/>
          <w:color w:val="000000"/>
          <w:sz w:val="22"/>
          <w:szCs w:val="22"/>
        </w:rPr>
        <w:t>son fundamentales para mantener la confianza en los mercados financieros y proteger los intereses de los inversores y consumidores</w:t>
      </w:r>
      <w:r w:rsidRPr="00FC419D">
        <w:rPr>
          <w:rFonts w:ascii="Arial" w:hAnsi="Arial" w:cs="Arial"/>
          <w:color w:val="000000"/>
          <w:sz w:val="22"/>
          <w:szCs w:val="22"/>
        </w:rPr>
        <w:t>.</w:t>
      </w:r>
    </w:p>
    <w:p w14:paraId="1AF91598" w14:textId="77777777" w:rsidR="00FC419D" w:rsidRPr="00FC419D" w:rsidRDefault="00FC419D" w:rsidP="004F7A62">
      <w:pPr>
        <w:numPr>
          <w:ilvl w:val="0"/>
          <w:numId w:val="223"/>
        </w:numPr>
        <w:shd w:val="clear" w:color="auto" w:fill="FFFFFF"/>
        <w:spacing w:before="100" w:beforeAutospacing="1" w:after="100" w:afterAutospacing="1"/>
        <w:jc w:val="both"/>
        <w:rPr>
          <w:rFonts w:ascii="Arial" w:hAnsi="Arial" w:cs="Arial"/>
          <w:color w:val="000000"/>
          <w:sz w:val="22"/>
          <w:szCs w:val="22"/>
        </w:rPr>
      </w:pPr>
      <w:r w:rsidRPr="00FC419D">
        <w:rPr>
          <w:rFonts w:ascii="Arial" w:hAnsi="Arial" w:cs="Arial"/>
          <w:color w:val="000000"/>
          <w:sz w:val="22"/>
          <w:szCs w:val="22"/>
        </w:rPr>
        <w:t>Estas normas ayudan a prevenir prácticas anticompetitivas y fraudulentas, lo que contribuye a la estabilidad y seguridad del sistema financiero.</w:t>
      </w:r>
    </w:p>
    <w:p w14:paraId="76250691" w14:textId="77777777" w:rsidR="00FC419D" w:rsidRPr="00FC419D" w:rsidRDefault="00FC419D" w:rsidP="0005621A">
      <w:pPr>
        <w:pBdr>
          <w:bottom w:val="dotted" w:sz="12" w:space="12" w:color="666666"/>
        </w:pBdr>
        <w:spacing w:after="240"/>
        <w:ind w:left="720"/>
        <w:jc w:val="both"/>
        <w:rPr>
          <w:rFonts w:ascii="Arial" w:hAnsi="Arial" w:cs="Arial"/>
          <w:color w:val="212529"/>
          <w:sz w:val="22"/>
          <w:szCs w:val="22"/>
          <w:lang w:val="es-ES_tradnl"/>
        </w:rPr>
      </w:pPr>
      <w:r w:rsidRPr="00FC419D">
        <w:rPr>
          <w:rFonts w:ascii="Arial" w:hAnsi="Arial" w:cs="Arial"/>
          <w:color w:val="000000"/>
          <w:sz w:val="22"/>
          <w:szCs w:val="22"/>
        </w:rPr>
        <w:t>El cumplimiento de las normas de conducta financieras es esencial para evitar sanciones y multas, y para mantener la licencia y autorización para operar en el mercado financiero.</w:t>
      </w:r>
    </w:p>
    <w:p w14:paraId="6730F626" w14:textId="77777777" w:rsidR="00011712" w:rsidRPr="00CF1B34" w:rsidRDefault="00011712"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Nota simple registral</w:t>
      </w:r>
    </w:p>
    <w:p w14:paraId="5C5FFAE0" w14:textId="77777777" w:rsidR="00011712" w:rsidRPr="00CF1B34" w:rsidRDefault="0001171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estás pensando en comprar una vivienda es importante que antes de dar una señal o incluso pagar y firmar el contrato de arras, conozcas la situación jurídica del inmueble para evitar sorpresas durante el proceso de compraventa.</w:t>
      </w:r>
    </w:p>
    <w:p w14:paraId="5824C275" w14:textId="77777777" w:rsidR="00011712" w:rsidRPr="00CF1B34" w:rsidRDefault="0001171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nota simple es un documento meramente informativo que puedes obtener en el Registro de la Propiedad. Para tener este documento solo hay que comunicar al Registro que existe un interés legítimo de comprar la vivienda.</w:t>
      </w:r>
    </w:p>
    <w:p w14:paraId="1544F047" w14:textId="77777777" w:rsidR="00011712" w:rsidRPr="00CF1B34" w:rsidRDefault="0001171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la nota simple podrás consultar quién o quiénes son las personas propietarias del inmueble, las posibles cargas que tenga la vivienda, hipotecas pendientes de pago, usufructos, condiciones resolutorias, gravámenes asociados o las limitaciones de uso que pueda tener.</w:t>
      </w:r>
    </w:p>
    <w:p w14:paraId="10C28B3E" w14:textId="77777777" w:rsidR="00011712" w:rsidRPr="00CF1B34" w:rsidRDefault="00011712"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¿Cuándo puedes necesitar la nota simple de un inmueble?</w:t>
      </w:r>
    </w:p>
    <w:p w14:paraId="12648CE3" w14:textId="77777777" w:rsidR="00011712" w:rsidRPr="00CF1B34" w:rsidRDefault="0001171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 la hora de solicitar un préstamo hipotecario, deberás incorporar a la documentación relativa al expediente de compraventa la nota simple. En la tasación de un inmueble, es obligatorio tener este documento en mano y entregárselo al tasador que realice la visita. Este documento no puede tener más de tres meses de antigüedad desde la fecha en que se emite la copia.</w:t>
      </w:r>
    </w:p>
    <w:p w14:paraId="367D9F41" w14:textId="77777777" w:rsidR="00011712" w:rsidRPr="00CF1B34" w:rsidRDefault="00011712"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información puedes encontrar en la nota simple?</w:t>
      </w:r>
    </w:p>
    <w:p w14:paraId="0C5362B3" w14:textId="77777777" w:rsidR="00011712" w:rsidRPr="00CF1B34" w:rsidRDefault="0001171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nota simple incluye datos relevantes del inmueble relativos a su descripción, ubicación, extensión, titularidad o fecha de adquisición, divididos en varios apartados. Entre esos apartados encontramos:</w:t>
      </w:r>
    </w:p>
    <w:p w14:paraId="75FE1795" w14:textId="77777777" w:rsidR="00011712" w:rsidRPr="00CF1B34" w:rsidRDefault="00011712" w:rsidP="004F7A62">
      <w:pPr>
        <w:numPr>
          <w:ilvl w:val="0"/>
          <w:numId w:val="37"/>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Finca registral</w:t>
      </w:r>
      <w:r w:rsidRPr="00CF1B34">
        <w:rPr>
          <w:rFonts w:ascii="Arial" w:hAnsi="Arial" w:cs="Arial"/>
          <w:sz w:val="22"/>
          <w:szCs w:val="22"/>
          <w:lang w:val="es-ES_tradnl"/>
        </w:rPr>
        <w:br/>
        <w:t>En este apartado se identifica el tipo de inmueble: si es en el campo, la montaña, aldea o urbano. También encontramos su extensión o metros cuadrados, la orientación, los lindes o los usos de esa finca, por ejemplo, si es una local comercial y su número único de registro (C.R.U. o IDUFIR).</w:t>
      </w:r>
    </w:p>
    <w:p w14:paraId="2FDBB5ED" w14:textId="77777777" w:rsidR="00011712" w:rsidRPr="00CF1B34" w:rsidRDefault="00011712" w:rsidP="004F7A62">
      <w:pPr>
        <w:numPr>
          <w:ilvl w:val="0"/>
          <w:numId w:val="37"/>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Titularidad del inmueble</w:t>
      </w:r>
      <w:r w:rsidRPr="00CF1B34">
        <w:rPr>
          <w:rFonts w:ascii="Arial" w:hAnsi="Arial" w:cs="Arial"/>
          <w:sz w:val="22"/>
          <w:szCs w:val="22"/>
          <w:lang w:val="es-ES_tradnl"/>
        </w:rPr>
        <w:br/>
        <w:t>Aquí podrás conocer el nombre y los datos fiscales del propietario o titulares de la vivienda. Además, el carácter privativo o ganancial del bien, el modo de adquisición, como por ejemplo si es una herencia, por título de compraventa, etc. Por lo general, también se registra el nombre del notario autorizante de la escritura y la fecha.</w:t>
      </w:r>
    </w:p>
    <w:p w14:paraId="179DBAA6" w14:textId="77777777" w:rsidR="001E6B01" w:rsidRDefault="00011712" w:rsidP="0005621A">
      <w:pPr>
        <w:pBdr>
          <w:bottom w:val="dotted" w:sz="12" w:space="12" w:color="666666"/>
        </w:pBdr>
        <w:spacing w:after="240"/>
        <w:ind w:left="720"/>
        <w:jc w:val="both"/>
        <w:rPr>
          <w:rFonts w:ascii="Arial" w:hAnsi="Arial" w:cs="Arial"/>
          <w:b/>
          <w:bCs/>
          <w:sz w:val="22"/>
          <w:szCs w:val="22"/>
          <w:lang w:val="es-ES_tradnl"/>
        </w:rPr>
      </w:pPr>
      <w:r w:rsidRPr="00CF1B34">
        <w:rPr>
          <w:rFonts w:ascii="Arial" w:hAnsi="Arial" w:cs="Arial"/>
          <w:b/>
          <w:bCs/>
          <w:sz w:val="22"/>
          <w:szCs w:val="22"/>
          <w:lang w:val="es-ES_tradnl"/>
        </w:rPr>
        <w:lastRenderedPageBreak/>
        <w:t>Cargas de la finca</w:t>
      </w:r>
    </w:p>
    <w:p w14:paraId="6F829567" w14:textId="4EE73500" w:rsidR="00427744" w:rsidRPr="00CF1B34" w:rsidRDefault="0001171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Sin duda alguna, el dato más importante del documento. El inmueble en cuestión puede tener registradas cargas o gravámenes reales en forma de hipotecas y/o limitaciones al uso. Las cargas inscritas son un dato muy importante, ya que podrás conocer qué tipo de deuda pendiente tiene la vivienda relacionada al incumplimiento de las cuotas de la hipoteca y, por otro lado, las obligaciones que tiene el titular del inmueble gravado y que adquiriría el nuevo propietario en el caso de que el propietario actual no regularice dichas obligaciones económicas.</w:t>
      </w:r>
    </w:p>
    <w:p w14:paraId="78968729" w14:textId="77777777" w:rsidR="00B6139E" w:rsidRPr="00CF1B34" w:rsidRDefault="00B6139E" w:rsidP="0005621A">
      <w:pPr>
        <w:spacing w:before="100" w:beforeAutospacing="1" w:after="100" w:afterAutospacing="1"/>
        <w:jc w:val="both"/>
        <w:rPr>
          <w:rFonts w:ascii="Arial" w:hAnsi="Arial" w:cs="Arial"/>
          <w:b/>
          <w:bCs/>
          <w:sz w:val="22"/>
          <w:szCs w:val="22"/>
          <w:lang w:val="es-ES_tradnl"/>
        </w:rPr>
      </w:pPr>
      <w:r w:rsidRPr="00CF1B34">
        <w:rPr>
          <w:rFonts w:ascii="Arial" w:hAnsi="Arial" w:cs="Arial"/>
          <w:b/>
          <w:bCs/>
          <w:color w:val="2F5496" w:themeColor="accent1" w:themeShade="BF"/>
          <w:sz w:val="22"/>
          <w:szCs w:val="22"/>
          <w:lang w:val="es-ES_tradnl"/>
        </w:rPr>
        <w:t>Novación</w:t>
      </w:r>
    </w:p>
    <w:p w14:paraId="41CC2888" w14:textId="1DA0CBE3" w:rsidR="00B6139E" w:rsidRPr="00CF1B34" w:rsidRDefault="00B6139E" w:rsidP="0005621A">
      <w:pPr>
        <w:ind w:left="708"/>
        <w:jc w:val="both"/>
        <w:rPr>
          <w:rFonts w:ascii="Arial" w:hAnsi="Arial" w:cs="Arial"/>
          <w:sz w:val="22"/>
          <w:szCs w:val="22"/>
          <w:lang w:val="es-ES_tradnl"/>
        </w:rPr>
      </w:pPr>
      <w:r w:rsidRPr="00CF1B34">
        <w:rPr>
          <w:rFonts w:ascii="Arial" w:hAnsi="Arial" w:cs="Arial"/>
          <w:sz w:val="22"/>
          <w:szCs w:val="22"/>
          <w:lang w:val="es-ES_tradnl"/>
        </w:rPr>
        <w:t>La</w:t>
      </w:r>
      <w:r w:rsidR="00B45A7C">
        <w:rPr>
          <w:rFonts w:ascii="Arial" w:hAnsi="Arial" w:cs="Arial"/>
          <w:sz w:val="22"/>
          <w:szCs w:val="22"/>
          <w:lang w:val="es-ES_tradnl"/>
        </w:rPr>
        <w:t xml:space="preserve"> </w:t>
      </w:r>
      <w:r w:rsidRPr="00CF1B34">
        <w:rPr>
          <w:rStyle w:val="Textoennegrita"/>
          <w:rFonts w:ascii="Arial" w:hAnsi="Arial" w:cs="Arial"/>
          <w:sz w:val="22"/>
          <w:szCs w:val="22"/>
          <w:lang w:val="es-ES_tradnl"/>
        </w:rPr>
        <w:t>novación</w:t>
      </w:r>
      <w:r w:rsidR="00B45A7C">
        <w:rPr>
          <w:rFonts w:ascii="Arial" w:hAnsi="Arial" w:cs="Arial"/>
          <w:sz w:val="22"/>
          <w:szCs w:val="22"/>
          <w:lang w:val="es-ES_tradnl"/>
        </w:rPr>
        <w:t xml:space="preserve"> </w:t>
      </w:r>
      <w:r w:rsidRPr="00CF1B34">
        <w:rPr>
          <w:rFonts w:ascii="Arial" w:hAnsi="Arial" w:cs="Arial"/>
          <w:sz w:val="22"/>
          <w:szCs w:val="22"/>
          <w:lang w:val="es-ES_tradnl"/>
        </w:rPr>
        <w:t>es la modificación o extinción de una de las partes de un contrato a través de un nuevo acuerdo entre las partes. La novación es un término muy utilizado en el ámbito financiero y tiene una de sus aplicaciones más habituales en las condiciones de los préstamos hipotecarios.</w:t>
      </w:r>
    </w:p>
    <w:p w14:paraId="503BADF7" w14:textId="7F3154C1" w:rsidR="00B6139E" w:rsidRPr="00CF1B34" w:rsidRDefault="00B6139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el ámbito de las hipotecas hablamos de</w:t>
      </w:r>
      <w:r w:rsidR="00B45A7C">
        <w:rPr>
          <w:rFonts w:ascii="Arial" w:hAnsi="Arial" w:cs="Arial"/>
          <w:sz w:val="22"/>
          <w:szCs w:val="22"/>
          <w:lang w:val="es-ES_tradnl"/>
        </w:rPr>
        <w:t xml:space="preserve"> </w:t>
      </w:r>
      <w:r w:rsidRPr="00CF1B34">
        <w:rPr>
          <w:rStyle w:val="Textoennegrita"/>
          <w:rFonts w:ascii="Arial" w:hAnsi="Arial" w:cs="Arial"/>
          <w:sz w:val="22"/>
          <w:szCs w:val="22"/>
          <w:lang w:val="es-ES_tradnl"/>
        </w:rPr>
        <w:t>novación hipotecaria</w:t>
      </w:r>
      <w:r w:rsidR="00B45A7C">
        <w:rPr>
          <w:rFonts w:ascii="Arial" w:hAnsi="Arial" w:cs="Arial"/>
          <w:sz w:val="22"/>
          <w:szCs w:val="22"/>
          <w:lang w:val="es-ES_tradnl"/>
        </w:rPr>
        <w:t xml:space="preserve"> </w:t>
      </w:r>
      <w:r w:rsidRPr="00CF1B34">
        <w:rPr>
          <w:rFonts w:ascii="Arial" w:hAnsi="Arial" w:cs="Arial"/>
          <w:sz w:val="22"/>
          <w:szCs w:val="22"/>
          <w:lang w:val="es-ES_tradnl"/>
        </w:rPr>
        <w:t>para referirnos a cualquier cambio realizado en un contrato hipotecario después de haber sido contratado. Debido a que el contrato ya está en vigor, este tipo de cambios requieren un nuevo acuerdo entre las partes implicadas para la renegociación del contrato.</w:t>
      </w:r>
    </w:p>
    <w:p w14:paraId="1C8DBE4A" w14:textId="77777777" w:rsidR="00B6139E" w:rsidRPr="00CF1B34" w:rsidRDefault="00B6139E"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¿Qué tipo de cambios se contemplan en una novación hipotecaria?</w:t>
      </w:r>
    </w:p>
    <w:p w14:paraId="04C9E365" w14:textId="77777777" w:rsidR="00B6139E" w:rsidRPr="00CF1B34" w:rsidRDefault="00B6139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Existen multitud de aspectos que pueden ser modificados a través de una novación hipotecaria, estos son algunos de los más habituales:</w:t>
      </w:r>
    </w:p>
    <w:p w14:paraId="50254A3F" w14:textId="2E92C462" w:rsidR="00B6139E" w:rsidRPr="00CF1B34" w:rsidRDefault="00B6139E" w:rsidP="004F7A62">
      <w:pPr>
        <w:numPr>
          <w:ilvl w:val="0"/>
          <w:numId w:val="38"/>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Podemos modificar el</w:t>
      </w:r>
      <w:r w:rsidR="00B45A7C">
        <w:rPr>
          <w:rFonts w:ascii="Arial" w:hAnsi="Arial" w:cs="Arial"/>
          <w:sz w:val="22"/>
          <w:szCs w:val="22"/>
          <w:lang w:val="es-ES_tradnl"/>
        </w:rPr>
        <w:t xml:space="preserve"> </w:t>
      </w:r>
      <w:r w:rsidRPr="00CF1B34">
        <w:rPr>
          <w:rStyle w:val="Textoennegrita"/>
          <w:rFonts w:ascii="Arial" w:hAnsi="Arial" w:cs="Arial"/>
          <w:sz w:val="22"/>
          <w:szCs w:val="22"/>
          <w:lang w:val="es-ES_tradnl"/>
        </w:rPr>
        <w:t>tipo de interés</w:t>
      </w:r>
      <w:r w:rsidR="00B45A7C">
        <w:rPr>
          <w:rFonts w:ascii="Arial" w:hAnsi="Arial" w:cs="Arial"/>
          <w:sz w:val="22"/>
          <w:szCs w:val="22"/>
          <w:lang w:val="es-ES_tradnl"/>
        </w:rPr>
        <w:t xml:space="preserve"> </w:t>
      </w:r>
      <w:r w:rsidRPr="00CF1B34">
        <w:rPr>
          <w:rFonts w:ascii="Arial" w:hAnsi="Arial" w:cs="Arial"/>
          <w:sz w:val="22"/>
          <w:szCs w:val="22"/>
          <w:lang w:val="es-ES_tradnl"/>
        </w:rPr>
        <w:t>que se pactaron en el inicio y pasar de un tipo fijo a uno variable o al contrario o renegociar el diferencial.</w:t>
      </w:r>
    </w:p>
    <w:p w14:paraId="419E2156" w14:textId="30F75A26" w:rsidR="00B6139E" w:rsidRPr="00CF1B34" w:rsidRDefault="00B6139E" w:rsidP="004F7A62">
      <w:pPr>
        <w:numPr>
          <w:ilvl w:val="0"/>
          <w:numId w:val="38"/>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Modificar el</w:t>
      </w:r>
      <w:r w:rsidR="00B45A7C">
        <w:rPr>
          <w:rFonts w:ascii="Arial" w:hAnsi="Arial" w:cs="Arial"/>
          <w:sz w:val="22"/>
          <w:szCs w:val="22"/>
          <w:lang w:val="es-ES_tradnl"/>
        </w:rPr>
        <w:t xml:space="preserve"> </w:t>
      </w:r>
      <w:r w:rsidRPr="00CF1B34">
        <w:rPr>
          <w:rStyle w:val="Textoennegrita"/>
          <w:rFonts w:ascii="Arial" w:hAnsi="Arial" w:cs="Arial"/>
          <w:sz w:val="22"/>
          <w:szCs w:val="22"/>
          <w:lang w:val="es-ES_tradnl"/>
        </w:rPr>
        <w:t>titular del préstamo</w:t>
      </w:r>
    </w:p>
    <w:p w14:paraId="6A71C0E6" w14:textId="2257F2E9" w:rsidR="00B6139E" w:rsidRPr="00CF1B34" w:rsidRDefault="00B6139E" w:rsidP="004F7A62">
      <w:pPr>
        <w:numPr>
          <w:ilvl w:val="0"/>
          <w:numId w:val="38"/>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Aumentar el</w:t>
      </w:r>
      <w:r w:rsidR="001E6B01">
        <w:rPr>
          <w:rFonts w:ascii="Arial" w:hAnsi="Arial" w:cs="Arial"/>
          <w:sz w:val="22"/>
          <w:szCs w:val="22"/>
          <w:lang w:val="es-ES_tradnl"/>
        </w:rPr>
        <w:t xml:space="preserve"> </w:t>
      </w:r>
      <w:r w:rsidRPr="00CF1B34">
        <w:rPr>
          <w:rStyle w:val="Textoennegrita"/>
          <w:rFonts w:ascii="Arial" w:hAnsi="Arial" w:cs="Arial"/>
          <w:sz w:val="22"/>
          <w:szCs w:val="22"/>
          <w:lang w:val="es-ES_tradnl"/>
        </w:rPr>
        <w:t>plazo</w:t>
      </w:r>
      <w:r w:rsidR="001E6B01">
        <w:rPr>
          <w:rFonts w:ascii="Arial" w:hAnsi="Arial" w:cs="Arial"/>
          <w:sz w:val="22"/>
          <w:szCs w:val="22"/>
          <w:lang w:val="es-ES_tradnl"/>
        </w:rPr>
        <w:t xml:space="preserve"> </w:t>
      </w:r>
      <w:r w:rsidRPr="00CF1B34">
        <w:rPr>
          <w:rFonts w:ascii="Arial" w:hAnsi="Arial" w:cs="Arial"/>
          <w:sz w:val="22"/>
          <w:szCs w:val="22"/>
          <w:lang w:val="es-ES_tradnl"/>
        </w:rPr>
        <w:t>para reducir la cuota mensual o reducir el plazo aumentando la cuota mensual.</w:t>
      </w:r>
    </w:p>
    <w:p w14:paraId="29021D89" w14:textId="77777777" w:rsidR="00B6139E" w:rsidRPr="00CF1B34" w:rsidRDefault="00B6139E" w:rsidP="004F7A62">
      <w:pPr>
        <w:numPr>
          <w:ilvl w:val="0"/>
          <w:numId w:val="38"/>
        </w:numPr>
        <w:spacing w:before="100" w:beforeAutospacing="1" w:after="100" w:afterAutospacing="1"/>
        <w:jc w:val="both"/>
        <w:rPr>
          <w:rFonts w:ascii="Arial" w:hAnsi="Arial" w:cs="Arial"/>
          <w:sz w:val="22"/>
          <w:szCs w:val="22"/>
          <w:lang w:val="es-ES_tradnl"/>
        </w:rPr>
      </w:pPr>
      <w:r w:rsidRPr="00CF1B34">
        <w:rPr>
          <w:rStyle w:val="Textoennegrita"/>
          <w:rFonts w:ascii="Arial" w:hAnsi="Arial" w:cs="Arial"/>
          <w:sz w:val="22"/>
          <w:szCs w:val="22"/>
          <w:lang w:val="es-ES_tradnl"/>
        </w:rPr>
        <w:t>Incrementar el importe</w:t>
      </w:r>
      <w:r w:rsidRPr="00CF1B34">
        <w:rPr>
          <w:rFonts w:ascii="Arial" w:hAnsi="Arial" w:cs="Arial"/>
          <w:sz w:val="22"/>
          <w:szCs w:val="22"/>
          <w:lang w:val="es-ES_tradnl"/>
        </w:rPr>
        <w:t>, es decir realizar una ampliación de la hipoteca.</w:t>
      </w:r>
    </w:p>
    <w:p w14:paraId="5133CC69" w14:textId="1195B3C9" w:rsidR="00B6139E" w:rsidRPr="00CF1B34" w:rsidRDefault="00B6139E" w:rsidP="004F7A62">
      <w:pPr>
        <w:numPr>
          <w:ilvl w:val="0"/>
          <w:numId w:val="38"/>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Modificar las</w:t>
      </w:r>
      <w:r w:rsidR="001E6B01">
        <w:rPr>
          <w:rFonts w:ascii="Arial" w:hAnsi="Arial" w:cs="Arial"/>
          <w:sz w:val="22"/>
          <w:szCs w:val="22"/>
          <w:lang w:val="es-ES_tradnl"/>
        </w:rPr>
        <w:t xml:space="preserve"> </w:t>
      </w:r>
      <w:r w:rsidRPr="00CF1B34">
        <w:rPr>
          <w:rStyle w:val="Textoennegrita"/>
          <w:rFonts w:ascii="Arial" w:hAnsi="Arial" w:cs="Arial"/>
          <w:sz w:val="22"/>
          <w:szCs w:val="22"/>
          <w:lang w:val="es-ES_tradnl"/>
        </w:rPr>
        <w:t>garantías</w:t>
      </w:r>
      <w:r w:rsidR="001E6B01">
        <w:rPr>
          <w:rFonts w:ascii="Arial" w:hAnsi="Arial" w:cs="Arial"/>
          <w:sz w:val="22"/>
          <w:szCs w:val="22"/>
          <w:lang w:val="es-ES_tradnl"/>
        </w:rPr>
        <w:t xml:space="preserve"> </w:t>
      </w:r>
      <w:r w:rsidRPr="00CF1B34">
        <w:rPr>
          <w:rFonts w:ascii="Arial" w:hAnsi="Arial" w:cs="Arial"/>
          <w:sz w:val="22"/>
          <w:szCs w:val="22"/>
          <w:lang w:val="es-ES_tradnl"/>
        </w:rPr>
        <w:t>para liberar garantías existentes o incorporar otras nuevas.</w:t>
      </w:r>
    </w:p>
    <w:p w14:paraId="4B35C876" w14:textId="3D405ACE" w:rsidR="00B6139E" w:rsidRPr="00CF1B34" w:rsidRDefault="00B6139E" w:rsidP="004F7A62">
      <w:pPr>
        <w:numPr>
          <w:ilvl w:val="0"/>
          <w:numId w:val="38"/>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Aplicar alguna variación relacionada con el</w:t>
      </w:r>
      <w:r w:rsidR="001E6B01">
        <w:rPr>
          <w:rFonts w:ascii="Arial" w:hAnsi="Arial" w:cs="Arial"/>
          <w:sz w:val="22"/>
          <w:szCs w:val="22"/>
          <w:lang w:val="es-ES_tradnl"/>
        </w:rPr>
        <w:t xml:space="preserve"> </w:t>
      </w:r>
      <w:r w:rsidRPr="00CF1B34">
        <w:rPr>
          <w:rStyle w:val="Textoennegrita"/>
          <w:rFonts w:ascii="Arial" w:hAnsi="Arial" w:cs="Arial"/>
          <w:sz w:val="22"/>
          <w:szCs w:val="22"/>
          <w:lang w:val="es-ES_tradnl"/>
        </w:rPr>
        <w:t>sistema de liquidación</w:t>
      </w:r>
      <w:r w:rsidR="001E6B01">
        <w:rPr>
          <w:rFonts w:ascii="Arial" w:hAnsi="Arial" w:cs="Arial"/>
          <w:sz w:val="22"/>
          <w:szCs w:val="22"/>
          <w:lang w:val="es-ES_tradnl"/>
        </w:rPr>
        <w:t xml:space="preserve"> </w:t>
      </w:r>
      <w:r w:rsidRPr="00CF1B34">
        <w:rPr>
          <w:rFonts w:ascii="Arial" w:hAnsi="Arial" w:cs="Arial"/>
          <w:sz w:val="22"/>
          <w:szCs w:val="22"/>
          <w:lang w:val="es-ES_tradnl"/>
        </w:rPr>
        <w:t>como incorporar un periodo de carencia o alguna otra variación relacionada con este aspecto.</w:t>
      </w:r>
    </w:p>
    <w:p w14:paraId="69583B6B" w14:textId="77777777" w:rsidR="00B6139E" w:rsidRPr="00CF1B34" w:rsidRDefault="00B6139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función de la modificación que vaya a realizarse variarán las gestiones necesarias para poder llevar a cabo la novación hipotecaria: si es necesario una nueva escritura pública, inscripción en el registro, el pago de impuestos, etc.</w:t>
      </w:r>
    </w:p>
    <w:p w14:paraId="78EC6EEE" w14:textId="77777777" w:rsidR="00B6139E" w:rsidRPr="00CF1B34" w:rsidRDefault="00B6139E"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¿Cuánto cuesta modificar una hipoteca?</w:t>
      </w:r>
    </w:p>
    <w:p w14:paraId="2168925B" w14:textId="77777777" w:rsidR="00B6139E" w:rsidRPr="00CF1B34" w:rsidRDefault="00B6139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Una novación hipotecaria implica realizar una nueva operación, volver a negociar precios y riesgos y suele tener una serie de comisiones de novación asociadas que nos cobrará la entidad bancaria entre las que se incluyen:</w:t>
      </w:r>
    </w:p>
    <w:p w14:paraId="43C36422" w14:textId="77777777" w:rsidR="00B6139E" w:rsidRPr="00CF1B34" w:rsidRDefault="00B6139E" w:rsidP="004F7A62">
      <w:pPr>
        <w:numPr>
          <w:ilvl w:val="0"/>
          <w:numId w:val="39"/>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Comisión de novación de la hipoteca</w:t>
      </w:r>
    </w:p>
    <w:p w14:paraId="39E5333C" w14:textId="77777777" w:rsidR="00B6139E" w:rsidRPr="00CF1B34" w:rsidRDefault="00B6139E" w:rsidP="004F7A62">
      <w:pPr>
        <w:numPr>
          <w:ilvl w:val="0"/>
          <w:numId w:val="39"/>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Gastos de notaria</w:t>
      </w:r>
    </w:p>
    <w:p w14:paraId="28EB5832" w14:textId="77777777" w:rsidR="00B6139E" w:rsidRPr="00CF1B34" w:rsidRDefault="00B6139E" w:rsidP="004F7A62">
      <w:pPr>
        <w:numPr>
          <w:ilvl w:val="0"/>
          <w:numId w:val="39"/>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Registro de la propiedad en caso de ser necesario</w:t>
      </w:r>
    </w:p>
    <w:p w14:paraId="67A33002" w14:textId="77777777" w:rsidR="00B6139E" w:rsidRPr="00CF1B34" w:rsidRDefault="00B6139E" w:rsidP="004F7A62">
      <w:pPr>
        <w:numPr>
          <w:ilvl w:val="0"/>
          <w:numId w:val="39"/>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Gastos de gestoría</w:t>
      </w:r>
    </w:p>
    <w:p w14:paraId="7A759F41" w14:textId="49403DD4" w:rsidR="00B6139E" w:rsidRPr="00CF1B34" w:rsidRDefault="00B6139E" w:rsidP="0005621A">
      <w:pPr>
        <w:pStyle w:val="Sinespaciado"/>
        <w:ind w:left="708"/>
        <w:jc w:val="both"/>
        <w:rPr>
          <w:rFonts w:ascii="Arial" w:hAnsi="Arial" w:cs="Arial"/>
          <w:sz w:val="22"/>
          <w:szCs w:val="22"/>
          <w:lang w:val="es-ES_tradnl"/>
        </w:rPr>
      </w:pPr>
      <w:r w:rsidRPr="00CF1B34">
        <w:rPr>
          <w:rFonts w:ascii="Arial" w:hAnsi="Arial" w:cs="Arial"/>
          <w:sz w:val="22"/>
          <w:szCs w:val="22"/>
          <w:lang w:val="es-ES_tradnl"/>
        </w:rPr>
        <w:lastRenderedPageBreak/>
        <w:t>La novación hipotecaria puede suponer una serie de</w:t>
      </w:r>
      <w:r w:rsidR="001E6B01">
        <w:rPr>
          <w:rFonts w:ascii="Arial" w:hAnsi="Arial" w:cs="Arial"/>
          <w:sz w:val="22"/>
          <w:szCs w:val="22"/>
          <w:lang w:val="es-ES_tradnl"/>
        </w:rPr>
        <w:t xml:space="preserve"> </w:t>
      </w:r>
      <w:r w:rsidRPr="00CF1B34">
        <w:rPr>
          <w:rStyle w:val="Textoennegrita"/>
          <w:rFonts w:ascii="Arial" w:hAnsi="Arial" w:cs="Arial"/>
          <w:sz w:val="22"/>
          <w:szCs w:val="22"/>
          <w:lang w:val="es-ES_tradnl"/>
        </w:rPr>
        <w:t>ventajas</w:t>
      </w:r>
      <w:r w:rsidR="001E6B01">
        <w:rPr>
          <w:rFonts w:ascii="Arial" w:hAnsi="Arial" w:cs="Arial"/>
          <w:sz w:val="22"/>
          <w:szCs w:val="22"/>
          <w:lang w:val="es-ES_tradnl"/>
        </w:rPr>
        <w:t xml:space="preserve"> </w:t>
      </w:r>
      <w:r w:rsidRPr="00CF1B34">
        <w:rPr>
          <w:rFonts w:ascii="Arial" w:hAnsi="Arial" w:cs="Arial"/>
          <w:sz w:val="22"/>
          <w:szCs w:val="22"/>
          <w:lang w:val="es-ES_tradnl"/>
        </w:rPr>
        <w:t>ya que es más barato que cancelar la hipoteca, permite ahorrar dinero y permite mejorar las condiciones de la hipoteca.</w:t>
      </w:r>
    </w:p>
    <w:p w14:paraId="1E653F38" w14:textId="77777777" w:rsidR="00011712" w:rsidRPr="00CF1B34" w:rsidRDefault="00011712" w:rsidP="0005621A">
      <w:pPr>
        <w:pBdr>
          <w:bottom w:val="dotted" w:sz="12" w:space="12" w:color="666666"/>
        </w:pBdr>
        <w:spacing w:after="240"/>
        <w:ind w:left="720"/>
        <w:jc w:val="both"/>
        <w:rPr>
          <w:rFonts w:ascii="Arial" w:hAnsi="Arial" w:cs="Arial"/>
          <w:color w:val="212529"/>
          <w:sz w:val="22"/>
          <w:szCs w:val="22"/>
          <w:lang w:val="es-ES_tradnl"/>
        </w:rPr>
      </w:pPr>
    </w:p>
    <w:p w14:paraId="619D4ED5" w14:textId="703756CF" w:rsidR="00696A3C" w:rsidRPr="00CF1B34" w:rsidRDefault="0042774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N</w:t>
      </w:r>
      <w:r w:rsidR="00D07B22" w:rsidRPr="00CF1B34">
        <w:rPr>
          <w:rFonts w:ascii="Arial" w:hAnsi="Arial" w:cs="Arial"/>
          <w:b/>
          <w:bCs/>
          <w:color w:val="2F5496" w:themeColor="accent1" w:themeShade="BF"/>
          <w:sz w:val="22"/>
          <w:szCs w:val="22"/>
          <w:lang w:val="es-ES_tradnl"/>
        </w:rPr>
        <w:t>ú</w:t>
      </w:r>
      <w:r w:rsidRPr="00CF1B34">
        <w:rPr>
          <w:rFonts w:ascii="Arial" w:hAnsi="Arial" w:cs="Arial"/>
          <w:b/>
          <w:bCs/>
          <w:color w:val="2F5496" w:themeColor="accent1" w:themeShade="BF"/>
          <w:sz w:val="22"/>
          <w:szCs w:val="22"/>
          <w:lang w:val="es-ES_tradnl"/>
        </w:rPr>
        <w:t>cleo duro</w:t>
      </w:r>
    </w:p>
    <w:p w14:paraId="52C94447" w14:textId="77777777" w:rsidR="00BF617D" w:rsidRPr="00CF1B34" w:rsidRDefault="00BF617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Grupo de accionistas estables de una sociedad.</w:t>
      </w:r>
    </w:p>
    <w:p w14:paraId="683C2599" w14:textId="77777777" w:rsidR="00B6139E" w:rsidRPr="00CF1B34" w:rsidRDefault="00B6139E"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Nuda propiedad</w:t>
      </w:r>
    </w:p>
    <w:p w14:paraId="667B5112" w14:textId="1F3FE761" w:rsidR="00B6139E" w:rsidRPr="00CF1B34" w:rsidRDefault="00B6139E" w:rsidP="0005621A">
      <w:pPr>
        <w:ind w:left="708"/>
        <w:jc w:val="both"/>
        <w:rPr>
          <w:rFonts w:ascii="Arial" w:hAnsi="Arial" w:cs="Arial"/>
          <w:sz w:val="22"/>
          <w:szCs w:val="22"/>
          <w:lang w:val="es-ES_tradnl"/>
        </w:rPr>
      </w:pPr>
      <w:r w:rsidRPr="00CF1B34">
        <w:rPr>
          <w:rFonts w:ascii="Arial" w:hAnsi="Arial" w:cs="Arial"/>
          <w:sz w:val="22"/>
          <w:szCs w:val="22"/>
          <w:lang w:val="es-ES_tradnl"/>
        </w:rPr>
        <w:t>Cuando compras una propiedad adquieres su</w:t>
      </w:r>
      <w:r w:rsidR="00BF617D"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pleno dominio</w:t>
      </w:r>
      <w:r w:rsidRPr="00CF1B34">
        <w:rPr>
          <w:rFonts w:ascii="Arial" w:hAnsi="Arial" w:cs="Arial"/>
          <w:sz w:val="22"/>
          <w:szCs w:val="22"/>
          <w:lang w:val="es-ES_tradnl"/>
        </w:rPr>
        <w:t>, este pleno dominio está compuesto por dos tipos de propiedad:</w:t>
      </w:r>
    </w:p>
    <w:p w14:paraId="68C0C86B" w14:textId="77777777" w:rsidR="00B6139E" w:rsidRPr="00CF1B34" w:rsidRDefault="00B6139E" w:rsidP="004F7A62">
      <w:pPr>
        <w:numPr>
          <w:ilvl w:val="0"/>
          <w:numId w:val="40"/>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La </w:t>
      </w:r>
      <w:r w:rsidRPr="00CF1B34">
        <w:rPr>
          <w:rStyle w:val="Textoennegrita"/>
          <w:rFonts w:ascii="Arial" w:hAnsi="Arial" w:cs="Arial"/>
          <w:sz w:val="22"/>
          <w:szCs w:val="22"/>
          <w:lang w:val="es-ES_tradnl"/>
        </w:rPr>
        <w:t>nuda propiedad</w:t>
      </w:r>
      <w:r w:rsidRPr="00CF1B34">
        <w:rPr>
          <w:rFonts w:ascii="Arial" w:hAnsi="Arial" w:cs="Arial"/>
          <w:sz w:val="22"/>
          <w:szCs w:val="22"/>
          <w:lang w:val="es-ES_tradnl"/>
        </w:rPr>
        <w:t> otorga el dominio sobre el bien inmueble pero no concede la posesión</w:t>
      </w:r>
    </w:p>
    <w:p w14:paraId="46D59B45" w14:textId="77777777" w:rsidR="00B6139E" w:rsidRPr="00CF1B34" w:rsidRDefault="00B6139E" w:rsidP="004F7A62">
      <w:pPr>
        <w:numPr>
          <w:ilvl w:val="0"/>
          <w:numId w:val="40"/>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El </w:t>
      </w:r>
      <w:r w:rsidRPr="00CF1B34">
        <w:rPr>
          <w:rStyle w:val="Textoennegrita"/>
          <w:rFonts w:ascii="Arial" w:hAnsi="Arial" w:cs="Arial"/>
          <w:sz w:val="22"/>
          <w:szCs w:val="22"/>
          <w:lang w:val="es-ES_tradnl"/>
        </w:rPr>
        <w:t>usufructo</w:t>
      </w:r>
      <w:r w:rsidRPr="00CF1B34">
        <w:rPr>
          <w:rFonts w:ascii="Arial" w:hAnsi="Arial" w:cs="Arial"/>
          <w:sz w:val="22"/>
          <w:szCs w:val="22"/>
          <w:lang w:val="es-ES_tradnl"/>
        </w:rPr>
        <w:t> que concede el uso y disfrute del bien.</w:t>
      </w:r>
    </w:p>
    <w:p w14:paraId="0BB27D36" w14:textId="77777777" w:rsidR="00B6139E" w:rsidRPr="00CF1B34" w:rsidRDefault="00B6139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La diferencia entre la nuda propiedad y el usufructo puede verse claramente con el siguiente ejemplo. Imaginemos que el dueño de una propiedad la alquila. El dueño continuará siendo el nudo propietario del inmueble ya que conservará su derecho de disponer del mismo pero el derecho de usufructo lo tendrá la persona que paga el alquiler. A cambio de esta cuota mensual, el inquilino tiene los derechos de uso y </w:t>
      </w:r>
      <w:proofErr w:type="gramStart"/>
      <w:r w:rsidRPr="00CF1B34">
        <w:rPr>
          <w:rFonts w:ascii="Arial" w:hAnsi="Arial" w:cs="Arial"/>
          <w:sz w:val="22"/>
          <w:szCs w:val="22"/>
          <w:lang w:val="es-ES_tradnl"/>
        </w:rPr>
        <w:t>fructo</w:t>
      </w:r>
      <w:proofErr w:type="gramEnd"/>
      <w:r w:rsidRPr="00CF1B34">
        <w:rPr>
          <w:rFonts w:ascii="Arial" w:hAnsi="Arial" w:cs="Arial"/>
          <w:sz w:val="22"/>
          <w:szCs w:val="22"/>
          <w:lang w:val="es-ES_tradnl"/>
        </w:rPr>
        <w:t xml:space="preserve"> pero no podrá venderla o hipotecarla ya que es el dueño el que posee estos derechos.</w:t>
      </w:r>
    </w:p>
    <w:p w14:paraId="597A3D9C" w14:textId="77777777" w:rsidR="00B6139E" w:rsidRPr="00CF1B34" w:rsidRDefault="00B6139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Imaginemos ahora que el propietario vende su </w:t>
      </w:r>
      <w:proofErr w:type="gramStart"/>
      <w:r w:rsidRPr="00CF1B34">
        <w:rPr>
          <w:rFonts w:ascii="Arial" w:hAnsi="Arial" w:cs="Arial"/>
          <w:sz w:val="22"/>
          <w:szCs w:val="22"/>
          <w:lang w:val="es-ES_tradnl"/>
        </w:rPr>
        <w:t>piso</w:t>
      </w:r>
      <w:proofErr w:type="gramEnd"/>
      <w:r w:rsidRPr="00CF1B34">
        <w:rPr>
          <w:rFonts w:ascii="Arial" w:hAnsi="Arial" w:cs="Arial"/>
          <w:sz w:val="22"/>
          <w:szCs w:val="22"/>
          <w:lang w:val="es-ES_tradnl"/>
        </w:rPr>
        <w:t xml:space="preserve"> pero mantiene el usufructo. En este caso, el propietario está vendiendo la </w:t>
      </w:r>
      <w:r w:rsidRPr="00CF1B34">
        <w:rPr>
          <w:rStyle w:val="Textoennegrita"/>
          <w:rFonts w:ascii="Arial" w:hAnsi="Arial" w:cs="Arial"/>
          <w:sz w:val="22"/>
          <w:szCs w:val="22"/>
          <w:lang w:val="es-ES_tradnl"/>
        </w:rPr>
        <w:t xml:space="preserve">nuda </w:t>
      </w:r>
      <w:proofErr w:type="gramStart"/>
      <w:r w:rsidRPr="00CF1B34">
        <w:rPr>
          <w:rStyle w:val="Textoennegrita"/>
          <w:rFonts w:ascii="Arial" w:hAnsi="Arial" w:cs="Arial"/>
          <w:sz w:val="22"/>
          <w:szCs w:val="22"/>
          <w:lang w:val="es-ES_tradnl"/>
        </w:rPr>
        <w:t>propiedad</w:t>
      </w:r>
      <w:proofErr w:type="gramEnd"/>
      <w:r w:rsidRPr="00CF1B34">
        <w:rPr>
          <w:rFonts w:ascii="Arial" w:hAnsi="Arial" w:cs="Arial"/>
          <w:sz w:val="22"/>
          <w:szCs w:val="22"/>
          <w:lang w:val="es-ES_tradnl"/>
        </w:rPr>
        <w:t xml:space="preserve"> pero mantiene el derecho a seguir viviendo en él. Explicado de forma sencilla, la nuda propiedad es vender una </w:t>
      </w:r>
      <w:proofErr w:type="gramStart"/>
      <w:r w:rsidRPr="00CF1B34">
        <w:rPr>
          <w:rFonts w:ascii="Arial" w:hAnsi="Arial" w:cs="Arial"/>
          <w:sz w:val="22"/>
          <w:szCs w:val="22"/>
          <w:lang w:val="es-ES_tradnl"/>
        </w:rPr>
        <w:t>casa</w:t>
      </w:r>
      <w:proofErr w:type="gramEnd"/>
      <w:r w:rsidRPr="00CF1B34">
        <w:rPr>
          <w:rFonts w:ascii="Arial" w:hAnsi="Arial" w:cs="Arial"/>
          <w:sz w:val="22"/>
          <w:szCs w:val="22"/>
          <w:lang w:val="es-ES_tradnl"/>
        </w:rPr>
        <w:t xml:space="preserve"> pero seguir viviendo en ella.</w:t>
      </w:r>
    </w:p>
    <w:p w14:paraId="419A5DF7" w14:textId="77777777" w:rsidR="00B6139E" w:rsidRPr="00CF1B34" w:rsidRDefault="00B6139E"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¿Quiénes participan en esta modalidad de compraventa?</w:t>
      </w:r>
    </w:p>
    <w:p w14:paraId="5A13B3D5" w14:textId="77777777" w:rsidR="00B6139E" w:rsidRPr="00CF1B34" w:rsidRDefault="00B6139E"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Este tipo de operación no es habitual, pero existe cierta demanda en las ciudades más grandes. Esta modalidad de compraventa puede resultar interesante para personas mayores sin descendientes por un lado y por otro lado para inversores que buscan una rentabilidad a largo plazo.</w:t>
      </w:r>
    </w:p>
    <w:p w14:paraId="40E6C9D2" w14:textId="77777777" w:rsidR="00B6139E" w:rsidRPr="00CF1B34" w:rsidRDefault="00B6139E"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A la hora de firmar este tipo de contratos existen diferentes opciones:</w:t>
      </w:r>
    </w:p>
    <w:p w14:paraId="70D95627" w14:textId="77777777" w:rsidR="00B6139E" w:rsidRPr="00CF1B34" w:rsidRDefault="00B6139E" w:rsidP="004F7A62">
      <w:pPr>
        <w:numPr>
          <w:ilvl w:val="0"/>
          <w:numId w:val="41"/>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Un </w:t>
      </w:r>
      <w:r w:rsidRPr="00CF1B34">
        <w:rPr>
          <w:rStyle w:val="Textoennegrita"/>
          <w:rFonts w:ascii="Arial" w:hAnsi="Arial" w:cs="Arial"/>
          <w:sz w:val="22"/>
          <w:szCs w:val="22"/>
          <w:lang w:val="es-ES_tradnl"/>
        </w:rPr>
        <w:t>pago único</w:t>
      </w:r>
      <w:r w:rsidRPr="00CF1B34">
        <w:rPr>
          <w:rFonts w:ascii="Arial" w:hAnsi="Arial" w:cs="Arial"/>
          <w:sz w:val="22"/>
          <w:szCs w:val="22"/>
          <w:lang w:val="es-ES_tradnl"/>
        </w:rPr>
        <w:t> en el que se aplica una rebaja sobre el precio de venta en relación a la esperanza de vida del usufructuario.</w:t>
      </w:r>
    </w:p>
    <w:p w14:paraId="5CCB0057" w14:textId="77777777" w:rsidR="00B6139E" w:rsidRPr="00CF1B34" w:rsidRDefault="00B6139E" w:rsidP="004F7A62">
      <w:pPr>
        <w:numPr>
          <w:ilvl w:val="0"/>
          <w:numId w:val="41"/>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Una </w:t>
      </w:r>
      <w:r w:rsidRPr="00CF1B34">
        <w:rPr>
          <w:rStyle w:val="Textoennegrita"/>
          <w:rFonts w:ascii="Arial" w:hAnsi="Arial" w:cs="Arial"/>
          <w:sz w:val="22"/>
          <w:szCs w:val="22"/>
          <w:lang w:val="es-ES_tradnl"/>
        </w:rPr>
        <w:t>renta periódica</w:t>
      </w:r>
      <w:r w:rsidRPr="00CF1B34">
        <w:rPr>
          <w:rFonts w:ascii="Arial" w:hAnsi="Arial" w:cs="Arial"/>
          <w:sz w:val="22"/>
          <w:szCs w:val="22"/>
          <w:lang w:val="es-ES_tradnl"/>
        </w:rPr>
        <w:t> que el vendedor paga mensualmente al comprador para seguir viviendo en la casa.</w:t>
      </w:r>
    </w:p>
    <w:p w14:paraId="056800EF" w14:textId="77777777" w:rsidR="001477F9" w:rsidRPr="00CF1B34" w:rsidRDefault="00B6139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 la hora de llevar operaciones de este tipo es muy importante ser asesorado por profesionales ya que son más complejas que las operaciones convencionales de compraventa.</w:t>
      </w:r>
    </w:p>
    <w:p w14:paraId="7A62559F" w14:textId="77777777" w:rsidR="00B6139E" w:rsidRPr="00CF1B34" w:rsidRDefault="00B6139E"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Número de cuenta</w:t>
      </w:r>
    </w:p>
    <w:p w14:paraId="297BA72E" w14:textId="77777777" w:rsidR="00B6139E" w:rsidRPr="00CF1B34" w:rsidRDefault="00B6139E" w:rsidP="0005621A">
      <w:pPr>
        <w:pStyle w:val="NormalWeb"/>
        <w:spacing w:before="0" w:beforeAutospacing="0"/>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El número de </w:t>
      </w:r>
      <w:hyperlink r:id="rId286" w:history="1">
        <w:r w:rsidRPr="00CF1B34">
          <w:rPr>
            <w:rStyle w:val="Hipervnculo"/>
            <w:rFonts w:ascii="Arial" w:hAnsi="Arial" w:cs="Arial"/>
            <w:b/>
            <w:bCs/>
            <w:color w:val="000000" w:themeColor="text1"/>
            <w:sz w:val="22"/>
            <w:szCs w:val="22"/>
            <w:lang w:val="es-ES_tradnl"/>
          </w:rPr>
          <w:t>cuenta</w:t>
        </w:r>
      </w:hyperlink>
      <w:r w:rsidRPr="00CF1B34">
        <w:rPr>
          <w:rFonts w:ascii="Arial" w:hAnsi="Arial" w:cs="Arial"/>
          <w:color w:val="000000" w:themeColor="text1"/>
          <w:sz w:val="22"/>
          <w:szCs w:val="22"/>
          <w:lang w:val="es-ES_tradnl"/>
        </w:rPr>
        <w:t> es el código estandarizado que nos permite identificarla, acceder fácilmente a algunos datos (el país y el banco del que procede, la sucursal, la oficina desde donde se abrió…). Para entendernos, es como su matrícula.</w:t>
      </w:r>
    </w:p>
    <w:p w14:paraId="07C95147" w14:textId="77777777" w:rsidR="00B6139E" w:rsidRPr="00CF1B34" w:rsidRDefault="00B6139E" w:rsidP="0005621A">
      <w:pPr>
        <w:pStyle w:val="NormalWeb"/>
        <w:spacing w:before="0" w:beforeAutospacing="0"/>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lastRenderedPageBreak/>
        <w:t>Antes de 2014, este código de cuenta equivalía al CCC (Código de Cuenta de Cliente), y tenía 20 dígitos. Y en 2014, la globalización y la extensión de las operaciones financieras más allá de nuestro país requirió la emisión de pagos transfronterizos de manera ágil y segura. Por este motivo, el CCC fue sustituido por el IBAN (en español, Código Internacional de Cuenta Bancaria), que se utiliza para unificar todos los movimientos, emitir y recibir transferencias en la Zona Única de Pagos en Euros (SEPA).</w:t>
      </w:r>
    </w:p>
    <w:p w14:paraId="4633F1A8" w14:textId="77777777" w:rsidR="00B6139E" w:rsidRPr="00CF1B34" w:rsidRDefault="00B6139E" w:rsidP="0005621A">
      <w:pPr>
        <w:pStyle w:val="NormalWeb"/>
        <w:spacing w:before="0" w:beforeAutospacing="0"/>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Además, varió su estructura, quedando finalmente en 24 cifras separadas por grupos, donde cada uno de ellos cumple una función: las primeras 20 corresponden al antiguo CCC, precedido de dos dígitos de control y de otras dos cifras del código del país. Es decir: Código del país (2 cifras); dígito de control IBAN (2 cifras); código de la entidad (4 cifras); código de la oficina (4 cifras); dígitos de control (2 cifras) y número de cuenta (10 cifras).</w:t>
      </w:r>
    </w:p>
    <w:p w14:paraId="51CAA241" w14:textId="77777777" w:rsidR="00B6139E" w:rsidRPr="00CF1B34" w:rsidRDefault="00B6139E" w:rsidP="0005621A">
      <w:pPr>
        <w:pStyle w:val="Ttulo2"/>
        <w:ind w:firstLine="708"/>
        <w:jc w:val="both"/>
        <w:rPr>
          <w:rFonts w:ascii="Arial" w:hAnsi="Arial" w:cs="Arial"/>
          <w:b w:val="0"/>
          <w:bCs w:val="0"/>
          <w:color w:val="000000" w:themeColor="text1"/>
          <w:sz w:val="22"/>
          <w:szCs w:val="22"/>
          <w:lang w:val="es-ES_tradnl"/>
        </w:rPr>
      </w:pPr>
      <w:r w:rsidRPr="00CF1B34">
        <w:rPr>
          <w:rStyle w:val="Textoennegrita"/>
          <w:rFonts w:ascii="Arial" w:hAnsi="Arial" w:cs="Arial"/>
          <w:b/>
          <w:bCs/>
          <w:color w:val="000000" w:themeColor="text1"/>
          <w:sz w:val="22"/>
          <w:szCs w:val="22"/>
          <w:lang w:val="es-ES_tradnl"/>
        </w:rPr>
        <w:t>Dígitos de control bancarios</w:t>
      </w:r>
    </w:p>
    <w:p w14:paraId="65BF8ADA" w14:textId="77777777" w:rsidR="00B6139E" w:rsidRPr="00CF1B34" w:rsidRDefault="00B6139E" w:rsidP="0005621A">
      <w:pPr>
        <w:pStyle w:val="NormalWeb"/>
        <w:spacing w:before="0" w:beforeAutospacing="0"/>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Los dígitos de control facilitan al banco emisor compruebe que la transferencia haya llegado a la cuenta de destino. Es muy útil a la hora de detectar errores porque se hayan incorporado dígitos de más, o de menos.</w:t>
      </w:r>
    </w:p>
    <w:p w14:paraId="003EB4FA" w14:textId="77777777" w:rsidR="00B6139E" w:rsidRPr="00CF1B34" w:rsidRDefault="00B6139E" w:rsidP="0005621A">
      <w:pPr>
        <w:pStyle w:val="NormalWeb"/>
        <w:spacing w:before="0" w:beforeAutospacing="0"/>
        <w:ind w:left="708"/>
        <w:jc w:val="both"/>
        <w:rPr>
          <w:rFonts w:ascii="Arial" w:hAnsi="Arial" w:cs="Arial"/>
          <w:color w:val="000000" w:themeColor="text1"/>
          <w:sz w:val="22"/>
          <w:szCs w:val="22"/>
          <w:lang w:val="es-ES_tradnl"/>
        </w:rPr>
      </w:pPr>
      <w:r w:rsidRPr="00CF1B34">
        <w:rPr>
          <w:rStyle w:val="Textoennegrita"/>
          <w:rFonts w:ascii="Arial" w:hAnsi="Arial" w:cs="Arial"/>
          <w:color w:val="000000" w:themeColor="text1"/>
          <w:sz w:val="22"/>
          <w:szCs w:val="22"/>
          <w:lang w:val="es-ES_tradnl"/>
        </w:rPr>
        <w:t>Hay dos tipos de controles bancarios:</w:t>
      </w:r>
      <w:r w:rsidRPr="00CF1B34">
        <w:rPr>
          <w:rFonts w:ascii="Arial" w:hAnsi="Arial" w:cs="Arial"/>
          <w:color w:val="000000" w:themeColor="text1"/>
          <w:sz w:val="22"/>
          <w:szCs w:val="22"/>
          <w:lang w:val="es-ES_tradnl"/>
        </w:rPr>
        <w:t xml:space="preserve"> en primer lugar, los dígitos de control IBAN, colocados entre el código de país y el código de la entidad. Fue la novedad que introdujo el IBAN. Y, por otro lado, los DC o dígitos de control, que ya incorporaban los antiguos CCC y siguen estando en el mismo lugar: entre los dígitos de la oficina y de la cuenta del </w:t>
      </w:r>
      <w:r w:rsidRPr="00CF1B34">
        <w:rPr>
          <w:rFonts w:ascii="Arial" w:hAnsi="Arial" w:cs="Arial"/>
          <w:color w:val="2F5496" w:themeColor="accent1" w:themeShade="BF"/>
          <w:sz w:val="22"/>
          <w:szCs w:val="22"/>
          <w:lang w:val="es-ES_tradnl"/>
        </w:rPr>
        <w:t>banco</w:t>
      </w:r>
      <w:r w:rsidRPr="00CF1B34">
        <w:rPr>
          <w:rFonts w:ascii="Arial" w:hAnsi="Arial" w:cs="Arial"/>
          <w:color w:val="000000" w:themeColor="text1"/>
          <w:sz w:val="22"/>
          <w:szCs w:val="22"/>
          <w:lang w:val="es-ES_tradnl"/>
        </w:rPr>
        <w:t>.</w:t>
      </w:r>
    </w:p>
    <w:p w14:paraId="00B17DE4" w14:textId="77777777" w:rsidR="00B6139E" w:rsidRPr="00CF1B34" w:rsidRDefault="00B6139E" w:rsidP="0005621A">
      <w:pPr>
        <w:pStyle w:val="Ttulo2"/>
        <w:ind w:firstLine="708"/>
        <w:jc w:val="both"/>
        <w:rPr>
          <w:rFonts w:ascii="Arial" w:hAnsi="Arial" w:cs="Arial"/>
          <w:b w:val="0"/>
          <w:bCs w:val="0"/>
          <w:color w:val="000000" w:themeColor="text1"/>
          <w:sz w:val="22"/>
          <w:szCs w:val="22"/>
          <w:lang w:val="es-ES_tradnl"/>
        </w:rPr>
      </w:pPr>
      <w:r w:rsidRPr="00CF1B34">
        <w:rPr>
          <w:rStyle w:val="Textoennegrita"/>
          <w:rFonts w:ascii="Arial" w:hAnsi="Arial" w:cs="Arial"/>
          <w:b/>
          <w:bCs/>
          <w:color w:val="000000" w:themeColor="text1"/>
          <w:sz w:val="22"/>
          <w:szCs w:val="22"/>
          <w:lang w:val="es-ES_tradnl"/>
        </w:rPr>
        <w:t>El primer paso para domiciliar</w:t>
      </w:r>
    </w:p>
    <w:p w14:paraId="3437479B" w14:textId="77777777" w:rsidR="00B6139E" w:rsidRPr="00CF1B34" w:rsidRDefault="00B6139E" w:rsidP="0005621A">
      <w:pPr>
        <w:pStyle w:val="NormalWeb"/>
        <w:spacing w:before="0" w:beforeAutospacing="0"/>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Comprobarlo es el primer paso que debemos dar a la hora de domiciliar nuestros cobros o pagos (la luz, el gas, el teléfono). Podremos hacerlo a través de un extracto bancario o accediendo a nuestra cuenta online. Tendremos que verificar que conste de 24 dígitos y que comiencen por ES, que es el código que corresponde a nuestro país.</w:t>
      </w:r>
    </w:p>
    <w:p w14:paraId="47C2DADD" w14:textId="77777777" w:rsidR="00B6139E" w:rsidRPr="00CF1B34" w:rsidRDefault="00B6139E" w:rsidP="0005621A">
      <w:pPr>
        <w:pStyle w:val="Ttulo2"/>
        <w:ind w:firstLine="708"/>
        <w:jc w:val="both"/>
        <w:rPr>
          <w:rFonts w:ascii="Arial" w:hAnsi="Arial" w:cs="Arial"/>
          <w:b w:val="0"/>
          <w:bCs w:val="0"/>
          <w:color w:val="000000" w:themeColor="text1"/>
          <w:sz w:val="22"/>
          <w:szCs w:val="22"/>
          <w:lang w:val="es-ES_tradnl"/>
        </w:rPr>
      </w:pPr>
      <w:r w:rsidRPr="00CF1B34">
        <w:rPr>
          <w:rStyle w:val="Textoennegrita"/>
          <w:rFonts w:ascii="Arial" w:hAnsi="Arial" w:cs="Arial"/>
          <w:b/>
          <w:bCs/>
          <w:color w:val="000000" w:themeColor="text1"/>
          <w:sz w:val="22"/>
          <w:szCs w:val="22"/>
          <w:lang w:val="es-ES_tradnl"/>
        </w:rPr>
        <w:t>¿Es un problema que nuestro número de cuenta no comience por ES?</w:t>
      </w:r>
    </w:p>
    <w:p w14:paraId="370E9EF0" w14:textId="15D3947E" w:rsidR="001477F9" w:rsidRPr="00CF1B34" w:rsidRDefault="00B6139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algunas ocasiones, al abrir una cuenta digital podemos encontrarnos con que nuestro código no comience por ES, sino por el código de algún otro país de la zona SEPA. En principio esto no tendría por qué ser un problema, ya que la SEPA garantiza que cualquier número de cuenta de la zona de pagos comunitari</w:t>
      </w:r>
      <w:r w:rsidR="00D07B22"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 xml:space="preserve"> pueda realizar traspasos y transferencias de la misma manera, independientemente de dónde sea su IBAN.</w:t>
      </w:r>
    </w:p>
    <w:p w14:paraId="7B106A33" w14:textId="30121AA8" w:rsidR="00B6139E" w:rsidRPr="00CF1B34" w:rsidRDefault="00D07B22"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NYSE (New York Stock Exchange</w:t>
      </w:r>
      <w:r w:rsidR="00C14A9E">
        <w:rPr>
          <w:rFonts w:ascii="Arial" w:hAnsi="Arial" w:cs="Arial"/>
          <w:b/>
          <w:bCs/>
          <w:color w:val="2F5496" w:themeColor="accent1" w:themeShade="BF"/>
          <w:sz w:val="22"/>
          <w:szCs w:val="22"/>
          <w:lang w:val="es-ES_tradnl"/>
        </w:rPr>
        <w:t>)</w:t>
      </w:r>
    </w:p>
    <w:p w14:paraId="18FC5C18" w14:textId="77777777" w:rsidR="00D07B22" w:rsidRPr="00CF1B34" w:rsidRDefault="00D07B2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 Bolsa de valores de New York.</w:t>
      </w:r>
    </w:p>
    <w:p w14:paraId="205E93E6" w14:textId="2465C010" w:rsidR="00D07B22" w:rsidRPr="00CF1B34" w:rsidRDefault="00D07B22" w:rsidP="0005621A">
      <w:pPr>
        <w:jc w:val="both"/>
        <w:rPr>
          <w:rFonts w:ascii="Arial" w:hAnsi="Arial" w:cs="Arial"/>
          <w:sz w:val="22"/>
          <w:szCs w:val="22"/>
          <w:lang w:val="es-ES_tradnl"/>
        </w:rPr>
      </w:pPr>
    </w:p>
    <w:p w14:paraId="11754915" w14:textId="77777777" w:rsidR="00BF617D" w:rsidRPr="00CF1B34" w:rsidRDefault="00BF617D" w:rsidP="0005621A">
      <w:pPr>
        <w:jc w:val="both"/>
        <w:rPr>
          <w:rFonts w:ascii="Arial" w:hAnsi="Arial" w:cs="Arial"/>
          <w:sz w:val="22"/>
          <w:szCs w:val="22"/>
          <w:lang w:val="es-ES_tradnl"/>
        </w:rPr>
      </w:pPr>
    </w:p>
    <w:p w14:paraId="1CA5B75E" w14:textId="6B301223" w:rsidR="00696A3C" w:rsidRPr="00CF1B34" w:rsidRDefault="00696A3C"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O</w:t>
      </w:r>
    </w:p>
    <w:p w14:paraId="4D54FB24" w14:textId="7FCB5AF1" w:rsidR="00696A3C" w:rsidRPr="00CF1B34" w:rsidRDefault="00696A3C" w:rsidP="0005621A">
      <w:pPr>
        <w:jc w:val="both"/>
        <w:rPr>
          <w:rFonts w:ascii="Arial" w:hAnsi="Arial" w:cs="Arial"/>
          <w:sz w:val="22"/>
          <w:szCs w:val="22"/>
          <w:lang w:val="es-ES_tradnl"/>
        </w:rPr>
      </w:pPr>
    </w:p>
    <w:p w14:paraId="376CBF6B" w14:textId="77777777" w:rsidR="001477F9" w:rsidRPr="00CF1B34" w:rsidRDefault="001477F9" w:rsidP="0005621A">
      <w:pPr>
        <w:jc w:val="both"/>
        <w:rPr>
          <w:rFonts w:ascii="Arial" w:hAnsi="Arial" w:cs="Arial"/>
          <w:sz w:val="22"/>
          <w:szCs w:val="22"/>
          <w:lang w:val="es-ES_tradnl"/>
        </w:rPr>
      </w:pPr>
    </w:p>
    <w:p w14:paraId="62641B22"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Objetivos medioambientales </w:t>
      </w:r>
    </w:p>
    <w:p w14:paraId="3571D473"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La Unión Europea a través de sus planes de acción medioambiental ha establecido seis objetivos medioambientales. Estos son: 1) la mitigación del cambio climático, 2) la adaptación al cambio climático, 3) el uso sostenible y la protección del agua y los recursos marinos, 4) la transición hacia una economía circular, 5) la prevención y el control de la contaminación, y 6) la protección y recuperación de la biodiversidad y los ecosistemas. La Taxonomía Europea es un listado o clasificación de aquellas actividades económicas que pueden considerarse sostenibles bajo determinadas circunstancias (criterios técnicos). Para que una actividad sea considerada sostenible debe contribuir significativamente a la consecución de uno o más de los objetivos medioambientales sin perjudicar significativamente ninguno de los restantes. </w:t>
      </w:r>
    </w:p>
    <w:p w14:paraId="6AF0053C"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Obligación</w:t>
      </w:r>
    </w:p>
    <w:p w14:paraId="1505B740" w14:textId="7788D364"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Valor mobiliario que representa una parte proporcional de un empréstito. La sociedad emisora se compromete a retribuir a los tenedores de los valores (obligacionistas) con un interés que puede ser fijo o variable, y a devolver el capital aportado, en la fecha establecida para el vencimiento de los títulos. Sus características se tratan con más detalle en el apartado</w:t>
      </w:r>
      <w:r w:rsidR="00BF617D" w:rsidRPr="00CF1B34">
        <w:rPr>
          <w:rFonts w:ascii="Arial" w:hAnsi="Arial" w:cs="Arial"/>
          <w:color w:val="212529"/>
          <w:sz w:val="22"/>
          <w:szCs w:val="22"/>
          <w:lang w:val="es-ES_tradnl"/>
        </w:rPr>
        <w:t xml:space="preserve"> </w:t>
      </w:r>
      <w:hyperlink r:id="rId287" w:tgtFrame="_self" w:history="1">
        <w:r w:rsidRPr="00CF1B34">
          <w:rPr>
            <w:rFonts w:ascii="Arial" w:hAnsi="Arial" w:cs="Arial"/>
            <w:b/>
            <w:bCs/>
            <w:color w:val="2F5496" w:themeColor="accent1" w:themeShade="BF"/>
            <w:sz w:val="22"/>
            <w:szCs w:val="22"/>
            <w:u w:val="single"/>
            <w:lang w:val="es-ES_tradnl"/>
          </w:rPr>
          <w:t>Productos de Renta Fija Pública</w:t>
        </w:r>
        <w:r w:rsidR="00BF617D" w:rsidRPr="00CF1B34">
          <w:rPr>
            <w:rFonts w:ascii="Arial" w:hAnsi="Arial" w:cs="Arial"/>
            <w:b/>
            <w:bCs/>
            <w:color w:val="2F5496" w:themeColor="accent1" w:themeShade="BF"/>
            <w:sz w:val="22"/>
            <w:szCs w:val="22"/>
            <w:u w:val="single"/>
            <w:lang w:val="es-ES_tradnl"/>
          </w:rPr>
          <w:t xml:space="preserve"> </w:t>
        </w:r>
        <w:r w:rsidRPr="00CF1B34">
          <w:rPr>
            <w:rFonts w:ascii="Arial" w:hAnsi="Arial" w:cs="Arial"/>
            <w:b/>
            <w:bCs/>
            <w:color w:val="AD2144"/>
            <w:sz w:val="22"/>
            <w:szCs w:val="22"/>
            <w:lang w:val="es-ES_tradnl"/>
          </w:rPr>
          <w:t> </w:t>
        </w:r>
      </w:hyperlink>
      <w:r w:rsidRPr="00CF1B34">
        <w:rPr>
          <w:rFonts w:ascii="Arial" w:hAnsi="Arial" w:cs="Arial"/>
          <w:color w:val="212529"/>
          <w:sz w:val="22"/>
          <w:szCs w:val="22"/>
          <w:lang w:val="es-ES_tradnl"/>
        </w:rPr>
        <w:t>de la Sección del Inversor.</w:t>
      </w:r>
    </w:p>
    <w:p w14:paraId="1753CDD2"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Obligaciones convertibles</w:t>
      </w:r>
    </w:p>
    <w:p w14:paraId="050BB447"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aquellas que otorgan el derecho a convertirlas en acciones (bien de la sociedad emisora o de otra) según las condiciones establecidas en el folleto de la emisión. </w:t>
      </w:r>
    </w:p>
    <w:p w14:paraId="2D0FCA1B" w14:textId="4704E35C"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Obligaciones del Estado</w:t>
      </w:r>
      <w:r w:rsidR="006F7BD6">
        <w:rPr>
          <w:rFonts w:ascii="Arial" w:hAnsi="Arial" w:cs="Arial"/>
          <w:b/>
          <w:bCs/>
          <w:color w:val="004773"/>
          <w:sz w:val="22"/>
          <w:szCs w:val="22"/>
          <w:lang w:val="es-ES_tradnl"/>
        </w:rPr>
        <w:t xml:space="preserve"> (públicas)</w:t>
      </w:r>
    </w:p>
    <w:p w14:paraId="51C93E22"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Valores de renta fija a largo plazo emitidos por el Estado. Se emiten a 10, 15 y 30 años (los bonos del Estado tienen las mismas características, pero sus plazos oscilan entre 2 y 5 años). A lo largo de su vida, estos activos devengan un tipo de interés fijo que se abona mediante cupones anuales. Algunas de estas emisiones se realizan bajo la modalidad de valores segregables o “strips”, que permiten adquirir por separado el principal y cada uno de los cupones que integran la obligación original. </w:t>
      </w:r>
    </w:p>
    <w:p w14:paraId="30616D67"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Obligaciones subordinadas</w:t>
      </w:r>
    </w:p>
    <w:p w14:paraId="24AED419"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las que a efectos de la prelación de créditos se sitúan detrás de todos los acreedores comunes. Es decir, si la sociedad emisora de los valores no pudiera hacer frente a sus pagos, los acreedores comunes y los titulares de obligaciones simples tendrían preferencia en el cobro. </w:t>
      </w:r>
    </w:p>
    <w:p w14:paraId="6E2BF9E2" w14:textId="033B8740" w:rsidR="001B3F81" w:rsidRPr="00CF1B34" w:rsidRDefault="001B3F8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Obligacionista</w:t>
      </w:r>
    </w:p>
    <w:p w14:paraId="35F62CD2" w14:textId="77777777" w:rsidR="00E4134E" w:rsidRPr="00CF1B34" w:rsidRDefault="00E4134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que posee obligaciones. Al igual que el bonista es un acreedor de la sociedad y cobrara antes que el accionista.</w:t>
      </w:r>
    </w:p>
    <w:p w14:paraId="709D7262" w14:textId="1C3C7727" w:rsidR="006F7BD6" w:rsidRPr="00CF1B34" w:rsidRDefault="001B3F8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Oferta</w:t>
      </w:r>
    </w:p>
    <w:p w14:paraId="628DADEA" w14:textId="5933FC89" w:rsidR="006F7BD6" w:rsidRPr="006F7BD6" w:rsidRDefault="00E4134E" w:rsidP="0005621A">
      <w:pPr>
        <w:pBdr>
          <w:bottom w:val="dotted" w:sz="12" w:space="12" w:color="666666"/>
        </w:pBdr>
        <w:spacing w:after="240"/>
        <w:ind w:left="708"/>
        <w:jc w:val="both"/>
        <w:rPr>
          <w:rFonts w:ascii="Arial" w:hAnsi="Arial" w:cs="Arial"/>
          <w:color w:val="212529"/>
          <w:sz w:val="22"/>
          <w:szCs w:val="22"/>
          <w:lang w:val="es-ES_tradnl"/>
        </w:rPr>
      </w:pPr>
      <w:r w:rsidRPr="006F7BD6">
        <w:rPr>
          <w:rFonts w:ascii="Arial" w:hAnsi="Arial" w:cs="Arial"/>
          <w:color w:val="000000" w:themeColor="text1"/>
          <w:sz w:val="22"/>
          <w:szCs w:val="22"/>
          <w:lang w:val="es-ES_tradnl"/>
        </w:rPr>
        <w:t>La oferta la componen inversores dispuestos a vender sus títulos. Cuando la oferta supera la demanda los precios de los distintos activos caen.</w:t>
      </w:r>
      <w:r w:rsidR="006F7BD6" w:rsidRPr="006F7BD6">
        <w:rPr>
          <w:rFonts w:ascii="Arial" w:hAnsi="Arial" w:cs="Arial"/>
          <w:color w:val="000000"/>
          <w:sz w:val="22"/>
          <w:szCs w:val="22"/>
          <w:shd w:val="clear" w:color="auto" w:fill="FFFFFF"/>
          <w:lang w:val="es-ES_tradnl"/>
        </w:rPr>
        <w:t xml:space="preserve"> Es</w:t>
      </w:r>
      <w:r w:rsidR="006F7BD6">
        <w:rPr>
          <w:rFonts w:ascii="Arial" w:hAnsi="Arial" w:cs="Arial"/>
          <w:color w:val="000000"/>
          <w:sz w:val="22"/>
          <w:szCs w:val="22"/>
          <w:shd w:val="clear" w:color="auto" w:fill="FFFFFF"/>
          <w:lang w:val="es-ES_tradnl"/>
        </w:rPr>
        <w:t xml:space="preserve"> pues,</w:t>
      </w:r>
      <w:r w:rsidR="006F7BD6" w:rsidRPr="006F7BD6">
        <w:rPr>
          <w:rFonts w:ascii="Arial" w:hAnsi="Arial" w:cs="Arial"/>
          <w:color w:val="000000"/>
          <w:sz w:val="22"/>
          <w:szCs w:val="22"/>
          <w:shd w:val="clear" w:color="auto" w:fill="FFFFFF"/>
          <w:lang w:val="es-ES_tradnl"/>
        </w:rPr>
        <w:t xml:space="preserve"> la orden de venta de un título-valor en el mercado de valores, ya sea por requerimiento de liquidez o para reinversión en otra alternativa. También es la puesta a la venta de un producto o servicio</w:t>
      </w:r>
      <w:r w:rsidR="00A2223F">
        <w:rPr>
          <w:rFonts w:ascii="Arial" w:hAnsi="Arial" w:cs="Arial"/>
          <w:color w:val="000000"/>
          <w:sz w:val="22"/>
          <w:szCs w:val="22"/>
          <w:shd w:val="clear" w:color="auto" w:fill="FFFFFF"/>
          <w:lang w:val="es-ES_tradnl"/>
        </w:rPr>
        <w:t>.</w:t>
      </w:r>
    </w:p>
    <w:p w14:paraId="70351159" w14:textId="4A7E70FF" w:rsidR="00A2223F" w:rsidRDefault="00A2223F"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Oferta de divisas</w:t>
      </w:r>
    </w:p>
    <w:p w14:paraId="0339ED3E" w14:textId="3E5B55DC" w:rsidR="00A2223F" w:rsidRPr="00A2223F" w:rsidRDefault="00A2223F" w:rsidP="0005621A">
      <w:pPr>
        <w:pStyle w:val="NormalWeb"/>
        <w:shd w:val="clear" w:color="auto" w:fill="FFFFFF"/>
        <w:spacing w:before="0" w:beforeAutospacing="0" w:after="165" w:afterAutospacing="0"/>
        <w:ind w:left="360"/>
        <w:jc w:val="both"/>
        <w:rPr>
          <w:rFonts w:ascii="Arial" w:hAnsi="Arial" w:cs="Arial"/>
          <w:color w:val="333333"/>
          <w:sz w:val="22"/>
          <w:szCs w:val="22"/>
        </w:rPr>
      </w:pPr>
      <w:r w:rsidRPr="00A2223F">
        <w:rPr>
          <w:rFonts w:ascii="Arial" w:hAnsi="Arial" w:cs="Arial"/>
          <w:color w:val="333333"/>
          <w:sz w:val="22"/>
          <w:szCs w:val="22"/>
        </w:rPr>
        <w:lastRenderedPageBreak/>
        <w:t>La</w:t>
      </w:r>
      <w:r>
        <w:rPr>
          <w:rFonts w:ascii="Arial" w:hAnsi="Arial" w:cs="Arial"/>
          <w:color w:val="333333"/>
          <w:sz w:val="22"/>
          <w:szCs w:val="22"/>
        </w:rPr>
        <w:t xml:space="preserve"> oferta de divisas</w:t>
      </w:r>
      <w:r w:rsidRPr="00A2223F">
        <w:rPr>
          <w:rFonts w:ascii="Arial" w:hAnsi="Arial" w:cs="Arial"/>
          <w:color w:val="333333"/>
          <w:sz w:val="22"/>
          <w:szCs w:val="22"/>
        </w:rPr>
        <w:t xml:space="preserve"> se origina en las transacciones activas o créditos de la Balanza de Pagos, es decir:</w:t>
      </w:r>
    </w:p>
    <w:p w14:paraId="604F0EC1" w14:textId="4A979F29" w:rsidR="00A2223F" w:rsidRPr="00A2223F" w:rsidRDefault="00A2223F" w:rsidP="0005621A">
      <w:pPr>
        <w:pStyle w:val="NormalWeb"/>
        <w:shd w:val="clear" w:color="auto" w:fill="FFFFFF"/>
        <w:spacing w:before="0" w:beforeAutospacing="0" w:after="165" w:afterAutospacing="0"/>
        <w:ind w:left="720" w:hanging="360"/>
        <w:jc w:val="both"/>
        <w:rPr>
          <w:rFonts w:ascii="Arial" w:hAnsi="Arial" w:cs="Arial"/>
          <w:color w:val="333333"/>
          <w:sz w:val="22"/>
          <w:szCs w:val="22"/>
        </w:rPr>
      </w:pPr>
      <w:r w:rsidRPr="00A2223F">
        <w:rPr>
          <w:rFonts w:ascii="Arial" w:hAnsi="Arial" w:cs="Arial"/>
          <w:color w:val="333333"/>
          <w:sz w:val="22"/>
          <w:szCs w:val="22"/>
        </w:rPr>
        <w:t>·</w:t>
      </w:r>
      <w:r>
        <w:rPr>
          <w:rFonts w:ascii="Arial" w:hAnsi="Arial" w:cs="Arial"/>
          <w:color w:val="333333"/>
          <w:sz w:val="22"/>
          <w:szCs w:val="22"/>
        </w:rPr>
        <w:t xml:space="preserve"> </w:t>
      </w:r>
      <w:r w:rsidRPr="00A2223F">
        <w:rPr>
          <w:rFonts w:ascii="Arial" w:hAnsi="Arial" w:cs="Arial"/>
          <w:color w:val="333333"/>
          <w:sz w:val="22"/>
          <w:szCs w:val="22"/>
        </w:rPr>
        <w:t>Exportación de bienes y servicios,</w:t>
      </w:r>
    </w:p>
    <w:p w14:paraId="53F5FAE6" w14:textId="652F3B19" w:rsidR="00A2223F" w:rsidRPr="00A2223F" w:rsidRDefault="00A2223F" w:rsidP="0005621A">
      <w:pPr>
        <w:pStyle w:val="NormalWeb"/>
        <w:shd w:val="clear" w:color="auto" w:fill="FFFFFF"/>
        <w:spacing w:before="0" w:beforeAutospacing="0" w:after="165" w:afterAutospacing="0"/>
        <w:ind w:left="720" w:hanging="360"/>
        <w:jc w:val="both"/>
        <w:rPr>
          <w:rFonts w:ascii="Arial" w:hAnsi="Arial" w:cs="Arial"/>
          <w:color w:val="333333"/>
          <w:sz w:val="22"/>
          <w:szCs w:val="22"/>
        </w:rPr>
      </w:pPr>
      <w:r w:rsidRPr="00A2223F">
        <w:rPr>
          <w:rFonts w:ascii="Arial" w:hAnsi="Arial" w:cs="Arial"/>
          <w:color w:val="333333"/>
          <w:sz w:val="22"/>
          <w:szCs w:val="22"/>
        </w:rPr>
        <w:t>·</w:t>
      </w:r>
      <w:r>
        <w:rPr>
          <w:rFonts w:ascii="Arial" w:hAnsi="Arial" w:cs="Arial"/>
          <w:color w:val="333333"/>
          <w:sz w:val="22"/>
          <w:szCs w:val="22"/>
        </w:rPr>
        <w:t xml:space="preserve"> </w:t>
      </w:r>
      <w:r w:rsidRPr="00A2223F">
        <w:rPr>
          <w:rFonts w:ascii="Arial" w:hAnsi="Arial" w:cs="Arial"/>
          <w:color w:val="333333"/>
          <w:sz w:val="22"/>
          <w:szCs w:val="22"/>
        </w:rPr>
        <w:t>Ingresos sobre inversiones del país en el extranjero,</w:t>
      </w:r>
    </w:p>
    <w:p w14:paraId="1EA732E8" w14:textId="3CF89412" w:rsidR="00A2223F" w:rsidRPr="00A2223F" w:rsidRDefault="00A2223F" w:rsidP="0005621A">
      <w:pPr>
        <w:pStyle w:val="NormalWeb"/>
        <w:shd w:val="clear" w:color="auto" w:fill="FFFFFF"/>
        <w:spacing w:before="0" w:beforeAutospacing="0" w:after="165" w:afterAutospacing="0"/>
        <w:ind w:left="720" w:hanging="360"/>
        <w:jc w:val="both"/>
        <w:rPr>
          <w:rFonts w:ascii="Arial" w:hAnsi="Arial" w:cs="Arial"/>
          <w:color w:val="333333"/>
          <w:sz w:val="22"/>
          <w:szCs w:val="22"/>
        </w:rPr>
      </w:pPr>
      <w:r w:rsidRPr="00A2223F">
        <w:rPr>
          <w:rFonts w:ascii="Arial" w:hAnsi="Arial" w:cs="Arial"/>
          <w:color w:val="333333"/>
          <w:sz w:val="22"/>
          <w:szCs w:val="22"/>
        </w:rPr>
        <w:t>·</w:t>
      </w:r>
      <w:r>
        <w:rPr>
          <w:rFonts w:ascii="Arial" w:hAnsi="Arial" w:cs="Arial"/>
          <w:color w:val="333333"/>
          <w:sz w:val="22"/>
          <w:szCs w:val="22"/>
        </w:rPr>
        <w:t xml:space="preserve"> </w:t>
      </w:r>
      <w:r w:rsidRPr="00A2223F">
        <w:rPr>
          <w:rFonts w:ascii="Arial" w:hAnsi="Arial" w:cs="Arial"/>
          <w:color w:val="333333"/>
          <w:sz w:val="22"/>
          <w:szCs w:val="22"/>
        </w:rPr>
        <w:t>Donaciones y remesas recibidas por residentes</w:t>
      </w:r>
    </w:p>
    <w:p w14:paraId="0F58B099" w14:textId="0D641D26" w:rsidR="00A2223F" w:rsidRPr="00A2223F" w:rsidRDefault="00A2223F" w:rsidP="0005621A">
      <w:pPr>
        <w:pStyle w:val="NormalWeb"/>
        <w:shd w:val="clear" w:color="auto" w:fill="FFFFFF"/>
        <w:spacing w:before="0" w:beforeAutospacing="0" w:after="165" w:afterAutospacing="0"/>
        <w:ind w:left="720" w:hanging="360"/>
        <w:jc w:val="both"/>
        <w:rPr>
          <w:rFonts w:ascii="Arial" w:hAnsi="Arial" w:cs="Arial"/>
          <w:color w:val="333333"/>
          <w:sz w:val="22"/>
          <w:szCs w:val="22"/>
        </w:rPr>
      </w:pPr>
      <w:r w:rsidRPr="00A2223F">
        <w:rPr>
          <w:rFonts w:ascii="Arial" w:hAnsi="Arial" w:cs="Arial"/>
          <w:color w:val="333333"/>
          <w:sz w:val="22"/>
          <w:szCs w:val="22"/>
        </w:rPr>
        <w:t>·</w:t>
      </w:r>
      <w:r>
        <w:rPr>
          <w:rFonts w:ascii="Arial" w:hAnsi="Arial" w:cs="Arial"/>
          <w:color w:val="333333"/>
          <w:sz w:val="22"/>
          <w:szCs w:val="22"/>
        </w:rPr>
        <w:t xml:space="preserve"> </w:t>
      </w:r>
      <w:r w:rsidRPr="00A2223F">
        <w:rPr>
          <w:rFonts w:ascii="Arial" w:hAnsi="Arial" w:cs="Arial"/>
          <w:color w:val="333333"/>
          <w:sz w:val="22"/>
          <w:szCs w:val="22"/>
        </w:rPr>
        <w:t>Importación de capital no monetario.</w:t>
      </w:r>
    </w:p>
    <w:p w14:paraId="5C27ED14" w14:textId="77777777" w:rsidR="00A2223F" w:rsidRPr="006F7BD6" w:rsidRDefault="00A2223F" w:rsidP="0005621A">
      <w:pPr>
        <w:pBdr>
          <w:bottom w:val="dotted" w:sz="12" w:space="12" w:color="666666"/>
        </w:pBdr>
        <w:spacing w:after="240"/>
        <w:ind w:left="360"/>
        <w:jc w:val="both"/>
        <w:rPr>
          <w:rFonts w:ascii="Arial" w:hAnsi="Arial" w:cs="Arial"/>
          <w:color w:val="212529"/>
          <w:sz w:val="22"/>
          <w:szCs w:val="22"/>
          <w:lang w:val="es-ES_tradnl"/>
        </w:rPr>
      </w:pPr>
      <w:r w:rsidRPr="00A2223F">
        <w:rPr>
          <w:rFonts w:ascii="Arial" w:hAnsi="Arial" w:cs="Arial"/>
          <w:color w:val="333333"/>
          <w:sz w:val="22"/>
          <w:szCs w:val="22"/>
        </w:rPr>
        <w:t>El componente más estable de la oferta es el que se origina en la exportación de bienes y servicios.</w:t>
      </w:r>
    </w:p>
    <w:p w14:paraId="4BB69287" w14:textId="46B932A6" w:rsidR="00466B7F" w:rsidRPr="00CF1B34" w:rsidRDefault="00466B7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Oferta monetaria</w:t>
      </w:r>
    </w:p>
    <w:p w14:paraId="6413E11F" w14:textId="77777777" w:rsidR="00466B7F" w:rsidRPr="00CF1B34" w:rsidRDefault="00466B7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Cantidad de dinero en manos del público. La oferta monetaria real sería el cociente entre la cantidad nominal de dinero y el nivel de precios. Existen diversos tipos o niveles de oferta monetaria (M1, M2, M3…) dependiendo de los instrumentos que se agreguen. Ver Ml y M2.</w:t>
      </w:r>
    </w:p>
    <w:p w14:paraId="620B8817" w14:textId="3E7E7034"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Oferta Pública de Adquisición, OPA</w:t>
      </w:r>
    </w:p>
    <w:p w14:paraId="6F70BF5B"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una operación mediante la cual una persona física o jurídica ofrece públicamente a los accionistas de una sociedad cotizada la adquisición de sus acciones, con el fin de obtener una participación significativa del capital o aumentar su participación en unos porcentajes determinados. La OPA siempre puede lanzarse con carácter voluntario, pero además la normativa establece en qué supuestos es obligatoria su presentación. El precio que se propone a los accionistas suele ser superior al de mercado, para facilitar la aceptación de la oferta. La contraprestación puede ser en dinero, en acciones o mixta (dinero y acciones). Los accionistas tienen un plazo para estudiarla y decidir si están interesados en aceptar el precio ofrecido. </w:t>
      </w:r>
    </w:p>
    <w:p w14:paraId="536A0091" w14:textId="33E0DFAB"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Oferta pública de suscripción, OPS</w:t>
      </w:r>
    </w:p>
    <w:p w14:paraId="24A493EB" w14:textId="0DBAF534"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de mercado primario dirigida a la captación de fondos en los mercados. Los valores que se ofrecen públicamente proceden de una ampliación de capital. Esta operación la pueden realizar tanto sociedades cotizadas como no cotizadas. En general, en las no cotizadas se aborda con una doble finalidad: captar fondos y alcanzar el requisito de difusión accionarial necesario para su admisión a cotización. La norma básica aplicable a estas operaciones es el RD 1310/2005, modificado por el RD 1336/2012, de 21 de</w:t>
      </w:r>
      <w:r w:rsidR="006F7BD6">
        <w:rPr>
          <w:rFonts w:ascii="Arial" w:hAnsi="Arial" w:cs="Arial"/>
          <w:color w:val="212529"/>
          <w:sz w:val="22"/>
          <w:szCs w:val="22"/>
          <w:lang w:val="es-ES_tradnl"/>
        </w:rPr>
        <w:t xml:space="preserve"> septiembre.</w:t>
      </w:r>
    </w:p>
    <w:p w14:paraId="58CB5EA9"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Oferta pública de venta de valores, OPV</w:t>
      </w:r>
    </w:p>
    <w:p w14:paraId="0CFB4D65"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que consiste en ofrecer al público una parte o la totalidad del capital social de una empresa. Puede promoverse con motivo de la privatización de una empresa pública, en el momento de la salida a Bolsa de empresas privadas, o bien porque un accionista mayoritario o de control desee desprenderse de una participación importante en una sociedad cotizada. La norma básica aplicable a estas operaciones es el RD 1310/2005, modificado por el RD 1336/2012, de 21 de septiembre.</w:t>
      </w:r>
    </w:p>
    <w:p w14:paraId="6A7063F3" w14:textId="77777777" w:rsidR="001477F9" w:rsidRPr="00CF1B34" w:rsidRDefault="001477F9"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Oferta vinculante</w:t>
      </w:r>
    </w:p>
    <w:p w14:paraId="74B750B1" w14:textId="77777777" w:rsidR="001477F9" w:rsidRPr="00CF1B34" w:rsidRDefault="001477F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w:t>
      </w:r>
      <w:r w:rsidRPr="00CF1B34">
        <w:rPr>
          <w:rFonts w:ascii="Arial" w:hAnsi="Arial" w:cs="Arial"/>
          <w:b/>
          <w:bCs/>
          <w:sz w:val="22"/>
          <w:szCs w:val="22"/>
          <w:lang w:val="es-ES_tradnl"/>
        </w:rPr>
        <w:t>oferta vinculante</w:t>
      </w:r>
      <w:r w:rsidRPr="00CF1B34">
        <w:rPr>
          <w:rFonts w:ascii="Arial" w:hAnsi="Arial" w:cs="Arial"/>
          <w:sz w:val="22"/>
          <w:szCs w:val="22"/>
          <w:lang w:val="es-ES_tradnl"/>
        </w:rPr>
        <w:t xml:space="preserve"> (conocida como FIPER antes de la Ley Hipotecaria) es el documento que el banco nos entrega cuando vamos a firmar nuestra hipoteca. Consta de </w:t>
      </w:r>
      <w:r w:rsidRPr="00CF1B34">
        <w:rPr>
          <w:rFonts w:ascii="Arial" w:hAnsi="Arial" w:cs="Arial"/>
          <w:sz w:val="22"/>
          <w:szCs w:val="22"/>
          <w:lang w:val="es-ES_tradnl"/>
        </w:rPr>
        <w:lastRenderedPageBreak/>
        <w:t xml:space="preserve">unos cinco folios aproximadamente, y contiene todas las características del préstamo, y también las cláusulas y condiciones; así tendremos claras las obligaciones que cada parte va a asumir, </w:t>
      </w:r>
      <w:proofErr w:type="gramStart"/>
      <w:r w:rsidRPr="00CF1B34">
        <w:rPr>
          <w:rFonts w:ascii="Arial" w:hAnsi="Arial" w:cs="Arial"/>
          <w:sz w:val="22"/>
          <w:szCs w:val="22"/>
          <w:lang w:val="es-ES_tradnl"/>
        </w:rPr>
        <w:t>ya que</w:t>
      </w:r>
      <w:proofErr w:type="gramEnd"/>
      <w:r w:rsidRPr="00CF1B34">
        <w:rPr>
          <w:rFonts w:ascii="Arial" w:hAnsi="Arial" w:cs="Arial"/>
          <w:sz w:val="22"/>
          <w:szCs w:val="22"/>
          <w:lang w:val="es-ES_tradnl"/>
        </w:rPr>
        <w:t xml:space="preserve"> al incluirse posteriormente en la escritura de la hipoteca, tendrán carácter de ley.</w:t>
      </w:r>
    </w:p>
    <w:p w14:paraId="1B8ACD54" w14:textId="77777777" w:rsidR="001477F9" w:rsidRPr="00CF1B34" w:rsidRDefault="001477F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Este un documento gratuito que el banco nos tiene que entregar, y se elabora una vez que este ya ha realizado el estudio de riesgo y ha evaluado nuestro perfil de crédito. Entonces, se reunirá con nosotros para pactar las condiciones de la hipoteca. Y unos días antes de que tenga lugar la firma ante notario, el banco nos entregará esta oferta. Hemos de revisarla muy bien, ya que firmaremos la información contenida ahí: las condiciones generales y cláusulas particulares, el tipo de cuotas y plazos, las amortizaciones… Más concretamente: nuestros datos y los del banco; el importe y duración máximos de la hipoteca; la Tasa Anual Equivalente (TAE) y la manera en que se ha calculado; la tabla de amortizaciones; los costes que deberemos asumir como clientes; las cláusulas específicas del préstamo o de la cuota; las obligaciones que deberemos cumplir; los riesgos del préstamo; y cualquier posible advertencia relevante.</w:t>
      </w:r>
    </w:p>
    <w:p w14:paraId="36F3C23E" w14:textId="77777777" w:rsidR="001477F9" w:rsidRPr="00CF1B34" w:rsidRDefault="001477F9"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validez tiene la oferta vinculante?</w:t>
      </w:r>
    </w:p>
    <w:p w14:paraId="406FA8BE" w14:textId="77777777" w:rsidR="001477F9" w:rsidRPr="00CF1B34" w:rsidRDefault="001477F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vez que el banco nos la entrega, disponemos de un plazo aproximado de catorce días naturales para aceptarla o rechazarla (en cualquier caso, este plazo no podrá ser inferior a diez días). Si pasado ese tiempo no nos pronunciamos, el banco lo considerará como un rechazo, y podrá mantener las condiciones o modificarlas.</w:t>
      </w:r>
    </w:p>
    <w:p w14:paraId="16A94583" w14:textId="77777777" w:rsidR="001477F9" w:rsidRPr="00CF1B34" w:rsidRDefault="001477F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 importante resaltar que no estamos obligados a aceptar las condiciones de la oferta vinculante y que, en caso de desacuerdo, deberemos negociar con nuestro banco (es una buena idea acudir debidamente asesorados). O incluso podremos aceptarlas parcialmente, en cuyo caso deberemos comunicar al banco con qué cláusulas aceptamos y cuáles no, y será el banco quien decida si mejora la oferta o no.</w:t>
      </w:r>
    </w:p>
    <w:p w14:paraId="76DC66D0" w14:textId="77777777" w:rsidR="001477F9" w:rsidRPr="00CF1B34" w:rsidRDefault="001477F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 nunca estará de más conservar este documento, incluso después de haber firmado la hipoteca. Nos servirá de aval ante posibles incidencias o cambios en las condiciones, y tendrá un valor probatorio ante posibles eventualidades.</w:t>
      </w:r>
    </w:p>
    <w:p w14:paraId="00612A8F" w14:textId="77777777" w:rsidR="001477F9" w:rsidRPr="00CF1B34" w:rsidRDefault="001477F9"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¿Y si subrogamos la hipoteca?</w:t>
      </w:r>
    </w:p>
    <w:p w14:paraId="5D7DE1D8" w14:textId="77777777" w:rsidR="001477F9" w:rsidRPr="00CF1B34" w:rsidRDefault="001477F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Si estamos pensando en subrogar nuestra hipoteca a otra entidad, esta deberá analizar las condiciones del contrato que teníamos con el banco inicial, y valorar si nos las igualará o nos las mejorará.</w:t>
      </w:r>
    </w:p>
    <w:p w14:paraId="7B05BEAF" w14:textId="684484F0" w:rsidR="003F1C76" w:rsidRDefault="003F1C76"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OFF</w:t>
      </w:r>
    </w:p>
    <w:p w14:paraId="71AD6A50" w14:textId="77777777" w:rsidR="003F1C76" w:rsidRPr="00CF1B34" w:rsidRDefault="003F1C7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Termino utilizado por el operador financiero cuando su precio deja de tener validez.</w:t>
      </w:r>
    </w:p>
    <w:p w14:paraId="4CFEC5AF" w14:textId="57A3B1F4" w:rsidR="005B733C" w:rsidRDefault="005B733C"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ONLAE (LAE)</w:t>
      </w:r>
    </w:p>
    <w:p w14:paraId="7B42F0B5" w14:textId="00D98017" w:rsidR="005B733C" w:rsidRPr="005B733C" w:rsidRDefault="005B733C" w:rsidP="0005621A">
      <w:pPr>
        <w:ind w:left="708"/>
        <w:jc w:val="both"/>
        <w:rPr>
          <w:rFonts w:ascii="Arial" w:hAnsi="Arial" w:cs="Arial"/>
          <w:sz w:val="22"/>
          <w:szCs w:val="22"/>
        </w:rPr>
      </w:pPr>
      <w:r w:rsidRPr="005B733C">
        <w:rPr>
          <w:rStyle w:val="Textoennegrita"/>
          <w:rFonts w:ascii="Arial" w:hAnsi="Arial" w:cs="Arial"/>
          <w:b w:val="0"/>
          <w:bCs w:val="0"/>
          <w:color w:val="333333"/>
          <w:sz w:val="22"/>
          <w:szCs w:val="22"/>
          <w:shd w:val="clear" w:color="auto" w:fill="FFFFFF"/>
        </w:rPr>
        <w:t>ONLAE fue creado en 1985, y abrevia bajo siglas la denominación del Organismo Nacional de Loterías y Apuestas del Estado</w:t>
      </w:r>
      <w:r w:rsidRPr="005B733C">
        <w:rPr>
          <w:rFonts w:ascii="Arial" w:hAnsi="Arial" w:cs="Arial"/>
          <w:color w:val="333333"/>
          <w:sz w:val="22"/>
          <w:szCs w:val="22"/>
          <w:shd w:val="clear" w:color="auto" w:fill="FFFFFF"/>
        </w:rPr>
        <w:t xml:space="preserve">. Unificó las actividades llevadas a cabo en el </w:t>
      </w:r>
      <w:r w:rsidRPr="005B733C">
        <w:rPr>
          <w:rStyle w:val="Textoennegrita"/>
          <w:rFonts w:ascii="Arial" w:hAnsi="Arial" w:cs="Arial"/>
          <w:color w:val="333333"/>
          <w:sz w:val="22"/>
          <w:szCs w:val="22"/>
          <w:shd w:val="clear" w:color="auto" w:fill="FFFFFF"/>
        </w:rPr>
        <w:t>Patronato de Apuestas Mutuas Deportivas Benéficas y el Servicio Nacional de Loterías.</w:t>
      </w:r>
    </w:p>
    <w:p w14:paraId="47C7DB16" w14:textId="77777777" w:rsidR="005B733C" w:rsidRPr="005B733C" w:rsidRDefault="005B733C" w:rsidP="0005621A">
      <w:pPr>
        <w:ind w:firstLine="708"/>
        <w:jc w:val="both"/>
        <w:rPr>
          <w:rFonts w:ascii="Arial" w:hAnsi="Arial" w:cs="Arial"/>
          <w:sz w:val="22"/>
          <w:szCs w:val="22"/>
        </w:rPr>
      </w:pPr>
      <w:r w:rsidRPr="005B733C">
        <w:rPr>
          <w:rStyle w:val="Textoennegrita"/>
          <w:rFonts w:ascii="Arial" w:hAnsi="Arial" w:cs="Arial"/>
          <w:color w:val="333333"/>
          <w:sz w:val="22"/>
          <w:szCs w:val="22"/>
        </w:rPr>
        <w:t>Funciones de ONLAE:</w:t>
      </w:r>
    </w:p>
    <w:p w14:paraId="592CB521" w14:textId="15DC3CBF" w:rsidR="005B733C" w:rsidRPr="005B733C" w:rsidRDefault="005B733C" w:rsidP="004F7A62">
      <w:pPr>
        <w:pStyle w:val="Prrafodelista"/>
        <w:numPr>
          <w:ilvl w:val="0"/>
          <w:numId w:val="224"/>
        </w:numPr>
        <w:jc w:val="both"/>
        <w:rPr>
          <w:rFonts w:ascii="Arial" w:hAnsi="Arial" w:cs="Arial"/>
          <w:sz w:val="22"/>
          <w:szCs w:val="22"/>
        </w:rPr>
      </w:pPr>
      <w:r w:rsidRPr="005B733C">
        <w:rPr>
          <w:rFonts w:ascii="Arial" w:hAnsi="Arial" w:cs="Arial"/>
          <w:sz w:val="22"/>
          <w:szCs w:val="22"/>
        </w:rPr>
        <w:t>Gestión, explotación y comercialización de las</w:t>
      </w:r>
      <w:r>
        <w:rPr>
          <w:rFonts w:ascii="Arial" w:hAnsi="Arial" w:cs="Arial"/>
          <w:sz w:val="22"/>
          <w:szCs w:val="22"/>
        </w:rPr>
        <w:t xml:space="preserve"> loterías </w:t>
      </w:r>
      <w:r w:rsidRPr="005B733C">
        <w:rPr>
          <w:rFonts w:ascii="Arial" w:hAnsi="Arial" w:cs="Arial"/>
          <w:sz w:val="22"/>
          <w:szCs w:val="22"/>
        </w:rPr>
        <w:t>y juegos de ámbito nacional.</w:t>
      </w:r>
    </w:p>
    <w:p w14:paraId="00FC1E92" w14:textId="11744918" w:rsidR="005B733C" w:rsidRPr="005B733C" w:rsidRDefault="005B733C" w:rsidP="004F7A62">
      <w:pPr>
        <w:pStyle w:val="Prrafodelista"/>
        <w:numPr>
          <w:ilvl w:val="0"/>
          <w:numId w:val="224"/>
        </w:numPr>
        <w:jc w:val="both"/>
        <w:rPr>
          <w:rFonts w:ascii="Arial" w:hAnsi="Arial" w:cs="Arial"/>
          <w:sz w:val="22"/>
          <w:szCs w:val="22"/>
        </w:rPr>
      </w:pPr>
      <w:r w:rsidRPr="005B733C">
        <w:rPr>
          <w:rFonts w:ascii="Arial" w:hAnsi="Arial" w:cs="Arial"/>
          <w:sz w:val="22"/>
          <w:szCs w:val="22"/>
        </w:rPr>
        <w:t>Gestión, explotación y comercialización de las apuestas mutuas deportivo-benéficas.</w:t>
      </w:r>
    </w:p>
    <w:p w14:paraId="5EEED2C8" w14:textId="44E7F379" w:rsidR="005B733C" w:rsidRPr="005B733C" w:rsidRDefault="005B733C" w:rsidP="004F7A62">
      <w:pPr>
        <w:pStyle w:val="Prrafodelista"/>
        <w:numPr>
          <w:ilvl w:val="0"/>
          <w:numId w:val="224"/>
        </w:numPr>
        <w:jc w:val="both"/>
        <w:rPr>
          <w:rFonts w:ascii="Arial" w:hAnsi="Arial" w:cs="Arial"/>
          <w:sz w:val="22"/>
          <w:szCs w:val="22"/>
        </w:rPr>
      </w:pPr>
      <w:r w:rsidRPr="005B733C">
        <w:rPr>
          <w:rFonts w:ascii="Arial" w:hAnsi="Arial" w:cs="Arial"/>
          <w:sz w:val="22"/>
          <w:szCs w:val="22"/>
        </w:rPr>
        <w:lastRenderedPageBreak/>
        <w:t>Gestión, explotación y comercialización de aquellos otros juegos que sean competencia del Estado.</w:t>
      </w:r>
    </w:p>
    <w:p w14:paraId="16136C93" w14:textId="7D7D2456" w:rsidR="005B733C" w:rsidRPr="005B733C" w:rsidRDefault="005B733C" w:rsidP="004F7A62">
      <w:pPr>
        <w:pStyle w:val="Prrafodelista"/>
        <w:numPr>
          <w:ilvl w:val="0"/>
          <w:numId w:val="224"/>
        </w:numPr>
        <w:jc w:val="both"/>
        <w:rPr>
          <w:rFonts w:ascii="Arial" w:hAnsi="Arial" w:cs="Arial"/>
          <w:sz w:val="22"/>
          <w:szCs w:val="22"/>
        </w:rPr>
      </w:pPr>
      <w:r w:rsidRPr="005B733C">
        <w:rPr>
          <w:rFonts w:ascii="Arial" w:hAnsi="Arial" w:cs="Arial"/>
          <w:sz w:val="22"/>
          <w:szCs w:val="22"/>
        </w:rPr>
        <w:t>Valoración comercial de los locales.</w:t>
      </w:r>
    </w:p>
    <w:p w14:paraId="234E990C" w14:textId="77777777" w:rsidR="005B733C" w:rsidRPr="00CF1B34" w:rsidRDefault="005B733C" w:rsidP="0005621A">
      <w:pPr>
        <w:pBdr>
          <w:bottom w:val="dotted" w:sz="12" w:space="12" w:color="666666"/>
        </w:pBdr>
        <w:spacing w:after="240"/>
        <w:ind w:left="720"/>
        <w:jc w:val="both"/>
        <w:rPr>
          <w:rFonts w:ascii="Arial" w:hAnsi="Arial" w:cs="Arial"/>
          <w:color w:val="212529"/>
          <w:sz w:val="22"/>
          <w:szCs w:val="22"/>
          <w:lang w:val="es-ES_tradnl"/>
        </w:rPr>
      </w:pPr>
      <w:r w:rsidRPr="005B733C">
        <w:rPr>
          <w:rFonts w:ascii="Arial" w:hAnsi="Arial" w:cs="Arial"/>
          <w:color w:val="333333"/>
          <w:sz w:val="22"/>
          <w:szCs w:val="22"/>
          <w:shd w:val="clear" w:color="auto" w:fill="FFFFFF"/>
        </w:rPr>
        <w:t>Depende, del Ministerio de Economía y Hacienda el cual dictará las disposiciones complementarias para el examen y control.</w:t>
      </w:r>
    </w:p>
    <w:p w14:paraId="1FD4C08F" w14:textId="010707E5"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OPA</w:t>
      </w:r>
    </w:p>
    <w:p w14:paraId="3FEBEF83" w14:textId="18A3C869"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Ver</w:t>
      </w:r>
      <w:r w:rsidR="00E14279" w:rsidRPr="00CF1B34">
        <w:rPr>
          <w:rFonts w:ascii="Arial" w:hAnsi="Arial" w:cs="Arial"/>
          <w:color w:val="212529"/>
          <w:sz w:val="22"/>
          <w:szCs w:val="22"/>
          <w:lang w:val="es-ES_tradnl"/>
        </w:rPr>
        <w:t xml:space="preserve"> </w:t>
      </w:r>
      <w:hyperlink r:id="rId288" w:tgtFrame="_self" w:history="1">
        <w:r w:rsidRPr="00CF1B34">
          <w:rPr>
            <w:rFonts w:ascii="Arial" w:hAnsi="Arial" w:cs="Arial"/>
            <w:b/>
            <w:bCs/>
            <w:color w:val="2F5496" w:themeColor="accent1" w:themeShade="BF"/>
            <w:sz w:val="22"/>
            <w:szCs w:val="22"/>
            <w:u w:val="single"/>
            <w:lang w:val="es-ES_tradnl"/>
          </w:rPr>
          <w:t>Oferta pública de adquisición</w:t>
        </w:r>
      </w:hyperlink>
      <w:r w:rsidRPr="00CF1B34">
        <w:rPr>
          <w:rFonts w:ascii="Arial" w:hAnsi="Arial" w:cs="Arial"/>
          <w:color w:val="2F5496" w:themeColor="accent1" w:themeShade="BF"/>
          <w:sz w:val="22"/>
          <w:szCs w:val="22"/>
          <w:lang w:val="es-ES_tradnl"/>
        </w:rPr>
        <w:t>.</w:t>
      </w:r>
    </w:p>
    <w:p w14:paraId="59504BF4"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OPA amistosa</w:t>
      </w:r>
    </w:p>
    <w:p w14:paraId="787EC7E6"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Oferta pública de adquisición que se presenta por acuerdo entre la sociedad oferente y los administradores y/o accionistas significativos de la sociedad afectada. Se contrapone a la OPA hostil. </w:t>
      </w:r>
    </w:p>
    <w:p w14:paraId="32C7B0DA"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OPA competidora</w:t>
      </w:r>
    </w:p>
    <w:p w14:paraId="31D85D0F" w14:textId="3E9D05BA"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se presenta para adquirir las acciones de una sociedad que ya ha sido objeto de otra OPA aún no resuelta; de acuerdo con la normativa, las OPAs competidoras han de mejorar las condiciones de la oferta inicial. Ver</w:t>
      </w:r>
      <w:r w:rsidR="001B3F81" w:rsidRPr="00CF1B34">
        <w:rPr>
          <w:rFonts w:ascii="Arial" w:hAnsi="Arial" w:cs="Arial"/>
          <w:color w:val="212529"/>
          <w:sz w:val="22"/>
          <w:szCs w:val="22"/>
          <w:lang w:val="es-ES_tradnl"/>
        </w:rPr>
        <w:t xml:space="preserve"> </w:t>
      </w:r>
      <w:hyperlink r:id="rId289" w:tgtFrame="_self" w:history="1">
        <w:r w:rsidRPr="00CF1B34">
          <w:rPr>
            <w:rFonts w:ascii="Arial" w:hAnsi="Arial" w:cs="Arial"/>
            <w:b/>
            <w:bCs/>
            <w:color w:val="2F5496" w:themeColor="accent1" w:themeShade="BF"/>
            <w:sz w:val="22"/>
            <w:szCs w:val="22"/>
            <w:u w:val="single"/>
            <w:lang w:val="es-ES_tradnl"/>
          </w:rPr>
          <w:t>Clases de Opas</w:t>
        </w:r>
      </w:hyperlink>
      <w:r w:rsidR="001B3F81"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en la Sección del Inversor.</w:t>
      </w:r>
    </w:p>
    <w:p w14:paraId="5476D553"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OPA de exclusión</w:t>
      </w:r>
    </w:p>
    <w:p w14:paraId="6DE2B8ED" w14:textId="3F9890B9"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Oferta de adquisición de acciones que una sociedad realiza a sus propios accionistas con la finalidad de excluir sus acciones de la negociación en Bolsa. En esta modalidad, el precio de la OPA requiere autorización expresa de la CNMV; por tanto, y al objeto de establecer un precio justo, la sociedad deberá aportar una valoración realizada por un experto independiente. En este tipo de OPA la contraprestación siempre es en dinero. Ver</w:t>
      </w:r>
      <w:r w:rsidR="001B3F81" w:rsidRPr="00CF1B34">
        <w:rPr>
          <w:rFonts w:ascii="Arial" w:hAnsi="Arial" w:cs="Arial"/>
          <w:color w:val="212529"/>
          <w:sz w:val="22"/>
          <w:szCs w:val="22"/>
          <w:lang w:val="es-ES_tradnl"/>
        </w:rPr>
        <w:t xml:space="preserve"> </w:t>
      </w:r>
      <w:hyperlink r:id="rId290" w:tgtFrame="_self" w:history="1">
        <w:r w:rsidRPr="00CF1B34">
          <w:rPr>
            <w:rFonts w:ascii="Arial" w:hAnsi="Arial" w:cs="Arial"/>
            <w:b/>
            <w:bCs/>
            <w:color w:val="2F5496" w:themeColor="accent1" w:themeShade="BF"/>
            <w:sz w:val="22"/>
            <w:szCs w:val="22"/>
            <w:u w:val="single"/>
            <w:lang w:val="es-ES_tradnl"/>
          </w:rPr>
          <w:t>Clases de Opas</w:t>
        </w:r>
      </w:hyperlink>
      <w:r w:rsidR="001B3F81" w:rsidRPr="00CF1B34">
        <w:rPr>
          <w:rFonts w:ascii="Arial" w:hAnsi="Arial" w:cs="Arial"/>
          <w:color w:val="AD2144"/>
          <w:sz w:val="22"/>
          <w:szCs w:val="22"/>
          <w:lang w:val="es-ES_tradnl"/>
        </w:rPr>
        <w:t xml:space="preserve">  </w:t>
      </w:r>
      <w:r w:rsidRPr="00CF1B34">
        <w:rPr>
          <w:rFonts w:ascii="Arial" w:hAnsi="Arial" w:cs="Arial"/>
          <w:color w:val="212529"/>
          <w:sz w:val="22"/>
          <w:szCs w:val="22"/>
          <w:lang w:val="es-ES_tradnl"/>
        </w:rPr>
        <w:t>en</w:t>
      </w:r>
      <w:r w:rsidR="001B3F81"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l</w:t>
      </w:r>
      <w:r w:rsidR="001B3F81" w:rsidRPr="00CF1B34">
        <w:rPr>
          <w:rFonts w:ascii="Arial" w:hAnsi="Arial" w:cs="Arial"/>
          <w:color w:val="212529"/>
          <w:sz w:val="22"/>
          <w:szCs w:val="22"/>
          <w:lang w:val="es-ES_tradnl"/>
        </w:rPr>
        <w:t xml:space="preserve">a </w:t>
      </w:r>
      <w:r w:rsidRPr="00CF1B34">
        <w:rPr>
          <w:rFonts w:ascii="Arial" w:hAnsi="Arial" w:cs="Arial"/>
          <w:color w:val="212529"/>
          <w:sz w:val="22"/>
          <w:szCs w:val="22"/>
          <w:lang w:val="es-ES_tradnl"/>
        </w:rPr>
        <w:t>Sección del Inversor.</w:t>
      </w:r>
    </w:p>
    <w:p w14:paraId="2DDD4BE4"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OPA hostil</w:t>
      </w:r>
    </w:p>
    <w:p w14:paraId="1DB543F8" w14:textId="563B1996"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oferta pública de adquisición que presenta una persona o entidad, sin la aceptación previa de los órganos de gobierno de la sociedad cuyas acciones se pretende adquirir. Algunas sociedades establecen en sus estatutos restricciones de voto, de elección de administradores u otras limitaciones (blindajes), con el fin de evitar una posible OPA hostil. Los accionistas minoritarios deben conocer y valorar estas medidas anti-OPA, pues en determinadas circunstancias pueden lesionar sus intereses. Ver los términos</w:t>
      </w:r>
      <w:r w:rsidR="001B3F81" w:rsidRPr="00CF1B34">
        <w:rPr>
          <w:rFonts w:ascii="Arial" w:hAnsi="Arial" w:cs="Arial"/>
          <w:color w:val="212529"/>
          <w:sz w:val="22"/>
          <w:szCs w:val="22"/>
          <w:lang w:val="es-ES_tradnl"/>
        </w:rPr>
        <w:t xml:space="preserve"> </w:t>
      </w:r>
      <w:hyperlink r:id="rId291" w:tgtFrame="_self" w:history="1">
        <w:r w:rsidRPr="00CF1B34">
          <w:rPr>
            <w:rFonts w:ascii="Arial" w:hAnsi="Arial" w:cs="Arial"/>
            <w:b/>
            <w:bCs/>
            <w:color w:val="2F5496" w:themeColor="accent1" w:themeShade="BF"/>
            <w:sz w:val="22"/>
            <w:szCs w:val="22"/>
            <w:u w:val="single"/>
            <w:lang w:val="es-ES_tradnl"/>
          </w:rPr>
          <w:t>Oferta Pública de Adquisición (OPA)</w:t>
        </w:r>
      </w:hyperlink>
      <w:r w:rsidRPr="00CF1B34">
        <w:rPr>
          <w:rFonts w:ascii="Arial" w:hAnsi="Arial" w:cs="Arial"/>
          <w:color w:val="2F5496" w:themeColor="accent1" w:themeShade="BF"/>
          <w:sz w:val="22"/>
          <w:szCs w:val="22"/>
          <w:lang w:val="es-ES_tradnl"/>
        </w:rPr>
        <w:t>,</w:t>
      </w:r>
      <w:r w:rsidR="001B3F81" w:rsidRPr="00CF1B34">
        <w:rPr>
          <w:rFonts w:ascii="Arial" w:hAnsi="Arial" w:cs="Arial"/>
          <w:color w:val="2F5496" w:themeColor="accent1" w:themeShade="BF"/>
          <w:sz w:val="22"/>
          <w:szCs w:val="22"/>
          <w:lang w:val="es-ES_tradnl"/>
        </w:rPr>
        <w:t xml:space="preserve"> </w:t>
      </w:r>
      <w:hyperlink r:id="rId292" w:tgtFrame="_self" w:history="1">
        <w:r w:rsidRPr="00CF1B34">
          <w:rPr>
            <w:rFonts w:ascii="Arial" w:hAnsi="Arial" w:cs="Arial"/>
            <w:b/>
            <w:bCs/>
            <w:color w:val="2F5496" w:themeColor="accent1" w:themeShade="BF"/>
            <w:sz w:val="22"/>
            <w:szCs w:val="22"/>
            <w:u w:val="single"/>
            <w:lang w:val="es-ES_tradnl"/>
          </w:rPr>
          <w:t>Caballero blanco</w:t>
        </w:r>
      </w:hyperlink>
      <w:r w:rsidR="001B3F81"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y</w:t>
      </w:r>
      <w:r w:rsidR="001B3F81" w:rsidRPr="00CF1B34">
        <w:rPr>
          <w:rFonts w:ascii="Arial" w:hAnsi="Arial" w:cs="Arial"/>
          <w:color w:val="212529"/>
          <w:sz w:val="22"/>
          <w:szCs w:val="22"/>
          <w:lang w:val="es-ES_tradnl"/>
        </w:rPr>
        <w:t xml:space="preserve"> </w:t>
      </w:r>
      <w:hyperlink r:id="rId293" w:tgtFrame="_self" w:history="1">
        <w:r w:rsidRPr="00CF1B34">
          <w:rPr>
            <w:rFonts w:ascii="Arial" w:hAnsi="Arial" w:cs="Arial"/>
            <w:b/>
            <w:bCs/>
            <w:color w:val="2F5496" w:themeColor="accent1" w:themeShade="BF"/>
            <w:sz w:val="22"/>
            <w:szCs w:val="22"/>
            <w:u w:val="single"/>
            <w:lang w:val="es-ES_tradnl"/>
          </w:rPr>
          <w:t>Caballero negro</w:t>
        </w:r>
      </w:hyperlink>
      <w:r w:rsidRPr="00CF1B34">
        <w:rPr>
          <w:rFonts w:ascii="Arial" w:hAnsi="Arial" w:cs="Arial"/>
          <w:color w:val="2F5496" w:themeColor="accent1" w:themeShade="BF"/>
          <w:sz w:val="22"/>
          <w:szCs w:val="22"/>
          <w:lang w:val="es-ES_tradnl"/>
        </w:rPr>
        <w:t>.</w:t>
      </w:r>
    </w:p>
    <w:p w14:paraId="4DFD4846"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OPA parcial</w:t>
      </w:r>
    </w:p>
    <w:p w14:paraId="08CA94B4" w14:textId="6699B3EB"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sólo se dirige a una parte de las acciones existentes. Si el número de aceptaciones superase en conjunto el máximo de la oferta, se realizará un prorrateo entre todos los aceptantes. Ver</w:t>
      </w:r>
      <w:r w:rsidR="001B3F81" w:rsidRPr="00CF1B34">
        <w:rPr>
          <w:rFonts w:ascii="Arial" w:hAnsi="Arial" w:cs="Arial"/>
          <w:color w:val="212529"/>
          <w:sz w:val="22"/>
          <w:szCs w:val="22"/>
          <w:lang w:val="es-ES_tradnl"/>
        </w:rPr>
        <w:t xml:space="preserve"> </w:t>
      </w:r>
      <w:hyperlink r:id="rId294" w:tgtFrame="_self" w:history="1">
        <w:r w:rsidRPr="00CF1B34">
          <w:rPr>
            <w:rFonts w:ascii="Arial" w:hAnsi="Arial" w:cs="Arial"/>
            <w:b/>
            <w:bCs/>
            <w:color w:val="2F5496" w:themeColor="accent1" w:themeShade="BF"/>
            <w:sz w:val="22"/>
            <w:szCs w:val="22"/>
            <w:u w:val="single"/>
            <w:lang w:val="es-ES_tradnl"/>
          </w:rPr>
          <w:t>Clases de Opas</w:t>
        </w:r>
      </w:hyperlink>
      <w:r w:rsidR="001B3F81"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en el Rincón del Inversor.</w:t>
      </w:r>
    </w:p>
    <w:p w14:paraId="6312106C" w14:textId="30FE8897" w:rsidR="00C31864" w:rsidRPr="00CF1B34" w:rsidRDefault="00C3186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Opción</w:t>
      </w:r>
    </w:p>
    <w:p w14:paraId="066833CC" w14:textId="77777777" w:rsidR="000D1B50" w:rsidRPr="00CF1B34" w:rsidRDefault="000D1B5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Las opciones se definen como el derecho y no la obligación de comprar o vender un activo a un precio fijado dentro de un plazo de tiempo ya determinado. En los futuros no es un derecho sino una obligación.</w:t>
      </w:r>
    </w:p>
    <w:p w14:paraId="4CD5DD2C" w14:textId="61C4BB1D" w:rsidR="00C31864" w:rsidRPr="00CF1B34" w:rsidRDefault="00C3186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Opción americana</w:t>
      </w:r>
    </w:p>
    <w:p w14:paraId="4819B7FD" w14:textId="77777777" w:rsidR="00204080" w:rsidRPr="00CF1B34" w:rsidRDefault="0020408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Opción que se puede ejercitar en cualquier momento anterior a la fecha de vencimiento.</w:t>
      </w:r>
    </w:p>
    <w:p w14:paraId="75D55034" w14:textId="51A833B8" w:rsidR="000015D3" w:rsidRPr="00CF1B34" w:rsidRDefault="000015D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Opción Call “At the money”</w:t>
      </w:r>
    </w:p>
    <w:p w14:paraId="02F99DF6" w14:textId="77777777" w:rsidR="00204080" w:rsidRPr="00CF1B34" w:rsidRDefault="0020408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opción Call esta “at the money” cuando el precio de ejercicio de la opción es similar al precio de ejercicio del activo subyacente.</w:t>
      </w:r>
    </w:p>
    <w:p w14:paraId="1D67600A" w14:textId="55F14F02" w:rsidR="000015D3" w:rsidRPr="00CF1B34" w:rsidRDefault="000015D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Opción Call “In the money”</w:t>
      </w:r>
    </w:p>
    <w:p w14:paraId="2BF880C9" w14:textId="77777777" w:rsidR="00A06AC1" w:rsidRPr="00CF1B34" w:rsidRDefault="00A06AC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precio de la opción es menor que el precio del activo subyacente.</w:t>
      </w:r>
    </w:p>
    <w:p w14:paraId="088F0144" w14:textId="5E821657" w:rsidR="000015D3" w:rsidRPr="00CF1B34" w:rsidRDefault="000015D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Opción Call “out the money”</w:t>
      </w:r>
    </w:p>
    <w:p w14:paraId="537E85D3" w14:textId="77777777" w:rsidR="00A06AC1" w:rsidRPr="00CF1B34" w:rsidRDefault="00A06AC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precio de la opción es mayor que el precio del activo subyacente.</w:t>
      </w:r>
    </w:p>
    <w:p w14:paraId="4A4A4F35" w14:textId="71D2D8C9" w:rsidR="000015D3" w:rsidRPr="00CF1B34" w:rsidRDefault="000015D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Opción de compra (CALL)</w:t>
      </w:r>
    </w:p>
    <w:p w14:paraId="4892F8D7" w14:textId="77777777" w:rsidR="00A06AC1" w:rsidRPr="00CF1B34" w:rsidRDefault="00A06AC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Una opción de compra (call) es un contrato por el que el comprador, mediante el pago de una prima, adquiere el derecho, pero no la obligación, de comprar un determinado activo subyacente a un determinado precio (precio de ejercicio) – strike – y en una determinada fecha de ejercicio.</w:t>
      </w:r>
    </w:p>
    <w:p w14:paraId="3D6B5434" w14:textId="5682B55D" w:rsidR="000015D3" w:rsidRPr="00CF1B34" w:rsidRDefault="000015D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Opción Europea</w:t>
      </w:r>
    </w:p>
    <w:p w14:paraId="756C5160" w14:textId="77777777" w:rsidR="00252C0D" w:rsidRPr="00CF1B34" w:rsidRDefault="00252C0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Valor mas bajo alcanzado en la línea de precios.</w:t>
      </w:r>
    </w:p>
    <w:p w14:paraId="71760165" w14:textId="60C53385" w:rsidR="000015D3" w:rsidRPr="00CF1B34" w:rsidRDefault="000015D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Opción exotica</w:t>
      </w:r>
    </w:p>
    <w:p w14:paraId="1341168C" w14:textId="77777777" w:rsidR="001A7944" w:rsidRPr="00CF1B34" w:rsidRDefault="001A794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denominan opciones exóticas todas las opciones no clasificadas como europeas o americanas estándar. Las características diferenciadoras son respecto a las estándar pueden provenir de: la determinación y el calculo del precio de ejercicio, la existencia de mecanismos de nacimiento o eliminación de la opción, el numero de activos subyacentes implicados y las condiciones del pago de la prima.</w:t>
      </w:r>
    </w:p>
    <w:p w14:paraId="5EB766C0" w14:textId="6A90662E"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Opción financiera</w:t>
      </w:r>
    </w:p>
    <w:p w14:paraId="3CEDB7C8"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Contrato que implica el derecho a comprar o vender una determinada cuantía del activo subyacente, a un precio preestablecido (precio de ejercicio), y en un plazo estipulado. </w:t>
      </w:r>
    </w:p>
    <w:p w14:paraId="76E1ACC1" w14:textId="2E624BC1" w:rsidR="000015D3" w:rsidRPr="00CF1B34" w:rsidRDefault="000015D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Opción Put</w:t>
      </w:r>
    </w:p>
    <w:p w14:paraId="061BBF9F" w14:textId="77777777" w:rsidR="009D52E8" w:rsidRPr="00CF1B34" w:rsidRDefault="009D52E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opción que da derecho a vender un activo.</w:t>
      </w:r>
    </w:p>
    <w:p w14:paraId="3AC34243" w14:textId="1D83BC2F" w:rsidR="000015D3" w:rsidRPr="00CF1B34" w:rsidRDefault="000015D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Opci</w:t>
      </w:r>
      <w:r w:rsidR="00466B7F" w:rsidRPr="00CF1B34">
        <w:rPr>
          <w:rFonts w:ascii="Arial" w:hAnsi="Arial" w:cs="Arial"/>
          <w:b/>
          <w:bCs/>
          <w:color w:val="004773"/>
          <w:sz w:val="22"/>
          <w:szCs w:val="22"/>
          <w:lang w:val="es-ES_tradnl"/>
        </w:rPr>
        <w:t>o</w:t>
      </w:r>
      <w:r w:rsidRPr="00CF1B34">
        <w:rPr>
          <w:rFonts w:ascii="Arial" w:hAnsi="Arial" w:cs="Arial"/>
          <w:b/>
          <w:bCs/>
          <w:color w:val="004773"/>
          <w:sz w:val="22"/>
          <w:szCs w:val="22"/>
          <w:lang w:val="es-ES_tradnl"/>
        </w:rPr>
        <w:t>nes barrera</w:t>
      </w:r>
    </w:p>
    <w:p w14:paraId="33B316C6" w14:textId="77777777" w:rsidR="009D52E8" w:rsidRPr="00CF1B34" w:rsidRDefault="001A794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aquel tipo de opciones cuya rentabilidad a vencimiento no depende únicamente del precio a </w:t>
      </w:r>
      <w:proofErr w:type="gramStart"/>
      <w:r w:rsidRPr="00CF1B34">
        <w:rPr>
          <w:rFonts w:ascii="Arial" w:hAnsi="Arial" w:cs="Arial"/>
          <w:color w:val="000000" w:themeColor="text1"/>
          <w:sz w:val="22"/>
          <w:szCs w:val="22"/>
          <w:lang w:val="es-ES_tradnl"/>
        </w:rPr>
        <w:t>vencimiento</w:t>
      </w:r>
      <w:proofErr w:type="gramEnd"/>
      <w:r w:rsidRPr="00CF1B34">
        <w:rPr>
          <w:rFonts w:ascii="Arial" w:hAnsi="Arial" w:cs="Arial"/>
          <w:color w:val="000000" w:themeColor="text1"/>
          <w:sz w:val="22"/>
          <w:szCs w:val="22"/>
          <w:lang w:val="es-ES_tradnl"/>
        </w:rPr>
        <w:t xml:space="preserve"> sino que además están condicionadas a que durante la vida de la opción el subyacente haya alcanz</w:t>
      </w:r>
      <w:r w:rsidR="009D52E8" w:rsidRPr="00CF1B34">
        <w:rPr>
          <w:rFonts w:ascii="Arial" w:hAnsi="Arial" w:cs="Arial"/>
          <w:color w:val="000000" w:themeColor="text1"/>
          <w:sz w:val="22"/>
          <w:szCs w:val="22"/>
          <w:lang w:val="es-ES_tradnl"/>
        </w:rPr>
        <w:t>a</w:t>
      </w:r>
      <w:r w:rsidRPr="00CF1B34">
        <w:rPr>
          <w:rFonts w:ascii="Arial" w:hAnsi="Arial" w:cs="Arial"/>
          <w:color w:val="000000" w:themeColor="text1"/>
          <w:sz w:val="22"/>
          <w:szCs w:val="22"/>
          <w:lang w:val="es-ES_tradnl"/>
        </w:rPr>
        <w:t>do un determinado nivel</w:t>
      </w:r>
      <w:r w:rsidR="009D52E8" w:rsidRPr="00CF1B34">
        <w:rPr>
          <w:rFonts w:ascii="Arial" w:hAnsi="Arial" w:cs="Arial"/>
          <w:color w:val="000000" w:themeColor="text1"/>
          <w:sz w:val="22"/>
          <w:szCs w:val="22"/>
          <w:lang w:val="es-ES_tradnl"/>
        </w:rPr>
        <w:t>.</w:t>
      </w:r>
    </w:p>
    <w:p w14:paraId="06B039F1" w14:textId="482BF471"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Operación acordeón</w:t>
      </w:r>
    </w:p>
    <w:p w14:paraId="31AB9490"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Operación societaria especial, que consiste en una reducción y ampliación de capital simultáneas, con el fin de sanear económicamente una sociedad. En primer lugar, el capital social se reduce a cero, o por debajo de la cifra mínima legal, y al mismo tiempo </w:t>
      </w:r>
      <w:r w:rsidRPr="00CF1B34">
        <w:rPr>
          <w:rFonts w:ascii="Arial" w:hAnsi="Arial" w:cs="Arial"/>
          <w:color w:val="212529"/>
          <w:sz w:val="22"/>
          <w:szCs w:val="22"/>
          <w:lang w:val="es-ES_tradnl"/>
        </w:rPr>
        <w:lastRenderedPageBreak/>
        <w:t>se incrementa hasta una cifra igual o superior a dicha cifra mínima. No es obligatorio alcanzar el volumen previo a la reducción. Estas operaciones suelen estar vinculadas a un nuevo proyecto, de manera que, tras adaptar la cifra de capital social a las pérdidas registradas, se espera disponer de nuevos recursos financieros, como consecuencia de la ampliación.</w:t>
      </w:r>
    </w:p>
    <w:p w14:paraId="1E6F3321"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Operación al contado</w:t>
      </w:r>
    </w:p>
    <w:p w14:paraId="2B093229"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aquella en la que no existe diferimiento en la liquidación, más allá de los plazos operativos establecidos por el mercado en el que se realice la contratación. Por ejemplo, en la actualidad en la Bolsa española una operación de contado se liquida en D+3 (es decir, transcurren tres días hábiles entre la fecha de contratación y la de liquidación). En los mercados de divisas, las operaciones al contado (también se denominan “spot”) son las que se liquidan en un máximo de dos días; si se supera ese período, la operación es a plazo (“forward”). En el mercado de deuda anotada, se consideran al contado las operaciones que se realizan hasta 5 días hábiles después de la negociación.</w:t>
      </w:r>
    </w:p>
    <w:p w14:paraId="1AD61913" w14:textId="09EC3E1F"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Operación vinculada</w:t>
      </w:r>
    </w:p>
    <w:p w14:paraId="228CC100"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cualquier transferencia de recursos, servicios u obligaciones que realiza una sociedad con las que se denominan “partes vinculadas” (sus accionistas significativos, administradores, cargos directivos y familiares próximos) con independencia de que exista o no contraprestación. Las sociedades con valores negociados deben cuantificar estas operaciones en la información pública semestral que remiten a la CNMV. Además, las compañías cotizadas han de incluir esta información en su Informe Anual de Gobierno Corporativo.</w:t>
      </w:r>
    </w:p>
    <w:p w14:paraId="51BC46B7" w14:textId="7D3DA8D5" w:rsidR="00B73555" w:rsidRPr="00CF1B34" w:rsidRDefault="00B7355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Operaciones de compraventa con pacto de recompra (Repos)</w:t>
      </w:r>
    </w:p>
    <w:p w14:paraId="5F06DE29" w14:textId="77777777" w:rsidR="007A3BE6" w:rsidRPr="00CF1B34" w:rsidRDefault="00B6339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También denominadas operaciones temporales, de dobles o Repos, repurchase agreement</w:t>
      </w:r>
      <w:r w:rsidR="007A3BE6" w:rsidRPr="00CF1B34">
        <w:rPr>
          <w:rFonts w:ascii="Arial" w:hAnsi="Arial" w:cs="Arial"/>
          <w:color w:val="000000" w:themeColor="text1"/>
          <w:sz w:val="22"/>
          <w:szCs w:val="22"/>
          <w:lang w:val="es-ES_tradnl"/>
        </w:rPr>
        <w:t>. Son aquellas por las que dos partes acuerdan una compraventa simple al contrato de valores, acompañada de un compromiso firma de deshacer la operación de una fecha fija, o antes de una determinada fecha, y a un precio fijo o resultante de la aplicación al precio inicial del tipo de interés pactado. El comprador inicial no puede vender los valores no cederlos temporalmente a un plazo que venza con posterioridad a la fecha pactada, o limite, para la segunda operación del Repo.</w:t>
      </w:r>
    </w:p>
    <w:p w14:paraId="14E170B0" w14:textId="321CE442" w:rsidR="00466B7F" w:rsidRPr="00CF1B34" w:rsidRDefault="00466B7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Operaciones de mercado abierto (OMAs)</w:t>
      </w:r>
    </w:p>
    <w:p w14:paraId="054AA38F" w14:textId="77777777" w:rsidR="00D620DD" w:rsidRPr="00CF1B34" w:rsidRDefault="00466B7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las operaciones que realiza</w:t>
      </w:r>
      <w:r w:rsidR="00D620DD" w:rsidRPr="00CF1B34">
        <w:rPr>
          <w:rFonts w:ascii="Arial" w:hAnsi="Arial" w:cs="Arial"/>
          <w:color w:val="000000" w:themeColor="text1"/>
          <w:sz w:val="22"/>
          <w:szCs w:val="22"/>
          <w:lang w:val="es-ES_tradnl"/>
        </w:rPr>
        <w:t xml:space="preserve"> el banco emisor con títulos de deuda publica interna, con el fin de controlar los medios de pago en circulación.</w:t>
      </w:r>
    </w:p>
    <w:p w14:paraId="00745094" w14:textId="162E3622" w:rsidR="00B73555" w:rsidRPr="00CF1B34" w:rsidRDefault="00B7355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Operaciones fuera de balance </w:t>
      </w:r>
    </w:p>
    <w:p w14:paraId="6BDC4964" w14:textId="77777777" w:rsidR="001E5515" w:rsidRPr="00CF1B34" w:rsidRDefault="001E551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aquellas operaciones que no implican un movimiento inmediato de efectivo, por lo que no se contabilizan en cuentas patrimoniales, sin </w:t>
      </w:r>
      <w:proofErr w:type="gramStart"/>
      <w:r w:rsidRPr="00CF1B34">
        <w:rPr>
          <w:rFonts w:ascii="Arial" w:hAnsi="Arial" w:cs="Arial"/>
          <w:color w:val="000000" w:themeColor="text1"/>
          <w:sz w:val="22"/>
          <w:szCs w:val="22"/>
          <w:lang w:val="es-ES_tradnl"/>
        </w:rPr>
        <w:t>embargo</w:t>
      </w:r>
      <w:proofErr w:type="gramEnd"/>
      <w:r w:rsidRPr="00CF1B34">
        <w:rPr>
          <w:rFonts w:ascii="Arial" w:hAnsi="Arial" w:cs="Arial"/>
          <w:color w:val="000000" w:themeColor="text1"/>
          <w:sz w:val="22"/>
          <w:szCs w:val="22"/>
          <w:lang w:val="es-ES_tradnl"/>
        </w:rPr>
        <w:t xml:space="preserve"> plantean un riesgo para la entidad. Algunos ejemplos son los avales, garantías, operaciones a plazo, futuros y opciones entre otros.</w:t>
      </w:r>
    </w:p>
    <w:p w14:paraId="17CDFEC1" w14:textId="7BBE2518" w:rsidR="00B73555" w:rsidRPr="00CF1B34" w:rsidRDefault="00B7355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OPS</w:t>
      </w:r>
    </w:p>
    <w:p w14:paraId="6A255B4B" w14:textId="77777777" w:rsidR="00223CB5" w:rsidRPr="00CF1B34" w:rsidRDefault="00223CB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 diferencia de la OPV (Public offering), la empresa realiza una ampliación de capital para ser suscrita por los nuevos accionistas. Ejemplo: REPSOL para comprar YPF.</w:t>
      </w:r>
    </w:p>
    <w:p w14:paraId="69D41573" w14:textId="060BFB50" w:rsidR="00B73555" w:rsidRPr="00CF1B34" w:rsidRDefault="00B7355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OPV</w:t>
      </w:r>
    </w:p>
    <w:p w14:paraId="77677EA6" w14:textId="77777777" w:rsidR="00E14279" w:rsidRPr="00CF1B34" w:rsidRDefault="00E1427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2F5496" w:themeColor="accent1" w:themeShade="BF"/>
          <w:sz w:val="22"/>
          <w:szCs w:val="22"/>
          <w:lang w:val="es-ES_tradnl"/>
        </w:rPr>
        <w:t>Oferta Publica de Ven</w:t>
      </w:r>
      <w:r w:rsidRPr="00CF1B34">
        <w:rPr>
          <w:rFonts w:ascii="Arial" w:hAnsi="Arial" w:cs="Arial"/>
          <w:color w:val="000000" w:themeColor="text1"/>
          <w:sz w:val="22"/>
          <w:szCs w:val="22"/>
          <w:lang w:val="es-ES_tradnl"/>
        </w:rPr>
        <w:t>ta. Con esta operación las sociedades salen al mercado. Los propietarios sacan acciones a cotizar con unas características especificas y un precio determinado.</w:t>
      </w:r>
    </w:p>
    <w:p w14:paraId="13961B58" w14:textId="6E93171B" w:rsidR="00B73555" w:rsidRPr="00CF1B34" w:rsidRDefault="00B7355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a cambio convenido</w:t>
      </w:r>
    </w:p>
    <w:p w14:paraId="6A6B2474" w14:textId="77777777" w:rsidR="002A0322" w:rsidRPr="00CF1B34" w:rsidRDefault="002A032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Orden que se realiza simultáneamente entre comprador y vendedor pactada de antemano. Conforme a la normativa vigente este tipo de ordenes bursátiles están sujetas a ciertas restricciones.</w:t>
      </w:r>
    </w:p>
    <w:p w14:paraId="6A8F5E86" w14:textId="7C02E89C" w:rsidR="00B73555" w:rsidRPr="00CF1B34" w:rsidRDefault="00B7355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a la apertura</w:t>
      </w:r>
    </w:p>
    <w:p w14:paraId="29410111" w14:textId="3BCAB23F" w:rsidR="002A0322" w:rsidRPr="00CF1B34" w:rsidRDefault="002A032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w:t>
      </w:r>
      <w:r w:rsidR="00D620DD" w:rsidRPr="00CF1B34">
        <w:rPr>
          <w:rFonts w:ascii="Arial" w:hAnsi="Arial" w:cs="Arial"/>
          <w:color w:val="000000" w:themeColor="text1"/>
          <w:sz w:val="22"/>
          <w:szCs w:val="22"/>
          <w:lang w:val="es-ES_tradnl"/>
        </w:rPr>
        <w:t>r</w:t>
      </w:r>
      <w:r w:rsidRPr="00CF1B34">
        <w:rPr>
          <w:rFonts w:ascii="Arial" w:hAnsi="Arial" w:cs="Arial"/>
          <w:color w:val="000000" w:themeColor="text1"/>
          <w:sz w:val="22"/>
          <w:szCs w:val="22"/>
          <w:lang w:val="es-ES_tradnl"/>
        </w:rPr>
        <w:t>den bursátil que se da en los mercados de valores para su ejecución en el momento de apertura de la negociación diaria de los mercados.</w:t>
      </w:r>
    </w:p>
    <w:p w14:paraId="0CD4E157" w14:textId="71C4E01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bursátil</w:t>
      </w:r>
    </w:p>
    <w:p w14:paraId="5DD56CE4"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una propuesta de negociación, gestionada en última instancia por un miembro del mercado, que se realiza bien a solicitud del inversor (cuenta de terceros) o por cuenta propia de una entidad. Debe especificar como mínimo el valor sobre el que se opera, el tipo de transacción (compra o venta), la cantidad y el precio. </w:t>
      </w:r>
    </w:p>
    <w:p w14:paraId="5FBF600F"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con volumen mínimo</w:t>
      </w:r>
    </w:p>
    <w:p w14:paraId="4BD51B9B" w14:textId="12C0E9DF"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Orden bursátil para la que debe ejecutarse una cantidad mínima especificada; si no es posible, la orden es rechazada por el sistema. Ver</w:t>
      </w:r>
      <w:r w:rsidR="002A0322" w:rsidRPr="00CF1B34">
        <w:rPr>
          <w:rFonts w:ascii="Arial" w:hAnsi="Arial" w:cs="Arial"/>
          <w:color w:val="212529"/>
          <w:sz w:val="22"/>
          <w:szCs w:val="22"/>
          <w:lang w:val="es-ES_tradnl"/>
        </w:rPr>
        <w:t xml:space="preserve"> </w:t>
      </w:r>
      <w:hyperlink r:id="rId295" w:tgtFrame="_self" w:history="1">
        <w:r w:rsidRPr="00CF1B34">
          <w:rPr>
            <w:rFonts w:ascii="Arial" w:hAnsi="Arial" w:cs="Arial"/>
            <w:b/>
            <w:bCs/>
            <w:color w:val="2F5496" w:themeColor="accent1" w:themeShade="BF"/>
            <w:sz w:val="22"/>
            <w:szCs w:val="22"/>
            <w:u w:val="single"/>
            <w:lang w:val="es-ES_tradnl"/>
          </w:rPr>
          <w:t>Orden bursátil</w:t>
        </w:r>
      </w:hyperlink>
      <w:r w:rsidRPr="00CF1B34">
        <w:rPr>
          <w:rFonts w:ascii="Arial" w:hAnsi="Arial" w:cs="Arial"/>
          <w:color w:val="2F5496" w:themeColor="accent1" w:themeShade="BF"/>
          <w:sz w:val="22"/>
          <w:szCs w:val="22"/>
          <w:lang w:val="es-ES_tradnl"/>
        </w:rPr>
        <w:t>.</w:t>
      </w:r>
    </w:p>
    <w:p w14:paraId="4990E253"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con volumen oculto</w:t>
      </w:r>
    </w:p>
    <w:p w14:paraId="56475BE6" w14:textId="4FD06415"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Orden bursátil que se introduce en el mercado, con una parte que los participantes no pueden ver. A medida que se ejecuta la parte mostrada, la oculta va saliendo al mercado, en grupos de valores previamente especificados. Ver</w:t>
      </w:r>
      <w:r w:rsidR="002A0322" w:rsidRPr="00CF1B34">
        <w:rPr>
          <w:rFonts w:ascii="Arial" w:hAnsi="Arial" w:cs="Arial"/>
          <w:color w:val="212529"/>
          <w:sz w:val="22"/>
          <w:szCs w:val="22"/>
          <w:lang w:val="es-ES_tradnl"/>
        </w:rPr>
        <w:t xml:space="preserve"> </w:t>
      </w:r>
      <w:hyperlink r:id="rId296" w:tgtFrame="_self" w:history="1">
        <w:r w:rsidRPr="00CF1B34">
          <w:rPr>
            <w:rFonts w:ascii="Arial" w:hAnsi="Arial" w:cs="Arial"/>
            <w:b/>
            <w:bCs/>
            <w:color w:val="2F5496" w:themeColor="accent1" w:themeShade="BF"/>
            <w:sz w:val="22"/>
            <w:szCs w:val="22"/>
            <w:u w:val="single"/>
            <w:lang w:val="es-ES_tradnl"/>
          </w:rPr>
          <w:t>Orden bursátil</w:t>
        </w:r>
      </w:hyperlink>
      <w:r w:rsidRPr="00CF1B34">
        <w:rPr>
          <w:rFonts w:ascii="Arial" w:hAnsi="Arial" w:cs="Arial"/>
          <w:color w:val="2F5496" w:themeColor="accent1" w:themeShade="BF"/>
          <w:sz w:val="22"/>
          <w:szCs w:val="22"/>
          <w:lang w:val="es-ES_tradnl"/>
        </w:rPr>
        <w:t>.</w:t>
      </w:r>
    </w:p>
    <w:p w14:paraId="7719036F" w14:textId="73787B60" w:rsidR="00B73555" w:rsidRPr="00CF1B34" w:rsidRDefault="00B7355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de ejecución m</w:t>
      </w:r>
      <w:r w:rsidR="00562DB3">
        <w:rPr>
          <w:rFonts w:ascii="Arial" w:hAnsi="Arial" w:cs="Arial"/>
          <w:b/>
          <w:bCs/>
          <w:color w:val="004773"/>
          <w:sz w:val="22"/>
          <w:szCs w:val="22"/>
          <w:lang w:val="es-ES_tradnl"/>
        </w:rPr>
        <w:t>í</w:t>
      </w:r>
      <w:r w:rsidRPr="00CF1B34">
        <w:rPr>
          <w:rFonts w:ascii="Arial" w:hAnsi="Arial" w:cs="Arial"/>
          <w:b/>
          <w:bCs/>
          <w:color w:val="004773"/>
          <w:sz w:val="22"/>
          <w:szCs w:val="22"/>
          <w:lang w:val="es-ES_tradnl"/>
        </w:rPr>
        <w:t>nima</w:t>
      </w:r>
      <w:r w:rsidR="00D0661A" w:rsidRPr="00CF1B34">
        <w:rPr>
          <w:rFonts w:ascii="Arial" w:hAnsi="Arial" w:cs="Arial"/>
          <w:b/>
          <w:bCs/>
          <w:color w:val="004773"/>
          <w:sz w:val="22"/>
          <w:szCs w:val="22"/>
          <w:lang w:val="es-ES_tradnl"/>
        </w:rPr>
        <w:t xml:space="preserve"> </w:t>
      </w:r>
    </w:p>
    <w:p w14:paraId="6740EB30" w14:textId="70FDCCA3" w:rsidR="003C6783" w:rsidRPr="00CF1B34" w:rsidRDefault="00924B5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Esta orden bursátil lleva implícita la condición de que al menos se negocie el volumen m</w:t>
      </w:r>
      <w:r w:rsidR="00562DB3">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nimo indicado como tal al introducir la orden. Si se ejecuta, al menos este volumen m</w:t>
      </w:r>
      <w:r w:rsidR="00562DB3">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w:t>
      </w:r>
      <w:r w:rsidR="00562DB3">
        <w:rPr>
          <w:rFonts w:ascii="Arial" w:hAnsi="Arial" w:cs="Arial"/>
          <w:color w:val="000000" w:themeColor="text1"/>
          <w:sz w:val="22"/>
          <w:szCs w:val="22"/>
          <w:lang w:val="es-ES_tradnl"/>
        </w:rPr>
        <w:t>i</w:t>
      </w:r>
      <w:r w:rsidRPr="00CF1B34">
        <w:rPr>
          <w:rFonts w:ascii="Arial" w:hAnsi="Arial" w:cs="Arial"/>
          <w:color w:val="000000" w:themeColor="text1"/>
          <w:sz w:val="22"/>
          <w:szCs w:val="22"/>
          <w:lang w:val="es-ES_tradnl"/>
        </w:rPr>
        <w:t>mo, la orden permanece en el sistema hasta la ejecución del resto</w:t>
      </w:r>
      <w:r w:rsidR="003C6783" w:rsidRPr="00CF1B34">
        <w:rPr>
          <w:rFonts w:ascii="Arial" w:hAnsi="Arial" w:cs="Arial"/>
          <w:color w:val="000000" w:themeColor="text1"/>
          <w:sz w:val="22"/>
          <w:szCs w:val="22"/>
          <w:lang w:val="es-ES_tradnl"/>
        </w:rPr>
        <w:t>, si bien este resto se podrá negociar por cualquier cantidad de títulos.</w:t>
      </w:r>
    </w:p>
    <w:p w14:paraId="0A9D66EB" w14:textId="330D4C65"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de ejecutar o anular</w:t>
      </w:r>
    </w:p>
    <w:p w14:paraId="5381E91C" w14:textId="7029B50A"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Orden bursátil que se ejecuta de forma instantánea por la cantidad que resulte posible, según los precios del mercado; el sistema rechaza el resto del volumen de la orden. Ver</w:t>
      </w:r>
      <w:r w:rsidR="002A0322" w:rsidRPr="00CF1B34">
        <w:rPr>
          <w:rFonts w:ascii="Arial" w:hAnsi="Arial" w:cs="Arial"/>
          <w:color w:val="212529"/>
          <w:sz w:val="22"/>
          <w:szCs w:val="22"/>
          <w:lang w:val="es-ES_tradnl"/>
        </w:rPr>
        <w:t xml:space="preserve"> </w:t>
      </w:r>
      <w:hyperlink r:id="rId297" w:tgtFrame="_self" w:history="1">
        <w:r w:rsidRPr="00CF1B34">
          <w:rPr>
            <w:rFonts w:ascii="Arial" w:hAnsi="Arial" w:cs="Arial"/>
            <w:b/>
            <w:bCs/>
            <w:color w:val="2F5496" w:themeColor="accent1" w:themeShade="BF"/>
            <w:sz w:val="22"/>
            <w:szCs w:val="22"/>
            <w:u w:val="single"/>
            <w:lang w:val="es-ES_tradnl"/>
          </w:rPr>
          <w:t>Orden bursátil</w:t>
        </w:r>
      </w:hyperlink>
      <w:r w:rsidRPr="00CF1B34">
        <w:rPr>
          <w:rFonts w:ascii="Arial" w:hAnsi="Arial" w:cs="Arial"/>
          <w:color w:val="2F5496" w:themeColor="accent1" w:themeShade="BF"/>
          <w:sz w:val="22"/>
          <w:szCs w:val="22"/>
          <w:lang w:val="es-ES_tradnl"/>
        </w:rPr>
        <w:t>.</w:t>
      </w:r>
    </w:p>
    <w:p w14:paraId="39D8C9AA"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de mercado</w:t>
      </w:r>
    </w:p>
    <w:p w14:paraId="4CBD4737" w14:textId="7A8EBBCD"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Orden bursátil que se introduce en el sistema sin establecer un precio límite, por lo que se negociarán al mejor precio que ofrezca la parte contraria del mercado, en el momento de la introducción. Son órdenes que implican la aceptación discrecional de cualquier precio como contrapartida. No son aconsejables para aquellos inversores que no puedan </w:t>
      </w:r>
      <w:r w:rsidRPr="00CF1B34">
        <w:rPr>
          <w:rFonts w:ascii="Arial" w:hAnsi="Arial" w:cs="Arial"/>
          <w:color w:val="212529"/>
          <w:sz w:val="22"/>
          <w:szCs w:val="22"/>
          <w:lang w:val="es-ES_tradnl"/>
        </w:rPr>
        <w:lastRenderedPageBreak/>
        <w:t>evaluar los posibles precios de contrapartida, por no disponer de acceso directo al mercado. Ver</w:t>
      </w:r>
      <w:r w:rsidR="002A0322" w:rsidRPr="00CF1B34">
        <w:rPr>
          <w:rFonts w:ascii="Arial" w:hAnsi="Arial" w:cs="Arial"/>
          <w:color w:val="212529"/>
          <w:sz w:val="22"/>
          <w:szCs w:val="22"/>
          <w:lang w:val="es-ES_tradnl"/>
        </w:rPr>
        <w:t xml:space="preserve"> </w:t>
      </w:r>
      <w:hyperlink r:id="rId298" w:tgtFrame="_self" w:history="1">
        <w:r w:rsidRPr="00CF1B34">
          <w:rPr>
            <w:rFonts w:ascii="Arial" w:hAnsi="Arial" w:cs="Arial"/>
            <w:b/>
            <w:bCs/>
            <w:color w:val="2F5496" w:themeColor="accent1" w:themeShade="BF"/>
            <w:sz w:val="22"/>
            <w:szCs w:val="22"/>
            <w:u w:val="single"/>
            <w:lang w:val="es-ES_tradnl"/>
          </w:rPr>
          <w:t>Orden bursátil</w:t>
        </w:r>
      </w:hyperlink>
      <w:r w:rsidRPr="00CF1B34">
        <w:rPr>
          <w:rFonts w:ascii="Arial" w:hAnsi="Arial" w:cs="Arial"/>
          <w:color w:val="2F5496" w:themeColor="accent1" w:themeShade="BF"/>
          <w:sz w:val="22"/>
          <w:szCs w:val="22"/>
          <w:lang w:val="es-ES_tradnl"/>
        </w:rPr>
        <w:t>.</w:t>
      </w:r>
    </w:p>
    <w:p w14:paraId="1461D543"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de todo o nada</w:t>
      </w:r>
    </w:p>
    <w:p w14:paraId="083F1B5F" w14:textId="12D233B4"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Orden bursátil que debe ejecutarse en su totalidad; en caso contrario, es rechazada por el sistema. Es decir, se trata de una orden con volumen mínimo (ver concepto), en la que dicho volumen es igual al total de la orden. </w:t>
      </w:r>
      <w:r w:rsidRPr="00CF1B34">
        <w:rPr>
          <w:rFonts w:ascii="Arial" w:hAnsi="Arial" w:cs="Arial"/>
          <w:color w:val="2F5496" w:themeColor="accent1" w:themeShade="BF"/>
          <w:sz w:val="22"/>
          <w:szCs w:val="22"/>
          <w:lang w:val="es-ES_tradnl"/>
        </w:rPr>
        <w:t>Ver</w:t>
      </w:r>
      <w:r w:rsidR="002A0322" w:rsidRPr="00CF1B34">
        <w:rPr>
          <w:rFonts w:ascii="Arial" w:hAnsi="Arial" w:cs="Arial"/>
          <w:color w:val="2F5496" w:themeColor="accent1" w:themeShade="BF"/>
          <w:sz w:val="22"/>
          <w:szCs w:val="22"/>
          <w:lang w:val="es-ES_tradnl"/>
        </w:rPr>
        <w:t xml:space="preserve"> </w:t>
      </w:r>
      <w:hyperlink r:id="rId299" w:tgtFrame="_self" w:history="1">
        <w:r w:rsidRPr="00CF1B34">
          <w:rPr>
            <w:rFonts w:ascii="Arial" w:hAnsi="Arial" w:cs="Arial"/>
            <w:b/>
            <w:bCs/>
            <w:color w:val="2F5496" w:themeColor="accent1" w:themeShade="BF"/>
            <w:sz w:val="22"/>
            <w:szCs w:val="22"/>
            <w:u w:val="single"/>
            <w:lang w:val="es-ES_tradnl"/>
          </w:rPr>
          <w:t>Orden bursátil</w:t>
        </w:r>
      </w:hyperlink>
      <w:r w:rsidRPr="00CF1B34">
        <w:rPr>
          <w:rFonts w:ascii="Arial" w:hAnsi="Arial" w:cs="Arial"/>
          <w:color w:val="212529"/>
          <w:sz w:val="22"/>
          <w:szCs w:val="22"/>
          <w:lang w:val="es-ES_tradnl"/>
        </w:rPr>
        <w:t>.</w:t>
      </w:r>
    </w:p>
    <w:p w14:paraId="7809CF8B"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limitada</w:t>
      </w:r>
    </w:p>
    <w:p w14:paraId="2B6C0501" w14:textId="6154ABDC"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una orden bursátil que se introduce en el sistema con un precio límite, de manera que una propuesta de compra no se puede realizar por encima del mismo, ni una propuesta de venta por debajo. Se ejecutan de forma inmediata, si se encuentra contrapartida a ese precio o mejor. Ver</w:t>
      </w:r>
      <w:r w:rsidR="002A0322" w:rsidRPr="00CF1B34">
        <w:rPr>
          <w:rFonts w:ascii="Arial" w:hAnsi="Arial" w:cs="Arial"/>
          <w:color w:val="212529"/>
          <w:sz w:val="22"/>
          <w:szCs w:val="22"/>
          <w:lang w:val="es-ES_tradnl"/>
        </w:rPr>
        <w:t xml:space="preserve"> </w:t>
      </w:r>
      <w:hyperlink r:id="rId300" w:tgtFrame="_self" w:history="1">
        <w:r w:rsidRPr="00CF1B34">
          <w:rPr>
            <w:rFonts w:ascii="Arial" w:hAnsi="Arial" w:cs="Arial"/>
            <w:b/>
            <w:bCs/>
            <w:color w:val="2F5496" w:themeColor="accent1" w:themeShade="BF"/>
            <w:sz w:val="22"/>
            <w:szCs w:val="22"/>
            <w:u w:val="single"/>
            <w:lang w:val="es-ES_tradnl"/>
          </w:rPr>
          <w:t>Orden bursátil</w:t>
        </w:r>
      </w:hyperlink>
      <w:r w:rsidRPr="00CF1B34">
        <w:rPr>
          <w:rFonts w:ascii="Arial" w:hAnsi="Arial" w:cs="Arial"/>
          <w:color w:val="212529"/>
          <w:sz w:val="22"/>
          <w:szCs w:val="22"/>
          <w:lang w:val="es-ES_tradnl"/>
        </w:rPr>
        <w:t>.</w:t>
      </w:r>
    </w:p>
    <w:p w14:paraId="2439352B" w14:textId="2F973EE0" w:rsidR="00B73555" w:rsidRPr="00CF1B34" w:rsidRDefault="00B7355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Orden mantenida </w:t>
      </w:r>
    </w:p>
    <w:p w14:paraId="3928394D" w14:textId="77777777" w:rsidR="00DD1B7F" w:rsidRPr="00CF1B34" w:rsidRDefault="00DD1B7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aquella orden bursátil que, aceptando ser ejecutada en el dia de su introducción al máximo de variación permitido, desea posicionarse para el dia siguiente, por la parte no ejecutada, a un precio que no exceda de la variación máxima permitida para ese dia. Normalmente se utiliza en aquellos valores en los que la contratación esta “estrangulada” por registrar variaciones del 15 por 1000 en su precio.</w:t>
      </w:r>
    </w:p>
    <w:p w14:paraId="5AE21B0F" w14:textId="47854588" w:rsidR="00B73555" w:rsidRPr="00CF1B34" w:rsidRDefault="00B7355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On Stop</w:t>
      </w:r>
    </w:p>
    <w:p w14:paraId="37D78A88" w14:textId="77777777" w:rsidR="00795922" w:rsidRPr="00CF1B34" w:rsidRDefault="00DD1B7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 aquella orden que condiciona su entrada al Sistema a que se ejecute alguna operación al precio propuesto por la misma, o por encima de un determinado nivel si es de compra, o por debajo de un determinado nivel si es de venta. Podra ser limitada al precio </w:t>
      </w:r>
      <w:r w:rsidR="00795922" w:rsidRPr="00CF1B34">
        <w:rPr>
          <w:rFonts w:ascii="Arial" w:hAnsi="Arial" w:cs="Arial"/>
          <w:color w:val="000000" w:themeColor="text1"/>
          <w:sz w:val="22"/>
          <w:szCs w:val="22"/>
          <w:lang w:val="es-ES_tradnl"/>
        </w:rPr>
        <w:t>fijado por el operador o a un intervalo de precios entre el citado y otro minimo para la venta o máximo para la compra.</w:t>
      </w:r>
    </w:p>
    <w:p w14:paraId="6A08B46D" w14:textId="0DFB1750"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Orden por lo mejor</w:t>
      </w:r>
    </w:p>
    <w:p w14:paraId="6AFEBB39" w14:textId="4DD249E6"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Orden bursátil que se introduce en el sistema sin señalar precio, por lo que se negocia al mejor precio de contrapartida en el momento de la introducción. La particularidad respecto a la orden de mercado (ver concepto) es que, si al mejor precio no hay volumen suficiente para atender la totalidad de la orden, la parte no satisfecha queda limitada a ese precio; es decir, no podrá cruzarse a otro más desfavorable. Ve</w:t>
      </w:r>
      <w:r w:rsidR="002A0322" w:rsidRPr="00CF1B34">
        <w:rPr>
          <w:rFonts w:ascii="Arial" w:hAnsi="Arial" w:cs="Arial"/>
          <w:color w:val="212529"/>
          <w:sz w:val="22"/>
          <w:szCs w:val="22"/>
          <w:lang w:val="es-ES_tradnl"/>
        </w:rPr>
        <w:t xml:space="preserve"> </w:t>
      </w:r>
      <w:hyperlink r:id="rId301" w:tgtFrame="_self" w:history="1">
        <w:r w:rsidRPr="00CF1B34">
          <w:rPr>
            <w:rFonts w:ascii="Arial" w:hAnsi="Arial" w:cs="Arial"/>
            <w:b/>
            <w:bCs/>
            <w:color w:val="2F5496" w:themeColor="accent1" w:themeShade="BF"/>
            <w:sz w:val="22"/>
            <w:szCs w:val="22"/>
            <w:u w:val="single"/>
            <w:lang w:val="es-ES_tradnl"/>
          </w:rPr>
          <w:t>Orden bursátil</w:t>
        </w:r>
      </w:hyperlink>
      <w:r w:rsidRPr="00CF1B34">
        <w:rPr>
          <w:rFonts w:ascii="Arial" w:hAnsi="Arial" w:cs="Arial"/>
          <w:color w:val="2F5496" w:themeColor="accent1" w:themeShade="BF"/>
          <w:sz w:val="22"/>
          <w:szCs w:val="22"/>
          <w:lang w:val="es-ES_tradnl"/>
        </w:rPr>
        <w:t>.</w:t>
      </w:r>
    </w:p>
    <w:p w14:paraId="4F7FCE4E" w14:textId="6E509B72" w:rsidR="00562DB3" w:rsidRDefault="00562DB3" w:rsidP="0005621A">
      <w:pPr>
        <w:jc w:val="both"/>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Ordenes condicionadas en bolsa</w:t>
      </w:r>
    </w:p>
    <w:p w14:paraId="56E24250" w14:textId="77777777" w:rsidR="00562DB3" w:rsidRPr="00562DB3" w:rsidRDefault="00562DB3" w:rsidP="0005621A">
      <w:pPr>
        <w:shd w:val="clear" w:color="auto" w:fill="FFFFFF"/>
        <w:spacing w:afterAutospacing="1"/>
        <w:ind w:left="708"/>
        <w:jc w:val="both"/>
        <w:rPr>
          <w:rFonts w:ascii="Arial" w:hAnsi="Arial" w:cs="Arial"/>
          <w:color w:val="000000"/>
          <w:sz w:val="22"/>
          <w:szCs w:val="22"/>
        </w:rPr>
      </w:pPr>
      <w:r w:rsidRPr="00562DB3">
        <w:rPr>
          <w:rFonts w:ascii="Arial" w:hAnsi="Arial" w:cs="Arial"/>
          <w:color w:val="000000"/>
          <w:sz w:val="22"/>
          <w:szCs w:val="22"/>
        </w:rPr>
        <w:t>Las órdenes condicionadas en bolsa son </w:t>
      </w:r>
      <w:r w:rsidRPr="00562DB3">
        <w:rPr>
          <w:rFonts w:ascii="Arial" w:hAnsi="Arial" w:cs="Arial"/>
          <w:b/>
          <w:bCs/>
          <w:color w:val="000000"/>
          <w:sz w:val="22"/>
          <w:szCs w:val="22"/>
        </w:rPr>
        <w:t>instrucciones que los inversores dan a sus corredores de bolsa para comprar o vender valores financieros solo si ciertas condiciones se cumplen</w:t>
      </w:r>
      <w:r w:rsidRPr="00562DB3">
        <w:rPr>
          <w:rFonts w:ascii="Arial" w:hAnsi="Arial" w:cs="Arial"/>
          <w:color w:val="000000"/>
          <w:sz w:val="22"/>
          <w:szCs w:val="22"/>
        </w:rPr>
        <w:t>. Estas condiciones pueden ser de tipo precio, volumen o fecha.</w:t>
      </w:r>
    </w:p>
    <w:p w14:paraId="4116CE81" w14:textId="77777777" w:rsidR="00562DB3" w:rsidRPr="00562DB3" w:rsidRDefault="00562DB3" w:rsidP="004F7A62">
      <w:pPr>
        <w:numPr>
          <w:ilvl w:val="0"/>
          <w:numId w:val="225"/>
        </w:numPr>
        <w:shd w:val="clear" w:color="auto" w:fill="FFFFFF"/>
        <w:spacing w:afterAutospacing="1"/>
        <w:jc w:val="both"/>
        <w:rPr>
          <w:rFonts w:ascii="Arial" w:hAnsi="Arial" w:cs="Arial"/>
          <w:color w:val="000000"/>
          <w:sz w:val="22"/>
          <w:szCs w:val="22"/>
        </w:rPr>
      </w:pPr>
      <w:r w:rsidRPr="00562DB3">
        <w:rPr>
          <w:rFonts w:ascii="Arial" w:hAnsi="Arial" w:cs="Arial"/>
          <w:b/>
          <w:bCs/>
          <w:color w:val="000000"/>
          <w:sz w:val="22"/>
          <w:szCs w:val="22"/>
        </w:rPr>
        <w:t>Orden Limitada</w:t>
      </w:r>
      <w:r w:rsidRPr="00562DB3">
        <w:rPr>
          <w:rFonts w:ascii="Arial" w:hAnsi="Arial" w:cs="Arial"/>
          <w:color w:val="000000"/>
          <w:sz w:val="22"/>
          <w:szCs w:val="22"/>
        </w:rPr>
        <w:t>: se establece un precio máximo para la compra o un precio mínimo para la venta. La orden solo se ejecutará si el precio de mercado alcanza el nivel establecido.</w:t>
      </w:r>
    </w:p>
    <w:p w14:paraId="22FD03BB" w14:textId="77777777" w:rsidR="00562DB3" w:rsidRPr="00562DB3" w:rsidRDefault="00562DB3" w:rsidP="004F7A62">
      <w:pPr>
        <w:numPr>
          <w:ilvl w:val="0"/>
          <w:numId w:val="225"/>
        </w:numPr>
        <w:shd w:val="clear" w:color="auto" w:fill="FFFFFF"/>
        <w:spacing w:beforeAutospacing="1" w:afterAutospacing="1"/>
        <w:jc w:val="both"/>
        <w:rPr>
          <w:rFonts w:ascii="Arial" w:hAnsi="Arial" w:cs="Arial"/>
          <w:color w:val="000000"/>
          <w:sz w:val="22"/>
          <w:szCs w:val="22"/>
        </w:rPr>
      </w:pPr>
      <w:r w:rsidRPr="00562DB3">
        <w:rPr>
          <w:rFonts w:ascii="Arial" w:hAnsi="Arial" w:cs="Arial"/>
          <w:b/>
          <w:bCs/>
          <w:color w:val="000000"/>
          <w:sz w:val="22"/>
          <w:szCs w:val="22"/>
        </w:rPr>
        <w:t>Pre Market Limit</w:t>
      </w:r>
      <w:r w:rsidRPr="00562DB3">
        <w:rPr>
          <w:rFonts w:ascii="Arial" w:hAnsi="Arial" w:cs="Arial"/>
          <w:color w:val="000000"/>
          <w:sz w:val="22"/>
          <w:szCs w:val="22"/>
        </w:rPr>
        <w:t>: una orden avanzada que se ejecuta antes del mercado regular, con un precio máximo o mínimo establecido.</w:t>
      </w:r>
    </w:p>
    <w:p w14:paraId="5F84E0BE" w14:textId="77777777" w:rsidR="00562DB3" w:rsidRPr="00562DB3" w:rsidRDefault="00562DB3" w:rsidP="004F7A62">
      <w:pPr>
        <w:numPr>
          <w:ilvl w:val="0"/>
          <w:numId w:val="225"/>
        </w:numPr>
        <w:shd w:val="clear" w:color="auto" w:fill="FFFFFF"/>
        <w:spacing w:beforeAutospacing="1" w:afterAutospacing="1"/>
        <w:jc w:val="both"/>
        <w:rPr>
          <w:rFonts w:ascii="Arial" w:hAnsi="Arial" w:cs="Arial"/>
          <w:color w:val="000000"/>
          <w:sz w:val="22"/>
          <w:szCs w:val="22"/>
        </w:rPr>
      </w:pPr>
      <w:r w:rsidRPr="00562DB3">
        <w:rPr>
          <w:rFonts w:ascii="Arial" w:hAnsi="Arial" w:cs="Arial"/>
          <w:b/>
          <w:bCs/>
          <w:color w:val="000000"/>
          <w:sz w:val="22"/>
          <w:szCs w:val="22"/>
        </w:rPr>
        <w:t>Iceberg</w:t>
      </w:r>
      <w:r w:rsidRPr="00562DB3">
        <w:rPr>
          <w:rFonts w:ascii="Arial" w:hAnsi="Arial" w:cs="Arial"/>
          <w:color w:val="000000"/>
          <w:sz w:val="22"/>
          <w:szCs w:val="22"/>
        </w:rPr>
        <w:t>: una orden avanzada que oculta la cantidad total de acciones que se desean comprar o vender, revelando solo pequeñas cantidades a la vez.</w:t>
      </w:r>
    </w:p>
    <w:p w14:paraId="07AEC1A1" w14:textId="77777777" w:rsidR="00562DB3" w:rsidRPr="00562DB3" w:rsidRDefault="00562DB3" w:rsidP="004F7A62">
      <w:pPr>
        <w:numPr>
          <w:ilvl w:val="0"/>
          <w:numId w:val="225"/>
        </w:numPr>
        <w:shd w:val="clear" w:color="auto" w:fill="FFFFFF"/>
        <w:spacing w:beforeAutospacing="1" w:afterAutospacing="1"/>
        <w:jc w:val="both"/>
        <w:rPr>
          <w:rFonts w:ascii="Arial" w:hAnsi="Arial" w:cs="Arial"/>
          <w:color w:val="000000"/>
          <w:sz w:val="22"/>
          <w:szCs w:val="22"/>
        </w:rPr>
      </w:pPr>
      <w:r w:rsidRPr="00562DB3">
        <w:rPr>
          <w:rFonts w:ascii="Arial" w:hAnsi="Arial" w:cs="Arial"/>
          <w:b/>
          <w:bCs/>
          <w:color w:val="000000"/>
          <w:sz w:val="22"/>
          <w:szCs w:val="22"/>
        </w:rPr>
        <w:t>VWAP (Valor Weighted Average Price)</w:t>
      </w:r>
      <w:r w:rsidRPr="00562DB3">
        <w:rPr>
          <w:rFonts w:ascii="Arial" w:hAnsi="Arial" w:cs="Arial"/>
          <w:color w:val="000000"/>
          <w:sz w:val="22"/>
          <w:szCs w:val="22"/>
        </w:rPr>
        <w:t>: una orden que se ejecuta al precio promedio ponderado del valor en el momento en que se cumple la condición.</w:t>
      </w:r>
    </w:p>
    <w:p w14:paraId="5646E07B" w14:textId="77777777" w:rsidR="00562DB3" w:rsidRPr="00562DB3" w:rsidRDefault="00562DB3" w:rsidP="004F7A62">
      <w:pPr>
        <w:numPr>
          <w:ilvl w:val="0"/>
          <w:numId w:val="225"/>
        </w:numPr>
        <w:shd w:val="clear" w:color="auto" w:fill="FFFFFF"/>
        <w:spacing w:beforeAutospacing="1" w:afterAutospacing="1"/>
        <w:jc w:val="both"/>
        <w:rPr>
          <w:rFonts w:ascii="Arial" w:hAnsi="Arial" w:cs="Arial"/>
          <w:color w:val="000000"/>
          <w:sz w:val="22"/>
          <w:szCs w:val="22"/>
        </w:rPr>
      </w:pPr>
      <w:r w:rsidRPr="00562DB3">
        <w:rPr>
          <w:rFonts w:ascii="Arial" w:hAnsi="Arial" w:cs="Arial"/>
          <w:b/>
          <w:bCs/>
          <w:color w:val="000000"/>
          <w:sz w:val="22"/>
          <w:szCs w:val="22"/>
        </w:rPr>
        <w:lastRenderedPageBreak/>
        <w:t>Implementation Shortfall</w:t>
      </w:r>
      <w:r w:rsidRPr="00562DB3">
        <w:rPr>
          <w:rFonts w:ascii="Arial" w:hAnsi="Arial" w:cs="Arial"/>
          <w:color w:val="000000"/>
          <w:sz w:val="22"/>
          <w:szCs w:val="22"/>
        </w:rPr>
        <w:t>: una orden que se ejecuta cuando la diferencia entre el precio de mercado y el precio objetivo es menor que un umbral establecido.</w:t>
      </w:r>
    </w:p>
    <w:p w14:paraId="781EA1DA" w14:textId="77777777" w:rsidR="00562DB3" w:rsidRPr="00562DB3" w:rsidRDefault="00562DB3" w:rsidP="004F7A62">
      <w:pPr>
        <w:numPr>
          <w:ilvl w:val="0"/>
          <w:numId w:val="225"/>
        </w:numPr>
        <w:shd w:val="clear" w:color="auto" w:fill="FFFFFF"/>
        <w:spacing w:beforeAutospacing="1" w:afterAutospacing="1"/>
        <w:jc w:val="both"/>
        <w:rPr>
          <w:rFonts w:ascii="Arial" w:hAnsi="Arial" w:cs="Arial"/>
          <w:color w:val="000000"/>
          <w:sz w:val="22"/>
          <w:szCs w:val="22"/>
        </w:rPr>
      </w:pPr>
      <w:r w:rsidRPr="00562DB3">
        <w:rPr>
          <w:rFonts w:ascii="Arial" w:hAnsi="Arial" w:cs="Arial"/>
          <w:b/>
          <w:bCs/>
          <w:color w:val="000000"/>
          <w:sz w:val="22"/>
          <w:szCs w:val="22"/>
        </w:rPr>
        <w:t>Liquidity Seeking</w:t>
      </w:r>
      <w:r w:rsidRPr="00562DB3">
        <w:rPr>
          <w:rFonts w:ascii="Arial" w:hAnsi="Arial" w:cs="Arial"/>
          <w:color w:val="000000"/>
          <w:sz w:val="22"/>
          <w:szCs w:val="22"/>
        </w:rPr>
        <w:t>: una orden que busca ejecutarse en momentos de alta liquidez en el mercado.</w:t>
      </w:r>
    </w:p>
    <w:p w14:paraId="4A3419DC" w14:textId="77777777" w:rsidR="00562DB3" w:rsidRPr="00562DB3" w:rsidRDefault="00562DB3" w:rsidP="004F7A62">
      <w:pPr>
        <w:numPr>
          <w:ilvl w:val="0"/>
          <w:numId w:val="225"/>
        </w:numPr>
        <w:shd w:val="clear" w:color="auto" w:fill="FFFFFF"/>
        <w:spacing w:beforeAutospacing="1" w:afterAutospacing="1"/>
        <w:jc w:val="both"/>
        <w:rPr>
          <w:rFonts w:ascii="Arial" w:hAnsi="Arial" w:cs="Arial"/>
          <w:color w:val="000000"/>
          <w:sz w:val="22"/>
          <w:szCs w:val="22"/>
        </w:rPr>
      </w:pPr>
      <w:r w:rsidRPr="00562DB3">
        <w:rPr>
          <w:rFonts w:ascii="Arial" w:hAnsi="Arial" w:cs="Arial"/>
          <w:b/>
          <w:bCs/>
          <w:color w:val="000000"/>
          <w:sz w:val="22"/>
          <w:szCs w:val="22"/>
        </w:rPr>
        <w:t>Reload</w:t>
      </w:r>
      <w:r w:rsidRPr="00562DB3">
        <w:rPr>
          <w:rFonts w:ascii="Arial" w:hAnsi="Arial" w:cs="Arial"/>
          <w:color w:val="000000"/>
          <w:sz w:val="22"/>
          <w:szCs w:val="22"/>
        </w:rPr>
        <w:t>: una orden que se ejecuta cuando la cantidad de acciones compradas o vendidas alcanza un umbral establecido.</w:t>
      </w:r>
    </w:p>
    <w:p w14:paraId="4BD0FBE4" w14:textId="77777777" w:rsidR="00562DB3" w:rsidRPr="00562DB3" w:rsidRDefault="00562DB3" w:rsidP="004F7A62">
      <w:pPr>
        <w:numPr>
          <w:ilvl w:val="0"/>
          <w:numId w:val="225"/>
        </w:numPr>
        <w:shd w:val="clear" w:color="auto" w:fill="FFFFFF"/>
        <w:spacing w:beforeAutospacing="1" w:afterAutospacing="1"/>
        <w:jc w:val="both"/>
        <w:rPr>
          <w:rFonts w:ascii="Arial" w:hAnsi="Arial" w:cs="Arial"/>
          <w:color w:val="000000"/>
          <w:sz w:val="22"/>
          <w:szCs w:val="22"/>
        </w:rPr>
      </w:pPr>
      <w:r w:rsidRPr="00562DB3">
        <w:rPr>
          <w:rFonts w:ascii="Arial" w:hAnsi="Arial" w:cs="Arial"/>
          <w:b/>
          <w:bCs/>
          <w:color w:val="000000"/>
          <w:sz w:val="22"/>
          <w:szCs w:val="22"/>
        </w:rPr>
        <w:t>PEG (Percentage of Earnings Growth)</w:t>
      </w:r>
      <w:r w:rsidRPr="00562DB3">
        <w:rPr>
          <w:rFonts w:ascii="Arial" w:hAnsi="Arial" w:cs="Arial"/>
          <w:color w:val="000000"/>
          <w:sz w:val="22"/>
          <w:szCs w:val="22"/>
        </w:rPr>
        <w:t>: una orden que se ajusta automáticamente según el crecimiento de las ganancias de la empresa.</w:t>
      </w:r>
    </w:p>
    <w:p w14:paraId="2B5C340B" w14:textId="77777777" w:rsidR="00562DB3" w:rsidRPr="00562DB3" w:rsidRDefault="00562DB3" w:rsidP="004F7A62">
      <w:pPr>
        <w:numPr>
          <w:ilvl w:val="0"/>
          <w:numId w:val="225"/>
        </w:numPr>
        <w:shd w:val="clear" w:color="auto" w:fill="FFFFFF"/>
        <w:spacing w:beforeAutospacing="1"/>
        <w:jc w:val="both"/>
        <w:rPr>
          <w:rFonts w:ascii="Arial" w:hAnsi="Arial" w:cs="Arial"/>
          <w:color w:val="000000"/>
          <w:sz w:val="22"/>
          <w:szCs w:val="22"/>
        </w:rPr>
      </w:pPr>
      <w:r w:rsidRPr="00562DB3">
        <w:rPr>
          <w:rFonts w:ascii="Arial" w:hAnsi="Arial" w:cs="Arial"/>
          <w:b/>
          <w:bCs/>
          <w:color w:val="000000"/>
          <w:sz w:val="22"/>
          <w:szCs w:val="22"/>
        </w:rPr>
        <w:t>Dark</w:t>
      </w:r>
      <w:r w:rsidRPr="00562DB3">
        <w:rPr>
          <w:rFonts w:ascii="Arial" w:hAnsi="Arial" w:cs="Arial"/>
          <w:color w:val="000000"/>
          <w:sz w:val="22"/>
          <w:szCs w:val="22"/>
        </w:rPr>
        <w:t>: una orden que se ejecuta fuera del mercado regular, sin revelar la identidad del inversor ni la cantidad de acciones compradas o vendidas.</w:t>
      </w:r>
    </w:p>
    <w:p w14:paraId="61C666F4" w14:textId="77777777" w:rsidR="00562DB3" w:rsidRPr="00CF1B34" w:rsidRDefault="00562DB3" w:rsidP="0005621A">
      <w:pPr>
        <w:pBdr>
          <w:bottom w:val="dotted" w:sz="12" w:space="12" w:color="666666"/>
        </w:pBdr>
        <w:spacing w:after="240"/>
        <w:ind w:left="720"/>
        <w:jc w:val="both"/>
        <w:rPr>
          <w:rFonts w:ascii="Arial" w:hAnsi="Arial" w:cs="Arial"/>
          <w:color w:val="212529"/>
          <w:sz w:val="22"/>
          <w:szCs w:val="22"/>
          <w:lang w:val="es-ES_tradnl"/>
        </w:rPr>
      </w:pPr>
      <w:r w:rsidRPr="00562DB3">
        <w:rPr>
          <w:rFonts w:ascii="Arial" w:hAnsi="Arial" w:cs="Arial"/>
          <w:color w:val="000000"/>
          <w:sz w:val="22"/>
          <w:szCs w:val="22"/>
        </w:rPr>
        <w:t>Estas órdenes condicionadas permiten a los inversores gestionar mejor sus riesgos y alcanzar objetivos específicos en el mercado de valores.</w:t>
      </w:r>
    </w:p>
    <w:p w14:paraId="60BEDA06" w14:textId="037DBF24" w:rsidR="00696A3C" w:rsidRPr="00CF1B34" w:rsidRDefault="00B73555"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Oscilador de Medias M</w:t>
      </w:r>
      <w:r w:rsidR="00562DB3">
        <w:rPr>
          <w:rFonts w:ascii="Arial" w:hAnsi="Arial" w:cs="Arial"/>
          <w:b/>
          <w:bCs/>
          <w:color w:val="2F5496" w:themeColor="accent1" w:themeShade="BF"/>
          <w:sz w:val="22"/>
          <w:szCs w:val="22"/>
          <w:lang w:val="es-ES_tradnl"/>
        </w:rPr>
        <w:t>ó</w:t>
      </w:r>
      <w:r w:rsidRPr="00CF1B34">
        <w:rPr>
          <w:rFonts w:ascii="Arial" w:hAnsi="Arial" w:cs="Arial"/>
          <w:b/>
          <w:bCs/>
          <w:color w:val="2F5496" w:themeColor="accent1" w:themeShade="BF"/>
          <w:sz w:val="22"/>
          <w:szCs w:val="22"/>
          <w:lang w:val="es-ES_tradnl"/>
        </w:rPr>
        <w:t>viles</w:t>
      </w:r>
      <w:r w:rsidR="00D0661A" w:rsidRPr="00CF1B34">
        <w:rPr>
          <w:rFonts w:ascii="Arial" w:hAnsi="Arial" w:cs="Arial"/>
          <w:b/>
          <w:bCs/>
          <w:color w:val="2F5496" w:themeColor="accent1" w:themeShade="BF"/>
          <w:sz w:val="22"/>
          <w:szCs w:val="22"/>
          <w:lang w:val="es-ES_tradnl"/>
        </w:rPr>
        <w:t xml:space="preserve"> </w:t>
      </w:r>
    </w:p>
    <w:p w14:paraId="6C5B7A33" w14:textId="0F8CE041" w:rsidR="00D94260" w:rsidRPr="00CF1B34" w:rsidRDefault="003C678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Oscilador que consiste en dos medias e</w:t>
      </w:r>
      <w:r w:rsidR="00562DB3">
        <w:rPr>
          <w:rFonts w:ascii="Arial" w:hAnsi="Arial" w:cs="Arial"/>
          <w:color w:val="000000" w:themeColor="text1"/>
          <w:sz w:val="22"/>
          <w:szCs w:val="22"/>
          <w:lang w:val="es-ES_tradnl"/>
        </w:rPr>
        <w:t>x</w:t>
      </w:r>
      <w:r w:rsidRPr="00CF1B34">
        <w:rPr>
          <w:rFonts w:ascii="Arial" w:hAnsi="Arial" w:cs="Arial"/>
          <w:color w:val="000000" w:themeColor="text1"/>
          <w:sz w:val="22"/>
          <w:szCs w:val="22"/>
          <w:lang w:val="es-ES_tradnl"/>
        </w:rPr>
        <w:t>ponenc</w:t>
      </w:r>
      <w:r w:rsidR="00562DB3">
        <w:rPr>
          <w:rFonts w:ascii="Arial" w:hAnsi="Arial" w:cs="Arial"/>
          <w:color w:val="000000" w:themeColor="text1"/>
          <w:sz w:val="22"/>
          <w:szCs w:val="22"/>
          <w:lang w:val="es-ES_tradnl"/>
        </w:rPr>
        <w:t>i</w:t>
      </w:r>
      <w:r w:rsidRPr="00CF1B34">
        <w:rPr>
          <w:rFonts w:ascii="Arial" w:hAnsi="Arial" w:cs="Arial"/>
          <w:color w:val="000000" w:themeColor="text1"/>
          <w:sz w:val="22"/>
          <w:szCs w:val="22"/>
          <w:lang w:val="es-ES_tradnl"/>
        </w:rPr>
        <w:t>ales que giran en torno a la línea del 0. Estas dos líneas se denominan MACD (moving av</w:t>
      </w:r>
      <w:r w:rsidR="00562DB3">
        <w:rPr>
          <w:rFonts w:ascii="Arial" w:hAnsi="Arial" w:cs="Arial"/>
          <w:color w:val="000000" w:themeColor="text1"/>
          <w:sz w:val="22"/>
          <w:szCs w:val="22"/>
          <w:lang w:val="es-ES_tradnl"/>
        </w:rPr>
        <w:t>e</w:t>
      </w:r>
      <w:r w:rsidRPr="00CF1B34">
        <w:rPr>
          <w:rFonts w:ascii="Arial" w:hAnsi="Arial" w:cs="Arial"/>
          <w:color w:val="000000" w:themeColor="text1"/>
          <w:sz w:val="22"/>
          <w:szCs w:val="22"/>
          <w:lang w:val="es-ES_tradnl"/>
        </w:rPr>
        <w:t>rage converge divergence) y. Signal. La línea MACD no es mas que la diferencia entre una media e</w:t>
      </w:r>
      <w:r w:rsidR="00D94260" w:rsidRPr="00CF1B34">
        <w:rPr>
          <w:rFonts w:ascii="Arial" w:hAnsi="Arial" w:cs="Arial"/>
          <w:color w:val="000000" w:themeColor="text1"/>
          <w:sz w:val="22"/>
          <w:szCs w:val="22"/>
          <w:lang w:val="es-ES_tradnl"/>
        </w:rPr>
        <w:t>x</w:t>
      </w:r>
      <w:r w:rsidRPr="00CF1B34">
        <w:rPr>
          <w:rFonts w:ascii="Arial" w:hAnsi="Arial" w:cs="Arial"/>
          <w:color w:val="000000" w:themeColor="text1"/>
          <w:sz w:val="22"/>
          <w:szCs w:val="22"/>
          <w:lang w:val="es-ES_tradnl"/>
        </w:rPr>
        <w:t>ponencial larga y una</w:t>
      </w:r>
      <w:r w:rsidR="00970AF9" w:rsidRPr="00CF1B34">
        <w:rPr>
          <w:rFonts w:ascii="Arial" w:hAnsi="Arial" w:cs="Arial"/>
          <w:color w:val="000000" w:themeColor="text1"/>
          <w:sz w:val="22"/>
          <w:szCs w:val="22"/>
          <w:lang w:val="es-ES_tradnl"/>
        </w:rPr>
        <w:t xml:space="preserve"> media exponencial corta, es decir, aporta información sobre la evolución de un valor a medio y largo plazo. La línea Signal no es mas que la media exponencial de la línea MACD, aportando información sobre el comportamiento de esta línea en el corto pl</w:t>
      </w:r>
      <w:r w:rsidR="00D94260" w:rsidRPr="00CF1B34">
        <w:rPr>
          <w:rFonts w:ascii="Arial" w:hAnsi="Arial" w:cs="Arial"/>
          <w:color w:val="000000" w:themeColor="text1"/>
          <w:sz w:val="22"/>
          <w:szCs w:val="22"/>
          <w:lang w:val="es-ES_tradnl"/>
        </w:rPr>
        <w:t>a</w:t>
      </w:r>
      <w:r w:rsidR="00970AF9" w:rsidRPr="00CF1B34">
        <w:rPr>
          <w:rFonts w:ascii="Arial" w:hAnsi="Arial" w:cs="Arial"/>
          <w:color w:val="000000" w:themeColor="text1"/>
          <w:sz w:val="22"/>
          <w:szCs w:val="22"/>
          <w:lang w:val="es-ES_tradnl"/>
        </w:rPr>
        <w:t xml:space="preserve">zo. La mayor </w:t>
      </w:r>
      <w:r w:rsidR="00D94260" w:rsidRPr="00CF1B34">
        <w:rPr>
          <w:rFonts w:ascii="Arial" w:hAnsi="Arial" w:cs="Arial"/>
          <w:color w:val="000000" w:themeColor="text1"/>
          <w:sz w:val="22"/>
          <w:szCs w:val="22"/>
          <w:lang w:val="es-ES_tradnl"/>
        </w:rPr>
        <w:t>utilidad de este oscilador es confirmar que la tendencia será alcista o bajista.</w:t>
      </w:r>
    </w:p>
    <w:p w14:paraId="11C85F62" w14:textId="3FBE819D" w:rsidR="00B73555" w:rsidRPr="00CF1B34" w:rsidRDefault="00D0661A"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Osciladores</w:t>
      </w:r>
    </w:p>
    <w:p w14:paraId="6F459283" w14:textId="77777777" w:rsidR="00A25547" w:rsidRPr="00CF1B34" w:rsidRDefault="00D9426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Herramientas utilizadas en el análisis técnico que estudian como puede reaccionar el mercado cuando esta inmerso en una tendencia lateral. Se puede definir como la expresión grafica de la diferencia entre dos conjuntos</w:t>
      </w:r>
      <w:r w:rsidR="00A25547" w:rsidRPr="00CF1B34">
        <w:rPr>
          <w:rFonts w:ascii="Arial" w:hAnsi="Arial" w:cs="Arial"/>
          <w:color w:val="000000" w:themeColor="text1"/>
          <w:sz w:val="22"/>
          <w:szCs w:val="22"/>
          <w:lang w:val="es-ES_tradnl"/>
        </w:rPr>
        <w:t xml:space="preserve"> de datos que representan la fuerza y la velocidad con que se mueve el precio de un determinado valor.</w:t>
      </w:r>
    </w:p>
    <w:p w14:paraId="0DA32A82" w14:textId="670057EB" w:rsidR="00D0661A" w:rsidRPr="00CF1B34" w:rsidRDefault="00D0661A"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 xml:space="preserve">Osciladores de Momentum </w:t>
      </w:r>
    </w:p>
    <w:p w14:paraId="747C4F28" w14:textId="77777777" w:rsidR="00280BA8" w:rsidRPr="00CF1B34" w:rsidRDefault="00A2554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Oscilador mas básico del análisis técnico que permite medir la variación de los precios existentes entre el precio actual y el precio de “n” periodos.</w:t>
      </w:r>
      <w:r w:rsidR="00280BA8" w:rsidRPr="00CF1B34">
        <w:rPr>
          <w:rFonts w:ascii="Arial" w:hAnsi="Arial" w:cs="Arial"/>
          <w:color w:val="000000" w:themeColor="text1"/>
          <w:sz w:val="22"/>
          <w:szCs w:val="22"/>
          <w:lang w:val="es-ES_tradnl"/>
        </w:rPr>
        <w:t xml:space="preserve"> Pretende medir la “velocidad” de los precios. Su principal ventaja es que se anticipa a los cambios de tendencia en los precios.</w:t>
      </w:r>
    </w:p>
    <w:p w14:paraId="298FF59A" w14:textId="47E44426" w:rsidR="00D0661A" w:rsidRPr="00CF1B34" w:rsidRDefault="00D0661A"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Osciladores Estoc</w:t>
      </w:r>
      <w:r w:rsidR="00D620DD" w:rsidRPr="00CF1B34">
        <w:rPr>
          <w:rFonts w:ascii="Arial" w:hAnsi="Arial" w:cs="Arial"/>
          <w:b/>
          <w:bCs/>
          <w:color w:val="2F5496" w:themeColor="accent1" w:themeShade="BF"/>
          <w:sz w:val="22"/>
          <w:szCs w:val="22"/>
          <w:lang w:val="es-ES_tradnl"/>
        </w:rPr>
        <w:t>á</w:t>
      </w:r>
      <w:r w:rsidRPr="00CF1B34">
        <w:rPr>
          <w:rFonts w:ascii="Arial" w:hAnsi="Arial" w:cs="Arial"/>
          <w:b/>
          <w:bCs/>
          <w:color w:val="2F5496" w:themeColor="accent1" w:themeShade="BF"/>
          <w:sz w:val="22"/>
          <w:szCs w:val="22"/>
          <w:lang w:val="es-ES_tradnl"/>
        </w:rPr>
        <w:t xml:space="preserve">sticos (%K y %D) </w:t>
      </w:r>
    </w:p>
    <w:p w14:paraId="6D27006C" w14:textId="6931DCF4" w:rsidR="00280BA8" w:rsidRPr="00CF1B34" w:rsidRDefault="00280BA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Estos dos osciladores fueron desarrollados por George Lane. Su premisa fundamental que en el desarrollo de una tendencia alcista los precios de cierre tienden a estar cerca de los m</w:t>
      </w:r>
      <w:r w:rsidR="00D620DD"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nimos de la sesión.</w:t>
      </w:r>
    </w:p>
    <w:p w14:paraId="339D2B69" w14:textId="64EE41C5" w:rsidR="00D0661A" w:rsidRPr="00CF1B34" w:rsidRDefault="00D0661A"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 xml:space="preserve">Outright </w:t>
      </w:r>
    </w:p>
    <w:p w14:paraId="6D4487D9" w14:textId="77777777" w:rsidR="00595A91" w:rsidRPr="00CF1B34" w:rsidRDefault="00595A9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Operación a plazo contratada directamente que consta del cambio SPOT (en el momento que se realiza la operación mas/menos los puntos FWD del periodo solicitado)</w:t>
      </w:r>
    </w:p>
    <w:p w14:paraId="77DB3CFA" w14:textId="25FE643A" w:rsidR="00D13778" w:rsidRPr="00D13778" w:rsidRDefault="00D13778" w:rsidP="0005621A">
      <w:pPr>
        <w:jc w:val="both"/>
        <w:rPr>
          <w:rFonts w:ascii="Arial" w:hAnsi="Arial" w:cs="Arial"/>
          <w:b/>
          <w:bCs/>
          <w:color w:val="2F5496" w:themeColor="accent1" w:themeShade="BF"/>
          <w:sz w:val="22"/>
          <w:szCs w:val="22"/>
          <w:lang w:val="es-ES_tradnl"/>
        </w:rPr>
      </w:pPr>
      <w:r w:rsidRPr="00D13778">
        <w:rPr>
          <w:rFonts w:ascii="Arial" w:hAnsi="Arial" w:cs="Arial"/>
          <w:b/>
          <w:bCs/>
          <w:color w:val="2F5496" w:themeColor="accent1" w:themeShade="BF"/>
          <w:sz w:val="22"/>
          <w:szCs w:val="22"/>
          <w:lang w:val="es-ES_tradnl"/>
        </w:rPr>
        <w:t xml:space="preserve">Outsourcing </w:t>
      </w:r>
    </w:p>
    <w:p w14:paraId="4A245BCA" w14:textId="77777777" w:rsidR="00D13778" w:rsidRPr="00697F0A" w:rsidRDefault="00D13778" w:rsidP="0005621A">
      <w:pPr>
        <w:jc w:val="both"/>
        <w:rPr>
          <w:rFonts w:ascii="Arial" w:hAnsi="Arial" w:cs="Arial"/>
          <w:sz w:val="22"/>
          <w:szCs w:val="22"/>
        </w:rPr>
      </w:pPr>
      <w:r w:rsidRPr="00D13778">
        <w:t>El outsourcing se refiere al </w:t>
      </w:r>
      <w:r w:rsidRPr="00D13778">
        <w:rPr>
          <w:b/>
          <w:bCs/>
        </w:rPr>
        <w:t>proceso de subcontratar tareas o áreas de una empresa a proveedores externos</w:t>
      </w:r>
      <w:r w:rsidRPr="00D13778">
        <w:t>. Esta estrategia empresarial implica delegar funciones o procesos específicos a terceros especializados en dichas áreas, con el objetivo de mejorar la productividad, reducir costos y concentrarse en la actividad principal de la empresa.</w:t>
      </w:r>
    </w:p>
    <w:p w14:paraId="6FE2320A" w14:textId="77777777" w:rsidR="00D13778" w:rsidRPr="00697F0A" w:rsidRDefault="00D13778" w:rsidP="0005621A">
      <w:pPr>
        <w:jc w:val="both"/>
        <w:rPr>
          <w:rFonts w:ascii="Arial" w:hAnsi="Arial" w:cs="Arial"/>
          <w:sz w:val="22"/>
          <w:szCs w:val="22"/>
        </w:rPr>
      </w:pPr>
      <w:r w:rsidRPr="00697F0A">
        <w:rPr>
          <w:rFonts w:ascii="Arial" w:hAnsi="Arial" w:cs="Arial"/>
          <w:sz w:val="22"/>
          <w:szCs w:val="22"/>
        </w:rPr>
        <w:lastRenderedPageBreak/>
        <w:t>Entre las ventajas del outsourcing se encuentran:</w:t>
      </w:r>
    </w:p>
    <w:p w14:paraId="53A6ABC8" w14:textId="77777777" w:rsidR="00D13778" w:rsidRPr="00D13778" w:rsidRDefault="00D13778" w:rsidP="004F7A62">
      <w:pPr>
        <w:numPr>
          <w:ilvl w:val="0"/>
          <w:numId w:val="226"/>
        </w:numPr>
        <w:shd w:val="clear" w:color="auto" w:fill="FFFFFF"/>
        <w:spacing w:afterAutospacing="1"/>
        <w:jc w:val="both"/>
        <w:rPr>
          <w:rFonts w:ascii="Arial" w:hAnsi="Arial" w:cs="Arial"/>
          <w:color w:val="000000"/>
          <w:sz w:val="22"/>
          <w:szCs w:val="22"/>
        </w:rPr>
      </w:pPr>
      <w:r w:rsidRPr="00D13778">
        <w:rPr>
          <w:rFonts w:ascii="Arial" w:hAnsi="Arial" w:cs="Arial"/>
          <w:b/>
          <w:bCs/>
          <w:color w:val="000000"/>
          <w:sz w:val="22"/>
          <w:szCs w:val="22"/>
        </w:rPr>
        <w:t>Mejora de la calidad</w:t>
      </w:r>
      <w:r w:rsidRPr="00D13778">
        <w:rPr>
          <w:rFonts w:ascii="Arial" w:hAnsi="Arial" w:cs="Arial"/>
          <w:color w:val="000000"/>
          <w:sz w:val="22"/>
          <w:szCs w:val="22"/>
        </w:rPr>
        <w:t>: Los proveedores externos suelen ser especializados en sus áreas de trabajo, lo que conduce a una mayor calidad en los resultados.</w:t>
      </w:r>
    </w:p>
    <w:p w14:paraId="3C190521" w14:textId="77777777" w:rsidR="00D13778" w:rsidRPr="00D13778" w:rsidRDefault="00D13778" w:rsidP="004F7A62">
      <w:pPr>
        <w:numPr>
          <w:ilvl w:val="0"/>
          <w:numId w:val="226"/>
        </w:numPr>
        <w:shd w:val="clear" w:color="auto" w:fill="FFFFFF"/>
        <w:spacing w:beforeAutospacing="1" w:afterAutospacing="1"/>
        <w:jc w:val="both"/>
        <w:rPr>
          <w:rFonts w:ascii="Arial" w:hAnsi="Arial" w:cs="Arial"/>
          <w:color w:val="000000"/>
          <w:sz w:val="22"/>
          <w:szCs w:val="22"/>
        </w:rPr>
      </w:pPr>
      <w:r w:rsidRPr="00D13778">
        <w:rPr>
          <w:rFonts w:ascii="Arial" w:hAnsi="Arial" w:cs="Arial"/>
          <w:b/>
          <w:bCs/>
          <w:color w:val="000000"/>
          <w:sz w:val="22"/>
          <w:szCs w:val="22"/>
        </w:rPr>
        <w:t>Ahorro de costos</w:t>
      </w:r>
      <w:r w:rsidRPr="00D13778">
        <w:rPr>
          <w:rFonts w:ascii="Arial" w:hAnsi="Arial" w:cs="Arial"/>
          <w:color w:val="000000"/>
          <w:sz w:val="22"/>
          <w:szCs w:val="22"/>
        </w:rPr>
        <w:t>: Al no necesitar contratar nuevos empleados ni invertir en infraestructura y equipo, las empresas pueden reducir sus gastos.</w:t>
      </w:r>
    </w:p>
    <w:p w14:paraId="26E684ED" w14:textId="77777777" w:rsidR="00D13778" w:rsidRPr="00D13778" w:rsidRDefault="00D13778" w:rsidP="004F7A62">
      <w:pPr>
        <w:numPr>
          <w:ilvl w:val="0"/>
          <w:numId w:val="226"/>
        </w:numPr>
        <w:shd w:val="clear" w:color="auto" w:fill="FFFFFF"/>
        <w:spacing w:beforeAutospacing="1" w:afterAutospacing="1"/>
        <w:jc w:val="both"/>
        <w:rPr>
          <w:rFonts w:ascii="Arial" w:hAnsi="Arial" w:cs="Arial"/>
          <w:color w:val="000000"/>
          <w:sz w:val="22"/>
          <w:szCs w:val="22"/>
        </w:rPr>
      </w:pPr>
      <w:r w:rsidRPr="00D13778">
        <w:rPr>
          <w:rFonts w:ascii="Arial" w:hAnsi="Arial" w:cs="Arial"/>
          <w:b/>
          <w:bCs/>
          <w:color w:val="000000"/>
          <w:sz w:val="22"/>
          <w:szCs w:val="22"/>
        </w:rPr>
        <w:t>Concentración en la actividad principal</w:t>
      </w:r>
      <w:r w:rsidRPr="00D13778">
        <w:rPr>
          <w:rFonts w:ascii="Arial" w:hAnsi="Arial" w:cs="Arial"/>
          <w:color w:val="000000"/>
          <w:sz w:val="22"/>
          <w:szCs w:val="22"/>
        </w:rPr>
        <w:t>: Al externalizar tareas auxiliares, las empresas pueden enfocarse en su negocio principal y mejorar su competitividad.</w:t>
      </w:r>
    </w:p>
    <w:p w14:paraId="74864BF1" w14:textId="77777777" w:rsidR="00D13778" w:rsidRPr="00D13778" w:rsidRDefault="00D13778" w:rsidP="004F7A62">
      <w:pPr>
        <w:numPr>
          <w:ilvl w:val="0"/>
          <w:numId w:val="226"/>
        </w:numPr>
        <w:shd w:val="clear" w:color="auto" w:fill="FFFFFF"/>
        <w:spacing w:beforeAutospacing="1"/>
        <w:jc w:val="both"/>
        <w:rPr>
          <w:rFonts w:ascii="Arial" w:hAnsi="Arial" w:cs="Arial"/>
          <w:color w:val="000000"/>
          <w:sz w:val="22"/>
          <w:szCs w:val="22"/>
        </w:rPr>
      </w:pPr>
      <w:r w:rsidRPr="00D13778">
        <w:rPr>
          <w:rFonts w:ascii="Arial" w:hAnsi="Arial" w:cs="Arial"/>
          <w:b/>
          <w:bCs/>
          <w:color w:val="000000"/>
          <w:sz w:val="22"/>
          <w:szCs w:val="22"/>
        </w:rPr>
        <w:t>Escala y flexibilidad</w:t>
      </w:r>
      <w:r w:rsidRPr="00D13778">
        <w:rPr>
          <w:rFonts w:ascii="Arial" w:hAnsi="Arial" w:cs="Arial"/>
          <w:color w:val="000000"/>
          <w:sz w:val="22"/>
          <w:szCs w:val="22"/>
        </w:rPr>
        <w:t>: Los proveedores externos pueden adaptarse rápidamente a cambios en la demanda y ofrecer una mayor flexibilidad en la capacidad de producción.</w:t>
      </w:r>
    </w:p>
    <w:p w14:paraId="4D5DF42E" w14:textId="381174F0" w:rsidR="00697F0A" w:rsidRPr="00CF1B34" w:rsidRDefault="00D13778" w:rsidP="0005621A">
      <w:pPr>
        <w:pBdr>
          <w:bottom w:val="dotted" w:sz="12" w:space="12" w:color="666666"/>
        </w:pBdr>
        <w:spacing w:after="240"/>
        <w:ind w:left="720"/>
        <w:jc w:val="both"/>
        <w:rPr>
          <w:rFonts w:ascii="Arial" w:hAnsi="Arial" w:cs="Arial"/>
          <w:color w:val="212529"/>
          <w:sz w:val="22"/>
          <w:szCs w:val="22"/>
          <w:lang w:val="es-ES_tradnl"/>
        </w:rPr>
      </w:pPr>
      <w:r w:rsidRPr="00D13778">
        <w:rPr>
          <w:rFonts w:ascii="Arial" w:hAnsi="Arial" w:cs="Arial"/>
          <w:color w:val="000000"/>
          <w:sz w:val="22"/>
          <w:szCs w:val="22"/>
        </w:rPr>
        <w:t>En resumen, el outsourcing es una</w:t>
      </w:r>
      <w:r w:rsidR="00697F0A">
        <w:rPr>
          <w:rFonts w:ascii="Arial" w:hAnsi="Arial" w:cs="Arial"/>
          <w:color w:val="000000"/>
          <w:sz w:val="22"/>
          <w:szCs w:val="22"/>
        </w:rPr>
        <w:t xml:space="preserve"> </w:t>
      </w:r>
      <w:r w:rsidRPr="00D13778">
        <w:rPr>
          <w:rFonts w:ascii="Arial" w:hAnsi="Arial" w:cs="Arial"/>
          <w:b/>
          <w:bCs/>
          <w:color w:val="000000"/>
          <w:sz w:val="22"/>
          <w:szCs w:val="22"/>
        </w:rPr>
        <w:t>estrategia que permite a las empresas delegar tareas no críticas a expertos externos</w:t>
      </w:r>
      <w:r w:rsidRPr="00D13778">
        <w:rPr>
          <w:rFonts w:ascii="Arial" w:hAnsi="Arial" w:cs="Arial"/>
          <w:color w:val="000000"/>
          <w:sz w:val="22"/>
          <w:szCs w:val="22"/>
        </w:rPr>
        <w:t>, lo que les permite mejorar su eficiencia, reducir costos y concentrarse en su negocio principal.</w:t>
      </w:r>
    </w:p>
    <w:p w14:paraId="01F037A1" w14:textId="0DD337B9" w:rsidR="00D0661A" w:rsidRPr="00CF1B34" w:rsidRDefault="00595A91" w:rsidP="0005621A">
      <w:pPr>
        <w:jc w:val="both"/>
        <w:rPr>
          <w:rFonts w:ascii="Arial" w:hAnsi="Arial" w:cs="Arial"/>
          <w:b/>
          <w:bCs/>
          <w:color w:val="2F5496" w:themeColor="accent1" w:themeShade="BF"/>
          <w:sz w:val="22"/>
          <w:szCs w:val="22"/>
          <w:lang w:val="es-ES_tradnl"/>
        </w:rPr>
      </w:pPr>
      <w:r w:rsidRPr="00CF1B34">
        <w:rPr>
          <w:rFonts w:ascii="Arial" w:hAnsi="Arial" w:cs="Arial"/>
          <w:sz w:val="22"/>
          <w:szCs w:val="22"/>
          <w:lang w:val="es-ES_tradnl"/>
        </w:rPr>
        <w:t>O</w:t>
      </w:r>
      <w:r w:rsidR="00D0661A" w:rsidRPr="00CF1B34">
        <w:rPr>
          <w:rFonts w:ascii="Arial" w:hAnsi="Arial" w:cs="Arial"/>
          <w:b/>
          <w:bCs/>
          <w:color w:val="2F5496" w:themeColor="accent1" w:themeShade="BF"/>
          <w:sz w:val="22"/>
          <w:szCs w:val="22"/>
          <w:lang w:val="es-ES_tradnl"/>
        </w:rPr>
        <w:t>ver</w:t>
      </w:r>
      <w:r w:rsidR="00D620DD" w:rsidRPr="00CF1B34">
        <w:rPr>
          <w:rFonts w:ascii="Arial" w:hAnsi="Arial" w:cs="Arial"/>
          <w:b/>
          <w:bCs/>
          <w:color w:val="2F5496" w:themeColor="accent1" w:themeShade="BF"/>
          <w:sz w:val="22"/>
          <w:szCs w:val="22"/>
          <w:lang w:val="es-ES_tradnl"/>
        </w:rPr>
        <w:t>n</w:t>
      </w:r>
      <w:r w:rsidR="00D0661A" w:rsidRPr="00CF1B34">
        <w:rPr>
          <w:rFonts w:ascii="Arial" w:hAnsi="Arial" w:cs="Arial"/>
          <w:b/>
          <w:bCs/>
          <w:color w:val="2F5496" w:themeColor="accent1" w:themeShade="BF"/>
          <w:sz w:val="22"/>
          <w:szCs w:val="22"/>
          <w:lang w:val="es-ES_tradnl"/>
        </w:rPr>
        <w:t xml:space="preserve">ight </w:t>
      </w:r>
    </w:p>
    <w:p w14:paraId="5BDBC2AD" w14:textId="67D0BF79" w:rsidR="00E9303D" w:rsidRPr="00CF1B34" w:rsidRDefault="00E9303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aquella operación que comienza el mismo d</w:t>
      </w:r>
      <w:r w:rsidR="00D620DD"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a de la contratación y acaba al d</w:t>
      </w:r>
      <w:r w:rsidR="00D620DD"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a siguiente hábil.</w:t>
      </w:r>
      <w:r w:rsidR="00D620DD" w:rsidRPr="00CF1B34">
        <w:rPr>
          <w:rFonts w:ascii="Arial" w:hAnsi="Arial" w:cs="Arial"/>
          <w:color w:val="000000" w:themeColor="text1"/>
          <w:sz w:val="22"/>
          <w:szCs w:val="22"/>
          <w:lang w:val="es-ES_tradnl"/>
        </w:rPr>
        <w:t xml:space="preserve"> El plazo máximo es de 24 horas.</w:t>
      </w:r>
    </w:p>
    <w:p w14:paraId="18C84CAE" w14:textId="77777777" w:rsidR="00E9303D" w:rsidRPr="00CF1B34" w:rsidRDefault="00E9303D" w:rsidP="0005621A">
      <w:pPr>
        <w:jc w:val="both"/>
        <w:rPr>
          <w:rFonts w:ascii="Arial" w:hAnsi="Arial" w:cs="Arial"/>
          <w:b/>
          <w:bCs/>
          <w:color w:val="004773"/>
          <w:sz w:val="22"/>
          <w:szCs w:val="22"/>
          <w:lang w:val="es-ES_tradnl"/>
        </w:rPr>
      </w:pPr>
    </w:p>
    <w:p w14:paraId="6AF4E4C4" w14:textId="57325CEB" w:rsidR="00B73555" w:rsidRPr="00CF1B34" w:rsidRDefault="00B73555" w:rsidP="0005621A">
      <w:pPr>
        <w:jc w:val="both"/>
        <w:rPr>
          <w:rFonts w:ascii="Arial" w:hAnsi="Arial" w:cs="Arial"/>
          <w:color w:val="000000" w:themeColor="text1"/>
          <w:sz w:val="22"/>
          <w:szCs w:val="22"/>
          <w:lang w:val="es-ES_tradnl"/>
        </w:rPr>
      </w:pPr>
    </w:p>
    <w:p w14:paraId="372DA3D4" w14:textId="20B53089" w:rsidR="00A23A19" w:rsidRPr="00CF1B34" w:rsidRDefault="00A23A19"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P</w:t>
      </w:r>
    </w:p>
    <w:p w14:paraId="3B61DFF7" w14:textId="4A1F45DB" w:rsidR="00A23A19" w:rsidRPr="00CF1B34" w:rsidRDefault="00A23A19" w:rsidP="0005621A">
      <w:pPr>
        <w:jc w:val="both"/>
        <w:rPr>
          <w:rFonts w:ascii="Arial" w:hAnsi="Arial" w:cs="Arial"/>
          <w:sz w:val="22"/>
          <w:szCs w:val="22"/>
          <w:lang w:val="es-ES_tradnl"/>
        </w:rPr>
      </w:pPr>
    </w:p>
    <w:p w14:paraId="2CC7D161" w14:textId="77777777" w:rsidR="00F17AF5" w:rsidRPr="00CF1B34" w:rsidRDefault="00F17AF5" w:rsidP="0005621A">
      <w:pPr>
        <w:jc w:val="both"/>
        <w:rPr>
          <w:rFonts w:ascii="Arial" w:hAnsi="Arial" w:cs="Arial"/>
          <w:sz w:val="22"/>
          <w:szCs w:val="22"/>
          <w:lang w:val="es-ES_tradnl"/>
        </w:rPr>
      </w:pPr>
    </w:p>
    <w:p w14:paraId="32634995" w14:textId="0D42F822" w:rsidR="00D620DD" w:rsidRPr="00CF1B34" w:rsidRDefault="00D620D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Pacto Andino</w:t>
      </w:r>
    </w:p>
    <w:p w14:paraId="314E94B8" w14:textId="7D708C41" w:rsidR="00D8764F" w:rsidRPr="00CF1B34" w:rsidRDefault="00D620D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Este pacto surgió en mayo de 1969 como una reacción a las dificultades prácticas de adelantar la integración a escala latinoamericana. Agrupó en un comienzo a Bolivia, Colombia, Chile, Ecuador y Perú, pero más tarde ingresó Venezuela y se retiró Chile. Luego de un comienzo auspicioso, el proceso se estancó, en particular durante los años ochenta cuando los países experimentaron graves dificultades en el sector externo que llevaron al incumplimiento sistemático de los compromisos. No obstante, desde finales de esa década y gracias al empujón político de los propios presidentes y sobre bases más flexibles, la integración subregional andina cobró nuevo impulso y los países asumieron compromisos tendientes a consolidar el espacio económico ampliado. Para ello, se ha buscado perfeccionar inicialmente la zona andina de libre comercio mediante la aplicación de un programa de liberación (reducción y eliminación de aranceles entre los países miembros) y la adopción de un arancel externo común (el arancel que se cobra a mercancías provenientes de terceros países) con el fin de constituir una unión aduanera. Igualmente, se prevé un desmantelamiento progresivo de las listas de excepciones y una gradual armonización de las políticas económicas. Dentro del grupo, Colombia y Venezuela, cuyo intercambio comercial e interdependencia económica son más estrechos, han decidido profundizar y acelerar su integración binacional, proceso que se ha facilitado por razón del acercamiento que han registrado sus políticas macroeconómicas y del dinamismo que han mostrado sus economías, de modo que el intercambio ha tenido un avance sin precedentes desde comienzos de los años 90. Ello ha dado pie para pensar en esquemas de pago con utilización de sus monedas nacionales (desdolarización del comercio) a fin de agilizar y reducir costos de los pagos. Igualmente</w:t>
      </w:r>
      <w:r w:rsidR="00804DA5">
        <w:rPr>
          <w:rFonts w:ascii="Arial" w:hAnsi="Arial" w:cs="Arial"/>
          <w:color w:val="000000"/>
          <w:sz w:val="22"/>
          <w:szCs w:val="22"/>
          <w:shd w:val="clear" w:color="auto" w:fill="FFFFFF"/>
          <w:lang w:val="es-ES_tradnl"/>
        </w:rPr>
        <w:t>,</w:t>
      </w:r>
      <w:r w:rsidRPr="00CF1B34">
        <w:rPr>
          <w:rFonts w:ascii="Arial" w:hAnsi="Arial" w:cs="Arial"/>
          <w:color w:val="000000"/>
          <w:sz w:val="22"/>
          <w:szCs w:val="22"/>
          <w:shd w:val="clear" w:color="auto" w:fill="FFFFFF"/>
          <w:lang w:val="es-ES_tradnl"/>
        </w:rPr>
        <w:t xml:space="preserve"> la esfera de los intercambios se ha extendido a los proyectos de inversión, colocación de bonos y adquisición de instituciones financieras colombianas por capitales venezolanos. Todo ello permite esperar que en el futuro se logre consolidar aún más este proceso de unificación económica. De igual manera, se ha avanzado con mayor decisión en la armonización de las políticas macroeconómicas, aunque subsisten áreas donde, en razón de los resultados disímiles, resulta difícil lograr avances rápidos.</w:t>
      </w:r>
    </w:p>
    <w:p w14:paraId="4FCDACFB" w14:textId="6865421F"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Pacto de recompra</w:t>
      </w:r>
    </w:p>
    <w:p w14:paraId="2071FA5E"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Acuerdo por el que el vendedor de un activo financiero se compromete a volvérselo a comprar al adquirente, en una fecha y a un precio predeterminados. También se denominan operaciones dobles.</w:t>
      </w:r>
    </w:p>
    <w:p w14:paraId="4F9EB22D" w14:textId="235E119D"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Pacto parasocial</w:t>
      </w:r>
      <w:r w:rsidR="00D0661A" w:rsidRPr="00CF1B34">
        <w:rPr>
          <w:rFonts w:ascii="Arial" w:hAnsi="Arial" w:cs="Arial"/>
          <w:b/>
          <w:bCs/>
          <w:color w:val="004773"/>
          <w:sz w:val="22"/>
          <w:szCs w:val="22"/>
          <w:lang w:val="es-ES_tradnl"/>
        </w:rPr>
        <w:t xml:space="preserve"> </w:t>
      </w:r>
    </w:p>
    <w:p w14:paraId="162653DF"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Acuerdo entre accionistas de una sociedad para definir la orientación del voto en las juntas generales, o con el fin de establecer límites o condiciones a la libre transmisibilidad de sus acciones (o de valores convertibles o canjeables por acciones). La normativa establece que la celebración, prórroga o modificación de un pacto de estas características en las sociedades anónimas cotizadas debe ser comunicado de forma inmediata a la propia sociedad y a la CNMV, que lo difundirá como hecho relevante. El pacto no producirá efecto alguno mientras no tengan lugar su comunicación y publicación, es decir, mientras no sea conocido por el público. El conocimiento de estos pactos es relevante para los accionistas minoritarios, ya que en general su existencia determinará las decisiones societarias más relevantes.</w:t>
      </w:r>
    </w:p>
    <w:p w14:paraId="7937E86F" w14:textId="6AD66EDA" w:rsidR="00F17AF5" w:rsidRPr="00CF1B34" w:rsidRDefault="00F17AF5"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Pagaré</w:t>
      </w:r>
      <w:r w:rsidR="00D0661A" w:rsidRPr="00CF1B34">
        <w:rPr>
          <w:rFonts w:ascii="Arial" w:hAnsi="Arial" w:cs="Arial"/>
          <w:b/>
          <w:bCs/>
          <w:color w:val="2F5496" w:themeColor="accent1" w:themeShade="BF"/>
          <w:sz w:val="22"/>
          <w:szCs w:val="22"/>
          <w:lang w:val="es-ES_tradnl"/>
        </w:rPr>
        <w:t>s</w:t>
      </w:r>
    </w:p>
    <w:p w14:paraId="70DCD206" w14:textId="66173FC7" w:rsidR="00F17AF5" w:rsidRPr="00CF1B34" w:rsidRDefault="00F17AF5" w:rsidP="0005621A">
      <w:pPr>
        <w:ind w:left="708"/>
        <w:jc w:val="both"/>
        <w:rPr>
          <w:rFonts w:ascii="Arial" w:hAnsi="Arial" w:cs="Arial"/>
          <w:sz w:val="22"/>
          <w:szCs w:val="22"/>
          <w:lang w:val="es-ES_tradnl"/>
        </w:rPr>
      </w:pPr>
      <w:r w:rsidRPr="00CF1B34">
        <w:rPr>
          <w:rFonts w:ascii="Arial" w:hAnsi="Arial" w:cs="Arial"/>
          <w:sz w:val="22"/>
          <w:szCs w:val="22"/>
          <w:lang w:val="es-ES_tradnl"/>
        </w:rPr>
        <w:t>Un</w:t>
      </w:r>
      <w:r w:rsidR="006A1294" w:rsidRPr="00CF1B34">
        <w:rPr>
          <w:rFonts w:ascii="Arial" w:hAnsi="Arial" w:cs="Arial"/>
          <w:sz w:val="22"/>
          <w:szCs w:val="22"/>
          <w:lang w:val="es-ES_tradnl"/>
        </w:rPr>
        <w:t xml:space="preserve"> </w:t>
      </w:r>
      <w:r w:rsidRPr="00CF1B34">
        <w:rPr>
          <w:rFonts w:ascii="Arial" w:hAnsi="Arial" w:cs="Arial"/>
          <w:b/>
          <w:bCs/>
          <w:sz w:val="22"/>
          <w:szCs w:val="22"/>
          <w:lang w:val="es-ES_tradnl"/>
        </w:rPr>
        <w:t>pagaré</w:t>
      </w:r>
      <w:r w:rsidR="006A1294" w:rsidRPr="00CF1B34">
        <w:rPr>
          <w:rFonts w:ascii="Arial" w:hAnsi="Arial" w:cs="Arial"/>
          <w:sz w:val="22"/>
          <w:szCs w:val="22"/>
          <w:lang w:val="es-ES_tradnl"/>
        </w:rPr>
        <w:t xml:space="preserve"> </w:t>
      </w:r>
      <w:r w:rsidRPr="00CF1B34">
        <w:rPr>
          <w:rFonts w:ascii="Arial" w:hAnsi="Arial" w:cs="Arial"/>
          <w:sz w:val="22"/>
          <w:szCs w:val="22"/>
          <w:lang w:val="es-ES_tradnl"/>
        </w:rPr>
        <w:t>(también conocido como título de crédito) es un documento por el que un emisor se compromete a realizar un pago a un destinatario. Además, incluye las condiciones del deudor al acreedor: la cantidad de dinero que debe y el plazo en que satisfará la deuda. El pagaré es un compromiso formal y tiene validez legal, pues el tenedor (o acreedor) podrá exigir su cumplimiento.</w:t>
      </w:r>
    </w:p>
    <w:p w14:paraId="0C84B5CE" w14:textId="429F7339" w:rsidR="00F17AF5" w:rsidRPr="00CF1B34" w:rsidRDefault="00F17AF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Como hemos visto, los sujetos del pagaré son el emisor (quien se compromete a pagar) y beneficiario (a quien el emisor debe pagar). Puede incluir una tercera figura: ºla del avalista que garantiza el pago. Y puede contener otra particularidad: el descuento de pagarés, que ofrece liquidez inmediata sin esperar al plazo de vencimiento establecido en el pagaré.</w:t>
      </w:r>
    </w:p>
    <w:p w14:paraId="5A3F6824" w14:textId="77777777" w:rsidR="00F17AF5" w:rsidRPr="00CF1B34" w:rsidRDefault="00F17AF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Este documento se considera uno de los métodos de cobro más seguro, y es una fórmula habitual de pago a proveedores y de financiación entre las empresas: muchas compran a plazo y emiten estos títulos para responder al pago de las facturas, ya que además constituyen un derecho de cobro fiable que reduce la morosidad y adelanta el dinero mediante el descuento de pagaré. Además, si está conformado, quiere decir que está referido a una entidad bancaria, lo que refuerza la garantía del título, pues el banco que va a pagarlo asegura que este documento se expide desde una cuenta solvente que atenderá el pago.</w:t>
      </w:r>
    </w:p>
    <w:p w14:paraId="4D8B11C8" w14:textId="77777777" w:rsidR="00F17AF5" w:rsidRPr="00CF1B34" w:rsidRDefault="00F17AF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Entre sus </w:t>
      </w:r>
      <w:r w:rsidRPr="00CF1B34">
        <w:rPr>
          <w:rFonts w:ascii="Arial" w:hAnsi="Arial" w:cs="Arial"/>
          <w:b/>
          <w:bCs/>
          <w:sz w:val="22"/>
          <w:szCs w:val="22"/>
          <w:lang w:val="es-ES_tradnl"/>
        </w:rPr>
        <w:t>ventajas</w:t>
      </w:r>
      <w:r w:rsidRPr="00CF1B34">
        <w:rPr>
          <w:rFonts w:ascii="Arial" w:hAnsi="Arial" w:cs="Arial"/>
          <w:sz w:val="22"/>
          <w:szCs w:val="22"/>
          <w:lang w:val="es-ES_tradnl"/>
        </w:rPr>
        <w:t> está el pago rápido y automatizado; el ahorro de tiempos y de costes, al no requerir tareas administrativas; la exención de comisiones; y la alta rentabilidad, frente a otros productos de </w:t>
      </w:r>
      <w:r w:rsidRPr="00CF1B34">
        <w:rPr>
          <w:rFonts w:ascii="Arial" w:hAnsi="Arial" w:cs="Arial"/>
          <w:b/>
          <w:bCs/>
          <w:sz w:val="22"/>
          <w:szCs w:val="22"/>
          <w:lang w:val="es-ES_tradnl"/>
        </w:rPr>
        <w:t>ahorro e inversión</w:t>
      </w:r>
      <w:r w:rsidRPr="00CF1B34">
        <w:rPr>
          <w:rFonts w:ascii="Arial" w:hAnsi="Arial" w:cs="Arial"/>
          <w:sz w:val="22"/>
          <w:szCs w:val="22"/>
          <w:lang w:val="es-ES_tradnl"/>
        </w:rPr>
        <w:t>.</w:t>
      </w:r>
    </w:p>
    <w:p w14:paraId="6B36044A" w14:textId="77777777" w:rsidR="00F17AF5" w:rsidRPr="00CF1B34" w:rsidRDefault="00F17AF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Inicialmente, estos documentos no estaban contemplados por la ley, pero con el tiempo se han ido especializando y estandarizando. A día de hoy, los pagarés se regulan a través de la Ley 19/1985 de 16 de julio, Cambiaria y del Cheque, y comparten las </w:t>
      </w:r>
      <w:r w:rsidRPr="00CF1B34">
        <w:rPr>
          <w:rFonts w:ascii="Arial" w:hAnsi="Arial" w:cs="Arial"/>
          <w:b/>
          <w:bCs/>
          <w:sz w:val="22"/>
          <w:szCs w:val="22"/>
          <w:lang w:val="es-ES_tradnl"/>
        </w:rPr>
        <w:t>siguientes características</w:t>
      </w:r>
      <w:r w:rsidRPr="00CF1B34">
        <w:rPr>
          <w:rFonts w:ascii="Arial" w:hAnsi="Arial" w:cs="Arial"/>
          <w:sz w:val="22"/>
          <w:szCs w:val="22"/>
          <w:lang w:val="es-ES_tradnl"/>
        </w:rPr>
        <w:t>:</w:t>
      </w:r>
    </w:p>
    <w:p w14:paraId="124F7489" w14:textId="77777777" w:rsidR="00F17AF5" w:rsidRPr="00CF1B34" w:rsidRDefault="00F17AF5" w:rsidP="0005621A">
      <w:pPr>
        <w:spacing w:after="100" w:afterAutospacing="1"/>
        <w:ind w:firstLine="708"/>
        <w:jc w:val="both"/>
        <w:rPr>
          <w:rFonts w:ascii="Arial" w:hAnsi="Arial" w:cs="Arial"/>
          <w:sz w:val="22"/>
          <w:szCs w:val="22"/>
          <w:lang w:val="es-ES_tradnl"/>
        </w:rPr>
      </w:pPr>
      <w:r w:rsidRPr="00CF1B34">
        <w:rPr>
          <w:rFonts w:ascii="Arial" w:hAnsi="Arial" w:cs="Arial"/>
          <w:b/>
          <w:bCs/>
          <w:sz w:val="22"/>
          <w:szCs w:val="22"/>
          <w:lang w:val="es-ES_tradnl"/>
        </w:rPr>
        <w:t>Literalidad</w:t>
      </w:r>
    </w:p>
    <w:p w14:paraId="0D3663BF" w14:textId="77777777" w:rsidR="00F17AF5" w:rsidRPr="00CF1B34" w:rsidRDefault="00F17AF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pago se limitará a lo estipulado por el pagaré, y en el plazo establecido. Todo lo que tenga lugar con posterioridad a la emisión del documento (arreglos, prórrogas, tratos), no se tendrán en cuenta, a no ser que así esté estipulado en el propio pagaré.</w:t>
      </w:r>
    </w:p>
    <w:p w14:paraId="7A9D3DCC" w14:textId="77777777" w:rsidR="00F17AF5" w:rsidRPr="00CF1B34" w:rsidRDefault="00F17AF5" w:rsidP="0005621A">
      <w:pPr>
        <w:spacing w:after="100" w:afterAutospacing="1"/>
        <w:ind w:firstLine="708"/>
        <w:jc w:val="both"/>
        <w:rPr>
          <w:rFonts w:ascii="Arial" w:hAnsi="Arial" w:cs="Arial"/>
          <w:sz w:val="22"/>
          <w:szCs w:val="22"/>
          <w:lang w:val="es-ES_tradnl"/>
        </w:rPr>
      </w:pPr>
      <w:r w:rsidRPr="00CF1B34">
        <w:rPr>
          <w:rFonts w:ascii="Arial" w:hAnsi="Arial" w:cs="Arial"/>
          <w:b/>
          <w:bCs/>
          <w:sz w:val="22"/>
          <w:szCs w:val="22"/>
          <w:lang w:val="es-ES_tradnl"/>
        </w:rPr>
        <w:lastRenderedPageBreak/>
        <w:t>Autonomía</w:t>
      </w:r>
    </w:p>
    <w:p w14:paraId="7D58A9C6" w14:textId="77777777" w:rsidR="00F17AF5" w:rsidRPr="00CF1B34" w:rsidRDefault="00F17AF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Se permitirá cambiar el beneficiario, que pasará a ser el nuevo propietario del documento y ostentará el derecho a cobrarlo, y el emisor permanecerá ajeno a estos tratos entre beneficiarios.</w:t>
      </w:r>
    </w:p>
    <w:p w14:paraId="4D761C12" w14:textId="77777777" w:rsidR="00F17AF5" w:rsidRPr="00CF1B34" w:rsidRDefault="00F17AF5" w:rsidP="0005621A">
      <w:pPr>
        <w:spacing w:after="100" w:afterAutospacing="1"/>
        <w:ind w:firstLine="708"/>
        <w:jc w:val="both"/>
        <w:rPr>
          <w:rFonts w:ascii="Arial" w:hAnsi="Arial" w:cs="Arial"/>
          <w:sz w:val="22"/>
          <w:szCs w:val="22"/>
          <w:lang w:val="es-ES_tradnl"/>
        </w:rPr>
      </w:pPr>
      <w:r w:rsidRPr="00CF1B34">
        <w:rPr>
          <w:rFonts w:ascii="Arial" w:hAnsi="Arial" w:cs="Arial"/>
          <w:b/>
          <w:bCs/>
          <w:sz w:val="22"/>
          <w:szCs w:val="22"/>
          <w:lang w:val="es-ES_tradnl"/>
        </w:rPr>
        <w:t>Circulación</w:t>
      </w:r>
    </w:p>
    <w:p w14:paraId="471FC437" w14:textId="77777777" w:rsidR="00F17AF5" w:rsidRPr="00CF1B34" w:rsidRDefault="00F17AF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documento podrá circular libremente y cambiar de propietario. EL último poseedor podrá exigir el pago, aún en caso de no conocer al acreedor.</w:t>
      </w:r>
    </w:p>
    <w:p w14:paraId="28B75E7A" w14:textId="77777777" w:rsidR="00F17AF5" w:rsidRPr="00CF1B34" w:rsidRDefault="00F17AF5" w:rsidP="0005621A">
      <w:pPr>
        <w:spacing w:after="100" w:afterAutospacing="1"/>
        <w:ind w:firstLine="708"/>
        <w:jc w:val="both"/>
        <w:rPr>
          <w:rFonts w:ascii="Arial" w:hAnsi="Arial" w:cs="Arial"/>
          <w:sz w:val="22"/>
          <w:szCs w:val="22"/>
          <w:lang w:val="es-ES_tradnl"/>
        </w:rPr>
      </w:pPr>
      <w:r w:rsidRPr="00CF1B34">
        <w:rPr>
          <w:rFonts w:ascii="Arial" w:hAnsi="Arial" w:cs="Arial"/>
          <w:b/>
          <w:bCs/>
          <w:sz w:val="22"/>
          <w:szCs w:val="22"/>
          <w:lang w:val="es-ES_tradnl"/>
        </w:rPr>
        <w:t>Abstracción</w:t>
      </w:r>
    </w:p>
    <w:p w14:paraId="1DB048C3" w14:textId="77777777" w:rsidR="00F17AF5" w:rsidRPr="00CF1B34" w:rsidRDefault="00F17AF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pagaré podrá exigirse independientemente de la causa que lo originó, y siempre podrá cobrarse, a no ser que sea devuelto o destruido al deshacer el trato. Por último, incorporación. Para ejercer los derechos y obligaciones asociados, este tendrá que mostrarse.</w:t>
      </w:r>
    </w:p>
    <w:p w14:paraId="0EE41D89" w14:textId="77777777" w:rsidR="00F17AF5" w:rsidRPr="00CF1B34" w:rsidRDefault="00F17AF5" w:rsidP="0005621A">
      <w:pPr>
        <w:spacing w:after="100" w:afterAutospacing="1"/>
        <w:ind w:firstLine="708"/>
        <w:jc w:val="both"/>
        <w:rPr>
          <w:rFonts w:ascii="Arial" w:hAnsi="Arial" w:cs="Arial"/>
          <w:sz w:val="22"/>
          <w:szCs w:val="22"/>
          <w:lang w:val="es-ES_tradnl"/>
        </w:rPr>
      </w:pPr>
      <w:r w:rsidRPr="00CF1B34">
        <w:rPr>
          <w:rFonts w:ascii="Arial" w:hAnsi="Arial" w:cs="Arial"/>
          <w:b/>
          <w:bCs/>
          <w:sz w:val="22"/>
          <w:szCs w:val="22"/>
          <w:lang w:val="es-ES_tradnl"/>
        </w:rPr>
        <w:t>Partes de que consta:</w:t>
      </w:r>
    </w:p>
    <w:p w14:paraId="6AE47CCA" w14:textId="77777777" w:rsidR="00F17AF5" w:rsidRPr="00CF1B34" w:rsidRDefault="00F17AF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primer lugar, la fecha y lugar donde se emite; en segundo lugar, el nombre de la entidad y la oficina; en tercer lugar, la identidad completa del beneficiario, que podrá ser una persona física o jurídica; en cuarto lugar, el importe, escrito en forma de números y de letras; en quinto lugar, la fecha y lugar del vencimiento; en sexto lugar, el número de cuenta y el código IBAN del emisor; en séptimo lugar, la palabra PAGARÉ; en octavo lugar, el identificador que permite informatizar el pagaré; y en último lugar, la firma del emisor.</w:t>
      </w:r>
    </w:p>
    <w:p w14:paraId="576C5E96" w14:textId="7D6C5EF6"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Pagarés de empresa</w:t>
      </w:r>
    </w:p>
    <w:p w14:paraId="737592C1" w14:textId="6B3F12DE"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Valores de renta fija emitidos al descuento, en los que se instrumenta una deuda contraída por una empresa a corto plazo.</w:t>
      </w:r>
    </w:p>
    <w:p w14:paraId="500A5BDC" w14:textId="65B8D33B" w:rsidR="00DB1112" w:rsidRDefault="00DB1112"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Pago fijo tarjetas de cr</w:t>
      </w:r>
      <w:r w:rsidR="00D169FF">
        <w:rPr>
          <w:rFonts w:ascii="Arial" w:hAnsi="Arial" w:cs="Arial"/>
          <w:b/>
          <w:bCs/>
          <w:color w:val="004773"/>
          <w:sz w:val="22"/>
          <w:szCs w:val="22"/>
          <w:lang w:val="es-ES_tradnl"/>
        </w:rPr>
        <w:t>é</w:t>
      </w:r>
      <w:r>
        <w:rPr>
          <w:rFonts w:ascii="Arial" w:hAnsi="Arial" w:cs="Arial"/>
          <w:b/>
          <w:bCs/>
          <w:color w:val="004773"/>
          <w:sz w:val="22"/>
          <w:szCs w:val="22"/>
          <w:lang w:val="es-ES_tradnl"/>
        </w:rPr>
        <w:t>dito</w:t>
      </w:r>
    </w:p>
    <w:p w14:paraId="4B5D6F2D" w14:textId="3BBA89E3" w:rsidR="00DB1112" w:rsidRPr="00DB1112" w:rsidRDefault="00DB1112" w:rsidP="00DB1112">
      <w:pPr>
        <w:ind w:left="708"/>
        <w:jc w:val="both"/>
        <w:rPr>
          <w:rFonts w:ascii="Arial" w:hAnsi="Arial" w:cs="Arial"/>
          <w:sz w:val="22"/>
          <w:szCs w:val="22"/>
        </w:rPr>
      </w:pPr>
      <w:r w:rsidRPr="00DB1112">
        <w:rPr>
          <w:rFonts w:ascii="Arial" w:hAnsi="Arial" w:cs="Arial"/>
          <w:color w:val="333333"/>
          <w:sz w:val="22"/>
          <w:szCs w:val="22"/>
          <w:shd w:val="clear" w:color="auto" w:fill="FFFFFF"/>
        </w:rPr>
        <w:t>Las</w:t>
      </w:r>
      <w:r>
        <w:rPr>
          <w:rFonts w:ascii="Arial" w:hAnsi="Arial" w:cs="Arial"/>
          <w:color w:val="333333"/>
          <w:sz w:val="22"/>
          <w:szCs w:val="22"/>
          <w:shd w:val="clear" w:color="auto" w:fill="FFFFFF"/>
        </w:rPr>
        <w:t xml:space="preserve"> </w:t>
      </w:r>
      <w:r w:rsidRPr="00DB1112">
        <w:rPr>
          <w:rStyle w:val="Textoennegrita"/>
          <w:rFonts w:ascii="Arial" w:hAnsi="Arial" w:cs="Arial"/>
          <w:color w:val="333333"/>
          <w:sz w:val="22"/>
          <w:szCs w:val="22"/>
          <w:shd w:val="clear" w:color="auto" w:fill="FFFFFF"/>
        </w:rPr>
        <w:t>tarjetas de crédito</w:t>
      </w:r>
      <w:r>
        <w:rPr>
          <w:rFonts w:ascii="Arial" w:hAnsi="Arial" w:cs="Arial"/>
          <w:color w:val="333333"/>
          <w:sz w:val="22"/>
          <w:szCs w:val="22"/>
          <w:shd w:val="clear" w:color="auto" w:fill="FFFFFF"/>
        </w:rPr>
        <w:t xml:space="preserve"> </w:t>
      </w:r>
      <w:r w:rsidRPr="00DB1112">
        <w:rPr>
          <w:rFonts w:ascii="Arial" w:hAnsi="Arial" w:cs="Arial"/>
          <w:color w:val="333333"/>
          <w:sz w:val="22"/>
          <w:szCs w:val="22"/>
          <w:shd w:val="clear" w:color="auto" w:fill="FFFFFF"/>
        </w:rPr>
        <w:t>se han convertido en</w:t>
      </w:r>
      <w:r>
        <w:rPr>
          <w:rFonts w:ascii="Arial" w:hAnsi="Arial" w:cs="Arial"/>
          <w:color w:val="333333"/>
          <w:sz w:val="22"/>
          <w:szCs w:val="22"/>
          <w:shd w:val="clear" w:color="auto" w:fill="FFFFFF"/>
        </w:rPr>
        <w:t xml:space="preserve"> </w:t>
      </w:r>
      <w:r w:rsidRPr="00DB1112">
        <w:rPr>
          <w:rStyle w:val="Textoennegrita"/>
          <w:rFonts w:ascii="Arial" w:hAnsi="Arial" w:cs="Arial"/>
          <w:color w:val="333333"/>
          <w:sz w:val="22"/>
          <w:szCs w:val="22"/>
          <w:shd w:val="clear" w:color="auto" w:fill="FFFFFF"/>
        </w:rPr>
        <w:t>uno de los medios de pago más extendidos</w:t>
      </w:r>
      <w:r w:rsidRPr="00DB1112">
        <w:rPr>
          <w:rFonts w:ascii="Arial" w:hAnsi="Arial" w:cs="Arial"/>
          <w:color w:val="333333"/>
          <w:sz w:val="22"/>
          <w:szCs w:val="22"/>
          <w:shd w:val="clear" w:color="auto" w:fill="FFFFFF"/>
        </w:rPr>
        <w:t>,</w:t>
      </w:r>
      <w:r>
        <w:rPr>
          <w:rFonts w:ascii="Arial" w:hAnsi="Arial" w:cs="Arial"/>
          <w:color w:val="333333"/>
          <w:sz w:val="22"/>
          <w:szCs w:val="22"/>
          <w:shd w:val="clear" w:color="auto" w:fill="FFFFFF"/>
        </w:rPr>
        <w:t xml:space="preserve"> solo por detrás del uso del dinero en metálico</w:t>
      </w:r>
      <w:r w:rsidRPr="00DB1112">
        <w:rPr>
          <w:rFonts w:ascii="Arial" w:hAnsi="Arial" w:cs="Arial"/>
          <w:color w:val="000000" w:themeColor="text1"/>
          <w:sz w:val="22"/>
          <w:szCs w:val="22"/>
          <w:shd w:val="clear" w:color="auto" w:fill="FFFFFF"/>
        </w:rPr>
        <w:t>.</w:t>
      </w:r>
      <w:r w:rsidRPr="00DB1112">
        <w:rPr>
          <w:rFonts w:ascii="Arial" w:hAnsi="Arial" w:cs="Arial"/>
          <w:color w:val="333333"/>
          <w:sz w:val="22"/>
          <w:szCs w:val="22"/>
          <w:shd w:val="clear" w:color="auto" w:fill="FFFFFF"/>
        </w:rPr>
        <w:t xml:space="preserve"> Esta expansión del dinero de plástico ha venido acompañada de cambios en los modelos de crédito y</w:t>
      </w:r>
      <w:r>
        <w:rPr>
          <w:rFonts w:ascii="Arial" w:hAnsi="Arial" w:cs="Arial"/>
          <w:color w:val="333333"/>
          <w:sz w:val="22"/>
          <w:szCs w:val="22"/>
          <w:shd w:val="clear" w:color="auto" w:fill="FFFFFF"/>
        </w:rPr>
        <w:t xml:space="preserve"> </w:t>
      </w:r>
      <w:hyperlink r:id="rId302" w:history="1">
        <w:r w:rsidRPr="00DB1112">
          <w:rPr>
            <w:rStyle w:val="Hipervnculo"/>
            <w:rFonts w:ascii="Arial" w:hAnsi="Arial" w:cs="Arial"/>
            <w:color w:val="000000" w:themeColor="text1"/>
            <w:sz w:val="22"/>
            <w:szCs w:val="22"/>
            <w:u w:val="none"/>
            <w:shd w:val="clear" w:color="auto" w:fill="FFFFFF"/>
          </w:rPr>
          <w:t>la forma de operar de las tarjetas</w:t>
        </w:r>
      </w:hyperlink>
      <w:r w:rsidRPr="00DB1112">
        <w:rPr>
          <w:rFonts w:ascii="Arial" w:hAnsi="Arial" w:cs="Arial"/>
          <w:color w:val="333333"/>
          <w:sz w:val="22"/>
          <w:szCs w:val="22"/>
          <w:shd w:val="clear" w:color="auto" w:fill="FFFFFF"/>
        </w:rPr>
        <w:t>, que al principio funcionaban sólo como un</w:t>
      </w:r>
      <w:r>
        <w:rPr>
          <w:rStyle w:val="Textoennegrita"/>
          <w:rFonts w:ascii="Arial" w:hAnsi="Arial" w:cs="Arial"/>
          <w:color w:val="333333"/>
          <w:sz w:val="22"/>
          <w:szCs w:val="22"/>
          <w:shd w:val="clear" w:color="auto" w:fill="FFFFFF"/>
        </w:rPr>
        <w:t xml:space="preserve"> </w:t>
      </w:r>
      <w:r w:rsidRPr="00DB1112">
        <w:rPr>
          <w:rStyle w:val="Textoennegrita"/>
          <w:rFonts w:ascii="Arial" w:hAnsi="Arial" w:cs="Arial"/>
          <w:color w:val="333333"/>
          <w:sz w:val="22"/>
          <w:szCs w:val="22"/>
          <w:shd w:val="clear" w:color="auto" w:fill="FFFFFF"/>
        </w:rPr>
        <w:t>sistema de pago aplazado</w:t>
      </w:r>
      <w:r>
        <w:rPr>
          <w:rStyle w:val="Textoennegrita"/>
          <w:rFonts w:ascii="Arial" w:hAnsi="Arial" w:cs="Arial"/>
          <w:color w:val="333333"/>
          <w:sz w:val="22"/>
          <w:szCs w:val="22"/>
          <w:shd w:val="clear" w:color="auto" w:fill="FFFFFF"/>
        </w:rPr>
        <w:t xml:space="preserve"> </w:t>
      </w:r>
      <w:r w:rsidRPr="00DB1112">
        <w:rPr>
          <w:rFonts w:ascii="Arial" w:hAnsi="Arial" w:cs="Arial"/>
          <w:color w:val="333333"/>
          <w:sz w:val="22"/>
          <w:szCs w:val="22"/>
          <w:shd w:val="clear" w:color="auto" w:fill="FFFFFF"/>
        </w:rPr>
        <w:t>para financiación del consumo. En los dos últimos años han empezado a utilizarse en España las denominadas</w:t>
      </w:r>
      <w:r>
        <w:rPr>
          <w:rFonts w:ascii="Arial" w:hAnsi="Arial" w:cs="Arial"/>
          <w:color w:val="333333"/>
          <w:sz w:val="22"/>
          <w:szCs w:val="22"/>
          <w:shd w:val="clear" w:color="auto" w:fill="FFFFFF"/>
        </w:rPr>
        <w:t xml:space="preserve"> </w:t>
      </w:r>
      <w:r w:rsidRPr="00DB1112">
        <w:rPr>
          <w:rStyle w:val="Textoennegrita"/>
          <w:rFonts w:ascii="Arial" w:hAnsi="Arial" w:cs="Arial"/>
          <w:color w:val="333333"/>
          <w:sz w:val="22"/>
          <w:szCs w:val="22"/>
          <w:shd w:val="clear" w:color="auto" w:fill="FFFFFF"/>
        </w:rPr>
        <w:t>tarjetas revolving</w:t>
      </w:r>
      <w:r>
        <w:rPr>
          <w:rFonts w:ascii="Arial" w:hAnsi="Arial" w:cs="Arial"/>
          <w:color w:val="333333"/>
          <w:sz w:val="22"/>
          <w:szCs w:val="22"/>
          <w:shd w:val="clear" w:color="auto" w:fill="FFFFFF"/>
        </w:rPr>
        <w:t xml:space="preserve"> </w:t>
      </w:r>
      <w:r w:rsidRPr="00DB1112">
        <w:rPr>
          <w:rFonts w:ascii="Arial" w:hAnsi="Arial" w:cs="Arial"/>
          <w:color w:val="333333"/>
          <w:sz w:val="22"/>
          <w:szCs w:val="22"/>
          <w:shd w:val="clear" w:color="auto" w:fill="FFFFFF"/>
        </w:rPr>
        <w:t>que promueven un</w:t>
      </w:r>
      <w:r>
        <w:rPr>
          <w:rFonts w:ascii="Arial" w:hAnsi="Arial" w:cs="Arial"/>
          <w:color w:val="333333"/>
          <w:sz w:val="22"/>
          <w:szCs w:val="22"/>
          <w:shd w:val="clear" w:color="auto" w:fill="FFFFFF"/>
        </w:rPr>
        <w:t xml:space="preserve"> </w:t>
      </w:r>
      <w:r w:rsidRPr="00DB1112">
        <w:rPr>
          <w:rStyle w:val="Textoennegrita"/>
          <w:rFonts w:ascii="Arial" w:hAnsi="Arial" w:cs="Arial"/>
          <w:color w:val="333333"/>
          <w:sz w:val="22"/>
          <w:szCs w:val="22"/>
          <w:shd w:val="clear" w:color="auto" w:fill="FFFFFF"/>
        </w:rPr>
        <w:t>pago fijo en las tarjetas de crédito</w:t>
      </w:r>
      <w:r w:rsidRPr="00DB1112">
        <w:rPr>
          <w:rFonts w:ascii="Arial" w:hAnsi="Arial" w:cs="Arial"/>
          <w:color w:val="333333"/>
          <w:sz w:val="22"/>
          <w:szCs w:val="22"/>
          <w:shd w:val="clear" w:color="auto" w:fill="FFFFFF"/>
        </w:rPr>
        <w:t>.</w:t>
      </w:r>
    </w:p>
    <w:p w14:paraId="0790A4D0" w14:textId="77777777" w:rsidR="00DB1112" w:rsidRPr="00CF1B34" w:rsidRDefault="00DB1112" w:rsidP="00DB1112">
      <w:pPr>
        <w:pBdr>
          <w:bottom w:val="dotted" w:sz="12" w:space="12" w:color="666666"/>
        </w:pBdr>
        <w:spacing w:after="240"/>
        <w:ind w:left="720"/>
        <w:jc w:val="both"/>
        <w:rPr>
          <w:rFonts w:ascii="Arial" w:hAnsi="Arial" w:cs="Arial"/>
          <w:color w:val="212529"/>
          <w:sz w:val="22"/>
          <w:szCs w:val="22"/>
          <w:lang w:val="es-ES_tradnl"/>
        </w:rPr>
      </w:pPr>
      <w:r w:rsidRPr="00DB1112">
        <w:rPr>
          <w:rFonts w:ascii="Arial" w:hAnsi="Arial" w:cs="Arial"/>
          <w:color w:val="333333"/>
          <w:sz w:val="22"/>
          <w:szCs w:val="22"/>
          <w:shd w:val="clear" w:color="auto" w:fill="FFFFFF"/>
        </w:rPr>
        <w:t>El funcionamiento es relativamente sencillo. El cliente marca una cantidad fija que desea pagar cada mes independientemente de lo que consuma. La cuantía restante se suma a una deuda que se paga como si se tratara de un préstamo</w:t>
      </w:r>
      <w:r>
        <w:rPr>
          <w:rFonts w:ascii="Arial" w:hAnsi="Arial" w:cs="Arial"/>
          <w:color w:val="333333"/>
          <w:sz w:val="22"/>
          <w:szCs w:val="22"/>
          <w:shd w:val="clear" w:color="auto" w:fill="FFFFFF"/>
        </w:rPr>
        <w:t>,</w:t>
      </w:r>
      <w:r w:rsidRPr="00DB1112">
        <w:rPr>
          <w:rFonts w:ascii="Arial" w:hAnsi="Arial" w:cs="Arial"/>
          <w:color w:val="333333"/>
          <w:sz w:val="22"/>
          <w:szCs w:val="22"/>
          <w:shd w:val="clear" w:color="auto" w:fill="FFFFFF"/>
        </w:rPr>
        <w:t xml:space="preserve"> pero con tipos de interés que sobrepasan los de crédito tradicional y que pueden variar entre el 15% y el 25% anual en función de la entidad emisora. En el fondo, las tarjetas revolving y todo el sistema de</w:t>
      </w:r>
      <w:r>
        <w:rPr>
          <w:rFonts w:ascii="Arial" w:hAnsi="Arial" w:cs="Arial"/>
          <w:color w:val="333333"/>
          <w:sz w:val="22"/>
          <w:szCs w:val="22"/>
          <w:shd w:val="clear" w:color="auto" w:fill="FFFFFF"/>
        </w:rPr>
        <w:t xml:space="preserve"> </w:t>
      </w:r>
      <w:r w:rsidRPr="00DB1112">
        <w:rPr>
          <w:rStyle w:val="Textoennegrita"/>
          <w:rFonts w:ascii="Arial" w:hAnsi="Arial" w:cs="Arial"/>
          <w:color w:val="333333"/>
          <w:sz w:val="22"/>
          <w:szCs w:val="22"/>
          <w:shd w:val="clear" w:color="auto" w:fill="FFFFFF"/>
        </w:rPr>
        <w:t>pago fijo con tarjetas de crédito</w:t>
      </w:r>
      <w:r>
        <w:rPr>
          <w:rFonts w:ascii="Arial" w:hAnsi="Arial" w:cs="Arial"/>
          <w:color w:val="333333"/>
          <w:sz w:val="22"/>
          <w:szCs w:val="22"/>
          <w:shd w:val="clear" w:color="auto" w:fill="FFFFFF"/>
        </w:rPr>
        <w:t xml:space="preserve"> </w:t>
      </w:r>
      <w:r w:rsidRPr="00DB1112">
        <w:rPr>
          <w:rFonts w:ascii="Arial" w:hAnsi="Arial" w:cs="Arial"/>
          <w:color w:val="333333"/>
          <w:sz w:val="22"/>
          <w:szCs w:val="22"/>
          <w:shd w:val="clear" w:color="auto" w:fill="FFFFFF"/>
        </w:rPr>
        <w:t>son una fórmula para que al usuario no le falte financiación fácil en ningún momento y pueda vivir por encima de sus posibilidades</w:t>
      </w:r>
      <w:r>
        <w:rPr>
          <w:rFonts w:ascii="Arial" w:hAnsi="Arial" w:cs="Arial"/>
          <w:color w:val="333333"/>
          <w:sz w:val="22"/>
          <w:szCs w:val="22"/>
          <w:shd w:val="clear" w:color="auto" w:fill="FFFFFF"/>
        </w:rPr>
        <w:t>,</w:t>
      </w:r>
      <w:r w:rsidRPr="00DB1112">
        <w:rPr>
          <w:rFonts w:ascii="Arial" w:hAnsi="Arial" w:cs="Arial"/>
          <w:color w:val="333333"/>
          <w:sz w:val="22"/>
          <w:szCs w:val="22"/>
          <w:shd w:val="clear" w:color="auto" w:fill="FFFFFF"/>
        </w:rPr>
        <w:t xml:space="preserve"> aunque a unos costes financieros muy elevados.</w:t>
      </w:r>
    </w:p>
    <w:p w14:paraId="3C9000DB" w14:textId="46AEBE87" w:rsidR="00D169FF" w:rsidRDefault="00D169FF"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País emergente</w:t>
      </w:r>
    </w:p>
    <w:p w14:paraId="7DDADE16" w14:textId="77777777" w:rsidR="003C601D" w:rsidRPr="00A33A50" w:rsidRDefault="003C601D" w:rsidP="0041503E">
      <w:pPr>
        <w:ind w:left="708"/>
        <w:rPr>
          <w:rFonts w:ascii="Arial" w:hAnsi="Arial" w:cs="Arial"/>
          <w:sz w:val="22"/>
          <w:szCs w:val="22"/>
        </w:rPr>
      </w:pPr>
      <w:r w:rsidRPr="00A33A50">
        <w:rPr>
          <w:rFonts w:ascii="Arial" w:hAnsi="Arial" w:cs="Arial"/>
          <w:sz w:val="22"/>
          <w:szCs w:val="22"/>
        </w:rPr>
        <w:lastRenderedPageBreak/>
        <w:t>Los países emergentes son </w:t>
      </w:r>
      <w:r w:rsidRPr="00A33A50">
        <w:rPr>
          <w:rFonts w:ascii="Arial" w:hAnsi="Arial" w:cs="Arial"/>
          <w:b/>
          <w:bCs/>
          <w:sz w:val="22"/>
          <w:szCs w:val="22"/>
        </w:rPr>
        <w:t>economías en fase de desarrollo y crecimiento, con industria, alta demografía y potencial de consumo, aunque con algunos factores de inestabilidad política y social</w:t>
      </w:r>
      <w:r w:rsidRPr="00A33A50">
        <w:rPr>
          <w:rFonts w:ascii="Arial" w:hAnsi="Arial" w:cs="Arial"/>
          <w:sz w:val="22"/>
          <w:szCs w:val="22"/>
        </w:rPr>
        <w:t>. A continuación, se presentan algunas características y ejemplos de países emergentes:</w:t>
      </w:r>
    </w:p>
    <w:p w14:paraId="5086E169" w14:textId="77777777" w:rsidR="003C601D" w:rsidRPr="00A33A50" w:rsidRDefault="003C601D" w:rsidP="0041503E">
      <w:pPr>
        <w:ind w:firstLine="360"/>
        <w:rPr>
          <w:rFonts w:ascii="Arial" w:hAnsi="Arial" w:cs="Arial"/>
          <w:sz w:val="22"/>
          <w:szCs w:val="22"/>
        </w:rPr>
      </w:pPr>
      <w:r w:rsidRPr="00A33A50">
        <w:rPr>
          <w:rFonts w:ascii="Arial" w:hAnsi="Arial" w:cs="Arial"/>
          <w:b/>
          <w:bCs/>
          <w:sz w:val="22"/>
          <w:szCs w:val="22"/>
        </w:rPr>
        <w:t>Características</w:t>
      </w:r>
    </w:p>
    <w:p w14:paraId="618256E1" w14:textId="34AFCE5E" w:rsidR="003C601D" w:rsidRPr="00A33A50" w:rsidRDefault="003C601D" w:rsidP="004F7A62">
      <w:pPr>
        <w:numPr>
          <w:ilvl w:val="0"/>
          <w:numId w:val="241"/>
        </w:numPr>
        <w:shd w:val="clear" w:color="auto" w:fill="FFFFFF"/>
        <w:spacing w:after="100" w:afterAutospacing="1"/>
        <w:rPr>
          <w:rFonts w:ascii="Arial" w:hAnsi="Arial" w:cs="Arial"/>
          <w:color w:val="000000"/>
          <w:sz w:val="22"/>
          <w:szCs w:val="22"/>
        </w:rPr>
      </w:pPr>
      <w:r w:rsidRPr="003C601D">
        <w:rPr>
          <w:rFonts w:ascii="Arial" w:hAnsi="Arial" w:cs="Arial"/>
          <w:color w:val="000000"/>
          <w:sz w:val="22"/>
          <w:szCs w:val="22"/>
        </w:rPr>
        <w:t>Bajos costos de producción (mano de obra barata, laxas normativas medioambientales, etc.)</w:t>
      </w:r>
    </w:p>
    <w:p w14:paraId="578CB8CD" w14:textId="621BE6B1" w:rsidR="00AB4CC9" w:rsidRPr="00A33A50" w:rsidRDefault="00AB4CC9" w:rsidP="004F7A62">
      <w:pPr>
        <w:numPr>
          <w:ilvl w:val="0"/>
          <w:numId w:val="241"/>
        </w:numPr>
        <w:shd w:val="clear" w:color="auto" w:fill="FFFFFF"/>
        <w:spacing w:after="100" w:afterAutospacing="1"/>
        <w:rPr>
          <w:rFonts w:ascii="Arial" w:hAnsi="Arial" w:cs="Arial"/>
          <w:color w:val="000000"/>
          <w:sz w:val="22"/>
          <w:szCs w:val="22"/>
        </w:rPr>
      </w:pPr>
      <w:r w:rsidRPr="00A33A50">
        <w:rPr>
          <w:rFonts w:ascii="Arial" w:hAnsi="Arial" w:cs="Arial"/>
          <w:color w:val="000000"/>
          <w:sz w:val="22"/>
          <w:szCs w:val="22"/>
        </w:rPr>
        <w:t>Producción generada en el sector primario</w:t>
      </w:r>
    </w:p>
    <w:p w14:paraId="636E0477" w14:textId="7C0523F0" w:rsidR="00AB4CC9" w:rsidRPr="003C601D" w:rsidRDefault="00AB4CC9" w:rsidP="004F7A62">
      <w:pPr>
        <w:numPr>
          <w:ilvl w:val="0"/>
          <w:numId w:val="241"/>
        </w:numPr>
        <w:shd w:val="clear" w:color="auto" w:fill="FFFFFF"/>
        <w:spacing w:after="100" w:afterAutospacing="1"/>
        <w:rPr>
          <w:rFonts w:ascii="Arial" w:hAnsi="Arial" w:cs="Arial"/>
          <w:color w:val="000000"/>
          <w:sz w:val="22"/>
          <w:szCs w:val="22"/>
        </w:rPr>
      </w:pPr>
      <w:r w:rsidRPr="00A33A50">
        <w:rPr>
          <w:rFonts w:ascii="Arial" w:hAnsi="Arial" w:cs="Arial"/>
          <w:color w:val="000000"/>
          <w:sz w:val="22"/>
          <w:szCs w:val="22"/>
        </w:rPr>
        <w:t>Incipiente industrialización</w:t>
      </w:r>
    </w:p>
    <w:p w14:paraId="604BD87E" w14:textId="07EC0177" w:rsidR="003C601D" w:rsidRPr="003C601D" w:rsidRDefault="003C601D" w:rsidP="004F7A62">
      <w:pPr>
        <w:numPr>
          <w:ilvl w:val="0"/>
          <w:numId w:val="241"/>
        </w:numPr>
        <w:shd w:val="clear" w:color="auto" w:fill="FFFFFF"/>
        <w:spacing w:before="100" w:beforeAutospacing="1" w:after="100" w:afterAutospacing="1"/>
        <w:rPr>
          <w:rFonts w:ascii="Arial" w:hAnsi="Arial" w:cs="Arial"/>
          <w:color w:val="000000"/>
          <w:sz w:val="22"/>
          <w:szCs w:val="22"/>
        </w:rPr>
      </w:pPr>
      <w:r w:rsidRPr="003C601D">
        <w:rPr>
          <w:rFonts w:ascii="Arial" w:hAnsi="Arial" w:cs="Arial"/>
          <w:color w:val="000000"/>
          <w:sz w:val="22"/>
          <w:szCs w:val="22"/>
        </w:rPr>
        <w:t>Crecimiento económico</w:t>
      </w:r>
      <w:r w:rsidR="00AB4CC9" w:rsidRPr="00A33A50">
        <w:rPr>
          <w:rFonts w:ascii="Arial" w:hAnsi="Arial" w:cs="Arial"/>
          <w:color w:val="000000"/>
          <w:sz w:val="22"/>
          <w:szCs w:val="22"/>
        </w:rPr>
        <w:t xml:space="preserve"> mercado interno</w:t>
      </w:r>
      <w:r w:rsidRPr="003C601D">
        <w:rPr>
          <w:rFonts w:ascii="Arial" w:hAnsi="Arial" w:cs="Arial"/>
          <w:color w:val="000000"/>
          <w:sz w:val="22"/>
          <w:szCs w:val="22"/>
        </w:rPr>
        <w:t xml:space="preserve"> rápido</w:t>
      </w:r>
    </w:p>
    <w:p w14:paraId="58BD430C" w14:textId="77777777" w:rsidR="003C601D" w:rsidRPr="003C601D" w:rsidRDefault="003C601D" w:rsidP="004F7A62">
      <w:pPr>
        <w:numPr>
          <w:ilvl w:val="0"/>
          <w:numId w:val="241"/>
        </w:numPr>
        <w:shd w:val="clear" w:color="auto" w:fill="FFFFFF"/>
        <w:spacing w:before="100" w:beforeAutospacing="1" w:after="100" w:afterAutospacing="1"/>
        <w:rPr>
          <w:rFonts w:ascii="Arial" w:hAnsi="Arial" w:cs="Arial"/>
          <w:color w:val="000000"/>
          <w:sz w:val="22"/>
          <w:szCs w:val="22"/>
        </w:rPr>
      </w:pPr>
      <w:r w:rsidRPr="003C601D">
        <w:rPr>
          <w:rFonts w:ascii="Arial" w:hAnsi="Arial" w:cs="Arial"/>
          <w:color w:val="000000"/>
          <w:sz w:val="22"/>
          <w:szCs w:val="22"/>
        </w:rPr>
        <w:t>Exportación de bienes y servicios</w:t>
      </w:r>
    </w:p>
    <w:p w14:paraId="6FC20510" w14:textId="77777777" w:rsidR="003C601D" w:rsidRPr="003C601D" w:rsidRDefault="003C601D" w:rsidP="004F7A62">
      <w:pPr>
        <w:numPr>
          <w:ilvl w:val="0"/>
          <w:numId w:val="241"/>
        </w:numPr>
        <w:shd w:val="clear" w:color="auto" w:fill="FFFFFF"/>
        <w:spacing w:before="100" w:beforeAutospacing="1" w:after="100" w:afterAutospacing="1"/>
        <w:rPr>
          <w:rFonts w:ascii="Arial" w:hAnsi="Arial" w:cs="Arial"/>
          <w:color w:val="000000"/>
          <w:sz w:val="22"/>
          <w:szCs w:val="22"/>
        </w:rPr>
      </w:pPr>
      <w:r w:rsidRPr="003C601D">
        <w:rPr>
          <w:rFonts w:ascii="Arial" w:hAnsi="Arial" w:cs="Arial"/>
          <w:color w:val="000000"/>
          <w:sz w:val="22"/>
          <w:szCs w:val="22"/>
        </w:rPr>
        <w:t>Aumento del poder adquisitivo de la población</w:t>
      </w:r>
    </w:p>
    <w:p w14:paraId="014931A0" w14:textId="31B981A8" w:rsidR="003C601D" w:rsidRPr="003C601D" w:rsidRDefault="003C601D" w:rsidP="004F7A62">
      <w:pPr>
        <w:numPr>
          <w:ilvl w:val="0"/>
          <w:numId w:val="241"/>
        </w:numPr>
        <w:shd w:val="clear" w:color="auto" w:fill="FFFFFF"/>
        <w:spacing w:before="100" w:beforeAutospacing="1" w:after="100" w:afterAutospacing="1"/>
        <w:rPr>
          <w:rFonts w:ascii="Arial" w:hAnsi="Arial" w:cs="Arial"/>
          <w:color w:val="000000"/>
          <w:sz w:val="22"/>
          <w:szCs w:val="22"/>
        </w:rPr>
      </w:pPr>
      <w:r w:rsidRPr="003C601D">
        <w:rPr>
          <w:rFonts w:ascii="Arial" w:hAnsi="Arial" w:cs="Arial"/>
          <w:color w:val="000000"/>
          <w:sz w:val="22"/>
          <w:szCs w:val="22"/>
        </w:rPr>
        <w:t>Relaciones comerciales en constante evolución</w:t>
      </w:r>
      <w:r w:rsidR="00AB4CC9" w:rsidRPr="00A33A50">
        <w:rPr>
          <w:rFonts w:ascii="Arial" w:hAnsi="Arial" w:cs="Arial"/>
          <w:color w:val="000000"/>
          <w:sz w:val="22"/>
          <w:szCs w:val="22"/>
        </w:rPr>
        <w:t>.</w:t>
      </w:r>
    </w:p>
    <w:p w14:paraId="70016F82" w14:textId="5B9F02D7" w:rsidR="003C601D" w:rsidRPr="00A33A50" w:rsidRDefault="003C601D" w:rsidP="004F7A62">
      <w:pPr>
        <w:numPr>
          <w:ilvl w:val="0"/>
          <w:numId w:val="241"/>
        </w:numPr>
        <w:shd w:val="clear" w:color="auto" w:fill="FFFFFF"/>
        <w:spacing w:before="100" w:beforeAutospacing="1"/>
        <w:rPr>
          <w:rFonts w:ascii="Arial" w:hAnsi="Arial" w:cs="Arial"/>
          <w:color w:val="000000"/>
          <w:sz w:val="22"/>
          <w:szCs w:val="22"/>
        </w:rPr>
      </w:pPr>
      <w:r w:rsidRPr="003C601D">
        <w:rPr>
          <w:rFonts w:ascii="Arial" w:hAnsi="Arial" w:cs="Arial"/>
          <w:color w:val="000000"/>
          <w:sz w:val="22"/>
          <w:szCs w:val="22"/>
        </w:rPr>
        <w:t>Dependencia de las inversiones extranjeras para desarrollar tecnologías y sectores industriales</w:t>
      </w:r>
    </w:p>
    <w:p w14:paraId="7E3CD442" w14:textId="34890FB0" w:rsidR="00A33A50" w:rsidRPr="003C601D" w:rsidRDefault="00A33A50" w:rsidP="004F7A62">
      <w:pPr>
        <w:numPr>
          <w:ilvl w:val="0"/>
          <w:numId w:val="241"/>
        </w:numPr>
        <w:shd w:val="clear" w:color="auto" w:fill="FFFFFF"/>
        <w:spacing w:before="100" w:beforeAutospacing="1"/>
        <w:rPr>
          <w:rFonts w:ascii="Arial" w:hAnsi="Arial" w:cs="Arial"/>
          <w:color w:val="000000"/>
          <w:sz w:val="22"/>
          <w:szCs w:val="22"/>
        </w:rPr>
      </w:pPr>
      <w:r w:rsidRPr="00A33A50">
        <w:rPr>
          <w:rFonts w:ascii="Arial" w:hAnsi="Arial" w:cs="Arial"/>
          <w:color w:val="000000"/>
          <w:sz w:val="22"/>
          <w:szCs w:val="22"/>
        </w:rPr>
        <w:t>Mediana presencia en el mercado mundial</w:t>
      </w:r>
    </w:p>
    <w:p w14:paraId="1E5C02C8" w14:textId="503A3977" w:rsidR="00D169FF" w:rsidRPr="00A33A50" w:rsidRDefault="00A33A50" w:rsidP="0041503E">
      <w:pPr>
        <w:ind w:left="708"/>
        <w:jc w:val="both"/>
        <w:rPr>
          <w:rFonts w:ascii="Arial" w:hAnsi="Arial" w:cs="Arial"/>
          <w:color w:val="000000" w:themeColor="text1"/>
          <w:sz w:val="22"/>
          <w:szCs w:val="22"/>
          <w:lang w:val="es-ES_tradnl"/>
        </w:rPr>
      </w:pPr>
      <w:r w:rsidRPr="00A33A50">
        <w:rPr>
          <w:rFonts w:ascii="Arial" w:hAnsi="Arial" w:cs="Arial"/>
          <w:color w:val="000000" w:themeColor="text1"/>
          <w:sz w:val="22"/>
          <w:szCs w:val="22"/>
          <w:lang w:val="es-ES_tradnl"/>
        </w:rPr>
        <w:t>Ejemplo</w:t>
      </w:r>
      <w:r>
        <w:rPr>
          <w:rFonts w:ascii="Arial" w:hAnsi="Arial" w:cs="Arial"/>
          <w:color w:val="000000" w:themeColor="text1"/>
          <w:sz w:val="22"/>
          <w:szCs w:val="22"/>
          <w:lang w:val="es-ES_tradnl"/>
        </w:rPr>
        <w:t xml:space="preserve"> de este tipo de países tenemos a los BRICS: Brasil, Rusia, India, China y Sudáfrica, consideradas economías emergentes con gran potencial y crecimiento rápido</w:t>
      </w:r>
    </w:p>
    <w:p w14:paraId="44CDCB61" w14:textId="77777777" w:rsidR="0041503E" w:rsidRPr="00CF1B34" w:rsidRDefault="00A33A50" w:rsidP="0041503E">
      <w:pPr>
        <w:pBdr>
          <w:bottom w:val="dotted" w:sz="12" w:space="12" w:color="666666"/>
        </w:pBdr>
        <w:spacing w:after="240"/>
        <w:ind w:left="720"/>
        <w:jc w:val="both"/>
        <w:rPr>
          <w:rFonts w:ascii="Arial" w:hAnsi="Arial" w:cs="Arial"/>
          <w:color w:val="212529"/>
          <w:sz w:val="22"/>
          <w:szCs w:val="22"/>
          <w:lang w:val="es-ES_tradnl"/>
        </w:rPr>
      </w:pPr>
      <w:r w:rsidRPr="00A33A50">
        <w:rPr>
          <w:rFonts w:ascii="Arial" w:hAnsi="Arial" w:cs="Arial"/>
          <w:color w:val="000000" w:themeColor="text1"/>
          <w:sz w:val="22"/>
          <w:szCs w:val="22"/>
          <w:lang w:val="es-ES_tradnl"/>
        </w:rPr>
        <w:t xml:space="preserve">Si tomamos </w:t>
      </w:r>
      <w:r w:rsidR="0063725C">
        <w:rPr>
          <w:rFonts w:ascii="Arial" w:hAnsi="Arial" w:cs="Arial"/>
          <w:color w:val="000000" w:themeColor="text1"/>
          <w:sz w:val="22"/>
          <w:szCs w:val="22"/>
          <w:lang w:val="es-ES_tradnl"/>
        </w:rPr>
        <w:t xml:space="preserve">a China </w:t>
      </w:r>
      <w:r w:rsidRPr="00A33A50">
        <w:rPr>
          <w:rFonts w:ascii="Arial" w:hAnsi="Arial" w:cs="Arial"/>
          <w:color w:val="000000" w:themeColor="text1"/>
          <w:sz w:val="22"/>
          <w:szCs w:val="22"/>
          <w:lang w:val="es-ES_tradnl"/>
        </w:rPr>
        <w:t>como ejemplo</w:t>
      </w:r>
      <w:r w:rsidR="0063725C">
        <w:rPr>
          <w:rFonts w:ascii="Arial" w:hAnsi="Arial" w:cs="Arial"/>
          <w:color w:val="000000" w:themeColor="text1"/>
          <w:sz w:val="22"/>
          <w:szCs w:val="22"/>
          <w:lang w:val="es-ES_tradnl"/>
        </w:rPr>
        <w:t xml:space="preserve"> este país destina la mayor parte de sus productos a la exportación, con gran parte de su población en el sector primario (agricultura) y al mismo tiempo, permitió entrar en su economía empresas internacionales lo que ha elevado el comercio internacional y las inversiones.</w:t>
      </w:r>
    </w:p>
    <w:p w14:paraId="26F12292" w14:textId="61A86324" w:rsidR="006A1294" w:rsidRPr="00CF1B34" w:rsidRDefault="006A129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Papel comercial</w:t>
      </w:r>
    </w:p>
    <w:p w14:paraId="4EF29A4B" w14:textId="77777777" w:rsidR="00D8764F" w:rsidRPr="00CF1B34" w:rsidRDefault="00CA145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instrumenta en forma de pagares que reconocen una deuda a un vencimiento determinado y que tiene como sujetos al emisor, el tomador, el dealer y el banco agente.</w:t>
      </w:r>
      <w:r w:rsidR="00D8764F" w:rsidRPr="00CF1B34">
        <w:rPr>
          <w:rFonts w:ascii="Arial" w:hAnsi="Arial" w:cs="Arial"/>
          <w:color w:val="000000" w:themeColor="text1"/>
          <w:sz w:val="22"/>
          <w:szCs w:val="22"/>
          <w:lang w:val="es-ES_tradnl"/>
        </w:rPr>
        <w:t xml:space="preserve"> </w:t>
      </w:r>
      <w:r w:rsidR="00D8764F" w:rsidRPr="00CF1B34">
        <w:rPr>
          <w:rFonts w:ascii="Arial" w:hAnsi="Arial" w:cs="Arial"/>
          <w:color w:val="000000"/>
          <w:sz w:val="22"/>
          <w:szCs w:val="22"/>
          <w:shd w:val="clear" w:color="auto" w:fill="FFFFFF"/>
          <w:lang w:val="es-ES_tradnl"/>
        </w:rPr>
        <w:t>Títulos valores emitidos a corto plazo (entre 15 y 270 días) por sociedades anónimas que han obtenido previamente la autorización correspondiente de la Comisión Nacional del Mercado de Valores, para ofrecerlos al público.</w:t>
      </w:r>
    </w:p>
    <w:p w14:paraId="5ED2A619" w14:textId="1B0C7033" w:rsidR="006A1294" w:rsidRPr="00CF1B34" w:rsidRDefault="006A129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Paradoja de tipos de inter</w:t>
      </w:r>
      <w:r w:rsidR="00804DA5">
        <w:rPr>
          <w:rFonts w:ascii="Arial" w:hAnsi="Arial" w:cs="Arial"/>
          <w:b/>
          <w:bCs/>
          <w:color w:val="004773"/>
          <w:sz w:val="22"/>
          <w:szCs w:val="22"/>
          <w:lang w:val="es-ES_tradnl"/>
        </w:rPr>
        <w:t>é</w:t>
      </w:r>
      <w:r w:rsidRPr="00CF1B34">
        <w:rPr>
          <w:rFonts w:ascii="Arial" w:hAnsi="Arial" w:cs="Arial"/>
          <w:b/>
          <w:bCs/>
          <w:color w:val="004773"/>
          <w:sz w:val="22"/>
          <w:szCs w:val="22"/>
          <w:lang w:val="es-ES_tradnl"/>
        </w:rPr>
        <w:t>s</w:t>
      </w:r>
    </w:p>
    <w:p w14:paraId="3273C2FA" w14:textId="77777777" w:rsidR="00CE031C" w:rsidRPr="00CF1B34" w:rsidRDefault="00CA145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Efecto propio de sistemas de tipos de cambio semifijos como el Sistema Monetario Europeo, por el </w:t>
      </w:r>
      <w:r w:rsidR="00CE031C" w:rsidRPr="00CF1B34">
        <w:rPr>
          <w:rFonts w:ascii="Arial" w:hAnsi="Arial" w:cs="Arial"/>
          <w:color w:val="000000" w:themeColor="text1"/>
          <w:sz w:val="22"/>
          <w:szCs w:val="22"/>
          <w:lang w:val="es-ES_tradnl"/>
        </w:rPr>
        <w:t>que la moneda de un país con mayor tasa de inflación y problemas de convergencia se aprecia frente a la de otros países con menores tasas de inflación y mayores niveles de estabilidad, debido a la insuficiencia de las políticas de convergencia aplicadas por el primer país.</w:t>
      </w:r>
    </w:p>
    <w:p w14:paraId="008BF665" w14:textId="617FE861"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Paraíso fiscal</w:t>
      </w:r>
    </w:p>
    <w:p w14:paraId="27A73974" w14:textId="2F1FC1C7" w:rsidR="0041503E" w:rsidRPr="002D0FAD" w:rsidRDefault="00A23A19" w:rsidP="002D0FAD">
      <w:pPr>
        <w:pStyle w:val="NormalWeb"/>
        <w:shd w:val="clear" w:color="auto" w:fill="FFFFFF"/>
        <w:spacing w:before="0" w:beforeAutospacing="0" w:after="165" w:afterAutospacing="0"/>
        <w:ind w:left="708"/>
        <w:rPr>
          <w:rFonts w:ascii="Arial" w:hAnsi="Arial" w:cs="Arial"/>
          <w:color w:val="333333"/>
          <w:sz w:val="22"/>
          <w:szCs w:val="22"/>
        </w:rPr>
      </w:pPr>
      <w:r w:rsidRPr="00CF1B34">
        <w:rPr>
          <w:rFonts w:ascii="Arial" w:hAnsi="Arial" w:cs="Arial"/>
          <w:color w:val="212529"/>
          <w:sz w:val="22"/>
          <w:szCs w:val="22"/>
          <w:lang w:val="es-ES_tradnl"/>
        </w:rPr>
        <w:t>Es la denominación con que se hace referencia a aquellos países que aplican una presión fiscal inferior a la habitual (y también, a menudo, una regulación financiera menos estricta). De esta manera, consiguen captar importantes volúmenes de capitales internacionales. En el mundo existen en torno a 50 paraísos fiscales.</w:t>
      </w:r>
      <w:r w:rsidR="0041503E">
        <w:rPr>
          <w:rFonts w:ascii="Arial" w:hAnsi="Arial" w:cs="Arial"/>
          <w:color w:val="212529"/>
          <w:sz w:val="22"/>
          <w:szCs w:val="22"/>
          <w:lang w:val="es-ES_tradnl"/>
        </w:rPr>
        <w:t xml:space="preserve"> </w:t>
      </w:r>
      <w:r w:rsidR="0041503E">
        <w:rPr>
          <w:rFonts w:ascii="Open Sans" w:hAnsi="Open Sans" w:cs="Open Sans"/>
          <w:color w:val="333333"/>
        </w:rPr>
        <w:t xml:space="preserve">La </w:t>
      </w:r>
      <w:r w:rsidR="0041503E" w:rsidRPr="002D0FAD">
        <w:rPr>
          <w:rStyle w:val="Textoennegrita"/>
          <w:rFonts w:ascii="Arial" w:hAnsi="Arial" w:cs="Arial"/>
          <w:color w:val="333333"/>
          <w:sz w:val="22"/>
          <w:szCs w:val="22"/>
        </w:rPr>
        <w:t>Organización para la Cooperación y el Desarrollo Económico</w:t>
      </w:r>
      <w:r w:rsidR="0041503E" w:rsidRPr="002D0FAD">
        <w:rPr>
          <w:rFonts w:ascii="Arial" w:hAnsi="Arial" w:cs="Arial"/>
          <w:color w:val="333333"/>
          <w:sz w:val="22"/>
          <w:szCs w:val="22"/>
        </w:rPr>
        <w:t xml:space="preserve"> (OCDE), evalúa cuatro factores clave para determinar si una jurisdicción es o no un paraíso fiscal:</w:t>
      </w:r>
    </w:p>
    <w:p w14:paraId="5553D122" w14:textId="2A28158A" w:rsidR="0041503E" w:rsidRPr="002D0FAD" w:rsidRDefault="0041503E" w:rsidP="002D0FAD">
      <w:pPr>
        <w:pStyle w:val="NormalWeb"/>
        <w:shd w:val="clear" w:color="auto" w:fill="FFFFFF"/>
        <w:spacing w:before="0" w:beforeAutospacing="0" w:after="165" w:afterAutospacing="0"/>
        <w:ind w:left="708"/>
        <w:rPr>
          <w:rFonts w:ascii="Arial" w:hAnsi="Arial" w:cs="Arial"/>
          <w:color w:val="333333"/>
          <w:sz w:val="22"/>
          <w:szCs w:val="22"/>
        </w:rPr>
      </w:pPr>
      <w:r w:rsidRPr="002D0FAD">
        <w:rPr>
          <w:rFonts w:ascii="Arial" w:hAnsi="Arial" w:cs="Arial"/>
          <w:color w:val="333333"/>
          <w:sz w:val="22"/>
          <w:szCs w:val="22"/>
        </w:rPr>
        <w:t xml:space="preserve">1- La jurisdicción </w:t>
      </w:r>
      <w:r w:rsidRPr="002D0FAD">
        <w:rPr>
          <w:rStyle w:val="Textoennegrita"/>
          <w:rFonts w:ascii="Arial" w:hAnsi="Arial" w:cs="Arial"/>
          <w:color w:val="333333"/>
          <w:sz w:val="22"/>
          <w:szCs w:val="22"/>
        </w:rPr>
        <w:t>no impone impuestos o éstos son sólo nominales</w:t>
      </w:r>
      <w:r w:rsidRPr="002D0FAD">
        <w:rPr>
          <w:rFonts w:ascii="Arial" w:hAnsi="Arial" w:cs="Arial"/>
          <w:color w:val="333333"/>
          <w:sz w:val="22"/>
          <w:szCs w:val="22"/>
        </w:rPr>
        <w:t>. Si no hay impuestos directos, pero sí indirectos, se utilizan los siguientes tres factores para determinar si es o no un</w:t>
      </w:r>
      <w:r w:rsidR="002D0FAD" w:rsidRPr="002D0FAD">
        <w:rPr>
          <w:rFonts w:ascii="Arial" w:hAnsi="Arial" w:cs="Arial"/>
          <w:color w:val="333333"/>
          <w:sz w:val="22"/>
          <w:szCs w:val="22"/>
        </w:rPr>
        <w:t xml:space="preserve"> </w:t>
      </w:r>
      <w:r w:rsidRPr="002D0FAD">
        <w:rPr>
          <w:rStyle w:val="Textoennegrita"/>
          <w:rFonts w:ascii="Arial" w:hAnsi="Arial" w:cs="Arial"/>
          <w:b w:val="0"/>
          <w:bCs w:val="0"/>
          <w:color w:val="333333"/>
          <w:sz w:val="22"/>
          <w:szCs w:val="22"/>
        </w:rPr>
        <w:t>paraíso fiscal</w:t>
      </w:r>
      <w:r w:rsidRPr="002D0FAD">
        <w:rPr>
          <w:rFonts w:ascii="Arial" w:hAnsi="Arial" w:cs="Arial"/>
          <w:color w:val="333333"/>
          <w:sz w:val="22"/>
          <w:szCs w:val="22"/>
        </w:rPr>
        <w:t>.</w:t>
      </w:r>
    </w:p>
    <w:p w14:paraId="0B8AF5D3" w14:textId="4B7DB479" w:rsidR="0041503E" w:rsidRPr="002D0FAD" w:rsidRDefault="0041503E" w:rsidP="002D0FAD">
      <w:pPr>
        <w:pStyle w:val="NormalWeb"/>
        <w:shd w:val="clear" w:color="auto" w:fill="FFFFFF"/>
        <w:spacing w:before="0" w:beforeAutospacing="0" w:after="165" w:afterAutospacing="0"/>
        <w:ind w:left="708"/>
        <w:rPr>
          <w:rFonts w:ascii="Arial" w:hAnsi="Arial" w:cs="Arial"/>
          <w:color w:val="333333"/>
          <w:sz w:val="22"/>
          <w:szCs w:val="22"/>
        </w:rPr>
      </w:pPr>
      <w:r w:rsidRPr="002D0FAD">
        <w:rPr>
          <w:rFonts w:ascii="Arial" w:hAnsi="Arial" w:cs="Arial"/>
          <w:color w:val="333333"/>
          <w:sz w:val="22"/>
          <w:szCs w:val="22"/>
        </w:rPr>
        <w:t xml:space="preserve">2- Si </w:t>
      </w:r>
      <w:r w:rsidRPr="002D0FAD">
        <w:rPr>
          <w:rStyle w:val="Textoennegrita"/>
          <w:rFonts w:ascii="Arial" w:hAnsi="Arial" w:cs="Arial"/>
          <w:color w:val="333333"/>
          <w:sz w:val="22"/>
          <w:szCs w:val="22"/>
        </w:rPr>
        <w:t>las leyes no permiten el intercambio de información</w:t>
      </w:r>
      <w:r w:rsidR="002D0FAD" w:rsidRPr="002D0FAD">
        <w:rPr>
          <w:rFonts w:ascii="Arial" w:hAnsi="Arial" w:cs="Arial"/>
          <w:color w:val="333333"/>
          <w:sz w:val="22"/>
          <w:szCs w:val="22"/>
        </w:rPr>
        <w:t xml:space="preserve"> </w:t>
      </w:r>
      <w:r w:rsidRPr="002D0FAD">
        <w:rPr>
          <w:rFonts w:ascii="Arial" w:hAnsi="Arial" w:cs="Arial"/>
          <w:color w:val="333333"/>
          <w:sz w:val="22"/>
          <w:szCs w:val="22"/>
        </w:rPr>
        <w:t>con otros países en relación a contribuyentes que se benefician con los bajos impuestos.</w:t>
      </w:r>
    </w:p>
    <w:p w14:paraId="6D05456A" w14:textId="04C97EC4" w:rsidR="0041503E" w:rsidRPr="002D0FAD" w:rsidRDefault="0041503E" w:rsidP="002D0FAD">
      <w:pPr>
        <w:pStyle w:val="NormalWeb"/>
        <w:shd w:val="clear" w:color="auto" w:fill="FFFFFF"/>
        <w:spacing w:before="0" w:beforeAutospacing="0" w:after="165" w:afterAutospacing="0"/>
        <w:ind w:firstLine="708"/>
        <w:rPr>
          <w:rFonts w:ascii="Arial" w:hAnsi="Arial" w:cs="Arial"/>
          <w:color w:val="333333"/>
          <w:sz w:val="22"/>
          <w:szCs w:val="22"/>
        </w:rPr>
      </w:pPr>
      <w:r w:rsidRPr="002D0FAD">
        <w:rPr>
          <w:rFonts w:ascii="Arial" w:hAnsi="Arial" w:cs="Arial"/>
          <w:color w:val="333333"/>
          <w:sz w:val="22"/>
          <w:szCs w:val="22"/>
        </w:rPr>
        <w:lastRenderedPageBreak/>
        <w:t xml:space="preserve">3- Si hay </w:t>
      </w:r>
      <w:r w:rsidRPr="002D0FAD">
        <w:rPr>
          <w:rStyle w:val="Textoennegrita"/>
          <w:rFonts w:ascii="Arial" w:hAnsi="Arial" w:cs="Arial"/>
          <w:color w:val="333333"/>
          <w:sz w:val="22"/>
          <w:szCs w:val="22"/>
        </w:rPr>
        <w:t>falta de transparencia</w:t>
      </w:r>
      <w:r w:rsidRPr="002D0FAD">
        <w:rPr>
          <w:rFonts w:ascii="Arial" w:hAnsi="Arial" w:cs="Arial"/>
          <w:color w:val="333333"/>
          <w:sz w:val="22"/>
          <w:szCs w:val="22"/>
        </w:rPr>
        <w:t>.</w:t>
      </w:r>
    </w:p>
    <w:p w14:paraId="7E44E253" w14:textId="56B75C82" w:rsidR="0041503E" w:rsidRPr="002D0FAD" w:rsidRDefault="0041503E" w:rsidP="00014B56">
      <w:pPr>
        <w:pStyle w:val="NormalWeb"/>
        <w:shd w:val="clear" w:color="auto" w:fill="FFFFFF"/>
        <w:spacing w:before="0" w:beforeAutospacing="0" w:after="165" w:afterAutospacing="0"/>
        <w:ind w:left="708"/>
        <w:rPr>
          <w:rFonts w:ascii="Arial" w:hAnsi="Arial" w:cs="Arial"/>
          <w:color w:val="333333"/>
          <w:sz w:val="22"/>
          <w:szCs w:val="22"/>
        </w:rPr>
      </w:pPr>
      <w:r w:rsidRPr="002D0FAD">
        <w:rPr>
          <w:rFonts w:ascii="Arial" w:hAnsi="Arial" w:cs="Arial"/>
          <w:color w:val="333333"/>
          <w:sz w:val="22"/>
          <w:szCs w:val="22"/>
        </w:rPr>
        <w:t>4-</w:t>
      </w:r>
      <w:r w:rsidR="002D0FAD" w:rsidRPr="002D0FAD">
        <w:rPr>
          <w:rFonts w:ascii="Arial" w:hAnsi="Arial" w:cs="Arial"/>
          <w:color w:val="333333"/>
          <w:sz w:val="22"/>
          <w:szCs w:val="22"/>
        </w:rPr>
        <w:t xml:space="preserve"> </w:t>
      </w:r>
      <w:r w:rsidRPr="002D0FAD">
        <w:rPr>
          <w:rFonts w:ascii="Arial" w:hAnsi="Arial" w:cs="Arial"/>
          <w:color w:val="333333"/>
          <w:sz w:val="22"/>
          <w:szCs w:val="22"/>
        </w:rPr>
        <w:t>Si se permite a los</w:t>
      </w:r>
      <w:r w:rsidR="002D0FAD" w:rsidRPr="002D0FAD">
        <w:rPr>
          <w:rFonts w:ascii="Arial" w:hAnsi="Arial" w:cs="Arial"/>
          <w:color w:val="333333"/>
          <w:sz w:val="22"/>
          <w:szCs w:val="22"/>
        </w:rPr>
        <w:t xml:space="preserve"> </w:t>
      </w:r>
      <w:r w:rsidRPr="002D0FAD">
        <w:rPr>
          <w:rStyle w:val="Textoennegrita"/>
          <w:rFonts w:ascii="Arial" w:hAnsi="Arial" w:cs="Arial"/>
          <w:color w:val="333333"/>
          <w:sz w:val="22"/>
          <w:szCs w:val="22"/>
        </w:rPr>
        <w:t>no residentes beneficiarse de rebajas impositivas</w:t>
      </w:r>
      <w:r w:rsidRPr="002D0FAD">
        <w:rPr>
          <w:rFonts w:ascii="Arial" w:hAnsi="Arial" w:cs="Arial"/>
          <w:color w:val="333333"/>
          <w:sz w:val="22"/>
          <w:szCs w:val="22"/>
        </w:rPr>
        <w:t>, aún cuando no desarrollen una actividad en el país.</w:t>
      </w:r>
    </w:p>
    <w:p w14:paraId="4429A84C" w14:textId="77777777" w:rsidR="002D0FAD" w:rsidRPr="00CF1B34" w:rsidRDefault="0041503E" w:rsidP="002D0FAD">
      <w:pPr>
        <w:pBdr>
          <w:bottom w:val="dotted" w:sz="12" w:space="12" w:color="666666"/>
        </w:pBdr>
        <w:spacing w:after="240"/>
        <w:ind w:left="720"/>
        <w:jc w:val="both"/>
        <w:rPr>
          <w:rFonts w:ascii="Arial" w:hAnsi="Arial" w:cs="Arial"/>
          <w:color w:val="212529"/>
          <w:sz w:val="22"/>
          <w:szCs w:val="22"/>
          <w:lang w:val="es-ES_tradnl"/>
        </w:rPr>
      </w:pPr>
      <w:r w:rsidRPr="0041503E">
        <w:rPr>
          <w:rFonts w:ascii="Arial" w:hAnsi="Arial" w:cs="Arial"/>
          <w:color w:val="333333"/>
          <w:sz w:val="22"/>
          <w:szCs w:val="22"/>
          <w:shd w:val="clear" w:color="auto" w:fill="FFFFFF"/>
        </w:rPr>
        <w:t>Otra de las características de los</w:t>
      </w:r>
      <w:r w:rsidRPr="002D0FAD">
        <w:rPr>
          <w:rFonts w:ascii="Arial" w:hAnsi="Arial" w:cs="Arial"/>
          <w:color w:val="333333"/>
          <w:sz w:val="22"/>
          <w:szCs w:val="22"/>
          <w:shd w:val="clear" w:color="auto" w:fill="FFFFFF"/>
        </w:rPr>
        <w:t xml:space="preserve"> </w:t>
      </w:r>
      <w:r w:rsidRPr="002D0FAD">
        <w:rPr>
          <w:rFonts w:ascii="Arial" w:hAnsi="Arial" w:cs="Arial"/>
          <w:b/>
          <w:bCs/>
          <w:color w:val="333333"/>
          <w:sz w:val="22"/>
          <w:szCs w:val="22"/>
          <w:shd w:val="clear" w:color="auto" w:fill="FFFFFF"/>
        </w:rPr>
        <w:t>paraísos fiscales</w:t>
      </w:r>
      <w:r w:rsidRPr="002D0FAD">
        <w:rPr>
          <w:rFonts w:ascii="Arial" w:hAnsi="Arial" w:cs="Arial"/>
          <w:color w:val="333333"/>
          <w:sz w:val="22"/>
          <w:szCs w:val="22"/>
          <w:shd w:val="clear" w:color="auto" w:fill="FFFFFF"/>
        </w:rPr>
        <w:t xml:space="preserve"> </w:t>
      </w:r>
      <w:r w:rsidRPr="0041503E">
        <w:rPr>
          <w:rFonts w:ascii="Arial" w:hAnsi="Arial" w:cs="Arial"/>
          <w:color w:val="333333"/>
          <w:sz w:val="22"/>
          <w:szCs w:val="22"/>
          <w:shd w:val="clear" w:color="auto" w:fill="FFFFFF"/>
        </w:rPr>
        <w:t>es que suelen convivir dos regímenes fiscales. Por un lado, el que afecta a los residentes y empresas locales, y por el otro, el de los no residentes, que gozan de ventajas fiscales.</w:t>
      </w:r>
      <w:r w:rsidR="002D0FAD">
        <w:rPr>
          <w:rFonts w:ascii="Arial" w:hAnsi="Arial" w:cs="Arial"/>
          <w:color w:val="333333"/>
          <w:sz w:val="22"/>
          <w:szCs w:val="22"/>
          <w:shd w:val="clear" w:color="auto" w:fill="FFFFFF"/>
        </w:rPr>
        <w:t xml:space="preserve"> </w:t>
      </w:r>
      <w:r w:rsidR="002D0FAD" w:rsidRPr="002D0FAD">
        <w:rPr>
          <w:rFonts w:ascii="Arial" w:hAnsi="Arial" w:cs="Arial"/>
          <w:color w:val="000000"/>
          <w:sz w:val="22"/>
          <w:szCs w:val="22"/>
          <w:shd w:val="clear" w:color="auto" w:fill="FFFFFF"/>
        </w:rPr>
        <w:t>Aunque el término “paraíso fiscal” ya no se utiliza oficialmente, los países y territorios con baja o nula tributación y falta de cooperación fiscal siguen siendo un tema relevante en la lucha contra el fraude fiscal y la evasión tributaria.</w:t>
      </w:r>
    </w:p>
    <w:p w14:paraId="604A3324" w14:textId="2CF10703" w:rsidR="006A1294" w:rsidRPr="00CF1B34" w:rsidRDefault="006A129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Paridad</w:t>
      </w:r>
    </w:p>
    <w:p w14:paraId="0E355BA1" w14:textId="77777777" w:rsidR="00CE031C" w:rsidRPr="00CF1B34" w:rsidRDefault="00CE031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considera paridad a la relación de cambio entre las distintas monedas.</w:t>
      </w:r>
    </w:p>
    <w:p w14:paraId="5E7A1660" w14:textId="0B320148" w:rsidR="00014B56" w:rsidRDefault="00014B56"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Paro</w:t>
      </w:r>
    </w:p>
    <w:p w14:paraId="1EF88F92" w14:textId="77777777" w:rsidR="00014B56" w:rsidRPr="00014B56" w:rsidRDefault="00014B56" w:rsidP="00014B56">
      <w:pPr>
        <w:ind w:firstLine="708"/>
        <w:rPr>
          <w:rFonts w:ascii="Arial" w:hAnsi="Arial" w:cs="Arial"/>
          <w:sz w:val="22"/>
          <w:szCs w:val="22"/>
        </w:rPr>
      </w:pPr>
      <w:r w:rsidRPr="00014B56">
        <w:rPr>
          <w:rFonts w:ascii="Arial" w:hAnsi="Arial" w:cs="Arial"/>
          <w:sz w:val="22"/>
          <w:szCs w:val="22"/>
        </w:rPr>
        <w:t>El paro es un concepto que puede referirse normalmente a dos acepciones:</w:t>
      </w:r>
    </w:p>
    <w:p w14:paraId="40A886EA" w14:textId="507F2EA0" w:rsidR="00014B56" w:rsidRPr="00014B56" w:rsidRDefault="00014B56" w:rsidP="00014B56">
      <w:pPr>
        <w:ind w:left="708"/>
        <w:rPr>
          <w:rFonts w:ascii="Arial" w:hAnsi="Arial" w:cs="Arial"/>
          <w:sz w:val="22"/>
          <w:szCs w:val="22"/>
        </w:rPr>
      </w:pPr>
      <w:r w:rsidRPr="00014B56">
        <w:rPr>
          <w:rFonts w:ascii="Arial" w:hAnsi="Arial" w:cs="Arial"/>
          <w:b/>
          <w:bCs/>
          <w:sz w:val="22"/>
          <w:szCs w:val="22"/>
        </w:rPr>
        <w:t xml:space="preserve">Desempleo: </w:t>
      </w:r>
      <w:r w:rsidRPr="00014B56">
        <w:rPr>
          <w:rFonts w:ascii="Arial" w:hAnsi="Arial" w:cs="Arial"/>
          <w:sz w:val="22"/>
          <w:szCs w:val="22"/>
        </w:rPr>
        <w:t>Se mide con el numero de parados registrados por el Servicio Público de Empleo Estatal (antiguo INEM). Los datos son publicados en el gabinete de comunicación del Ministerio de Trabajo e Inmigración.</w:t>
      </w:r>
    </w:p>
    <w:p w14:paraId="09C2E6EF" w14:textId="77777777" w:rsidR="00014B56" w:rsidRPr="00CF1B34" w:rsidRDefault="00014B56" w:rsidP="00014B56">
      <w:pPr>
        <w:pBdr>
          <w:bottom w:val="dotted" w:sz="12" w:space="12" w:color="666666"/>
        </w:pBdr>
        <w:spacing w:after="240"/>
        <w:ind w:left="720"/>
        <w:jc w:val="both"/>
        <w:rPr>
          <w:rFonts w:ascii="Arial" w:hAnsi="Arial" w:cs="Arial"/>
          <w:color w:val="212529"/>
          <w:sz w:val="22"/>
          <w:szCs w:val="22"/>
          <w:lang w:val="es-ES_tradnl"/>
        </w:rPr>
      </w:pPr>
      <w:r w:rsidRPr="00014B56">
        <w:rPr>
          <w:rFonts w:ascii="Arial" w:hAnsi="Arial" w:cs="Arial"/>
          <w:b/>
          <w:bCs/>
          <w:sz w:val="22"/>
          <w:szCs w:val="22"/>
        </w:rPr>
        <w:t>Tasa de Paro</w:t>
      </w:r>
      <w:r w:rsidRPr="00014B56">
        <w:rPr>
          <w:rFonts w:ascii="Arial" w:hAnsi="Arial" w:cs="Arial"/>
          <w:sz w:val="22"/>
          <w:szCs w:val="22"/>
        </w:rPr>
        <w:t xml:space="preserve">: Se calcula con la </w:t>
      </w:r>
      <w:hyperlink r:id="rId303" w:history="1">
        <w:r w:rsidRPr="00014B56">
          <w:rPr>
            <w:rFonts w:ascii="Arial" w:hAnsi="Arial" w:cs="Arial"/>
            <w:b/>
            <w:bCs/>
            <w:sz w:val="22"/>
            <w:szCs w:val="22"/>
          </w:rPr>
          <w:t>Encuesta de Población Activa</w:t>
        </w:r>
      </w:hyperlink>
      <w:r w:rsidRPr="00014B56">
        <w:rPr>
          <w:rFonts w:ascii="Arial" w:hAnsi="Arial" w:cs="Arial"/>
          <w:sz w:val="22"/>
          <w:szCs w:val="22"/>
        </w:rPr>
        <w:t xml:space="preserve"> y es la relación entre los que se declaran parados y la población activa. Dicha encuesta (EPA) la realiza el Instituto Nacional de Estadística (INE) trimestralmente, con datos propios a partir de las encuestas que realizan.</w:t>
      </w:r>
    </w:p>
    <w:p w14:paraId="6248295D" w14:textId="1C385E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Participación</w:t>
      </w:r>
    </w:p>
    <w:p w14:paraId="50EAF8D2" w14:textId="754993B6" w:rsidR="00F17AF5" w:rsidRPr="00CF1B34" w:rsidRDefault="00A23A19"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212529"/>
          <w:sz w:val="22"/>
          <w:szCs w:val="22"/>
          <w:lang w:val="es-ES_tradnl"/>
        </w:rPr>
        <w:t>En el ámbito de la inversión colectiva, es la unidad de inversión en un fondo; representa cada una de las partes iguales en las que se divide el patrimonio, y tiene la consideración de valor negociable. Su precio se denomina valor liquidativo.</w:t>
      </w:r>
      <w:r w:rsidR="00F17AF5" w:rsidRPr="00CF1B34">
        <w:rPr>
          <w:rFonts w:ascii="Arial" w:hAnsi="Arial" w:cs="Arial"/>
          <w:color w:val="191B1C"/>
          <w:sz w:val="22"/>
          <w:szCs w:val="22"/>
          <w:lang w:val="es-ES_tradnl"/>
        </w:rPr>
        <w:t xml:space="preserve"> Para invertir en un fondo es necesario comprar participaciones, esta operación de compra se denomina suscripción. La operación de venta de participaciones para recuperar el capital invertido y las pérdidas o ganancias correspondientes, se denomina reembolso.</w:t>
      </w:r>
    </w:p>
    <w:p w14:paraId="61586029" w14:textId="77777777" w:rsidR="00F17AF5" w:rsidRPr="00CF1B34" w:rsidRDefault="00F17AF5"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precio de cada una de las participaciones se denomina valor liquidativo. Este valor se obtiene dividiendo el patrimonio del fondo entre el número total de participaciones emitidas. Este valor cambia diariamente en función de la rentabilidad que posea la cartera de activos del fondo.</w:t>
      </w:r>
    </w:p>
    <w:p w14:paraId="166DF6DD" w14:textId="77777777" w:rsidR="00F17AF5" w:rsidRPr="00CF1B34" w:rsidRDefault="00F17AF5" w:rsidP="0005621A">
      <w:pPr>
        <w:shd w:val="clear" w:color="auto" w:fill="FFFFFF"/>
        <w:spacing w:after="100" w:afterAutospacing="1"/>
        <w:ind w:firstLine="708"/>
        <w:jc w:val="both"/>
        <w:outlineLvl w:val="1"/>
        <w:rPr>
          <w:rFonts w:ascii="Arial" w:hAnsi="Arial" w:cs="Arial"/>
          <w:color w:val="191B1C"/>
          <w:sz w:val="22"/>
          <w:szCs w:val="22"/>
          <w:lang w:val="es-ES_tradnl"/>
        </w:rPr>
      </w:pPr>
      <w:r w:rsidRPr="00CF1B34">
        <w:rPr>
          <w:rFonts w:ascii="Arial" w:hAnsi="Arial" w:cs="Arial"/>
          <w:b/>
          <w:bCs/>
          <w:color w:val="191B1C"/>
          <w:sz w:val="22"/>
          <w:szCs w:val="22"/>
          <w:lang w:val="es-ES_tradnl"/>
        </w:rPr>
        <w:t>¿Qué son las clases de participaciones en un fondo de inversión?</w:t>
      </w:r>
    </w:p>
    <w:p w14:paraId="13A43A54" w14:textId="77777777" w:rsidR="00F17AF5" w:rsidRPr="00CF1B34" w:rsidRDefault="00F17AF5"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patrimonio de un fondo es común, pero se divide en diferentes participaciones y estas se agrupan en clases.</w:t>
      </w:r>
    </w:p>
    <w:p w14:paraId="1E5E6B47" w14:textId="77777777" w:rsidR="00F17AF5" w:rsidRPr="00CF1B34" w:rsidRDefault="00F17AF5"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Las diferentes clases de participaciones se identifican con un código ISIN formado por 12 caracteres, los dos primeros identifican el país y los siguientes el valor mobiliario correspondiente. Estos códigos son identificadores únicos a nivel internacional.</w:t>
      </w:r>
    </w:p>
    <w:p w14:paraId="27465691" w14:textId="77777777" w:rsidR="00F17AF5" w:rsidRPr="00CF1B34" w:rsidRDefault="00F17AF5" w:rsidP="0005621A">
      <w:pPr>
        <w:shd w:val="clear" w:color="auto" w:fill="FFFFFF"/>
        <w:spacing w:after="100" w:afterAutospacing="1"/>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Existen varias clasificaciones diferentes:</w:t>
      </w:r>
    </w:p>
    <w:p w14:paraId="5073AF00" w14:textId="77777777" w:rsidR="00F17AF5" w:rsidRPr="00CF1B34" w:rsidRDefault="00F17AF5" w:rsidP="004F7A62">
      <w:pPr>
        <w:numPr>
          <w:ilvl w:val="0"/>
          <w:numId w:val="4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t>En función de la divisa pueden ser EUR, USD, etc.</w:t>
      </w:r>
    </w:p>
    <w:p w14:paraId="010D60EE" w14:textId="77777777" w:rsidR="00F17AF5" w:rsidRPr="00CF1B34" w:rsidRDefault="00F17AF5" w:rsidP="004F7A62">
      <w:pPr>
        <w:numPr>
          <w:ilvl w:val="0"/>
          <w:numId w:val="4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En función del volumen de inversión existen clases de banca privada, minoristas o institucionales.</w:t>
      </w:r>
    </w:p>
    <w:p w14:paraId="794C3A56" w14:textId="77777777" w:rsidR="00F17AF5" w:rsidRPr="00CF1B34" w:rsidRDefault="00F17AF5" w:rsidP="004F7A62">
      <w:pPr>
        <w:numPr>
          <w:ilvl w:val="0"/>
          <w:numId w:val="42"/>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color w:val="191B1C"/>
          <w:sz w:val="22"/>
          <w:szCs w:val="22"/>
          <w:lang w:val="es-ES_tradnl"/>
        </w:rPr>
        <w:t>En función del reparto de dividendos existen las clases de acumulación también denominadas capitalización y las clases de reparto que son aquellas que distribuyen sus dividendos.</w:t>
      </w:r>
    </w:p>
    <w:p w14:paraId="3572BFA6" w14:textId="77777777" w:rsidR="00014B56" w:rsidRPr="00CF1B34" w:rsidRDefault="00F17AF5" w:rsidP="00014B56">
      <w:pPr>
        <w:pBdr>
          <w:bottom w:val="dotted" w:sz="12" w:space="12" w:color="666666"/>
        </w:pBdr>
        <w:spacing w:after="240"/>
        <w:ind w:left="720"/>
        <w:jc w:val="both"/>
        <w:rPr>
          <w:rFonts w:ascii="Arial" w:hAnsi="Arial" w:cs="Arial"/>
          <w:color w:val="212529"/>
          <w:sz w:val="22"/>
          <w:szCs w:val="22"/>
          <w:lang w:val="es-ES_tradnl"/>
        </w:rPr>
      </w:pPr>
      <w:r w:rsidRPr="00014B56">
        <w:rPr>
          <w:rFonts w:ascii="Arial" w:hAnsi="Arial" w:cs="Arial"/>
          <w:sz w:val="22"/>
          <w:szCs w:val="22"/>
          <w:lang w:val="es-ES_tradnl"/>
        </w:rPr>
        <w:t>Además de las participaciones en un fondo de inversión, existen las participaciones en una sociedad limitada. En este caso hablamos de participación para referirnos a cada una de las partes alícuotas en las que se divide el capital social de una sociedad.</w:t>
      </w:r>
    </w:p>
    <w:p w14:paraId="75AD1161"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Participación significativa</w:t>
      </w:r>
    </w:p>
    <w:p w14:paraId="0B80AB0E"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Porcentaje del capital de una sociedad en manos de un accionista, de forma directa o indirecta (a través de otras personas o entidades) y que supera un determinado umbral fijado en cada momento por la normativa. En estos momentos, en España se entiende que un accionista dispone de participación significativa cuando posee al menos un 3% del capital social. Las modificaciones en una participación significativa deben ser comunicadas a la CNMV por el accionista y difundidas en la página web de la sociedad.</w:t>
      </w:r>
    </w:p>
    <w:p w14:paraId="622EF274"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Participaciones preferentes</w:t>
      </w:r>
    </w:p>
    <w:p w14:paraId="3E183916"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Activos financieros que aúnan características de renta fija y de renta variable. Sus titulares tienen derecho a una remuneración predeterminada no acumulativa, condicionada a la obtención de suficientes beneficios distribuibles por parte de una entidad (distinta de la emisora) que actúa como garante, o por parte del grupo al que ésta pertenece. Pese a su denominación, no otorgan preferencia alguna a sus titulares; de hecho, en el orden de prelación de créditos se sitúan por detrás de todos los acreedores comunes y subordinados; sólo están por delante de las acciones ordinarias. </w:t>
      </w:r>
    </w:p>
    <w:p w14:paraId="4252DEE1"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Partícipe</w:t>
      </w:r>
    </w:p>
    <w:p w14:paraId="348B4E88" w14:textId="7C964E2A" w:rsidR="00F17AF5" w:rsidRPr="00CF1B34" w:rsidRDefault="00A23A19"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212529"/>
          <w:sz w:val="22"/>
          <w:szCs w:val="22"/>
          <w:lang w:val="es-ES_tradnl"/>
        </w:rPr>
        <w:t>Titular de participaciones de un fondo de inversión. Entre sus derechos figuran el de reembolso y el derecho de separación gratuito (si</w:t>
      </w:r>
      <w:r w:rsidR="00CE031C" w:rsidRPr="00CF1B34">
        <w:rPr>
          <w:rFonts w:ascii="Arial" w:hAnsi="Arial" w:cs="Arial"/>
          <w:color w:val="212529"/>
          <w:sz w:val="22"/>
          <w:szCs w:val="22"/>
          <w:lang w:val="es-ES_tradnl"/>
        </w:rPr>
        <w:t xml:space="preserve">n </w:t>
      </w:r>
      <w:r w:rsidRPr="00CF1B34">
        <w:rPr>
          <w:rFonts w:ascii="Arial" w:hAnsi="Arial" w:cs="Arial"/>
          <w:color w:val="212529"/>
          <w:sz w:val="22"/>
          <w:szCs w:val="22"/>
          <w:lang w:val="es-ES_tradnl"/>
        </w:rPr>
        <w:t>comisiones de reembolso) en caso de modificaciones significativas del fondo.</w:t>
      </w:r>
      <w:r w:rsidR="00F17AF5" w:rsidRPr="00CF1B34">
        <w:rPr>
          <w:rFonts w:ascii="Arial" w:hAnsi="Arial" w:cs="Arial"/>
          <w:color w:val="191B1C"/>
          <w:sz w:val="22"/>
          <w:szCs w:val="22"/>
          <w:lang w:val="es-ES_tradnl"/>
        </w:rPr>
        <w:t xml:space="preserve"> </w:t>
      </w:r>
    </w:p>
    <w:p w14:paraId="33CDF67B" w14:textId="643A8849" w:rsidR="00F17AF5" w:rsidRPr="00CF1B34" w:rsidRDefault="00F17AF5"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En el momento en el que una persona realiza una aportación al patrimonio común del fondo pasa a convertirse en partícipe de este. La aportación puede realizarse en cualquier momento, en el momento de constitución del fondo o con posterioridad, una vez que el fondo ya ha sido constituido. Del mismo modo es posible retirarse parcial o totalmente en el momento deseado.</w:t>
      </w:r>
    </w:p>
    <w:p w14:paraId="7F75A77F" w14:textId="77777777" w:rsidR="00F17AF5" w:rsidRPr="00CF1B34" w:rsidRDefault="00F17AF5"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número de partícipes en un fondo es variable y cada uno de ellos es propietario de la parte proporcional al valor de sus aportaciones. Las disminuciones o aumentos que se produzcan en el valor del patrimonio son atribuidos de forma proporcional a los partícipes.</w:t>
      </w:r>
    </w:p>
    <w:p w14:paraId="5FA79E2C" w14:textId="77777777" w:rsidR="00F17AF5" w:rsidRPr="00CF1B34" w:rsidRDefault="00F17AF5"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partícipe del fondo puede acceder a mercados que no están al alcance de aquellos inversores que inviertan de forma individual. La sociedad gestora es la encargada de invertir el capital aportado por los partícipes, en los distintos activos financieros que forma en fondo de inversión.</w:t>
      </w:r>
    </w:p>
    <w:p w14:paraId="75783EF3" w14:textId="77777777" w:rsidR="00F15211" w:rsidRPr="00CF1B34" w:rsidRDefault="00F17AF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 xml:space="preserve">El partícipe de un fondo de inversión únicamente tributará en el momento de reembolso de las participaciones. En el momento de reembolso se genera un rendimiento que será </w:t>
      </w:r>
      <w:r w:rsidRPr="00CF1B34">
        <w:rPr>
          <w:rFonts w:ascii="Arial" w:hAnsi="Arial" w:cs="Arial"/>
          <w:color w:val="191B1C"/>
          <w:sz w:val="22"/>
          <w:szCs w:val="22"/>
          <w:lang w:val="es-ES_tradnl"/>
        </w:rPr>
        <w:lastRenderedPageBreak/>
        <w:t>considerado a efectos fiscales como pérdida o ganancia y que por tanto deberá integrarse en la base imponible del ahorro en el IRPF.</w:t>
      </w:r>
    </w:p>
    <w:p w14:paraId="4536F535" w14:textId="6F67064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Pasaporte europeo</w:t>
      </w:r>
    </w:p>
    <w:p w14:paraId="6869D4B6"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relación con los mercados de valores, este término hace referencia a la posibilidad de ofrecer productos o servicios fuera del país de origen, dentro del ámbito comunitario.</w:t>
      </w:r>
    </w:p>
    <w:p w14:paraId="3F1225E8"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Pasivo</w:t>
      </w:r>
    </w:p>
    <w:p w14:paraId="3644FC50"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Término contable que define el conjunto de deudas y obligaciones pendientes de pago. Mientras el activo muestra en qué ha invertido una sociedad, el pasivo informa sobre el origen de los fondos para realizar dichas inversiones. El total del activo de una sociedad debe coincidir con el total del pasivo: los bienes y derechos deben sumar lo mismo que las obligaciones contraídas para obtenerlos. </w:t>
      </w:r>
      <w:r w:rsidRPr="00C52246">
        <w:rPr>
          <w:rFonts w:ascii="Arial" w:hAnsi="Arial" w:cs="Arial"/>
          <w:b/>
          <w:bCs/>
          <w:color w:val="2F5496" w:themeColor="accent1" w:themeShade="BF"/>
          <w:sz w:val="22"/>
          <w:szCs w:val="22"/>
          <w:lang w:val="es-ES_tradnl"/>
        </w:rPr>
        <w:t>Ver Balance y Activo</w:t>
      </w:r>
      <w:r w:rsidRPr="00CF1B34">
        <w:rPr>
          <w:rFonts w:ascii="Arial" w:hAnsi="Arial" w:cs="Arial"/>
          <w:color w:val="212529"/>
          <w:sz w:val="22"/>
          <w:szCs w:val="22"/>
          <w:lang w:val="es-ES_tradnl"/>
        </w:rPr>
        <w:t>.</w:t>
      </w:r>
    </w:p>
    <w:p w14:paraId="0F906A66"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Pasivo circulante</w:t>
      </w:r>
    </w:p>
    <w:p w14:paraId="324E7CA9"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Parte del pasivo de una empresa que recoge las deudas exigibles a corto plazo, es decir, las que tendrán que ser atendidas en menos de un año (proveedores, acreedores comerciales, anticipos de clientes, Hacienda Pública, Seguridad Social, etc.).</w:t>
      </w:r>
    </w:p>
    <w:p w14:paraId="1063DC2C" w14:textId="33894B9E" w:rsidR="00F15211" w:rsidRPr="00CF1B34" w:rsidRDefault="00F1521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Patrimonio </w:t>
      </w:r>
    </w:p>
    <w:p w14:paraId="7F1BCE7E" w14:textId="77777777" w:rsidR="00C75BA4" w:rsidRPr="00CF1B34" w:rsidRDefault="00C75BA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conjunto de activos financieros y bienes tangibles que componen la fortuna de una persona o de una sociedad. El concepto de patrimonio es también aplicable al dinero que manejan los fondos de inversión proveniente de las aportaciones de los inversores.</w:t>
      </w:r>
    </w:p>
    <w:p w14:paraId="08111C51" w14:textId="5C628B72"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Patrimonio de un fondo de inversión</w:t>
      </w:r>
    </w:p>
    <w:p w14:paraId="1377F664"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Valor total de los activos que tiene el fondo. El patrimonio aumenta o disminuye en función de las nuevas suscripciones o los reembolsos y de las variaciones en el valor de mercado de los instrumentos financieros que componen la cartera del fondo. La división del patrimonio entre el número de participaciones en circulación a una fecha permite obtener el valor liquidativo (precio) de la participación ese día.</w:t>
      </w:r>
    </w:p>
    <w:p w14:paraId="6F8E3848" w14:textId="7B927023" w:rsidR="00C52246" w:rsidRDefault="00C52246"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Patrón oro</w:t>
      </w:r>
    </w:p>
    <w:p w14:paraId="27211FFD" w14:textId="71FF19F8" w:rsidR="00C52246" w:rsidRPr="00C52246" w:rsidRDefault="00C52246" w:rsidP="00C52246">
      <w:pPr>
        <w:ind w:left="708"/>
      </w:pPr>
      <w:r w:rsidRPr="00C52246">
        <w:t>El</w:t>
      </w:r>
      <w:r>
        <w:t xml:space="preserve"> </w:t>
      </w:r>
      <w:r w:rsidRPr="00C52246">
        <w:rPr>
          <w:rStyle w:val="Textoennegrita"/>
          <w:rFonts w:ascii="Arial" w:hAnsi="Arial" w:cs="Arial"/>
          <w:color w:val="333333"/>
          <w:sz w:val="22"/>
          <w:szCs w:val="22"/>
        </w:rPr>
        <w:t>patrón oro es un sistema de cambio fijo</w:t>
      </w:r>
      <w:r>
        <w:t xml:space="preserve"> </w:t>
      </w:r>
      <w:r w:rsidRPr="00C52246">
        <w:t>en el que cada moneda viene definida por su peso en oro y los tipos de cambio vienen determinados por la relación de los va</w:t>
      </w:r>
      <w:r>
        <w:t>l</w:t>
      </w:r>
      <w:r w:rsidRPr="00C52246">
        <w:t>ores en oro de cada una de las monedas.</w:t>
      </w:r>
    </w:p>
    <w:p w14:paraId="680E893D" w14:textId="77777777" w:rsidR="00C52246" w:rsidRPr="00CF1B34" w:rsidRDefault="00C52246" w:rsidP="00C52246">
      <w:pPr>
        <w:pBdr>
          <w:bottom w:val="dotted" w:sz="12" w:space="12" w:color="666666"/>
        </w:pBdr>
        <w:spacing w:after="240"/>
        <w:ind w:left="720"/>
        <w:jc w:val="both"/>
        <w:rPr>
          <w:rFonts w:ascii="Arial" w:hAnsi="Arial" w:cs="Arial"/>
          <w:color w:val="212529"/>
          <w:sz w:val="22"/>
          <w:szCs w:val="22"/>
          <w:lang w:val="es-ES_tradnl"/>
        </w:rPr>
      </w:pPr>
      <w:r w:rsidRPr="00C52246">
        <w:t>Este sistema se elaboró a mediados del siglo XIX para facilitar los intercambios entre los países industrializados europeos y americanos. En primer lugar, donde se adoptó el patrón oro fue en Gran Bretaña en 1815; en 1873 se extendió a Estados Unidos y en 1900 casi todos los demás países admitieron este sistema.</w:t>
      </w:r>
      <w:r w:rsidRPr="00C52246">
        <w:br/>
        <w:t>Salvo algunas excepciones, el sistema del patrón oro se mantuvo hasta el crack de Wall Street de 1929.</w:t>
      </w:r>
    </w:p>
    <w:p w14:paraId="655D624F" w14:textId="7EB4F16C" w:rsidR="00886B17" w:rsidRDefault="00886B17"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Paul Krugman</w:t>
      </w:r>
    </w:p>
    <w:p w14:paraId="75D695CC" w14:textId="77777777" w:rsidR="0020546D" w:rsidRPr="00CF1B34" w:rsidRDefault="00886B17" w:rsidP="0020546D">
      <w:pPr>
        <w:pBdr>
          <w:bottom w:val="dotted" w:sz="12" w:space="12" w:color="666666"/>
        </w:pBdr>
        <w:spacing w:after="240"/>
        <w:ind w:left="720"/>
        <w:jc w:val="both"/>
        <w:rPr>
          <w:rFonts w:ascii="Arial" w:hAnsi="Arial" w:cs="Arial"/>
          <w:color w:val="212529"/>
          <w:sz w:val="22"/>
          <w:szCs w:val="22"/>
          <w:lang w:val="es-ES_tradnl"/>
        </w:rPr>
      </w:pPr>
      <w:r w:rsidRPr="0020546D">
        <w:rPr>
          <w:rFonts w:ascii="Arial" w:hAnsi="Arial" w:cs="Arial"/>
          <w:color w:val="000000" w:themeColor="text1"/>
          <w:sz w:val="22"/>
          <w:szCs w:val="22"/>
          <w:lang w:val="es-ES_tradnl"/>
        </w:rPr>
        <w:t>Profesor de la Universidad de Princeton</w:t>
      </w:r>
      <w:r w:rsidR="0020546D" w:rsidRPr="0020546D">
        <w:rPr>
          <w:rFonts w:ascii="Arial" w:hAnsi="Arial" w:cs="Arial"/>
          <w:color w:val="000000" w:themeColor="text1"/>
          <w:sz w:val="22"/>
          <w:szCs w:val="22"/>
          <w:lang w:val="es-ES_tradnl"/>
        </w:rPr>
        <w:t>, premio Nobel de Economía 2008, por su trabajo de las pautas de comercio y localización de actividades económicas. Hay que reconocer su aportación a entender mejor el efecto de la globalización y el libre comercio</w:t>
      </w:r>
      <w:r w:rsidR="0020546D">
        <w:rPr>
          <w:rFonts w:ascii="Arial" w:hAnsi="Arial" w:cs="Arial"/>
          <w:color w:val="000000" w:themeColor="text1"/>
          <w:sz w:val="22"/>
          <w:szCs w:val="22"/>
          <w:lang w:val="es-ES_tradnl"/>
        </w:rPr>
        <w:t>.</w:t>
      </w:r>
    </w:p>
    <w:p w14:paraId="7C341F2F" w14:textId="541DCCD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Pay-out</w:t>
      </w:r>
    </w:p>
    <w:p w14:paraId="769D4B80" w14:textId="5201225F"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Ver</w:t>
      </w:r>
      <w:r w:rsidR="00F15211" w:rsidRPr="00CF1B34">
        <w:rPr>
          <w:rFonts w:ascii="Arial" w:hAnsi="Arial" w:cs="Arial"/>
          <w:color w:val="212529"/>
          <w:sz w:val="22"/>
          <w:szCs w:val="22"/>
          <w:lang w:val="es-ES_tradnl"/>
        </w:rPr>
        <w:t xml:space="preserve"> </w:t>
      </w:r>
      <w:hyperlink r:id="rId304" w:tgtFrame="_self" w:history="1">
        <w:r w:rsidRPr="00CF1B34">
          <w:rPr>
            <w:rFonts w:ascii="Arial" w:hAnsi="Arial" w:cs="Arial"/>
            <w:b/>
            <w:bCs/>
            <w:color w:val="2F5496" w:themeColor="accent1" w:themeShade="BF"/>
            <w:sz w:val="22"/>
            <w:szCs w:val="22"/>
            <w:u w:val="single"/>
            <w:lang w:val="es-ES_tradnl"/>
          </w:rPr>
          <w:t>Tasa de reparto de dividendos</w:t>
        </w:r>
      </w:hyperlink>
      <w:r w:rsidRPr="00CF1B34">
        <w:rPr>
          <w:rFonts w:ascii="Arial" w:hAnsi="Arial" w:cs="Arial"/>
          <w:color w:val="2F5496" w:themeColor="accent1" w:themeShade="BF"/>
          <w:sz w:val="22"/>
          <w:szCs w:val="22"/>
          <w:lang w:val="es-ES_tradnl"/>
        </w:rPr>
        <w:t>.</w:t>
      </w:r>
    </w:p>
    <w:p w14:paraId="26FF95BE" w14:textId="192D13F3" w:rsidR="0020546D" w:rsidRDefault="0020546D"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Pensión mínima</w:t>
      </w:r>
    </w:p>
    <w:p w14:paraId="2C7E1499" w14:textId="77777777" w:rsidR="00650E8C" w:rsidRPr="00650E8C" w:rsidRDefault="00650E8C" w:rsidP="00650E8C">
      <w:pPr>
        <w:shd w:val="clear" w:color="auto" w:fill="FFFFFF"/>
        <w:spacing w:after="100" w:afterAutospacing="1"/>
        <w:ind w:left="708"/>
        <w:rPr>
          <w:rFonts w:ascii="Arial" w:hAnsi="Arial" w:cs="Arial"/>
          <w:color w:val="000000"/>
          <w:sz w:val="22"/>
          <w:szCs w:val="22"/>
        </w:rPr>
      </w:pPr>
      <w:r w:rsidRPr="00650E8C">
        <w:rPr>
          <w:rFonts w:ascii="Arial" w:hAnsi="Arial" w:cs="Arial"/>
          <w:color w:val="000000"/>
          <w:sz w:val="22"/>
          <w:szCs w:val="22"/>
        </w:rPr>
        <w:t>Según los resultados de búsqueda, las pensiones mínimas en España para 2024 han sido establecidas por el Real Decreto-ley 8/2023. A continuación, se presentan los límites de ingresos y cuantías mínimas para diferentes tipos de pensiones:</w:t>
      </w:r>
    </w:p>
    <w:p w14:paraId="7BE9068C" w14:textId="77777777" w:rsidR="00650E8C" w:rsidRPr="00650E8C" w:rsidRDefault="00650E8C" w:rsidP="004F7A62">
      <w:pPr>
        <w:numPr>
          <w:ilvl w:val="0"/>
          <w:numId w:val="242"/>
        </w:numPr>
        <w:shd w:val="clear" w:color="auto" w:fill="FFFFFF"/>
        <w:spacing w:afterAutospacing="1"/>
        <w:rPr>
          <w:rFonts w:ascii="Arial" w:hAnsi="Arial" w:cs="Arial"/>
          <w:color w:val="000000"/>
          <w:sz w:val="22"/>
          <w:szCs w:val="22"/>
        </w:rPr>
      </w:pPr>
      <w:r w:rsidRPr="00650E8C">
        <w:rPr>
          <w:rFonts w:ascii="Arial" w:hAnsi="Arial" w:cs="Arial"/>
          <w:b/>
          <w:bCs/>
          <w:color w:val="000000"/>
          <w:sz w:val="22"/>
          <w:szCs w:val="22"/>
        </w:rPr>
        <w:t>Pensiones contributivas</w:t>
      </w:r>
      <w:r w:rsidRPr="00650E8C">
        <w:rPr>
          <w:rFonts w:ascii="Arial" w:hAnsi="Arial" w:cs="Arial"/>
          <w:color w:val="000000"/>
          <w:sz w:val="22"/>
          <w:szCs w:val="22"/>
        </w:rPr>
        <w:t>: sin cónyuge a cargo, 10.963,40 euros brutos anuales (equivalentes a 913,62 euros brutos mensuales); con cónyuge a cargo, 13.526,80 euros brutos anuales (equivalentes a 1.128,89 euros brutos mensuales).</w:t>
      </w:r>
    </w:p>
    <w:p w14:paraId="35AD2850" w14:textId="77777777" w:rsidR="00650E8C" w:rsidRPr="00650E8C" w:rsidRDefault="00650E8C" w:rsidP="004F7A62">
      <w:pPr>
        <w:numPr>
          <w:ilvl w:val="0"/>
          <w:numId w:val="242"/>
        </w:numPr>
        <w:shd w:val="clear" w:color="auto" w:fill="FFFFFF"/>
        <w:spacing w:beforeAutospacing="1" w:afterAutospacing="1"/>
        <w:rPr>
          <w:rFonts w:ascii="Arial" w:hAnsi="Arial" w:cs="Arial"/>
          <w:color w:val="000000"/>
          <w:sz w:val="22"/>
          <w:szCs w:val="22"/>
        </w:rPr>
      </w:pPr>
      <w:r w:rsidRPr="00650E8C">
        <w:rPr>
          <w:rFonts w:ascii="Arial" w:hAnsi="Arial" w:cs="Arial"/>
          <w:b/>
          <w:bCs/>
          <w:color w:val="000000"/>
          <w:sz w:val="22"/>
          <w:szCs w:val="22"/>
        </w:rPr>
        <w:t>Límite de ingresos para el reconocimiento de cuantías mínimas</w:t>
      </w:r>
      <w:r w:rsidRPr="00650E8C">
        <w:rPr>
          <w:rFonts w:ascii="Arial" w:hAnsi="Arial" w:cs="Arial"/>
          <w:color w:val="000000"/>
          <w:sz w:val="22"/>
          <w:szCs w:val="22"/>
        </w:rPr>
        <w:t>: sin cónyuge a cargo, 8.942,00 euros anuales; con cónyuge a cargo, 10.430,00 euros anuales.</w:t>
      </w:r>
    </w:p>
    <w:p w14:paraId="4EF05DDA" w14:textId="77777777" w:rsidR="00650E8C" w:rsidRPr="00650E8C" w:rsidRDefault="00650E8C" w:rsidP="004F7A62">
      <w:pPr>
        <w:numPr>
          <w:ilvl w:val="0"/>
          <w:numId w:val="242"/>
        </w:numPr>
        <w:shd w:val="clear" w:color="auto" w:fill="FFFFFF"/>
        <w:spacing w:beforeAutospacing="1"/>
        <w:rPr>
          <w:rFonts w:ascii="Arial" w:hAnsi="Arial" w:cs="Arial"/>
          <w:color w:val="000000"/>
          <w:sz w:val="22"/>
          <w:szCs w:val="22"/>
        </w:rPr>
      </w:pPr>
      <w:r w:rsidRPr="00650E8C">
        <w:rPr>
          <w:rFonts w:ascii="Arial" w:hAnsi="Arial" w:cs="Arial"/>
          <w:b/>
          <w:bCs/>
          <w:color w:val="000000"/>
          <w:sz w:val="22"/>
          <w:szCs w:val="22"/>
        </w:rPr>
        <w:t>Revalorización</w:t>
      </w:r>
      <w:r w:rsidRPr="00650E8C">
        <w:rPr>
          <w:rFonts w:ascii="Arial" w:hAnsi="Arial" w:cs="Arial"/>
          <w:color w:val="000000"/>
          <w:sz w:val="22"/>
          <w:szCs w:val="22"/>
        </w:rPr>
        <w:t>: las pensiones contributivas del sistema de Seguridad Social y las del Régimen Especial de Clases Pasivas del Estado se han incrementado un 3,8% en 2024. Las cuantías mínimas de las pensiones contributivas se han incrementado un 6,9% en 2024, para ir progresivamente asimilándose con el umbral de la pobreza.</w:t>
      </w:r>
    </w:p>
    <w:p w14:paraId="093C2B5A" w14:textId="77777777" w:rsidR="00650E8C" w:rsidRPr="00CF1B34" w:rsidRDefault="00650E8C" w:rsidP="00650E8C">
      <w:pPr>
        <w:pBdr>
          <w:bottom w:val="dotted" w:sz="12" w:space="12" w:color="666666"/>
        </w:pBdr>
        <w:spacing w:after="240"/>
        <w:ind w:left="720"/>
        <w:jc w:val="both"/>
        <w:rPr>
          <w:rFonts w:ascii="Arial" w:hAnsi="Arial" w:cs="Arial"/>
          <w:color w:val="212529"/>
          <w:sz w:val="22"/>
          <w:szCs w:val="22"/>
          <w:lang w:val="es-ES_tradnl"/>
        </w:rPr>
      </w:pPr>
      <w:r w:rsidRPr="00650E8C">
        <w:rPr>
          <w:rFonts w:ascii="Arial" w:hAnsi="Arial" w:cs="Arial"/>
          <w:color w:val="000000"/>
          <w:sz w:val="22"/>
          <w:szCs w:val="22"/>
        </w:rPr>
        <w:t>Es importante destacar que estos límites y cuantías pueden variar según la situación individual del pensionista, como la presencia de familiares a cargo o la edad del pensionista. Además, es posible que se apliquen complementos por mínimos para aquellos pensionistas que perciben ingresos inferiores a los límites establecidos.</w:t>
      </w:r>
    </w:p>
    <w:p w14:paraId="0B667067" w14:textId="3F48676F"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PER (Price Earning Ratio)</w:t>
      </w:r>
    </w:p>
    <w:p w14:paraId="73F2DF7B" w14:textId="09FF1092"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Es </w:t>
      </w:r>
      <w:r w:rsidR="00C52246">
        <w:rPr>
          <w:rFonts w:ascii="Arial" w:hAnsi="Arial" w:cs="Arial"/>
          <w:color w:val="212529"/>
          <w:sz w:val="22"/>
          <w:szCs w:val="22"/>
          <w:lang w:val="es-ES_tradnl"/>
        </w:rPr>
        <w:t>la</w:t>
      </w:r>
      <w:r w:rsidRPr="00CF1B34">
        <w:rPr>
          <w:rFonts w:ascii="Arial" w:hAnsi="Arial" w:cs="Arial"/>
          <w:color w:val="212529"/>
          <w:sz w:val="22"/>
          <w:szCs w:val="22"/>
          <w:lang w:val="es-ES_tradnl"/>
        </w:rPr>
        <w:t xml:space="preserve"> ratio más utilizad</w:t>
      </w:r>
      <w:r w:rsidR="00C52246">
        <w:rPr>
          <w:rFonts w:ascii="Arial" w:hAnsi="Arial" w:cs="Arial"/>
          <w:color w:val="212529"/>
          <w:sz w:val="22"/>
          <w:szCs w:val="22"/>
          <w:lang w:val="es-ES_tradnl"/>
        </w:rPr>
        <w:t>a</w:t>
      </w:r>
      <w:r w:rsidRPr="00CF1B34">
        <w:rPr>
          <w:rFonts w:ascii="Arial" w:hAnsi="Arial" w:cs="Arial"/>
          <w:color w:val="212529"/>
          <w:sz w:val="22"/>
          <w:szCs w:val="22"/>
          <w:lang w:val="es-ES_tradnl"/>
        </w:rPr>
        <w:t xml:space="preserve"> en Bolsa, e indica el número de veces que está contenido el beneficio por acción en el precio de mercado de la misma. Los valores con un alto potencial de crecimiento de los beneficios tendrán un PER alto (lo que también conlleva la posibilidad de un apreciable descenso en el valor de los títulos si no se cumplen las expectativas), y viceversa. Conceptualmente, expresa la valoración que realiza el mercado sobre la capacidad de generación de beneficios de la empresa. PER = Precio de mercado de la acción/ Beneficio por acción (BPA). Ver</w:t>
      </w:r>
      <w:r w:rsidR="0064122D" w:rsidRPr="00CF1B34">
        <w:rPr>
          <w:rFonts w:ascii="Arial" w:hAnsi="Arial" w:cs="Arial"/>
          <w:color w:val="212529"/>
          <w:sz w:val="22"/>
          <w:szCs w:val="22"/>
          <w:lang w:val="es-ES_tradnl"/>
        </w:rPr>
        <w:t xml:space="preserve"> </w:t>
      </w:r>
      <w:hyperlink r:id="rId305" w:tgtFrame="_self" w:history="1">
        <w:r w:rsidRPr="00CF1B34">
          <w:rPr>
            <w:rFonts w:ascii="Arial" w:hAnsi="Arial" w:cs="Arial"/>
            <w:b/>
            <w:bCs/>
            <w:color w:val="2F5496" w:themeColor="accent1" w:themeShade="BF"/>
            <w:sz w:val="22"/>
            <w:szCs w:val="22"/>
            <w:u w:val="single"/>
            <w:lang w:val="es-ES_tradnl"/>
          </w:rPr>
          <w:t>Ratio bursátil</w:t>
        </w:r>
      </w:hyperlink>
      <w:r w:rsidR="0064122D"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y</w:t>
      </w:r>
      <w:r w:rsidR="0064122D" w:rsidRPr="00CF1B34">
        <w:rPr>
          <w:rFonts w:ascii="Arial" w:hAnsi="Arial" w:cs="Arial"/>
          <w:color w:val="212529"/>
          <w:sz w:val="22"/>
          <w:szCs w:val="22"/>
          <w:lang w:val="es-ES_tradnl"/>
        </w:rPr>
        <w:t xml:space="preserve"> </w:t>
      </w:r>
      <w:hyperlink r:id="rId306" w:tgtFrame="_self" w:history="1">
        <w:r w:rsidRPr="00CF1B34">
          <w:rPr>
            <w:rFonts w:ascii="Arial" w:hAnsi="Arial" w:cs="Arial"/>
            <w:b/>
            <w:bCs/>
            <w:color w:val="2F5496" w:themeColor="accent1" w:themeShade="BF"/>
            <w:sz w:val="22"/>
            <w:szCs w:val="22"/>
            <w:u w:val="single"/>
            <w:lang w:val="es-ES_tradnl"/>
          </w:rPr>
          <w:t>Beneficio por acción</w:t>
        </w:r>
      </w:hyperlink>
      <w:r w:rsidRPr="00CF1B34">
        <w:rPr>
          <w:rFonts w:ascii="Arial" w:hAnsi="Arial" w:cs="Arial"/>
          <w:color w:val="2F5496" w:themeColor="accent1" w:themeShade="BF"/>
          <w:sz w:val="22"/>
          <w:szCs w:val="22"/>
          <w:lang w:val="es-ES_tradnl"/>
        </w:rPr>
        <w:t>.</w:t>
      </w:r>
    </w:p>
    <w:p w14:paraId="47745723"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Perfil de inversión</w:t>
      </w:r>
    </w:p>
    <w:p w14:paraId="553FB174"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características que definen a un inversor: tolerancia o aversión al riesgo (capacidad de asumir pérdidas), horizonte temporal de la inversión (tiempo durante el que se puede mantener la inversión), expectativas de rentabilidad, etc. Con carácter general, puede hablarse de perfil conservador, medio o arriesgado. La definición del perfil de un inversor determinará el tipo de productos de inversión más apropiados, según el riesgo asociado, la liquidez o los rendimientos que puedan proporcionar.</w:t>
      </w:r>
    </w:p>
    <w:p w14:paraId="7EFA8435" w14:textId="77777777" w:rsidR="00EF269B" w:rsidRPr="00CF1B34" w:rsidRDefault="00EF269B"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Perfil de riesgo</w:t>
      </w:r>
    </w:p>
    <w:p w14:paraId="6BAED50B" w14:textId="318BFBF8" w:rsidR="00EF269B" w:rsidRPr="00CF1B34" w:rsidRDefault="00EF269B"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A la hora de</w:t>
      </w:r>
      <w:r w:rsidR="0064122D" w:rsidRPr="00CF1B34">
        <w:rPr>
          <w:rFonts w:ascii="Arial" w:hAnsi="Arial" w:cs="Arial"/>
          <w:sz w:val="22"/>
          <w:szCs w:val="22"/>
          <w:lang w:val="es-ES_tradnl"/>
        </w:rPr>
        <w:t xml:space="preserve"> </w:t>
      </w:r>
      <w:hyperlink r:id="rId307" w:history="1">
        <w:r w:rsidRPr="00CF1B34">
          <w:rPr>
            <w:rStyle w:val="Hipervnculo"/>
            <w:rFonts w:ascii="Arial" w:hAnsi="Arial" w:cs="Arial"/>
            <w:b/>
            <w:bCs/>
            <w:color w:val="2F5496" w:themeColor="accent1" w:themeShade="BF"/>
            <w:sz w:val="22"/>
            <w:szCs w:val="22"/>
            <w:lang w:val="es-ES_tradnl"/>
          </w:rPr>
          <w:t>solicitar una hipoteca</w:t>
        </w:r>
      </w:hyperlink>
      <w:r w:rsidRPr="00CF1B34">
        <w:rPr>
          <w:rFonts w:ascii="Arial" w:hAnsi="Arial" w:cs="Arial"/>
          <w:sz w:val="22"/>
          <w:szCs w:val="22"/>
          <w:lang w:val="es-ES_tradnl"/>
        </w:rPr>
        <w:t>, nuestro</w:t>
      </w:r>
      <w:r w:rsidR="0064122D" w:rsidRPr="00CF1B34">
        <w:rPr>
          <w:rFonts w:ascii="Arial" w:hAnsi="Arial" w:cs="Arial"/>
          <w:sz w:val="22"/>
          <w:szCs w:val="22"/>
          <w:lang w:val="es-ES_tradnl"/>
        </w:rPr>
        <w:t xml:space="preserve"> </w:t>
      </w:r>
      <w:r w:rsidRPr="00CF1B34">
        <w:rPr>
          <w:rStyle w:val="Textoennegrita"/>
          <w:rFonts w:ascii="Arial" w:hAnsi="Arial" w:cs="Arial"/>
          <w:sz w:val="22"/>
          <w:szCs w:val="22"/>
          <w:lang w:val="es-ES_tradnl"/>
        </w:rPr>
        <w:t>perfil de riesgo</w:t>
      </w:r>
      <w:r w:rsidR="0064122D" w:rsidRPr="00CF1B34">
        <w:rPr>
          <w:rFonts w:ascii="Arial" w:hAnsi="Arial" w:cs="Arial"/>
          <w:sz w:val="22"/>
          <w:szCs w:val="22"/>
          <w:lang w:val="es-ES_tradnl"/>
        </w:rPr>
        <w:t xml:space="preserve"> </w:t>
      </w:r>
      <w:r w:rsidRPr="00CF1B34">
        <w:rPr>
          <w:rFonts w:ascii="Arial" w:hAnsi="Arial" w:cs="Arial"/>
          <w:sz w:val="22"/>
          <w:szCs w:val="22"/>
          <w:lang w:val="es-ES_tradnl"/>
        </w:rPr>
        <w:t>será el factor que determine nuestro nivel de solvencia para devolverla. Es decir, cuando pedimos un préstamo hipotecario al banco, este realizará un estudio que valore nuestra capacidad para hacer frente a las cuotas durante toda la vida del préstamo y saldar la deuda contraída con él a lo largo de los años. El resultado de este análisis (también conocido como scoring bancario) será decisivo para que el banco nos la conceda, y dependerá de algunos aspectos como nuestro nivel e ingresos, nuestros gastos y otros préstamos que hayamos contraído en el momento de la solicitud.</w:t>
      </w:r>
    </w:p>
    <w:p w14:paraId="5D046259" w14:textId="77777777" w:rsidR="00EF269B" w:rsidRPr="00CF1B34" w:rsidRDefault="00EF269B"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Más concretamente, la entidad de crédito necesitará conocer los siguientes datos:</w:t>
      </w:r>
    </w:p>
    <w:p w14:paraId="0C3DE24D" w14:textId="77777777" w:rsidR="00EF269B" w:rsidRPr="00CF1B34" w:rsidRDefault="00EF269B" w:rsidP="004F7A62">
      <w:pPr>
        <w:pStyle w:val="listitem"/>
        <w:numPr>
          <w:ilvl w:val="0"/>
          <w:numId w:val="43"/>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Nuestra</w:t>
      </w:r>
      <w:r w:rsidRPr="00CF1B34">
        <w:rPr>
          <w:rStyle w:val="Textoennegrita"/>
          <w:rFonts w:ascii="Arial" w:hAnsi="Arial" w:cs="Arial"/>
          <w:sz w:val="22"/>
          <w:szCs w:val="22"/>
          <w:lang w:val="es-ES_tradnl"/>
        </w:rPr>
        <w:t> edad, y nuestra situación familiar y personal</w:t>
      </w:r>
      <w:r w:rsidRPr="00CF1B34">
        <w:rPr>
          <w:rFonts w:ascii="Arial" w:hAnsi="Arial" w:cs="Arial"/>
          <w:sz w:val="22"/>
          <w:szCs w:val="22"/>
          <w:lang w:val="es-ES_tradnl"/>
        </w:rPr>
        <w:t>. Los bancos estiman que al finalizar el pago de la hipoteca el titular no debería sobrepasar los 75 años.</w:t>
      </w:r>
    </w:p>
    <w:p w14:paraId="3D1F6204" w14:textId="77777777" w:rsidR="00EF269B" w:rsidRPr="00CF1B34" w:rsidRDefault="00EF269B" w:rsidP="004F7A62">
      <w:pPr>
        <w:pStyle w:val="listitem"/>
        <w:numPr>
          <w:ilvl w:val="0"/>
          <w:numId w:val="43"/>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Nuestra </w:t>
      </w:r>
      <w:r w:rsidRPr="00CF1B34">
        <w:rPr>
          <w:rStyle w:val="Textoennegrita"/>
          <w:rFonts w:ascii="Arial" w:hAnsi="Arial" w:cs="Arial"/>
          <w:sz w:val="22"/>
          <w:szCs w:val="22"/>
          <w:lang w:val="es-ES_tradnl"/>
        </w:rPr>
        <w:t>situación laboral</w:t>
      </w:r>
      <w:r w:rsidRPr="00CF1B34">
        <w:rPr>
          <w:rFonts w:ascii="Arial" w:hAnsi="Arial" w:cs="Arial"/>
          <w:sz w:val="22"/>
          <w:szCs w:val="22"/>
          <w:lang w:val="es-ES_tradnl"/>
        </w:rPr>
        <w:t>. Los bancos podrán requerir nuestra vida laboral (donde se muestre la antigüedad en la empresa, la vida laboral continuada y los periodos de paro; nuestro tipo de contrato (indefinido, temporal, funcionario, interino, autónomo…), etc.</w:t>
      </w:r>
    </w:p>
    <w:p w14:paraId="77FFF636" w14:textId="77777777" w:rsidR="00EF269B" w:rsidRPr="00CF1B34" w:rsidRDefault="00EF269B" w:rsidP="004F7A62">
      <w:pPr>
        <w:pStyle w:val="listitem"/>
        <w:numPr>
          <w:ilvl w:val="0"/>
          <w:numId w:val="43"/>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Los </w:t>
      </w:r>
      <w:r w:rsidRPr="00CF1B34">
        <w:rPr>
          <w:rStyle w:val="Textoennegrita"/>
          <w:rFonts w:ascii="Arial" w:hAnsi="Arial" w:cs="Arial"/>
          <w:sz w:val="22"/>
          <w:szCs w:val="22"/>
          <w:lang w:val="es-ES_tradnl"/>
        </w:rPr>
        <w:t>ingresos</w:t>
      </w:r>
      <w:r w:rsidRPr="00CF1B34">
        <w:rPr>
          <w:rFonts w:ascii="Arial" w:hAnsi="Arial" w:cs="Arial"/>
          <w:sz w:val="22"/>
          <w:szCs w:val="22"/>
          <w:lang w:val="es-ES_tradnl"/>
        </w:rPr>
        <w:t> que percibimos. La mensualidad de la hipoteca no deberá superar el 30% de nuestros ingresos netos. Los bancos podrán pedirnos nuestra declaración del IRPF más reciente, además de recibos de otros préstamos, nómina, justificantes de ingresos adicionales, en caso de que percibamos otros ingresos, como alquileres, rentas o pensiones.</w:t>
      </w:r>
    </w:p>
    <w:p w14:paraId="31956FC0" w14:textId="77777777" w:rsidR="00EF269B" w:rsidRPr="00CF1B34" w:rsidRDefault="00EF269B" w:rsidP="004F7A62">
      <w:pPr>
        <w:pStyle w:val="listitem"/>
        <w:numPr>
          <w:ilvl w:val="0"/>
          <w:numId w:val="43"/>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Nuestros </w:t>
      </w:r>
      <w:r w:rsidRPr="00CF1B34">
        <w:rPr>
          <w:rStyle w:val="Textoennegrita"/>
          <w:rFonts w:ascii="Arial" w:hAnsi="Arial" w:cs="Arial"/>
          <w:sz w:val="22"/>
          <w:szCs w:val="22"/>
          <w:lang w:val="es-ES_tradnl"/>
        </w:rPr>
        <w:t>activos en propiedad, o fincabilidad.</w:t>
      </w:r>
      <w:r w:rsidRPr="00CF1B34">
        <w:rPr>
          <w:rFonts w:ascii="Arial" w:hAnsi="Arial" w:cs="Arial"/>
          <w:sz w:val="22"/>
          <w:szCs w:val="22"/>
          <w:lang w:val="es-ES_tradnl"/>
        </w:rPr>
        <w:t> Es decir, los bienes muebles o inmuebles (viviendas, locales, garajes, etc.) que tengamos. La entidad podrá conocer este dato consultando el Registro de la Propiedad.</w:t>
      </w:r>
    </w:p>
    <w:p w14:paraId="4CECF596" w14:textId="77777777" w:rsidR="00EF269B" w:rsidRPr="00CF1B34" w:rsidRDefault="00EF269B" w:rsidP="004F7A62">
      <w:pPr>
        <w:pStyle w:val="listitem"/>
        <w:numPr>
          <w:ilvl w:val="0"/>
          <w:numId w:val="43"/>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Nuestras posibles </w:t>
      </w:r>
      <w:r w:rsidRPr="00CF1B34">
        <w:rPr>
          <w:rStyle w:val="Textoennegrita"/>
          <w:rFonts w:ascii="Arial" w:hAnsi="Arial" w:cs="Arial"/>
          <w:sz w:val="22"/>
          <w:szCs w:val="22"/>
          <w:lang w:val="es-ES_tradnl"/>
        </w:rPr>
        <w:t>deudas y morosidad</w:t>
      </w:r>
      <w:r w:rsidRPr="00CF1B34">
        <w:rPr>
          <w:rFonts w:ascii="Arial" w:hAnsi="Arial" w:cs="Arial"/>
          <w:sz w:val="22"/>
          <w:szCs w:val="22"/>
          <w:lang w:val="es-ES_tradnl"/>
        </w:rPr>
        <w:t>, para lo que consultan la Central de Información de Riesgos del Banco de España (CIRBE), una base de datos que permite conocer nuestro historial como solicitantes.</w:t>
      </w:r>
    </w:p>
    <w:p w14:paraId="3996575B" w14:textId="77777777" w:rsidR="00EF269B" w:rsidRPr="00CF1B34" w:rsidRDefault="00EF269B" w:rsidP="004F7A62">
      <w:pPr>
        <w:pStyle w:val="listitem"/>
        <w:numPr>
          <w:ilvl w:val="0"/>
          <w:numId w:val="43"/>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Nuestro </w:t>
      </w:r>
      <w:r w:rsidRPr="00CF1B34">
        <w:rPr>
          <w:rStyle w:val="Textoennegrita"/>
          <w:rFonts w:ascii="Arial" w:hAnsi="Arial" w:cs="Arial"/>
          <w:sz w:val="22"/>
          <w:szCs w:val="22"/>
          <w:lang w:val="es-ES_tradnl"/>
        </w:rPr>
        <w:t>nivel de endeudamiento</w:t>
      </w:r>
      <w:r w:rsidRPr="00CF1B34">
        <w:rPr>
          <w:rFonts w:ascii="Arial" w:hAnsi="Arial" w:cs="Arial"/>
          <w:sz w:val="22"/>
          <w:szCs w:val="22"/>
          <w:lang w:val="es-ES_tradnl"/>
        </w:rPr>
        <w:t>, que se obtiene al computar y sumar los ingresos de nuestra unidad familiar y estableciendo una cuota de la hipoteca no superior al 40% de la suma.</w:t>
      </w:r>
    </w:p>
    <w:p w14:paraId="57A20C0F" w14:textId="77777777" w:rsidR="00EF269B" w:rsidRPr="00CF1B34" w:rsidRDefault="00EF269B"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Este perfil de riesgo ha cobrado mucha importancia con la entrada en vigor de la nueva Ley Hipotecaria, que obliga a las entidades crediticias a valorar a los clientes de una manera más exhaustiva.</w:t>
      </w:r>
    </w:p>
    <w:p w14:paraId="7EB578A8" w14:textId="77777777" w:rsidR="00EF269B" w:rsidRPr="00CF1B34" w:rsidRDefault="00EF269B"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Realizar una pre-tasación del inmueble también resulta una opción muy recomendable porque nos ayudará a hacernos una idea de nuestras posibilidades. Como los bancos suelen conceder el 80% del valor de tasación, tendremos que ver si seremos capaces de asumir el 20% restante. En caso negativo, podremos saber de antemano que no nos concederán la hipoteca, y nos ahorraremos muchos trámites.</w:t>
      </w:r>
    </w:p>
    <w:p w14:paraId="13C5B70F" w14:textId="77777777" w:rsidR="00EF269B" w:rsidRPr="00CF1B34" w:rsidRDefault="00EF269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Realizar una pre-tasación del inmueble también resulta una opción muy recomendable porque nos ayudará a hacernos una idea de nuestras posibilidades. Como los bancos suelen conceder el 80% del valor de tasación, tendremos que ver si seremos capaces de asumir el 20% restante. En caso negativo, podremos saber de antemano que no nos concederán la hipoteca, y nos ahorraremos muchos trámites.</w:t>
      </w:r>
    </w:p>
    <w:p w14:paraId="7F3C3F01" w14:textId="08078CB0" w:rsidR="00EF269B" w:rsidRPr="00CF1B34" w:rsidRDefault="00F1521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Perdida </w:t>
      </w:r>
    </w:p>
    <w:p w14:paraId="7CAD3C51" w14:textId="77777777" w:rsidR="00310C67" w:rsidRPr="00CF1B34" w:rsidRDefault="00C75BA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Cuando vendo un activo financiero con un precio inferior al que compre se sufre una perdida</w:t>
      </w:r>
      <w:r w:rsidR="00310C67" w:rsidRPr="00CF1B34">
        <w:rPr>
          <w:rFonts w:ascii="Arial" w:hAnsi="Arial" w:cs="Arial"/>
          <w:color w:val="000000" w:themeColor="text1"/>
          <w:sz w:val="22"/>
          <w:szCs w:val="22"/>
          <w:lang w:val="es-ES_tradnl"/>
        </w:rPr>
        <w:t>.</w:t>
      </w:r>
    </w:p>
    <w:p w14:paraId="0787A3E2" w14:textId="60FA592F"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Período de carencia</w:t>
      </w:r>
    </w:p>
    <w:p w14:paraId="79A6C86D"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Suele hacer referencia al período que transcurre entre la emisión del empréstito y la primera amortización del capital; se llama período de carencia porque durante el mismo sólo se pagan intereses, pero no se devuelve principal.</w:t>
      </w:r>
    </w:p>
    <w:p w14:paraId="0E63E7B3"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Período de comercialización</w:t>
      </w:r>
    </w:p>
    <w:p w14:paraId="29BC794C" w14:textId="670F68D0"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los fondos garantizados, es el período en el que se puede invertir sin que se aplique la comisión de suscripción, al inicio de cada periodo de garantía (las inversiones realizadas con posterioridad suelen verse penalizadas con una comisión de suscripción que puede llegar hasta el 5% del importe invertido). Además, la mayor parte de los fondos garantizan el mantenimiento del valor liquidativo inicial (el que se da en un momento dado del periodo de comercialización); por tanto, si se entra después la inversión inicial no estará garantizada</w:t>
      </w:r>
      <w:r w:rsidR="0064122D" w:rsidRPr="00CF1B34">
        <w:rPr>
          <w:rFonts w:ascii="Arial" w:hAnsi="Arial" w:cs="Arial"/>
          <w:color w:val="212529"/>
          <w:sz w:val="22"/>
          <w:szCs w:val="22"/>
          <w:lang w:val="es-ES_tradnl"/>
        </w:rPr>
        <w:t>.</w:t>
      </w:r>
    </w:p>
    <w:p w14:paraId="3E862616"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Periodo de garantía</w:t>
      </w:r>
    </w:p>
    <w:p w14:paraId="3B6FECCA" w14:textId="5534E142"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Período durante el que es necesario mantener la inversión en un fondo garantizado para poder beneficiarse de las condiciones de la garantía, ya sea de conservación de capital o de rentabilidad. La garantía sólo es efectiva y exigible por el partícipe en una fecha futura (vencimiento de la garantía). Los reembolsos efectuados antes de ese momento, durante el llamado período de garantía, en general no están cubiertos por la misma y suelen estar sujetos al pago de comisiones de reembolso.</w:t>
      </w:r>
    </w:p>
    <w:p w14:paraId="1B38525C" w14:textId="25D70A9E" w:rsidR="00F15211" w:rsidRPr="00CF1B34" w:rsidRDefault="00F1521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Periodo de pago</w:t>
      </w:r>
    </w:p>
    <w:p w14:paraId="7BF49BDE" w14:textId="344EF592" w:rsidR="00A50254" w:rsidRPr="00CF1B34" w:rsidRDefault="00E8232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las diferentes fechas en las que se paga los cupones de un activo d renta </w:t>
      </w:r>
      <w:proofErr w:type="gramStart"/>
      <w:r w:rsidRPr="00CF1B34">
        <w:rPr>
          <w:rFonts w:ascii="Arial" w:hAnsi="Arial" w:cs="Arial"/>
          <w:color w:val="000000" w:themeColor="text1"/>
          <w:sz w:val="22"/>
          <w:szCs w:val="22"/>
          <w:lang w:val="es-ES_tradnl"/>
        </w:rPr>
        <w:t>fija</w:t>
      </w:r>
      <w:proofErr w:type="gramEnd"/>
      <w:r w:rsidRPr="00CF1B34">
        <w:rPr>
          <w:rFonts w:ascii="Arial" w:hAnsi="Arial" w:cs="Arial"/>
          <w:color w:val="000000" w:themeColor="text1"/>
          <w:sz w:val="22"/>
          <w:szCs w:val="22"/>
          <w:lang w:val="es-ES_tradnl"/>
        </w:rPr>
        <w:t xml:space="preserve"> a</w:t>
      </w:r>
      <w:r w:rsidR="001207B8">
        <w:rPr>
          <w:rFonts w:ascii="Arial" w:hAnsi="Arial" w:cs="Arial"/>
          <w:color w:val="000000" w:themeColor="text1"/>
          <w:sz w:val="22"/>
          <w:szCs w:val="22"/>
          <w:lang w:val="es-ES_tradnl"/>
        </w:rPr>
        <w:t>sí</w:t>
      </w:r>
      <w:r w:rsidRPr="00CF1B34">
        <w:rPr>
          <w:rFonts w:ascii="Arial" w:hAnsi="Arial" w:cs="Arial"/>
          <w:color w:val="000000" w:themeColor="text1"/>
          <w:sz w:val="22"/>
          <w:szCs w:val="22"/>
          <w:lang w:val="es-ES_tradnl"/>
        </w:rPr>
        <w:t xml:space="preserve"> como su amortización. Ejemplo: Bonos del Estado de cup</w:t>
      </w:r>
      <w:r w:rsidR="001207B8">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 xml:space="preserve">n del 3,25% con </w:t>
      </w:r>
      <w:r w:rsidR="001207B8">
        <w:rPr>
          <w:rFonts w:ascii="Arial" w:hAnsi="Arial" w:cs="Arial"/>
          <w:color w:val="000000" w:themeColor="text1"/>
          <w:sz w:val="22"/>
          <w:szCs w:val="22"/>
          <w:lang w:val="es-ES_tradnl"/>
        </w:rPr>
        <w:t>amortización</w:t>
      </w:r>
      <w:r w:rsidRPr="00CF1B34">
        <w:rPr>
          <w:rFonts w:ascii="Arial" w:hAnsi="Arial" w:cs="Arial"/>
          <w:color w:val="000000" w:themeColor="text1"/>
          <w:sz w:val="22"/>
          <w:szCs w:val="22"/>
          <w:lang w:val="es-ES_tradnl"/>
        </w:rPr>
        <w:t xml:space="preserve"> el 30/08/2025</w:t>
      </w:r>
      <w:r w:rsidR="007C5315" w:rsidRPr="00CF1B34">
        <w:rPr>
          <w:rFonts w:ascii="Arial" w:hAnsi="Arial" w:cs="Arial"/>
          <w:color w:val="000000" w:themeColor="text1"/>
          <w:sz w:val="22"/>
          <w:szCs w:val="22"/>
          <w:lang w:val="es-ES_tradnl"/>
        </w:rPr>
        <w:t>. Esta emisión pagara</w:t>
      </w:r>
      <w:r w:rsidR="001207B8">
        <w:rPr>
          <w:rFonts w:ascii="Arial" w:hAnsi="Arial" w:cs="Arial"/>
          <w:color w:val="000000" w:themeColor="text1"/>
          <w:sz w:val="22"/>
          <w:szCs w:val="22"/>
          <w:lang w:val="es-ES_tradnl"/>
        </w:rPr>
        <w:t xml:space="preserve"> </w:t>
      </w:r>
      <w:r w:rsidR="007C5315" w:rsidRPr="00CF1B34">
        <w:rPr>
          <w:rFonts w:ascii="Arial" w:hAnsi="Arial" w:cs="Arial"/>
          <w:color w:val="000000" w:themeColor="text1"/>
          <w:sz w:val="22"/>
          <w:szCs w:val="22"/>
          <w:lang w:val="es-ES_tradnl"/>
        </w:rPr>
        <w:t xml:space="preserve">cupones el 30 de agosto de cada año hasta 2005 incluido. El 30 de agosto de 2005 pagar además su </w:t>
      </w:r>
      <w:r w:rsidR="00A50254" w:rsidRPr="00CF1B34">
        <w:rPr>
          <w:rFonts w:ascii="Arial" w:hAnsi="Arial" w:cs="Arial"/>
          <w:color w:val="000000" w:themeColor="text1"/>
          <w:sz w:val="22"/>
          <w:szCs w:val="22"/>
          <w:lang w:val="es-ES_tradnl"/>
        </w:rPr>
        <w:t>amortización.</w:t>
      </w:r>
    </w:p>
    <w:p w14:paraId="54DEF6C9" w14:textId="0B02AA67" w:rsidR="001207B8" w:rsidRDefault="001207B8"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 xml:space="preserve">Periodo de prueba </w:t>
      </w:r>
      <w:r w:rsidR="00FE22E8">
        <w:rPr>
          <w:rFonts w:ascii="Arial" w:hAnsi="Arial" w:cs="Arial"/>
          <w:b/>
          <w:bCs/>
          <w:color w:val="004773"/>
          <w:sz w:val="22"/>
          <w:szCs w:val="22"/>
          <w:lang w:val="es-ES_tradnl"/>
        </w:rPr>
        <w:t>(contratos)</w:t>
      </w:r>
    </w:p>
    <w:p w14:paraId="3820D0FD" w14:textId="77777777" w:rsidR="00612655" w:rsidRPr="00612655" w:rsidRDefault="00612655" w:rsidP="00612655">
      <w:pPr>
        <w:ind w:left="708"/>
        <w:rPr>
          <w:rFonts w:ascii="Arial" w:hAnsi="Arial" w:cs="Arial"/>
          <w:sz w:val="22"/>
          <w:szCs w:val="22"/>
        </w:rPr>
      </w:pPr>
      <w:r w:rsidRPr="00612655">
        <w:rPr>
          <w:rFonts w:ascii="Arial" w:hAnsi="Arial" w:cs="Arial"/>
          <w:sz w:val="22"/>
          <w:szCs w:val="22"/>
          <w:shd w:val="clear" w:color="auto" w:fill="FFFFFF"/>
        </w:rPr>
        <w:t>El </w:t>
      </w:r>
      <w:r w:rsidRPr="00612655">
        <w:rPr>
          <w:rStyle w:val="highlight-answer"/>
          <w:rFonts w:ascii="Arial" w:hAnsi="Arial" w:cs="Arial"/>
          <w:b/>
          <w:bCs/>
          <w:color w:val="000000"/>
          <w:sz w:val="22"/>
          <w:szCs w:val="22"/>
          <w:shd w:val="clear" w:color="auto" w:fill="FFFFFF"/>
        </w:rPr>
        <w:t>período de prueba</w:t>
      </w:r>
      <w:r w:rsidRPr="00612655">
        <w:rPr>
          <w:rFonts w:ascii="Arial" w:hAnsi="Arial" w:cs="Arial"/>
          <w:sz w:val="22"/>
          <w:szCs w:val="22"/>
          <w:shd w:val="clear" w:color="auto" w:fill="FFFFFF"/>
        </w:rPr>
        <w:t> es un pacto establecido por escrito en el contrato de trabajo durante el cual, tanto el empresario como la persona trabajadora, pueden extinguir la relación laboral sin necesidad de justificar la causa, ni realizar un preaviso y sin que tampoco exista derecho a indemnización. Durante este período, el trabajador tendrá los derechos y obligaciones correspondientes al puesto de trabajo que desempeñe como si fuera de plantilla, excepto los derivados de la resolución de la relación laboral, que podrá producirse a instancia de cualquiera de las partes durante su transcurso.</w:t>
      </w:r>
    </w:p>
    <w:p w14:paraId="2D9FF2A8" w14:textId="77777777" w:rsidR="00612655" w:rsidRPr="00612655" w:rsidRDefault="00612655" w:rsidP="00612655">
      <w:pPr>
        <w:ind w:firstLine="708"/>
        <w:rPr>
          <w:rFonts w:ascii="Arial" w:hAnsi="Arial" w:cs="Arial"/>
          <w:sz w:val="22"/>
          <w:szCs w:val="22"/>
        </w:rPr>
      </w:pPr>
      <w:r w:rsidRPr="00612655">
        <w:rPr>
          <w:rFonts w:ascii="Arial" w:hAnsi="Arial" w:cs="Arial"/>
          <w:b/>
          <w:bCs/>
          <w:sz w:val="22"/>
          <w:szCs w:val="22"/>
        </w:rPr>
        <w:t>Características</w:t>
      </w:r>
    </w:p>
    <w:p w14:paraId="6C2CD00D" w14:textId="77777777" w:rsidR="00612655" w:rsidRPr="00612655" w:rsidRDefault="00612655" w:rsidP="004F7A62">
      <w:pPr>
        <w:numPr>
          <w:ilvl w:val="0"/>
          <w:numId w:val="243"/>
        </w:numPr>
        <w:shd w:val="clear" w:color="auto" w:fill="FFFFFF"/>
        <w:spacing w:after="100" w:afterAutospacing="1"/>
        <w:rPr>
          <w:rFonts w:ascii="Arial" w:hAnsi="Arial" w:cs="Arial"/>
          <w:color w:val="000000"/>
          <w:sz w:val="22"/>
          <w:szCs w:val="22"/>
        </w:rPr>
      </w:pPr>
      <w:r w:rsidRPr="00612655">
        <w:rPr>
          <w:rFonts w:ascii="Arial" w:hAnsi="Arial" w:cs="Arial"/>
          <w:color w:val="000000"/>
          <w:sz w:val="22"/>
          <w:szCs w:val="22"/>
        </w:rPr>
        <w:t>Es un pacto bilateral beneficioso para ambas partes.</w:t>
      </w:r>
    </w:p>
    <w:p w14:paraId="0E366555" w14:textId="77777777" w:rsidR="00612655" w:rsidRPr="00612655" w:rsidRDefault="00612655" w:rsidP="004F7A62">
      <w:pPr>
        <w:numPr>
          <w:ilvl w:val="0"/>
          <w:numId w:val="243"/>
        </w:numPr>
        <w:shd w:val="clear" w:color="auto" w:fill="FFFFFF"/>
        <w:spacing w:before="100" w:beforeAutospacing="1" w:after="100" w:afterAutospacing="1"/>
        <w:rPr>
          <w:rFonts w:ascii="Arial" w:hAnsi="Arial" w:cs="Arial"/>
          <w:color w:val="000000"/>
          <w:sz w:val="22"/>
          <w:szCs w:val="22"/>
        </w:rPr>
      </w:pPr>
      <w:r w:rsidRPr="00612655">
        <w:rPr>
          <w:rFonts w:ascii="Arial" w:hAnsi="Arial" w:cs="Arial"/>
          <w:color w:val="000000"/>
          <w:sz w:val="22"/>
          <w:szCs w:val="22"/>
        </w:rPr>
        <w:t>Si se aprueba, la relación laboral es adecuada para el empleado y la empresa.</w:t>
      </w:r>
    </w:p>
    <w:p w14:paraId="57DA22DA" w14:textId="77777777" w:rsidR="00612655" w:rsidRPr="00612655" w:rsidRDefault="00612655" w:rsidP="004F7A62">
      <w:pPr>
        <w:numPr>
          <w:ilvl w:val="0"/>
          <w:numId w:val="243"/>
        </w:numPr>
        <w:shd w:val="clear" w:color="auto" w:fill="FFFFFF"/>
        <w:spacing w:before="100" w:beforeAutospacing="1" w:after="100" w:afterAutospacing="1"/>
        <w:rPr>
          <w:rFonts w:ascii="Arial" w:hAnsi="Arial" w:cs="Arial"/>
          <w:color w:val="000000"/>
          <w:sz w:val="22"/>
          <w:szCs w:val="22"/>
        </w:rPr>
      </w:pPr>
      <w:r w:rsidRPr="00612655">
        <w:rPr>
          <w:rFonts w:ascii="Arial" w:hAnsi="Arial" w:cs="Arial"/>
          <w:color w:val="000000"/>
          <w:sz w:val="22"/>
          <w:szCs w:val="22"/>
        </w:rPr>
        <w:t>En caso de no superar el período de prueba o de renunciar durante el período de prueba, no es preciso preavisar.</w:t>
      </w:r>
    </w:p>
    <w:p w14:paraId="6677EF24" w14:textId="77777777" w:rsidR="00612655" w:rsidRPr="00612655" w:rsidRDefault="00612655" w:rsidP="004F7A62">
      <w:pPr>
        <w:numPr>
          <w:ilvl w:val="0"/>
          <w:numId w:val="243"/>
        </w:numPr>
        <w:shd w:val="clear" w:color="auto" w:fill="FFFFFF"/>
        <w:spacing w:before="100" w:beforeAutospacing="1"/>
        <w:rPr>
          <w:rFonts w:ascii="Arial" w:hAnsi="Arial" w:cs="Arial"/>
          <w:color w:val="000000"/>
          <w:sz w:val="22"/>
          <w:szCs w:val="22"/>
        </w:rPr>
      </w:pPr>
      <w:r w:rsidRPr="00612655">
        <w:rPr>
          <w:rFonts w:ascii="Arial" w:hAnsi="Arial" w:cs="Arial"/>
          <w:color w:val="000000"/>
          <w:sz w:val="22"/>
          <w:szCs w:val="22"/>
        </w:rPr>
        <w:t>Las situaciones de incapacidad temporal, nacimiento, adopción, guarda con fines de adopción, acogimiento, riesgo durante el embarazo, riesgo durante la lactancia, violencia de género, que afecten a la persona trabajadora durante el período de prueba, interrumpen el cómputo del mismo siempre que se produzca acuerdo entre ambas partes.</w:t>
      </w:r>
    </w:p>
    <w:p w14:paraId="221E3223" w14:textId="77777777" w:rsidR="00612655" w:rsidRPr="00612655" w:rsidRDefault="00612655" w:rsidP="00612655">
      <w:pPr>
        <w:ind w:firstLine="708"/>
        <w:rPr>
          <w:rFonts w:ascii="Arial" w:hAnsi="Arial" w:cs="Arial"/>
          <w:b/>
          <w:bCs/>
          <w:sz w:val="22"/>
          <w:szCs w:val="22"/>
        </w:rPr>
      </w:pPr>
      <w:r w:rsidRPr="00612655">
        <w:rPr>
          <w:rFonts w:ascii="Arial" w:hAnsi="Arial" w:cs="Arial"/>
          <w:b/>
          <w:bCs/>
          <w:sz w:val="22"/>
          <w:szCs w:val="22"/>
        </w:rPr>
        <w:t>Requisitos legales</w:t>
      </w:r>
    </w:p>
    <w:p w14:paraId="7B763E6E" w14:textId="77777777" w:rsidR="00612655" w:rsidRPr="00612655" w:rsidRDefault="00612655" w:rsidP="00612655">
      <w:pPr>
        <w:shd w:val="clear" w:color="auto" w:fill="FFFFFF"/>
        <w:spacing w:before="100" w:beforeAutospacing="1" w:after="100" w:afterAutospacing="1"/>
        <w:ind w:left="708"/>
        <w:rPr>
          <w:rFonts w:ascii="Arial" w:hAnsi="Arial" w:cs="Arial"/>
          <w:color w:val="000000"/>
          <w:sz w:val="22"/>
          <w:szCs w:val="22"/>
        </w:rPr>
      </w:pPr>
      <w:r w:rsidRPr="00612655">
        <w:rPr>
          <w:rFonts w:ascii="Arial" w:hAnsi="Arial" w:cs="Arial"/>
          <w:color w:val="000000"/>
          <w:sz w:val="22"/>
          <w:szCs w:val="22"/>
        </w:rPr>
        <w:t>Según el artículo 14 del Estatuto de los Trabajadores (ET), el período de prueba debe cumplir las siguientes características:</w:t>
      </w:r>
    </w:p>
    <w:p w14:paraId="0245FA60" w14:textId="77777777" w:rsidR="00612655" w:rsidRPr="00612655" w:rsidRDefault="00612655" w:rsidP="004F7A62">
      <w:pPr>
        <w:numPr>
          <w:ilvl w:val="0"/>
          <w:numId w:val="244"/>
        </w:numPr>
        <w:shd w:val="clear" w:color="auto" w:fill="FFFFFF"/>
        <w:spacing w:afterAutospacing="1"/>
        <w:rPr>
          <w:rFonts w:ascii="Arial" w:hAnsi="Arial" w:cs="Arial"/>
          <w:color w:val="000000"/>
          <w:sz w:val="22"/>
          <w:szCs w:val="22"/>
        </w:rPr>
      </w:pPr>
      <w:r w:rsidRPr="00612655">
        <w:rPr>
          <w:rFonts w:ascii="Arial" w:hAnsi="Arial" w:cs="Arial"/>
          <w:b/>
          <w:bCs/>
          <w:color w:val="000000"/>
          <w:sz w:val="22"/>
          <w:szCs w:val="22"/>
        </w:rPr>
        <w:t>Ser pactado al inicio de la relación laboral con la firma del contrato</w:t>
      </w:r>
      <w:r w:rsidRPr="00612655">
        <w:rPr>
          <w:rFonts w:ascii="Arial" w:hAnsi="Arial" w:cs="Arial"/>
          <w:color w:val="000000"/>
          <w:sz w:val="22"/>
          <w:szCs w:val="22"/>
        </w:rPr>
        <w:t>.</w:t>
      </w:r>
    </w:p>
    <w:p w14:paraId="51A2E474" w14:textId="77777777" w:rsidR="00612655" w:rsidRPr="00612655" w:rsidRDefault="00612655" w:rsidP="004F7A62">
      <w:pPr>
        <w:numPr>
          <w:ilvl w:val="0"/>
          <w:numId w:val="244"/>
        </w:numPr>
        <w:shd w:val="clear" w:color="auto" w:fill="FFFFFF"/>
        <w:spacing w:before="100" w:beforeAutospacing="1" w:after="100" w:afterAutospacing="1"/>
        <w:rPr>
          <w:rFonts w:ascii="Arial" w:hAnsi="Arial" w:cs="Arial"/>
          <w:color w:val="000000"/>
          <w:sz w:val="22"/>
          <w:szCs w:val="22"/>
        </w:rPr>
      </w:pPr>
      <w:r w:rsidRPr="00612655">
        <w:rPr>
          <w:rFonts w:ascii="Arial" w:hAnsi="Arial" w:cs="Arial"/>
          <w:color w:val="000000"/>
          <w:sz w:val="22"/>
          <w:szCs w:val="22"/>
        </w:rPr>
        <w:t>Ser expreso y por escrito.</w:t>
      </w:r>
    </w:p>
    <w:p w14:paraId="71231D17" w14:textId="77777777" w:rsidR="00612655" w:rsidRPr="00612655" w:rsidRDefault="00612655" w:rsidP="004F7A62">
      <w:pPr>
        <w:numPr>
          <w:ilvl w:val="0"/>
          <w:numId w:val="244"/>
        </w:numPr>
        <w:shd w:val="clear" w:color="auto" w:fill="FFFFFF"/>
        <w:spacing w:before="100" w:beforeAutospacing="1"/>
        <w:rPr>
          <w:rFonts w:ascii="Arial" w:hAnsi="Arial" w:cs="Arial"/>
          <w:color w:val="000000"/>
          <w:sz w:val="22"/>
          <w:szCs w:val="22"/>
        </w:rPr>
      </w:pPr>
      <w:r w:rsidRPr="00612655">
        <w:rPr>
          <w:rFonts w:ascii="Arial" w:hAnsi="Arial" w:cs="Arial"/>
          <w:color w:val="000000"/>
          <w:sz w:val="22"/>
          <w:szCs w:val="22"/>
        </w:rPr>
        <w:t>No ser aplicable en caso de que el contrato no lo establezca expresamente.</w:t>
      </w:r>
    </w:p>
    <w:p w14:paraId="7FC06F44" w14:textId="77777777" w:rsidR="00612655" w:rsidRPr="00CF1B34" w:rsidRDefault="00612655" w:rsidP="00612655">
      <w:pPr>
        <w:pBdr>
          <w:bottom w:val="dotted" w:sz="12" w:space="12" w:color="666666"/>
        </w:pBdr>
        <w:spacing w:after="240"/>
        <w:ind w:left="720"/>
        <w:jc w:val="both"/>
        <w:rPr>
          <w:rFonts w:ascii="Arial" w:hAnsi="Arial" w:cs="Arial"/>
          <w:color w:val="212529"/>
          <w:sz w:val="22"/>
          <w:szCs w:val="22"/>
          <w:lang w:val="es-ES_tradnl"/>
        </w:rPr>
      </w:pPr>
      <w:r w:rsidRPr="00612655">
        <w:rPr>
          <w:rFonts w:ascii="Arial" w:hAnsi="Arial" w:cs="Arial"/>
          <w:color w:val="000000"/>
          <w:sz w:val="22"/>
          <w:szCs w:val="22"/>
        </w:rPr>
        <w:t xml:space="preserve">En resumen, el período de prueba es un </w:t>
      </w:r>
      <w:r w:rsidRPr="00612655">
        <w:rPr>
          <w:rFonts w:ascii="Arial" w:hAnsi="Arial" w:cs="Arial"/>
          <w:b/>
          <w:bCs/>
          <w:color w:val="000000"/>
          <w:sz w:val="22"/>
          <w:szCs w:val="22"/>
        </w:rPr>
        <w:t>período en el que la relación laboral se prueba o pruebas</w:t>
      </w:r>
      <w:r w:rsidRPr="00612655">
        <w:rPr>
          <w:rFonts w:ascii="Arial" w:hAnsi="Arial" w:cs="Arial"/>
          <w:color w:val="000000"/>
          <w:sz w:val="22"/>
          <w:szCs w:val="22"/>
        </w:rPr>
        <w:t xml:space="preserve">, y durante el cual las partes pueden extinguir la relación laboral sin necesidad </w:t>
      </w:r>
      <w:r w:rsidRPr="00612655">
        <w:rPr>
          <w:rFonts w:ascii="Arial" w:hAnsi="Arial" w:cs="Arial"/>
          <w:color w:val="000000"/>
          <w:sz w:val="22"/>
          <w:szCs w:val="22"/>
        </w:rPr>
        <w:lastRenderedPageBreak/>
        <w:t>de justificar la causa y sin preaviso, siempre y cuando se cumplan los requisitos legales establecidos.</w:t>
      </w:r>
    </w:p>
    <w:p w14:paraId="4FDBD035" w14:textId="7479C8FB"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Período de suscripción</w:t>
      </w:r>
    </w:p>
    <w:p w14:paraId="3ECF5E64"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Se llama así al plazo que suelen tener los inversores para solicitar la asignación de valores en una oferta pública o para ejercer determinados derechos en ampliaciones de capital, conversión de obligaciones, etc.</w:t>
      </w:r>
    </w:p>
    <w:p w14:paraId="3464F3B4"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Permuta financiera</w:t>
      </w:r>
    </w:p>
    <w:p w14:paraId="1FE5FDE9" w14:textId="1362B17F"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Ver </w:t>
      </w:r>
      <w:hyperlink r:id="rId308" w:tgtFrame="_self" w:history="1">
        <w:r w:rsidR="00A50254" w:rsidRPr="00CF1B34">
          <w:rPr>
            <w:rFonts w:ascii="Arial" w:hAnsi="Arial" w:cs="Arial"/>
            <w:b/>
            <w:bCs/>
            <w:color w:val="AD2144"/>
            <w:sz w:val="22"/>
            <w:szCs w:val="22"/>
            <w:u w:val="single"/>
            <w:lang w:val="es-ES_tradnl"/>
          </w:rPr>
          <w:t>SWAP</w:t>
        </w:r>
      </w:hyperlink>
    </w:p>
    <w:p w14:paraId="269A51BB" w14:textId="7F948727" w:rsidR="00995F31" w:rsidRPr="00CF1B34" w:rsidRDefault="00995F31"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PIB per Cápita</w:t>
      </w:r>
    </w:p>
    <w:p w14:paraId="49F72941" w14:textId="77777777" w:rsidR="00995F31" w:rsidRPr="00CF1B34" w:rsidRDefault="00995F3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Relación entre el PIB y la población de un país en un año determinado. Generalmente, se asocia con el grado de desarrollo relativo de un país. Por ejemplo, el Banco Mundial clasifica a los países de acuerdo al nivel del PBI per cápita.</w:t>
      </w:r>
    </w:p>
    <w:p w14:paraId="29C5E843" w14:textId="3A5F3B61" w:rsidR="00EF269B" w:rsidRPr="00CF1B34" w:rsidRDefault="00EF269B"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Pignoración de participaciones</w:t>
      </w:r>
    </w:p>
    <w:p w14:paraId="7AED0EE9" w14:textId="62AB74BE" w:rsidR="00EF269B" w:rsidRPr="00CF1B34" w:rsidRDefault="00EF269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Pignorar consiste en inmovilizar como garantía bienes dinerarios o valores de renta fija con el fin de obtener un porcentaje de financiación sobre esa cantidad inmovilizada, es decir hablamos de pignorar para referirnos a una garantía real mobiliaria.</w:t>
      </w:r>
    </w:p>
    <w:p w14:paraId="7361FC59" w14:textId="77777777" w:rsidR="00EF269B" w:rsidRPr="00CF1B34" w:rsidRDefault="00EF269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partícipe puede pignorar o constituir en prenda sus participaciones en un fondo de inversión como aval o garantía frente a un préstamo de una entidad financiera.</w:t>
      </w:r>
    </w:p>
    <w:p w14:paraId="111ADE57" w14:textId="77777777" w:rsidR="00EF269B" w:rsidRPr="00CF1B34" w:rsidRDefault="00EF269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 de las participaciones en un fondo de inversión, esta garantía real mobiliaria puede estar constituida por dinero, acciones, seguros, letras del tesoro o pagarés.</w:t>
      </w:r>
    </w:p>
    <w:p w14:paraId="4ED07AC2" w14:textId="77777777" w:rsidR="00EF269B" w:rsidRPr="00CF1B34" w:rsidRDefault="00EF269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pignoración es una figura similar a la garantía de bienes inmuebles que se presta en las hipotecas. La principal diferencia entre ambas garantías es que, en el caso de la pignoración, se impide la libre disposición de los activos pignorados durante el periodo en el que esté vigente la obligación principal.</w:t>
      </w:r>
    </w:p>
    <w:p w14:paraId="2F02456F" w14:textId="77777777" w:rsidR="00EF269B" w:rsidRPr="00CF1B34" w:rsidRDefault="00EF269B"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¿Cuáles son las ventajas de la pignoración?</w:t>
      </w:r>
    </w:p>
    <w:p w14:paraId="052E8ED1" w14:textId="77777777" w:rsidR="00EF269B" w:rsidRPr="00CF1B34" w:rsidRDefault="00EF269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pignoración es una garantía muy habitual en el ámbito financiero. Sus principales ventajas son:</w:t>
      </w:r>
    </w:p>
    <w:p w14:paraId="66299315" w14:textId="77777777" w:rsidR="00EF269B" w:rsidRPr="00CF1B34" w:rsidRDefault="00EF269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 posible disponer de los rendimientos que genere el activo pignorado. Esto ocurre en muchos casos, aunque no siempre es posible. En el caso de las imposiciones a largo plazo o los dividendos de acciones, se permite su libre disposición de intereses. En otros casos como, por ejemplo, los fondos de inversión, las pignoraciones se realizan por participación y por tanto el reembolso no está permitido.</w:t>
      </w:r>
    </w:p>
    <w:p w14:paraId="63FC7E71" w14:textId="77777777" w:rsidR="00EF269B" w:rsidRPr="00CF1B34" w:rsidRDefault="00EF269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pignoración es una garantía de alta calidad en caso de que los activos tengan una buena clasificación, por este motivo permite acceder a condiciones financieras más ventajosas.</w:t>
      </w:r>
    </w:p>
    <w:p w14:paraId="688BB1E1" w14:textId="77777777" w:rsidR="00EF269B" w:rsidRPr="00CF1B34" w:rsidRDefault="00EF269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El porcentaje de financiación será variable en función del activo que financiemos, dependerá si se trata de valores de cuenta variable, una cuenta a plazo o valores de renta </w:t>
      </w:r>
      <w:r w:rsidRPr="00CF1B34">
        <w:rPr>
          <w:rFonts w:ascii="Arial" w:hAnsi="Arial" w:cs="Arial"/>
          <w:sz w:val="22"/>
          <w:szCs w:val="22"/>
          <w:lang w:val="es-ES_tradnl"/>
        </w:rPr>
        <w:lastRenderedPageBreak/>
        <w:t>fija. El porcentaje de financiación será mayor cuando menores sean las fluctuaciones de valor.</w:t>
      </w:r>
    </w:p>
    <w:p w14:paraId="69CFF213" w14:textId="69F122C4" w:rsidR="00EF269B" w:rsidRPr="00CF1B34" w:rsidRDefault="00EF269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 financiación a través de la pignoración ofrece infinidad de posibilidades.</w:t>
      </w:r>
    </w:p>
    <w:p w14:paraId="137D3D55" w14:textId="079F18F2" w:rsidR="00FE22E8" w:rsidRDefault="00FE22E8"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PIP</w:t>
      </w:r>
    </w:p>
    <w:p w14:paraId="6BF7A03D" w14:textId="77777777" w:rsidR="00FE22E8" w:rsidRPr="00CF1B34" w:rsidRDefault="00FE22E8" w:rsidP="00FE22E8">
      <w:pPr>
        <w:pBdr>
          <w:bottom w:val="dotted" w:sz="12" w:space="12" w:color="666666"/>
        </w:pBdr>
        <w:spacing w:after="240"/>
        <w:ind w:left="720"/>
        <w:jc w:val="both"/>
        <w:rPr>
          <w:rFonts w:ascii="Arial" w:hAnsi="Arial" w:cs="Arial"/>
          <w:color w:val="212529"/>
          <w:sz w:val="22"/>
          <w:szCs w:val="22"/>
          <w:lang w:val="es-ES_tradnl"/>
        </w:rPr>
      </w:pPr>
      <w:r w:rsidRPr="00FE22E8">
        <w:rPr>
          <w:rFonts w:ascii="Arial" w:hAnsi="Arial" w:cs="Arial"/>
          <w:color w:val="000000" w:themeColor="text1"/>
          <w:sz w:val="22"/>
          <w:szCs w:val="22"/>
          <w:lang w:val="es-ES_tradnl"/>
        </w:rPr>
        <w:t>Se conoce como valor PIP a la unidad mínima de movimiento que puede variar el valor de una divisa. Un pip es el último decimal de un</w:t>
      </w:r>
      <w:r>
        <w:rPr>
          <w:rFonts w:ascii="Arial" w:hAnsi="Arial" w:cs="Arial"/>
          <w:color w:val="000000" w:themeColor="text1"/>
          <w:sz w:val="22"/>
          <w:szCs w:val="22"/>
          <w:lang w:val="es-ES_tradnl"/>
        </w:rPr>
        <w:t>a</w:t>
      </w:r>
      <w:r w:rsidRPr="00FE22E8">
        <w:rPr>
          <w:rFonts w:ascii="Arial" w:hAnsi="Arial" w:cs="Arial"/>
          <w:color w:val="000000" w:themeColor="text1"/>
          <w:sz w:val="22"/>
          <w:szCs w:val="22"/>
          <w:lang w:val="es-ES_tradnl"/>
        </w:rPr>
        <w:t xml:space="preserve"> cotización</w:t>
      </w:r>
      <w:r>
        <w:rPr>
          <w:rFonts w:ascii="Arial" w:hAnsi="Arial" w:cs="Arial"/>
          <w:color w:val="000000" w:themeColor="text1"/>
          <w:sz w:val="22"/>
          <w:szCs w:val="22"/>
          <w:lang w:val="es-ES_tradnl"/>
        </w:rPr>
        <w:t>.</w:t>
      </w:r>
    </w:p>
    <w:p w14:paraId="234AB231" w14:textId="6E80AF3D" w:rsidR="00F15211" w:rsidRPr="00CF1B34" w:rsidRDefault="00F1521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Plan de pensiones asociado</w:t>
      </w:r>
    </w:p>
    <w:p w14:paraId="162CAA4D" w14:textId="77777777" w:rsidR="00EE01B7" w:rsidRPr="00CF1B34" w:rsidRDefault="0010608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aquel al que pueden acceder los miembros de una asociación, sindicato</w:t>
      </w:r>
      <w:r w:rsidR="00EE01B7" w:rsidRPr="00CF1B34">
        <w:rPr>
          <w:rFonts w:ascii="Arial" w:hAnsi="Arial" w:cs="Arial"/>
          <w:color w:val="000000" w:themeColor="text1"/>
          <w:sz w:val="22"/>
          <w:szCs w:val="22"/>
          <w:lang w:val="es-ES_tradnl"/>
        </w:rPr>
        <w:t>, gremio o colectivo, siendo el promotor la propia asociación. Los planes asociados podrán adoptar cualquiera de las tres modalidades: prestación definida, aportación definida y mixtos.</w:t>
      </w:r>
    </w:p>
    <w:p w14:paraId="42E8905F" w14:textId="7F7CE0AC" w:rsidR="00F15211" w:rsidRPr="00CF1B34" w:rsidRDefault="00F1521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Plan de pensiones de aportación definida</w:t>
      </w:r>
    </w:p>
    <w:p w14:paraId="34301655" w14:textId="222B7AA8" w:rsidR="00607A5F" w:rsidRPr="00CF1B34" w:rsidRDefault="001969A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aquellos en que magnitud predeterminada es la cuant</w:t>
      </w:r>
      <w:r w:rsidR="00FE22E8">
        <w:rPr>
          <w:rFonts w:ascii="Arial" w:hAnsi="Arial" w:cs="Arial"/>
          <w:color w:val="000000" w:themeColor="text1"/>
          <w:sz w:val="22"/>
          <w:szCs w:val="22"/>
          <w:lang w:val="es-ES_tradnl"/>
        </w:rPr>
        <w:t>í</w:t>
      </w:r>
      <w:r w:rsidR="00607A5F" w:rsidRPr="00CF1B34">
        <w:rPr>
          <w:rFonts w:ascii="Arial" w:hAnsi="Arial" w:cs="Arial"/>
          <w:color w:val="000000" w:themeColor="text1"/>
          <w:sz w:val="22"/>
          <w:szCs w:val="22"/>
          <w:lang w:val="es-ES_tradnl"/>
        </w:rPr>
        <w:t>a de las aportaciones. Las prestaciones están a expensas de los resultados de la cartera del fondo de pensiones. Es decir, las prestaciones dependen del importe de las aportaciones y de la rentabilidad obtenida por la cartera del fondo de pensiones.</w:t>
      </w:r>
    </w:p>
    <w:p w14:paraId="35F48BA3" w14:textId="2CE4DCAB" w:rsidR="00F15211" w:rsidRPr="00CF1B34" w:rsidRDefault="00F1521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Plan de pensiones de empleo</w:t>
      </w:r>
    </w:p>
    <w:p w14:paraId="034CCD64" w14:textId="77777777" w:rsidR="00587BF1" w:rsidRPr="00CF1B34" w:rsidRDefault="00587BF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Va destinado a los empleados de cualquier empresa, siendo promotor la propia empresa. También es posible que el plan sea promovido por un grupo de empresas, siempre que el numero de trabajadores de cada empresa no exceda de 250. Los planes de empleo podrán adoptar cualquiera de las tres modalidades: prestación definida, aportación definida y mixtos.</w:t>
      </w:r>
    </w:p>
    <w:p w14:paraId="208C2D20" w14:textId="0A754787" w:rsidR="00F15211" w:rsidRPr="00CF1B34" w:rsidRDefault="00F1521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Plan de pensiones de prestación definida</w:t>
      </w:r>
    </w:p>
    <w:p w14:paraId="52D9E1AE" w14:textId="77777777" w:rsidR="00CA58CB" w:rsidRPr="00CF1B34" w:rsidRDefault="00587BF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aquellos que se definen como magnitud predeterminada la cuantía de todas las prestaciones a recibir por los beneficiarios. Respecto a as aportaciones, si bien están estimadas, su importe ira vari</w:t>
      </w:r>
      <w:r w:rsidR="0072469B" w:rsidRPr="00CF1B34">
        <w:rPr>
          <w:rFonts w:ascii="Arial" w:hAnsi="Arial" w:cs="Arial"/>
          <w:color w:val="000000" w:themeColor="text1"/>
          <w:sz w:val="22"/>
          <w:szCs w:val="22"/>
          <w:lang w:val="es-ES_tradnl"/>
        </w:rPr>
        <w:t xml:space="preserve">ando </w:t>
      </w:r>
      <w:r w:rsidR="00FD757C" w:rsidRPr="00CF1B34">
        <w:rPr>
          <w:rFonts w:ascii="Arial" w:hAnsi="Arial" w:cs="Arial"/>
          <w:color w:val="000000" w:themeColor="text1"/>
          <w:sz w:val="22"/>
          <w:szCs w:val="22"/>
          <w:lang w:val="es-ES_tradnl"/>
        </w:rPr>
        <w:t xml:space="preserve">con los resultados del fondo de pensiones para </w:t>
      </w:r>
      <w:proofErr w:type="gramStart"/>
      <w:r w:rsidR="00FD757C" w:rsidRPr="00CF1B34">
        <w:rPr>
          <w:rFonts w:ascii="Arial" w:hAnsi="Arial" w:cs="Arial"/>
          <w:color w:val="000000" w:themeColor="text1"/>
          <w:sz w:val="22"/>
          <w:szCs w:val="22"/>
          <w:lang w:val="es-ES_tradnl"/>
        </w:rPr>
        <w:t>que</w:t>
      </w:r>
      <w:proofErr w:type="gramEnd"/>
      <w:r w:rsidR="00FD757C" w:rsidRPr="00CF1B34">
        <w:rPr>
          <w:rFonts w:ascii="Arial" w:hAnsi="Arial" w:cs="Arial"/>
          <w:color w:val="000000" w:themeColor="text1"/>
          <w:sz w:val="22"/>
          <w:szCs w:val="22"/>
          <w:lang w:val="es-ES_tradnl"/>
        </w:rPr>
        <w:t xml:space="preserve"> siguiendo el principio de capitalización, las aportaciones y loe resultados de la masa</w:t>
      </w:r>
      <w:r w:rsidR="00CA58CB" w:rsidRPr="00CF1B34">
        <w:rPr>
          <w:rFonts w:ascii="Arial" w:hAnsi="Arial" w:cs="Arial"/>
          <w:color w:val="000000" w:themeColor="text1"/>
          <w:sz w:val="22"/>
          <w:szCs w:val="22"/>
          <w:lang w:val="es-ES_tradnl"/>
        </w:rPr>
        <w:t xml:space="preserve"> patrimonial cubran unas determinadas prestaciones.</w:t>
      </w:r>
      <w:r w:rsidR="00FD757C" w:rsidRPr="00CF1B34">
        <w:rPr>
          <w:rFonts w:ascii="Arial" w:hAnsi="Arial" w:cs="Arial"/>
          <w:color w:val="000000" w:themeColor="text1"/>
          <w:sz w:val="22"/>
          <w:szCs w:val="22"/>
          <w:lang w:val="es-ES_tradnl"/>
        </w:rPr>
        <w:t xml:space="preserve"> </w:t>
      </w:r>
    </w:p>
    <w:p w14:paraId="02804B07" w14:textId="66B45D26" w:rsidR="00F15211" w:rsidRPr="00CF1B34" w:rsidRDefault="00F1521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Plan de pensiones individual</w:t>
      </w:r>
    </w:p>
    <w:p w14:paraId="771DF99E" w14:textId="790D5319" w:rsidR="009C082D" w:rsidRPr="00CF1B34" w:rsidRDefault="00CA58C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Puede acceder al plan de pensiones cualquier persona física, siendo promotor una o varias entidades financieras (bancos, cajas de ahorro, cooperativas de crédito, entidades aseguradoras, etc.). los planes individuales únicamente podrán ser de aportación</w:t>
      </w:r>
      <w:r w:rsidR="009C082D" w:rsidRPr="00CF1B34">
        <w:rPr>
          <w:rFonts w:ascii="Arial" w:hAnsi="Arial" w:cs="Arial"/>
          <w:color w:val="000000" w:themeColor="text1"/>
          <w:sz w:val="22"/>
          <w:szCs w:val="22"/>
          <w:lang w:val="es-ES_tradnl"/>
        </w:rPr>
        <w:t xml:space="preserve"> definida.</w:t>
      </w:r>
    </w:p>
    <w:p w14:paraId="4D8789E8" w14:textId="536166A4" w:rsidR="00F15211" w:rsidRPr="00CF1B34" w:rsidRDefault="00F15211"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Plan de pensiones mixto</w:t>
      </w:r>
    </w:p>
    <w:p w14:paraId="061B09C8" w14:textId="47838AFF" w:rsidR="00C91826" w:rsidRPr="00CF1B34" w:rsidRDefault="00C9182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Están definidas parcialmente tanto prestación como aportación. Exigen técnicas de inmunización, y normalmente seguros complementarios.</w:t>
      </w:r>
    </w:p>
    <w:p w14:paraId="5F6CB8C5" w14:textId="542F66FB" w:rsidR="00E256E0" w:rsidRPr="00CF1B34" w:rsidRDefault="00E256E0"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Plan de Previsión Asegurado</w:t>
      </w:r>
    </w:p>
    <w:p w14:paraId="68F948B7"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Un </w:t>
      </w:r>
      <w:r w:rsidRPr="00CF1B34">
        <w:rPr>
          <w:rFonts w:ascii="Arial" w:hAnsi="Arial" w:cs="Arial"/>
          <w:b/>
          <w:bCs/>
          <w:sz w:val="22"/>
          <w:szCs w:val="22"/>
          <w:lang w:val="es-ES_tradnl"/>
        </w:rPr>
        <w:t>Plan de Previsión Asegurado</w:t>
      </w:r>
      <w:r w:rsidRPr="00CF1B34">
        <w:rPr>
          <w:rFonts w:ascii="Arial" w:hAnsi="Arial" w:cs="Arial"/>
          <w:sz w:val="22"/>
          <w:szCs w:val="22"/>
          <w:lang w:val="es-ES_tradnl"/>
        </w:rPr>
        <w:t> o PPA es un seguro individual de ahorro a largo plazo, planteado como un </w:t>
      </w:r>
      <w:r w:rsidRPr="00CF1B34">
        <w:rPr>
          <w:rFonts w:ascii="Arial" w:hAnsi="Arial" w:cs="Arial"/>
          <w:b/>
          <w:bCs/>
          <w:sz w:val="22"/>
          <w:szCs w:val="22"/>
          <w:lang w:val="es-ES_tradnl"/>
        </w:rPr>
        <w:t>complemento al sistema de pensiones de la Seguridad Social</w:t>
      </w:r>
      <w:r w:rsidRPr="00CF1B34">
        <w:rPr>
          <w:rFonts w:ascii="Arial" w:hAnsi="Arial" w:cs="Arial"/>
          <w:sz w:val="22"/>
          <w:szCs w:val="22"/>
          <w:lang w:val="es-ES_tradnl"/>
        </w:rPr>
        <w:t>.  </w:t>
      </w:r>
    </w:p>
    <w:p w14:paraId="3E677237"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Cuando se contrata uno, se firma una póliza de seguro que cuenta con las figuras habituales en las pólizas: tomador y asegurado o beneficiario, que será la misma persona a excepción de que se produzca el fallecimiento del asegurado, motivo por el cual este deberá designar a un beneficiario.</w:t>
      </w:r>
    </w:p>
    <w:p w14:paraId="4D78BDBF" w14:textId="21AB7AC6"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Los derechos acumulados de este plan pueden ser trasladados a otros PPA, o bien a otros</w:t>
      </w:r>
      <w:r w:rsidR="0064122D" w:rsidRPr="00CF1B34">
        <w:rPr>
          <w:rFonts w:ascii="Arial" w:hAnsi="Arial" w:cs="Arial"/>
          <w:sz w:val="22"/>
          <w:szCs w:val="22"/>
          <w:lang w:val="es-ES_tradnl"/>
        </w:rPr>
        <w:t xml:space="preserve"> </w:t>
      </w:r>
      <w:hyperlink r:id="rId309" w:tooltip="planes de pensiones" w:history="1">
        <w:r w:rsidRPr="00CF1B34">
          <w:rPr>
            <w:rFonts w:ascii="Arial" w:hAnsi="Arial" w:cs="Arial"/>
            <w:color w:val="2F5496" w:themeColor="accent1" w:themeShade="BF"/>
            <w:sz w:val="22"/>
            <w:szCs w:val="22"/>
            <w:u w:val="single"/>
            <w:lang w:val="es-ES_tradnl"/>
          </w:rPr>
          <w:t>planes de pensiones</w:t>
        </w:r>
      </w:hyperlink>
      <w:r w:rsidRPr="00CF1B34">
        <w:rPr>
          <w:rFonts w:ascii="Arial" w:hAnsi="Arial" w:cs="Arial"/>
          <w:sz w:val="22"/>
          <w:szCs w:val="22"/>
          <w:lang w:val="es-ES_tradnl"/>
        </w:rPr>
        <w:t>, o a un plan de previsión social. Esta posibilidad de movilidad también existe en el caso de los planes de pensiones. </w:t>
      </w:r>
    </w:p>
    <w:p w14:paraId="2C141CD5" w14:textId="77777777" w:rsidR="00E256E0" w:rsidRPr="00CF1B34" w:rsidRDefault="00E256E0"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Aportaciones </w:t>
      </w:r>
    </w:p>
    <w:p w14:paraId="1AA2F185"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PPA cuenta con las mismas</w:t>
      </w:r>
      <w:r w:rsidRPr="00CF1B34">
        <w:rPr>
          <w:rFonts w:ascii="Arial" w:hAnsi="Arial" w:cs="Arial"/>
          <w:b/>
          <w:bCs/>
          <w:sz w:val="22"/>
          <w:szCs w:val="22"/>
          <w:lang w:val="es-ES_tradnl"/>
        </w:rPr>
        <w:t> ventajas fiscales</w:t>
      </w:r>
      <w:r w:rsidRPr="00CF1B34">
        <w:rPr>
          <w:rFonts w:ascii="Arial" w:hAnsi="Arial" w:cs="Arial"/>
          <w:sz w:val="22"/>
          <w:szCs w:val="22"/>
          <w:lang w:val="es-ES_tradnl"/>
        </w:rPr>
        <w:t> que un plan de pensiones. Esto quiere decir que todas las aportaciones desgravan fiscalmente, con un límite anual del 30% de los rendimientos netos del trabajo y actividades económicas, y hasta un máximo de 8.000€.  Estos límites pueden variar en algunas situaciones concretas, como por ejemplo si el cónyuge recibe rentas inferiores a 8.000€.</w:t>
      </w:r>
    </w:p>
    <w:p w14:paraId="7818427F"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ese caso se podrán reducir las aportaciones realizadas a favor de dicho cónyuge, hasta un límite anual de 2.500€. </w:t>
      </w:r>
    </w:p>
    <w:p w14:paraId="55BBF167"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Otra de las situaciones contempladas establece un límite de 24.250€ para personas con una discapacidad igual o superior al 65%. Estas aportaciones podrán ser realizadas por familiares de hasta tercer grado, y hasta un máximo de 10.000€, siempre que en conjunto no superen los 24.250€ establecidos como límite.</w:t>
      </w:r>
    </w:p>
    <w:p w14:paraId="2628F295" w14:textId="77777777" w:rsidR="00E256E0" w:rsidRPr="00CF1B34" w:rsidRDefault="00E256E0"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Rescate</w:t>
      </w:r>
    </w:p>
    <w:p w14:paraId="0BEF02C4" w14:textId="77777777" w:rsidR="00E256E0" w:rsidRPr="00CF1B34" w:rsidRDefault="00E256E0"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rescate de los PPA está pensando para el momento de la jubilación, pero además podrá llevarse a cabo cuando se cumplan algunas de las contingencias establecidas:</w:t>
      </w:r>
    </w:p>
    <w:p w14:paraId="6B49DB5D" w14:textId="77777777" w:rsidR="00E256E0" w:rsidRPr="00CF1B34" w:rsidRDefault="00E256E0" w:rsidP="004F7A62">
      <w:pPr>
        <w:numPr>
          <w:ilvl w:val="0"/>
          <w:numId w:val="4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En el momento de la jubilación del tomador/asegurador.</w:t>
      </w:r>
    </w:p>
    <w:p w14:paraId="0B71678A" w14:textId="77777777" w:rsidR="00E256E0" w:rsidRPr="00CF1B34" w:rsidRDefault="00E256E0" w:rsidP="004F7A62">
      <w:pPr>
        <w:numPr>
          <w:ilvl w:val="0"/>
          <w:numId w:val="4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En caso de incapacidad laboral.</w:t>
      </w:r>
    </w:p>
    <w:p w14:paraId="189DCA37" w14:textId="77777777" w:rsidR="00E256E0" w:rsidRPr="00CF1B34" w:rsidRDefault="00E256E0" w:rsidP="004F7A62">
      <w:pPr>
        <w:numPr>
          <w:ilvl w:val="0"/>
          <w:numId w:val="4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En caso de gran dependencia.</w:t>
      </w:r>
    </w:p>
    <w:p w14:paraId="7863527B" w14:textId="77777777" w:rsidR="00E256E0" w:rsidRPr="00CF1B34" w:rsidRDefault="00E256E0" w:rsidP="004F7A62">
      <w:pPr>
        <w:numPr>
          <w:ilvl w:val="0"/>
          <w:numId w:val="4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En caso de enfermedad grave.</w:t>
      </w:r>
    </w:p>
    <w:p w14:paraId="156022DC" w14:textId="77777777" w:rsidR="00E256E0" w:rsidRPr="00CF1B34" w:rsidRDefault="00E256E0" w:rsidP="004F7A62">
      <w:pPr>
        <w:numPr>
          <w:ilvl w:val="0"/>
          <w:numId w:val="4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En caso de desempleo de larga duración.</w:t>
      </w:r>
    </w:p>
    <w:p w14:paraId="2426143C" w14:textId="77777777" w:rsidR="00E256E0" w:rsidRPr="00CF1B34" w:rsidRDefault="00E256E0" w:rsidP="004F7A62">
      <w:pPr>
        <w:numPr>
          <w:ilvl w:val="0"/>
          <w:numId w:val="4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Si se produce una situación de desahucio. </w:t>
      </w:r>
    </w:p>
    <w:p w14:paraId="63E3121E" w14:textId="77777777" w:rsidR="00E256E0" w:rsidRPr="00CF1B34" w:rsidRDefault="00E256E0" w:rsidP="004F7A62">
      <w:pPr>
        <w:numPr>
          <w:ilvl w:val="0"/>
          <w:numId w:val="4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En caso de fallecimiento del titular.</w:t>
      </w:r>
    </w:p>
    <w:p w14:paraId="193AFE50" w14:textId="77777777" w:rsidR="00E256E0" w:rsidRPr="00CF1B34" w:rsidRDefault="00E256E0" w:rsidP="004F7A62">
      <w:pPr>
        <w:numPr>
          <w:ilvl w:val="0"/>
          <w:numId w:val="44"/>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Una vez transcurridos 10 años desde la primera aportación (siempre que esta haya sido posterior a enero de 2015, fecha en la que entró en vigor esta modificación en la normativa).   </w:t>
      </w:r>
    </w:p>
    <w:p w14:paraId="073B0EBE" w14:textId="77777777" w:rsidR="00E256E0" w:rsidRPr="00CF1B34" w:rsidRDefault="00E256E0"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En el momento en el que se produce el rescate del plan, este tributará en concepto de rendimiento del trabajo.  </w:t>
      </w:r>
    </w:p>
    <w:p w14:paraId="7FB15407" w14:textId="77777777" w:rsidR="00E256E0" w:rsidRPr="00CF1B34" w:rsidRDefault="00E256E0"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lastRenderedPageBreak/>
        <w:t>Diferencia entre los PPA y los Planes de Pensiones </w:t>
      </w:r>
    </w:p>
    <w:p w14:paraId="50F19BE9" w14:textId="77777777" w:rsidR="00E256E0" w:rsidRPr="00CF1B34" w:rsidRDefault="00E256E0"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Aunque tienen algunas diferencias entre sí, ambos guardan algunas semejanzas, y de hecho son compatibles, por lo que es posible contratar ambos productos y destinar el capital deseado a cada uno de ellos.   </w:t>
      </w:r>
    </w:p>
    <w:p w14:paraId="5FF70DCA" w14:textId="77777777" w:rsidR="00E256E0" w:rsidRPr="00CF1B34" w:rsidRDefault="00E256E0"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Veamos en qué se diferencian uno de otro:</w:t>
      </w:r>
    </w:p>
    <w:p w14:paraId="23D8D78D" w14:textId="77777777" w:rsidR="00E256E0" w:rsidRPr="00CF1B34" w:rsidRDefault="00E256E0"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Aunque tienen el objetivo común de ahorrar para la jubilación, en realidad se trata de productos distintos. La principal diferencia entre ambos es que el, al tratarse de un seguro, el primero cuenta con unos </w:t>
      </w:r>
      <w:r w:rsidRPr="00CF1B34">
        <w:rPr>
          <w:rFonts w:ascii="Arial" w:hAnsi="Arial" w:cs="Arial"/>
          <w:b/>
          <w:bCs/>
          <w:sz w:val="22"/>
          <w:szCs w:val="22"/>
          <w:lang w:val="es-ES_tradnl"/>
        </w:rPr>
        <w:t>rendimientos garantizados</w:t>
      </w:r>
      <w:r w:rsidRPr="00CF1B34">
        <w:rPr>
          <w:rFonts w:ascii="Arial" w:hAnsi="Arial" w:cs="Arial"/>
          <w:sz w:val="22"/>
          <w:szCs w:val="22"/>
          <w:lang w:val="es-ES_tradnl"/>
        </w:rPr>
        <w:t>.</w:t>
      </w:r>
    </w:p>
    <w:p w14:paraId="50D1F58B" w14:textId="77777777" w:rsidR="00E256E0" w:rsidRPr="00CF1B34" w:rsidRDefault="00E256E0"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Por el contrario, los </w:t>
      </w:r>
      <w:r w:rsidRPr="00CF1B34">
        <w:rPr>
          <w:rFonts w:ascii="Arial" w:hAnsi="Arial" w:cs="Arial"/>
          <w:b/>
          <w:bCs/>
          <w:sz w:val="22"/>
          <w:szCs w:val="22"/>
          <w:lang w:val="es-ES_tradnl"/>
        </w:rPr>
        <w:t>planes de pensiones</w:t>
      </w:r>
      <w:r w:rsidRPr="00CF1B34">
        <w:rPr>
          <w:rFonts w:ascii="Arial" w:hAnsi="Arial" w:cs="Arial"/>
          <w:sz w:val="22"/>
          <w:szCs w:val="22"/>
          <w:lang w:val="es-ES_tradnl"/>
        </w:rPr>
        <w:t> son un producto de inversión y dependen del comportamiento de los activos en los que se invierte.  </w:t>
      </w:r>
    </w:p>
    <w:p w14:paraId="21C5AD9D" w14:textId="77777777" w:rsidR="00E256E0" w:rsidRPr="00CF1B34" w:rsidRDefault="00E256E0" w:rsidP="0005621A">
      <w:pPr>
        <w:spacing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La comercializadora</w:t>
      </w:r>
      <w:r w:rsidRPr="00CF1B34">
        <w:rPr>
          <w:rFonts w:ascii="Arial" w:hAnsi="Arial" w:cs="Arial"/>
          <w:sz w:val="22"/>
          <w:szCs w:val="22"/>
          <w:lang w:val="es-ES_tradnl"/>
        </w:rPr>
        <w:t> de los productos es distinta. Al tratarse de un seguro, los PPA son comercializados por compañías aseguradoras; en cambio los planes de pensiones son comercializados por entidades financieras.  </w:t>
      </w:r>
    </w:p>
    <w:p w14:paraId="37A22AE4" w14:textId="77777777" w:rsidR="00E256E0" w:rsidRPr="00CF1B34" w:rsidRDefault="00E256E0" w:rsidP="0005621A">
      <w:pPr>
        <w:spacing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Las figuras:</w:t>
      </w:r>
      <w:r w:rsidRPr="00CF1B34">
        <w:rPr>
          <w:rFonts w:ascii="Arial" w:hAnsi="Arial" w:cs="Arial"/>
          <w:sz w:val="22"/>
          <w:szCs w:val="22"/>
          <w:lang w:val="es-ES_tradnl"/>
        </w:rPr>
        <w:t xml:space="preserve"> esta diferencia hace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en el caso de los primeros, las figuras sean el tomador y el asegurado, mientras que en los planes de pensiones hablaremos de partícipes.  </w:t>
      </w:r>
    </w:p>
    <w:p w14:paraId="635431E9" w14:textId="77777777" w:rsidR="00E256E0" w:rsidRPr="00CF1B34" w:rsidRDefault="00E256E0" w:rsidP="0005621A">
      <w:pPr>
        <w:spacing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El dinero invertido</w:t>
      </w:r>
      <w:r w:rsidRPr="00CF1B34">
        <w:rPr>
          <w:rFonts w:ascii="Arial" w:hAnsi="Arial" w:cs="Arial"/>
          <w:sz w:val="22"/>
          <w:szCs w:val="22"/>
          <w:lang w:val="es-ES_tradnl"/>
        </w:rPr>
        <w:t> tiene diferentes denominaciones en ambos casos: en los productos que nos ocupan, hablamos de derechos acumulados; en cambio, en los planes de pensiones nos referimos a derechos consolidados.  </w:t>
      </w:r>
    </w:p>
    <w:p w14:paraId="572DDADA" w14:textId="666B1701" w:rsidR="00E256E0" w:rsidRPr="00CF1B34" w:rsidRDefault="00E256E0" w:rsidP="0005621A">
      <w:pPr>
        <w:pBdr>
          <w:bottom w:val="dotted" w:sz="12" w:space="12" w:color="666666"/>
        </w:pBdr>
        <w:spacing w:after="240"/>
        <w:ind w:left="495"/>
        <w:jc w:val="both"/>
        <w:rPr>
          <w:rFonts w:ascii="Arial" w:hAnsi="Arial" w:cs="Arial"/>
          <w:color w:val="212529"/>
          <w:sz w:val="22"/>
          <w:szCs w:val="22"/>
          <w:lang w:val="es-ES_tradnl"/>
        </w:rPr>
      </w:pPr>
      <w:r w:rsidRPr="00CF1B34">
        <w:rPr>
          <w:rFonts w:ascii="Arial" w:hAnsi="Arial" w:cs="Arial"/>
          <w:b/>
          <w:bCs/>
          <w:sz w:val="22"/>
          <w:szCs w:val="22"/>
          <w:lang w:val="es-ES_tradnl"/>
        </w:rPr>
        <w:t>La rentabilidad</w:t>
      </w:r>
      <w:r w:rsidRPr="00CF1B34">
        <w:rPr>
          <w:rFonts w:ascii="Arial" w:hAnsi="Arial" w:cs="Arial"/>
          <w:sz w:val="22"/>
          <w:szCs w:val="22"/>
          <w:lang w:val="es-ES_tradnl"/>
        </w:rPr>
        <w:t>. Los primeros garantizan el capital aportado además de un tipo de interés, frente a los planes de pensiones, que no aseguran recuperar el capital aportado, a no ser que también sean garantizados. El capital no está </w:t>
      </w:r>
      <w:proofErr w:type="gramStart"/>
      <w:r w:rsidRPr="00CF1B34">
        <w:rPr>
          <w:rFonts w:ascii="Arial" w:hAnsi="Arial" w:cs="Arial"/>
          <w:sz w:val="22"/>
          <w:szCs w:val="22"/>
          <w:lang w:val="es-ES_tradnl"/>
        </w:rPr>
        <w:t>garantizad</w:t>
      </w:r>
      <w:r w:rsidR="00163793">
        <w:rPr>
          <w:rFonts w:ascii="Arial" w:hAnsi="Arial" w:cs="Arial"/>
          <w:sz w:val="22"/>
          <w:szCs w:val="22"/>
          <w:lang w:val="es-ES_tradnl"/>
        </w:rPr>
        <w:t>o</w:t>
      </w:r>
      <w:proofErr w:type="gramEnd"/>
      <w:r w:rsidR="00163793">
        <w:rPr>
          <w:rFonts w:ascii="Arial" w:hAnsi="Arial" w:cs="Arial"/>
          <w:sz w:val="22"/>
          <w:szCs w:val="22"/>
          <w:lang w:val="es-ES_tradnl"/>
        </w:rPr>
        <w:t xml:space="preserve"> </w:t>
      </w:r>
      <w:r w:rsidRPr="00CF1B34">
        <w:rPr>
          <w:rFonts w:ascii="Arial" w:hAnsi="Arial" w:cs="Arial"/>
          <w:sz w:val="22"/>
          <w:szCs w:val="22"/>
          <w:lang w:val="es-ES_tradnl"/>
        </w:rPr>
        <w:t> pero, a cambio, la rentabilidad potencial de estos productos es mayor.</w:t>
      </w:r>
    </w:p>
    <w:p w14:paraId="60195243" w14:textId="76B071B2" w:rsidR="00163793" w:rsidRDefault="00163793"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Planes de empleo de promoción conjunta</w:t>
      </w:r>
    </w:p>
    <w:p w14:paraId="2F626F81" w14:textId="77777777" w:rsidR="00163793" w:rsidRPr="00163793" w:rsidRDefault="00163793" w:rsidP="009C206B">
      <w:pPr>
        <w:ind w:left="1416"/>
        <w:rPr>
          <w:rFonts w:ascii="Arial" w:hAnsi="Arial" w:cs="Arial"/>
          <w:sz w:val="22"/>
          <w:szCs w:val="22"/>
        </w:rPr>
      </w:pPr>
      <w:r w:rsidRPr="00163793">
        <w:rPr>
          <w:rFonts w:ascii="Arial" w:hAnsi="Arial" w:cs="Arial"/>
          <w:color w:val="333333"/>
          <w:sz w:val="22"/>
          <w:szCs w:val="22"/>
          <w:shd w:val="clear" w:color="auto" w:fill="FFFFFF"/>
        </w:rPr>
        <w:t>Mediante esta fórmula la empresa puede mejorar las condiciones laborales de sus empleados y ofrecerles un complemento laboral de alto valor social, que aporta ventajas fiscales para ambas partes.</w:t>
      </w:r>
    </w:p>
    <w:p w14:paraId="20AED812" w14:textId="34F1B346" w:rsidR="00163793" w:rsidRPr="00163793" w:rsidRDefault="00163793" w:rsidP="009C206B">
      <w:pPr>
        <w:pStyle w:val="NormalWeb"/>
        <w:shd w:val="clear" w:color="auto" w:fill="FFFFFF"/>
        <w:spacing w:before="0" w:beforeAutospacing="0" w:after="165" w:afterAutospacing="0"/>
        <w:ind w:left="708"/>
        <w:rPr>
          <w:rFonts w:ascii="Arial" w:hAnsi="Arial" w:cs="Arial"/>
          <w:color w:val="333333"/>
          <w:sz w:val="22"/>
          <w:szCs w:val="22"/>
        </w:rPr>
      </w:pPr>
      <w:r w:rsidRPr="00163793">
        <w:rPr>
          <w:rStyle w:val="Textoennegrita"/>
          <w:rFonts w:ascii="Arial" w:hAnsi="Arial" w:cs="Arial"/>
          <w:color w:val="333333"/>
          <w:sz w:val="22"/>
          <w:szCs w:val="22"/>
        </w:rPr>
        <w:t>Beneficios para la empresa:</w:t>
      </w:r>
      <w:r w:rsidRPr="00163793">
        <w:rPr>
          <w:rFonts w:ascii="Arial" w:hAnsi="Arial" w:cs="Arial"/>
          <w:b/>
          <w:bCs/>
          <w:color w:val="333333"/>
          <w:sz w:val="22"/>
          <w:szCs w:val="22"/>
        </w:rPr>
        <w:br/>
      </w:r>
      <w:r w:rsidRPr="00163793">
        <w:rPr>
          <w:rFonts w:ascii="Arial" w:hAnsi="Arial" w:cs="Arial"/>
          <w:color w:val="333333"/>
          <w:sz w:val="22"/>
          <w:szCs w:val="22"/>
        </w:rPr>
        <w:t>• Las aportaciones realizadas en favor de los trabajadores son un gasto deducible en el Impuesto sobre Sociedades.</w:t>
      </w:r>
      <w:r w:rsidRPr="00163793">
        <w:rPr>
          <w:rFonts w:ascii="Arial" w:hAnsi="Arial" w:cs="Arial"/>
          <w:color w:val="333333"/>
          <w:sz w:val="22"/>
          <w:szCs w:val="22"/>
        </w:rPr>
        <w:br/>
        <w:t>• Además, puede realizar una deducción adicional de la aportación imputada al trabajador de la cuota del Impuesto (con el límite conjunto para todas las deducciones, del 35% o 50% de la cuota líquida).</w:t>
      </w:r>
      <w:r w:rsidRPr="00163793">
        <w:rPr>
          <w:rFonts w:ascii="Arial" w:hAnsi="Arial" w:cs="Arial"/>
          <w:color w:val="333333"/>
          <w:sz w:val="22"/>
          <w:szCs w:val="22"/>
        </w:rPr>
        <w:br/>
        <w:t>• La empresa no cotiza a la Seguridad Social por las aportaciones realizadas a favor de sus trabajadores, ni debe practicar ingreso a cuenta del IRPF.</w:t>
      </w:r>
    </w:p>
    <w:p w14:paraId="6EA3DF83" w14:textId="77777777" w:rsidR="00163793" w:rsidRPr="00163793" w:rsidRDefault="00163793" w:rsidP="009C206B">
      <w:pPr>
        <w:pStyle w:val="NormalWeb"/>
        <w:shd w:val="clear" w:color="auto" w:fill="FFFFFF"/>
        <w:spacing w:before="0" w:beforeAutospacing="0" w:after="165" w:afterAutospacing="0"/>
        <w:ind w:left="495"/>
        <w:rPr>
          <w:rFonts w:ascii="Arial" w:hAnsi="Arial" w:cs="Arial"/>
          <w:color w:val="333333"/>
          <w:sz w:val="22"/>
          <w:szCs w:val="22"/>
        </w:rPr>
      </w:pPr>
      <w:r w:rsidRPr="00163793">
        <w:rPr>
          <w:rStyle w:val="Textoennegrita"/>
          <w:rFonts w:ascii="Arial" w:hAnsi="Arial" w:cs="Arial"/>
          <w:color w:val="333333"/>
          <w:sz w:val="22"/>
          <w:szCs w:val="22"/>
        </w:rPr>
        <w:t>Beneficios para los autónomos:</w:t>
      </w:r>
      <w:r w:rsidRPr="00163793">
        <w:rPr>
          <w:rFonts w:ascii="Arial" w:hAnsi="Arial" w:cs="Arial"/>
          <w:b/>
          <w:bCs/>
          <w:color w:val="333333"/>
          <w:sz w:val="22"/>
          <w:szCs w:val="22"/>
        </w:rPr>
        <w:br/>
      </w:r>
      <w:r w:rsidRPr="00163793">
        <w:rPr>
          <w:rFonts w:ascii="Arial" w:hAnsi="Arial" w:cs="Arial"/>
          <w:color w:val="333333"/>
          <w:sz w:val="22"/>
          <w:szCs w:val="22"/>
        </w:rPr>
        <w:t>• Como empresario individual, si se adhiere a este plan y realiza aportaciones a sus empleados, usted podrá realizar aportaciones individuales dentro de los límites establecidos anteriormente.</w:t>
      </w:r>
      <w:r w:rsidRPr="00163793">
        <w:rPr>
          <w:rFonts w:ascii="Arial" w:hAnsi="Arial" w:cs="Arial"/>
          <w:color w:val="333333"/>
          <w:sz w:val="22"/>
          <w:szCs w:val="22"/>
        </w:rPr>
        <w:br/>
        <w:t>• De esta forma, podrá beneficiarse de hasta un 43% de ahorro fiscal en su declaración de la renta, ya que la aportación realizada para usted mismo reduce la base imponible.</w:t>
      </w:r>
      <w:r w:rsidRPr="00163793">
        <w:rPr>
          <w:rFonts w:ascii="Arial" w:hAnsi="Arial" w:cs="Arial"/>
          <w:color w:val="333333"/>
          <w:sz w:val="22"/>
          <w:szCs w:val="22"/>
        </w:rPr>
        <w:br/>
        <w:t>• Por otro lado, las aportaciones realizadas a favor de los trabajadores son un gasto deducible en su IRPF en la modalidad de estimación directa.</w:t>
      </w:r>
      <w:r w:rsidRPr="00163793">
        <w:rPr>
          <w:rFonts w:ascii="Arial" w:hAnsi="Arial" w:cs="Arial"/>
          <w:color w:val="333333"/>
          <w:sz w:val="22"/>
          <w:szCs w:val="22"/>
        </w:rPr>
        <w:br/>
      </w:r>
      <w:r w:rsidRPr="00163793">
        <w:rPr>
          <w:rFonts w:ascii="Arial" w:hAnsi="Arial" w:cs="Arial"/>
          <w:color w:val="333333"/>
          <w:sz w:val="22"/>
          <w:szCs w:val="22"/>
        </w:rPr>
        <w:lastRenderedPageBreak/>
        <w:t>• Las aportaciones realizadas en favor de los trabajadores están exentas de cotización en la Seguridad Social y no están sujetas a retención a cuenta del IRPF.</w:t>
      </w:r>
    </w:p>
    <w:p w14:paraId="355E7175" w14:textId="77777777" w:rsidR="009C206B" w:rsidRPr="00CF1B34" w:rsidRDefault="00163793" w:rsidP="009C206B">
      <w:pPr>
        <w:pBdr>
          <w:bottom w:val="dotted" w:sz="12" w:space="12" w:color="666666"/>
        </w:pBdr>
        <w:spacing w:after="240"/>
        <w:ind w:left="495"/>
        <w:jc w:val="both"/>
        <w:rPr>
          <w:rFonts w:ascii="Arial" w:hAnsi="Arial" w:cs="Arial"/>
          <w:color w:val="212529"/>
          <w:sz w:val="22"/>
          <w:szCs w:val="22"/>
          <w:lang w:val="es-ES_tradnl"/>
        </w:rPr>
      </w:pPr>
      <w:r w:rsidRPr="00163793">
        <w:rPr>
          <w:rStyle w:val="Textoennegrita"/>
          <w:rFonts w:ascii="Arial" w:hAnsi="Arial" w:cs="Arial"/>
          <w:color w:val="333333"/>
          <w:sz w:val="22"/>
          <w:szCs w:val="22"/>
        </w:rPr>
        <w:t>Ventajas para el empleado:</w:t>
      </w:r>
      <w:r w:rsidRPr="00163793">
        <w:rPr>
          <w:rFonts w:ascii="Arial" w:hAnsi="Arial" w:cs="Arial"/>
          <w:color w:val="333333"/>
          <w:sz w:val="22"/>
          <w:szCs w:val="22"/>
        </w:rPr>
        <w:br/>
        <w:t>• Para el empleado, las aportaciones realizadas por el empresario se imputan como rendimientos del trabajo y posteriormente se reducen, por el mismo importe, en la base imponible general.</w:t>
      </w:r>
      <w:r w:rsidRPr="00163793">
        <w:rPr>
          <w:rFonts w:ascii="Arial" w:hAnsi="Arial" w:cs="Arial"/>
          <w:color w:val="333333"/>
          <w:sz w:val="22"/>
          <w:szCs w:val="22"/>
        </w:rPr>
        <w:br/>
        <w:t>• El trabajador recibe una remuneración extra salarial muy valorada en el mercado laboral.</w:t>
      </w:r>
      <w:r w:rsidRPr="00163793">
        <w:rPr>
          <w:rFonts w:ascii="Arial" w:hAnsi="Arial" w:cs="Arial"/>
          <w:color w:val="333333"/>
          <w:sz w:val="22"/>
          <w:szCs w:val="22"/>
        </w:rPr>
        <w:br/>
        <w:t>• El trabajador podrá beneficiarse de hasta un 43% de ahorro fiscal en su declaración de la renta, ya que las aportaciones reducen la base imponible.</w:t>
      </w:r>
    </w:p>
    <w:p w14:paraId="5FE55217" w14:textId="5B1C7EA8" w:rsidR="00E256E0" w:rsidRPr="00CF1B34" w:rsidRDefault="00E256E0"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Planes de jubilación</w:t>
      </w:r>
    </w:p>
    <w:p w14:paraId="7B8B2EC5" w14:textId="14C4C36A" w:rsidR="00E256E0" w:rsidRPr="00CF1B34" w:rsidRDefault="00E256E0" w:rsidP="0005621A">
      <w:pPr>
        <w:spacing w:after="100" w:afterAutospacing="1"/>
        <w:ind w:left="708"/>
        <w:jc w:val="both"/>
        <w:rPr>
          <w:rFonts w:ascii="Arial" w:hAnsi="Arial" w:cs="Arial"/>
          <w:color w:val="0D0D0D" w:themeColor="text1" w:themeTint="F2"/>
          <w:sz w:val="22"/>
          <w:szCs w:val="22"/>
          <w:lang w:val="es-ES_tradnl"/>
        </w:rPr>
      </w:pPr>
      <w:r w:rsidRPr="00CF1B34">
        <w:rPr>
          <w:rFonts w:ascii="Arial" w:hAnsi="Arial" w:cs="Arial"/>
          <w:color w:val="0D0D0D" w:themeColor="text1" w:themeTint="F2"/>
          <w:sz w:val="22"/>
          <w:szCs w:val="22"/>
          <w:lang w:val="es-ES_tradnl"/>
        </w:rPr>
        <w:t>Los</w:t>
      </w:r>
      <w:r w:rsidR="0010608C" w:rsidRPr="00CF1B34">
        <w:rPr>
          <w:rFonts w:ascii="Arial" w:hAnsi="Arial" w:cs="Arial"/>
          <w:b/>
          <w:bCs/>
          <w:color w:val="0D0D0D" w:themeColor="text1" w:themeTint="F2"/>
          <w:sz w:val="22"/>
          <w:szCs w:val="22"/>
          <w:lang w:val="es-ES_tradnl"/>
        </w:rPr>
        <w:t xml:space="preserve"> </w:t>
      </w:r>
      <w:hyperlink r:id="rId310" w:tooltip="planes de jubilación" w:history="1">
        <w:r w:rsidRPr="009C206B">
          <w:rPr>
            <w:rFonts w:ascii="Arial" w:hAnsi="Arial" w:cs="Arial"/>
            <w:b/>
            <w:bCs/>
            <w:color w:val="0D0D0D" w:themeColor="text1" w:themeTint="F2"/>
            <w:sz w:val="22"/>
            <w:szCs w:val="22"/>
            <w:u w:val="single"/>
            <w:lang w:val="es-ES_tradnl"/>
          </w:rPr>
          <w:t>planes de jubilación</w:t>
        </w:r>
      </w:hyperlink>
      <w:r w:rsidR="0010608C" w:rsidRPr="00CF1B34">
        <w:rPr>
          <w:rFonts w:ascii="Arial" w:hAnsi="Arial" w:cs="Arial"/>
          <w:color w:val="0D0D0D" w:themeColor="text1" w:themeTint="F2"/>
          <w:sz w:val="22"/>
          <w:szCs w:val="22"/>
          <w:lang w:val="es-ES_tradnl"/>
        </w:rPr>
        <w:t xml:space="preserve"> </w:t>
      </w:r>
      <w:r w:rsidRPr="00CF1B34">
        <w:rPr>
          <w:rFonts w:ascii="Arial" w:hAnsi="Arial" w:cs="Arial"/>
          <w:color w:val="0D0D0D" w:themeColor="text1" w:themeTint="F2"/>
          <w:sz w:val="22"/>
          <w:szCs w:val="22"/>
          <w:lang w:val="es-ES_tradnl"/>
        </w:rPr>
        <w:t>son un tipo de </w:t>
      </w:r>
      <w:r w:rsidRPr="00CF1B34">
        <w:rPr>
          <w:rFonts w:ascii="Arial" w:hAnsi="Arial" w:cs="Arial"/>
          <w:b/>
          <w:bCs/>
          <w:color w:val="0D0D0D" w:themeColor="text1" w:themeTint="F2"/>
          <w:sz w:val="22"/>
          <w:szCs w:val="22"/>
          <w:lang w:val="es-ES_tradnl"/>
        </w:rPr>
        <w:t>seguro de vida gestionado por una compañía aseguradora</w:t>
      </w:r>
      <w:r w:rsidRPr="00CF1B34">
        <w:rPr>
          <w:rFonts w:ascii="Arial" w:hAnsi="Arial" w:cs="Arial"/>
          <w:color w:val="0D0D0D" w:themeColor="text1" w:themeTint="F2"/>
          <w:sz w:val="22"/>
          <w:szCs w:val="22"/>
          <w:lang w:val="es-ES_tradnl"/>
        </w:rPr>
        <w:t>, y orientado fundamentalmente al ahorro. </w:t>
      </w:r>
    </w:p>
    <w:p w14:paraId="258E236B" w14:textId="77777777" w:rsidR="00E256E0" w:rsidRPr="00CF1B34" w:rsidRDefault="00E256E0"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D0D0D" w:themeColor="text1" w:themeTint="F2"/>
          <w:sz w:val="22"/>
          <w:szCs w:val="22"/>
          <w:lang w:val="es-ES_tradnl"/>
        </w:rPr>
        <w:t>Quien lo contrata adquiere el derecho a recibir una determinada cantidad de dinero en el momento de su</w:t>
      </w:r>
      <w:r w:rsidRPr="00CF1B34">
        <w:rPr>
          <w:rFonts w:ascii="Arial" w:hAnsi="Arial" w:cs="Arial"/>
          <w:b/>
          <w:bCs/>
          <w:color w:val="0D0D0D" w:themeColor="text1" w:themeTint="F2"/>
          <w:sz w:val="22"/>
          <w:szCs w:val="22"/>
          <w:lang w:val="es-ES_tradnl"/>
        </w:rPr>
        <w:t> jubilación</w:t>
      </w:r>
      <w:r w:rsidRPr="00CF1B34">
        <w:rPr>
          <w:rFonts w:ascii="Arial" w:hAnsi="Arial" w:cs="Arial"/>
          <w:color w:val="0D0D0D" w:themeColor="text1" w:themeTint="F2"/>
          <w:sz w:val="22"/>
          <w:szCs w:val="22"/>
          <w:lang w:val="es-ES_tradnl"/>
        </w:rPr>
        <w:t> (es decir, al vencimiento del plan), o bien si antes de esta se produce su invalidez o su fallecimiento</w:t>
      </w:r>
      <w:r w:rsidRPr="00CF1B34">
        <w:rPr>
          <w:rFonts w:ascii="Arial" w:hAnsi="Arial" w:cs="Arial"/>
          <w:color w:val="000000" w:themeColor="text1"/>
          <w:sz w:val="22"/>
          <w:szCs w:val="22"/>
          <w:lang w:val="es-ES_tradnl"/>
        </w:rPr>
        <w:t>. Los planes de jubilación son gestionados por las compañías aseguradoras.</w:t>
      </w:r>
    </w:p>
    <w:p w14:paraId="5CB05054" w14:textId="17E58312" w:rsidR="00E256E0" w:rsidRPr="00CF1B34" w:rsidRDefault="00E256E0"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Estos </w:t>
      </w:r>
      <w:r w:rsidRPr="00CF1B34">
        <w:rPr>
          <w:rFonts w:ascii="Arial" w:hAnsi="Arial" w:cs="Arial"/>
          <w:b/>
          <w:bCs/>
          <w:color w:val="000000" w:themeColor="text1"/>
          <w:sz w:val="22"/>
          <w:szCs w:val="22"/>
          <w:lang w:val="es-ES_tradnl"/>
        </w:rPr>
        <w:t xml:space="preserve">planes de </w:t>
      </w:r>
      <w:r w:rsidR="0010608C" w:rsidRPr="00CF1B34">
        <w:rPr>
          <w:rFonts w:ascii="Arial" w:hAnsi="Arial" w:cs="Arial"/>
          <w:b/>
          <w:bCs/>
          <w:color w:val="000000" w:themeColor="text1"/>
          <w:sz w:val="22"/>
          <w:szCs w:val="22"/>
          <w:lang w:val="es-ES_tradnl"/>
        </w:rPr>
        <w:t>jubilación</w:t>
      </w:r>
      <w:r w:rsidR="0010608C" w:rsidRPr="00CF1B34">
        <w:rPr>
          <w:rFonts w:ascii="Arial" w:hAnsi="Arial" w:cs="Arial"/>
          <w:color w:val="000000" w:themeColor="text1"/>
          <w:sz w:val="22"/>
          <w:szCs w:val="22"/>
          <w:lang w:val="es-ES_tradnl"/>
        </w:rPr>
        <w:t xml:space="preserve"> </w:t>
      </w:r>
      <w:r w:rsidRPr="00CF1B34">
        <w:rPr>
          <w:rFonts w:ascii="Arial" w:hAnsi="Arial" w:cs="Arial"/>
          <w:color w:val="000000" w:themeColor="text1"/>
          <w:sz w:val="22"/>
          <w:szCs w:val="22"/>
          <w:lang w:val="es-ES_tradnl"/>
        </w:rPr>
        <w:t>se alimentan por medio de aportaciones que el titular realiza de manera puntual o periódica.</w:t>
      </w:r>
    </w:p>
    <w:p w14:paraId="73069302" w14:textId="77777777" w:rsidR="00E256E0" w:rsidRPr="00CF1B34" w:rsidRDefault="00E256E0"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Vienen a ser como los pagos de las primas. Así, el capital total que aporte el asegurado determinará la cantidad que este vaya a cobrar en el momento en el que se produzca cualquiera de las contingencias contempladas en las coberturas de la póliza.</w:t>
      </w:r>
    </w:p>
    <w:p w14:paraId="5E42B487" w14:textId="77777777" w:rsidR="00E256E0" w:rsidRPr="00CF1B34" w:rsidRDefault="00E256E0"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 la hora de cobrar el plan y recibir el capital, el titular cobrará la prestación asegurada junto con los intereses generados; y podrá hacerlo de varias maneras: en forma de un pago único, de renta vitalicia, o bien de renta temporal, que se percibirá durante un cierto periodo de tiempo.   </w:t>
      </w:r>
    </w:p>
    <w:p w14:paraId="4014822C" w14:textId="77777777" w:rsidR="00E256E0" w:rsidRPr="00CF1B34" w:rsidRDefault="00E256E0"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Planes de jubilación y planes de pensiones</w:t>
      </w:r>
    </w:p>
    <w:p w14:paraId="6DD2B7BC" w14:textId="216699A9"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Aunque suele hablarse de ambos como si fuesen sinónimos y ciertamente responden a un objetivo común (ahorrar para complementar la jubilación pública), tienen algunas diferencias:</w:t>
      </w:r>
    </w:p>
    <w:p w14:paraId="47DF9AC3"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b/>
          <w:bCs/>
          <w:sz w:val="22"/>
          <w:szCs w:val="22"/>
          <w:lang w:val="es-ES_tradnl"/>
        </w:rPr>
        <w:t>El tipo de producto</w:t>
      </w:r>
      <w:r w:rsidRPr="00CF1B34">
        <w:rPr>
          <w:rFonts w:ascii="Arial" w:hAnsi="Arial" w:cs="Arial"/>
          <w:sz w:val="22"/>
          <w:szCs w:val="22"/>
          <w:lang w:val="es-ES_tradnl"/>
        </w:rPr>
        <w:t>. Un plan de jubilación es una modalidad de seguro, mientras que un plan de pensiones es un producto de inversión. </w:t>
      </w:r>
    </w:p>
    <w:p w14:paraId="6841013B"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b/>
          <w:bCs/>
          <w:sz w:val="22"/>
          <w:szCs w:val="22"/>
          <w:lang w:val="es-ES_tradnl"/>
        </w:rPr>
        <w:t>La gestión.</w:t>
      </w:r>
      <w:r w:rsidRPr="00CF1B34">
        <w:rPr>
          <w:rFonts w:ascii="Arial" w:hAnsi="Arial" w:cs="Arial"/>
          <w:sz w:val="22"/>
          <w:szCs w:val="22"/>
          <w:lang w:val="es-ES_tradnl"/>
        </w:rPr>
        <w:t> Los primeros son gestionados por compañías aseguradoras mientras que los segundos se gestionan a través de entidades financieras.  </w:t>
      </w:r>
    </w:p>
    <w:p w14:paraId="20D91ED6"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b/>
          <w:bCs/>
          <w:sz w:val="22"/>
          <w:szCs w:val="22"/>
          <w:lang w:val="es-ES_tradnl"/>
        </w:rPr>
        <w:t>El rescate del capital aportado.</w:t>
      </w:r>
      <w:r w:rsidRPr="00CF1B34">
        <w:rPr>
          <w:rFonts w:ascii="Arial" w:hAnsi="Arial" w:cs="Arial"/>
          <w:sz w:val="22"/>
          <w:szCs w:val="22"/>
          <w:lang w:val="es-ES_tradnl"/>
        </w:rPr>
        <w:t> Un plan de jubilación puede ser rescatado en cualquier momento, siempre en función de las condiciones que hayan sido acordadas en el contrato. Y de incumplirse algunas de estas condiciones, la compañía aseguradora podría aplicar penalizaciones. </w:t>
      </w:r>
    </w:p>
    <w:p w14:paraId="4480A885"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cambio, el plan de pensiones puede ser rescatado únicamente cuando se cumplan determinadas contingencias: jubilación, incapacidad profesional, desempleo o enfermedad grave. Cualquiera de estas situaciones debe ser acreditada para poder hacer efectivo el rescate.  </w:t>
      </w:r>
    </w:p>
    <w:p w14:paraId="16CDD9AD" w14:textId="77777777" w:rsidR="00E256E0" w:rsidRPr="00CF1B34" w:rsidRDefault="00E256E0" w:rsidP="0005621A">
      <w:pPr>
        <w:spacing w:after="100" w:afterAutospacing="1"/>
        <w:ind w:left="708"/>
        <w:jc w:val="both"/>
        <w:rPr>
          <w:rFonts w:ascii="Arial" w:hAnsi="Arial" w:cs="Arial"/>
          <w:sz w:val="22"/>
          <w:szCs w:val="22"/>
          <w:lang w:val="es-ES_tradnl"/>
        </w:rPr>
      </w:pPr>
      <w:r w:rsidRPr="00CF1B34">
        <w:rPr>
          <w:rFonts w:ascii="Arial" w:hAnsi="Arial" w:cs="Arial"/>
          <w:b/>
          <w:bCs/>
          <w:sz w:val="22"/>
          <w:szCs w:val="22"/>
          <w:lang w:val="es-ES_tradnl"/>
        </w:rPr>
        <w:lastRenderedPageBreak/>
        <w:t>La fiscalidad.</w:t>
      </w:r>
      <w:r w:rsidRPr="00CF1B34">
        <w:rPr>
          <w:rFonts w:ascii="Arial" w:hAnsi="Arial" w:cs="Arial"/>
          <w:sz w:val="22"/>
          <w:szCs w:val="22"/>
          <w:lang w:val="es-ES_tradnl"/>
        </w:rPr>
        <w:t> El primero no cuenta con aportaciones incentivadas, exige un tributo por los intereses generados y además tiene una fiscalidad muy favorable en el momento del rescate. En cambio, el plan de pensiones sí cuenta con una deducción en la declaración de la renta, siempre en función de la cantidad aportada.  </w:t>
      </w:r>
    </w:p>
    <w:p w14:paraId="72246FC7" w14:textId="77777777" w:rsidR="00E256E0" w:rsidRPr="00CF1B34" w:rsidRDefault="00E256E0" w:rsidP="0005621A">
      <w:pPr>
        <w:spacing w:after="100" w:afterAutospacing="1"/>
        <w:ind w:firstLine="708"/>
        <w:jc w:val="both"/>
        <w:rPr>
          <w:rFonts w:ascii="Arial" w:hAnsi="Arial" w:cs="Arial"/>
          <w:sz w:val="22"/>
          <w:szCs w:val="22"/>
          <w:lang w:val="es-ES_tradnl"/>
        </w:rPr>
      </w:pPr>
      <w:r w:rsidRPr="00CF1B34">
        <w:rPr>
          <w:rFonts w:ascii="Arial" w:hAnsi="Arial" w:cs="Arial"/>
          <w:b/>
          <w:bCs/>
          <w:sz w:val="22"/>
          <w:szCs w:val="22"/>
          <w:lang w:val="es-ES_tradnl"/>
        </w:rPr>
        <w:t>El perfil del inversor y la rentabilidad. </w:t>
      </w:r>
    </w:p>
    <w:p w14:paraId="3FBB4546" w14:textId="77777777" w:rsidR="00E256E0" w:rsidRPr="00CF1B34" w:rsidRDefault="00E256E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El plan de jubilación es un producto más conservador que ofrece rentabilidades inferiores, que además son conocidas de antemano y están aseguradas. En cambio, el plan de pensiones implica un riesgo mayor, y por tanto una rentabilidad potencial más elevada. Además, estos invierten en mercados financieros de mayor o menor riesgo, en función del tipo de plan.</w:t>
      </w:r>
    </w:p>
    <w:p w14:paraId="18D5FC73" w14:textId="77777777" w:rsidR="004F71FB" w:rsidRPr="00CF1B34" w:rsidRDefault="004F71FB"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Planes de pensiones</w:t>
      </w:r>
    </w:p>
    <w:p w14:paraId="644298A7" w14:textId="53F36192" w:rsidR="004F71FB" w:rsidRPr="00CF1B34" w:rsidRDefault="004F71FB" w:rsidP="0005621A">
      <w:pPr>
        <w:ind w:left="708"/>
        <w:jc w:val="both"/>
        <w:rPr>
          <w:rFonts w:ascii="Arial" w:hAnsi="Arial" w:cs="Arial"/>
          <w:color w:val="0D0D0D" w:themeColor="text1" w:themeTint="F2"/>
          <w:sz w:val="22"/>
          <w:szCs w:val="22"/>
          <w:lang w:val="es-ES_tradnl"/>
        </w:rPr>
      </w:pPr>
      <w:r w:rsidRPr="00CF1B34">
        <w:rPr>
          <w:rFonts w:ascii="Arial" w:hAnsi="Arial" w:cs="Arial"/>
          <w:color w:val="0D0D0D" w:themeColor="text1" w:themeTint="F2"/>
          <w:sz w:val="22"/>
          <w:szCs w:val="22"/>
          <w:lang w:val="es-ES_tradnl"/>
        </w:rPr>
        <w:t>Un</w:t>
      </w:r>
      <w:r w:rsidR="0064122D" w:rsidRPr="00CF1B34">
        <w:rPr>
          <w:rFonts w:ascii="Arial" w:hAnsi="Arial" w:cs="Arial"/>
          <w:color w:val="0D0D0D" w:themeColor="text1" w:themeTint="F2"/>
          <w:sz w:val="22"/>
          <w:szCs w:val="22"/>
          <w:lang w:val="es-ES_tradnl"/>
        </w:rPr>
        <w:t xml:space="preserve"> </w:t>
      </w:r>
      <w:hyperlink r:id="rId311" w:tooltip="plan de pensiones" w:history="1">
        <w:r w:rsidRPr="00CF1B34">
          <w:rPr>
            <w:rFonts w:ascii="Arial" w:hAnsi="Arial" w:cs="Arial"/>
            <w:color w:val="0D0D0D" w:themeColor="text1" w:themeTint="F2"/>
            <w:sz w:val="22"/>
            <w:szCs w:val="22"/>
            <w:u w:val="single"/>
            <w:lang w:val="es-ES_tradnl"/>
          </w:rPr>
          <w:t>plan de pensiones</w:t>
        </w:r>
      </w:hyperlink>
      <w:r w:rsidRPr="00CF1B34">
        <w:rPr>
          <w:rFonts w:ascii="Arial" w:hAnsi="Arial" w:cs="Arial"/>
          <w:color w:val="0D0D0D" w:themeColor="text1" w:themeTint="F2"/>
          <w:sz w:val="22"/>
          <w:szCs w:val="22"/>
          <w:lang w:val="es-ES_tradnl"/>
        </w:rPr>
        <w:t>, es un </w:t>
      </w:r>
      <w:r w:rsidRPr="00CF1B34">
        <w:rPr>
          <w:rFonts w:ascii="Arial" w:hAnsi="Arial" w:cs="Arial"/>
          <w:b/>
          <w:bCs/>
          <w:color w:val="0D0D0D" w:themeColor="text1" w:themeTint="F2"/>
          <w:sz w:val="22"/>
          <w:szCs w:val="22"/>
          <w:lang w:val="es-ES_tradnl"/>
        </w:rPr>
        <w:t>producto de ahorro e inversión a largo plazo</w:t>
      </w:r>
      <w:r w:rsidRPr="00CF1B34">
        <w:rPr>
          <w:rFonts w:ascii="Arial" w:hAnsi="Arial" w:cs="Arial"/>
          <w:color w:val="0D0D0D" w:themeColor="text1" w:themeTint="F2"/>
          <w:sz w:val="22"/>
          <w:szCs w:val="22"/>
          <w:lang w:val="es-ES_tradnl"/>
        </w:rPr>
        <w:t>, cuyo objetivo es cubrir ciertas contingencias de quien lo contrata: la jubilación, una invalidez laboral, un desempleo de larga duración o incluso el fallecimiento del titular.</w:t>
      </w:r>
    </w:p>
    <w:p w14:paraId="6A37A6AA" w14:textId="77777777" w:rsidR="004F71FB" w:rsidRPr="00CF1B34" w:rsidRDefault="004F71FB" w:rsidP="0005621A">
      <w:pPr>
        <w:spacing w:before="100" w:beforeAutospacing="1" w:after="100" w:afterAutospacing="1"/>
        <w:ind w:firstLine="708"/>
        <w:jc w:val="both"/>
        <w:outlineLvl w:val="1"/>
        <w:rPr>
          <w:rFonts w:ascii="Arial" w:hAnsi="Arial" w:cs="Arial"/>
          <w:color w:val="0D0D0D" w:themeColor="text1" w:themeTint="F2"/>
          <w:sz w:val="22"/>
          <w:szCs w:val="22"/>
          <w:lang w:val="es-ES_tradnl"/>
        </w:rPr>
      </w:pPr>
      <w:r w:rsidRPr="00CF1B34">
        <w:rPr>
          <w:rFonts w:ascii="Arial" w:hAnsi="Arial" w:cs="Arial"/>
          <w:b/>
          <w:bCs/>
          <w:color w:val="0D0D0D" w:themeColor="text1" w:themeTint="F2"/>
          <w:sz w:val="22"/>
          <w:szCs w:val="22"/>
          <w:lang w:val="es-ES_tradnl"/>
        </w:rPr>
        <w:t>En España existen dos sistemas de pensiones:</w:t>
      </w:r>
    </w:p>
    <w:p w14:paraId="7401B932" w14:textId="77777777" w:rsidR="004F71FB" w:rsidRPr="00CF1B34" w:rsidRDefault="004F71FB" w:rsidP="0005621A">
      <w:pPr>
        <w:spacing w:after="100" w:afterAutospacing="1"/>
        <w:ind w:left="708"/>
        <w:jc w:val="both"/>
        <w:rPr>
          <w:rFonts w:ascii="Arial" w:hAnsi="Arial" w:cs="Arial"/>
          <w:sz w:val="22"/>
          <w:szCs w:val="22"/>
          <w:lang w:val="es-ES_tradnl"/>
        </w:rPr>
      </w:pPr>
      <w:r w:rsidRPr="00CF1B34">
        <w:rPr>
          <w:rFonts w:ascii="Arial" w:hAnsi="Arial" w:cs="Arial"/>
          <w:color w:val="0D0D0D" w:themeColor="text1" w:themeTint="F2"/>
          <w:sz w:val="22"/>
          <w:szCs w:val="22"/>
          <w:lang w:val="es-ES_tradnl"/>
        </w:rPr>
        <w:t>Por un lado, el </w:t>
      </w:r>
      <w:r w:rsidRPr="00CF1B34">
        <w:rPr>
          <w:rFonts w:ascii="Arial" w:hAnsi="Arial" w:cs="Arial"/>
          <w:b/>
          <w:bCs/>
          <w:color w:val="0D0D0D" w:themeColor="text1" w:themeTint="F2"/>
          <w:sz w:val="22"/>
          <w:szCs w:val="22"/>
          <w:lang w:val="es-ES_tradnl"/>
        </w:rPr>
        <w:t xml:space="preserve">sistema de previsión </w:t>
      </w:r>
      <w:r w:rsidRPr="00CF1B34">
        <w:rPr>
          <w:rFonts w:ascii="Arial" w:hAnsi="Arial" w:cs="Arial"/>
          <w:b/>
          <w:bCs/>
          <w:sz w:val="22"/>
          <w:szCs w:val="22"/>
          <w:lang w:val="es-ES_tradnl"/>
        </w:rPr>
        <w:t>social pública</w:t>
      </w:r>
      <w:r w:rsidRPr="00CF1B34">
        <w:rPr>
          <w:rFonts w:ascii="Arial" w:hAnsi="Arial" w:cs="Arial"/>
          <w:sz w:val="22"/>
          <w:szCs w:val="22"/>
          <w:lang w:val="es-ES_tradnl"/>
        </w:rPr>
        <w:t>, que es una renta mensual que la Seguridad Social proporciona a todas aquellas personas que cumplan con los requisitos establecidos durante el desarrollo de su vida laboral. Además, para determinados colectivos como abogados o médicos, contempla los </w:t>
      </w:r>
      <w:r w:rsidRPr="00CF1B34">
        <w:rPr>
          <w:rFonts w:ascii="Arial" w:hAnsi="Arial" w:cs="Arial"/>
          <w:b/>
          <w:bCs/>
          <w:sz w:val="22"/>
          <w:szCs w:val="22"/>
          <w:lang w:val="es-ES_tradnl"/>
        </w:rPr>
        <w:t>planes de Previsión Profesional</w:t>
      </w:r>
      <w:r w:rsidRPr="00CF1B34">
        <w:rPr>
          <w:rFonts w:ascii="Arial" w:hAnsi="Arial" w:cs="Arial"/>
          <w:sz w:val="22"/>
          <w:szCs w:val="22"/>
          <w:lang w:val="es-ES_tradnl"/>
        </w:rPr>
        <w:t>.</w:t>
      </w:r>
    </w:p>
    <w:p w14:paraId="012AB385" w14:textId="77777777" w:rsidR="004F71FB" w:rsidRPr="00CF1B34" w:rsidRDefault="004F71F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otro, </w:t>
      </w:r>
      <w:r w:rsidRPr="00CF1B34">
        <w:rPr>
          <w:rFonts w:ascii="Arial" w:hAnsi="Arial" w:cs="Arial"/>
          <w:b/>
          <w:bCs/>
          <w:sz w:val="22"/>
          <w:szCs w:val="22"/>
          <w:lang w:val="es-ES_tradnl"/>
        </w:rPr>
        <w:t>el sistema de previsión social privada</w:t>
      </w:r>
      <w:r w:rsidRPr="00CF1B34">
        <w:rPr>
          <w:rFonts w:ascii="Arial" w:hAnsi="Arial" w:cs="Arial"/>
          <w:sz w:val="22"/>
          <w:szCs w:val="22"/>
          <w:lang w:val="es-ES_tradnl"/>
        </w:rPr>
        <w:t>, un producto de ahorro cuyo objetivo es complementar la renta que la Seguridad Social nos proporcionará en el momento de la jubilación. </w:t>
      </w:r>
    </w:p>
    <w:p w14:paraId="5E35AEA3" w14:textId="77777777" w:rsidR="004F71FB" w:rsidRPr="00CF1B34" w:rsidRDefault="004F71F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Estos planes se alimentan de las aportaciones que el cliente realiza a lo largo de la vida del plan, de manera puntual o periódica.</w:t>
      </w:r>
    </w:p>
    <w:p w14:paraId="4C797B55" w14:textId="77777777" w:rsidR="004F71FB" w:rsidRPr="00CF1B34" w:rsidRDefault="004F71F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Los gestores del plan invierten estas aportaciones en función de criterios de rentabilidad y riesgo, y cuando el cliente rescata suplan, obtiene el dinero depositado con los años, más la rentabilidad que haya generado. Además, estas aportaciones se pueden desgravar en el IRPF. Y al rescatar el plan, el capital obtenido también tributará en concepto de rendimiento del capital.</w:t>
      </w:r>
    </w:p>
    <w:p w14:paraId="6B7D4232" w14:textId="77777777" w:rsidR="004F71FB" w:rsidRPr="00CF1B34" w:rsidRDefault="004F71FB"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Características de los planes de pensiones privados  </w:t>
      </w:r>
    </w:p>
    <w:p w14:paraId="3F615B98" w14:textId="77777777" w:rsidR="004F71FB" w:rsidRPr="00CF1B34" w:rsidRDefault="004F71FB"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En el caso de los planes de pensiones públicos, la diferencia entre países puede ser grande. En cambio, los planes privados tienen una serie de características comunes para todos ellos, a nivel transnacional:</w:t>
      </w:r>
    </w:p>
    <w:p w14:paraId="1503B18F" w14:textId="77777777" w:rsidR="004F71FB" w:rsidRPr="00CF1B34" w:rsidRDefault="004F71FB" w:rsidP="004F7A62">
      <w:pPr>
        <w:numPr>
          <w:ilvl w:val="0"/>
          <w:numId w:val="45"/>
        </w:numPr>
        <w:spacing w:before="100" w:beforeAutospacing="1" w:after="240"/>
        <w:ind w:left="495" w:right="375"/>
        <w:jc w:val="both"/>
        <w:rPr>
          <w:rFonts w:ascii="Arial" w:hAnsi="Arial" w:cs="Arial"/>
          <w:sz w:val="22"/>
          <w:szCs w:val="22"/>
          <w:lang w:val="es-ES_tradnl"/>
        </w:rPr>
      </w:pPr>
      <w:r w:rsidRPr="00CF1B34">
        <w:rPr>
          <w:rFonts w:ascii="Arial" w:hAnsi="Arial" w:cs="Arial"/>
          <w:sz w:val="22"/>
          <w:szCs w:val="22"/>
          <w:lang w:val="es-ES_tradnl"/>
        </w:rPr>
        <w:t>Son herramientas de inversión que promueven el hábito de ahorro, y que están planteadas para sacar rentabilidad en el ahorro a largo plazo. </w:t>
      </w:r>
    </w:p>
    <w:p w14:paraId="49BF7E89" w14:textId="77777777" w:rsidR="004F71FB" w:rsidRPr="00CF1B34" w:rsidRDefault="004F71FB" w:rsidP="004F7A62">
      <w:pPr>
        <w:numPr>
          <w:ilvl w:val="0"/>
          <w:numId w:val="45"/>
        </w:numPr>
        <w:spacing w:before="100" w:beforeAutospacing="1" w:after="240"/>
        <w:ind w:left="495" w:right="375"/>
        <w:jc w:val="both"/>
        <w:rPr>
          <w:rFonts w:ascii="Arial" w:hAnsi="Arial" w:cs="Arial"/>
          <w:sz w:val="22"/>
          <w:szCs w:val="22"/>
          <w:lang w:val="es-ES_tradnl"/>
        </w:rPr>
      </w:pPr>
      <w:r w:rsidRPr="00CF1B34">
        <w:rPr>
          <w:rFonts w:ascii="Arial" w:hAnsi="Arial" w:cs="Arial"/>
          <w:sz w:val="22"/>
          <w:szCs w:val="22"/>
          <w:lang w:val="es-ES_tradnl"/>
        </w:rPr>
        <w:t>Son voluntarias y sirven como complemento al plan de pensiones público, pero no sustituyen al sistema de Seguridad Social: es un complemento.  </w:t>
      </w:r>
    </w:p>
    <w:p w14:paraId="52662177" w14:textId="77777777" w:rsidR="004F71FB" w:rsidRPr="00CF1B34" w:rsidRDefault="004F71FB" w:rsidP="004F7A62">
      <w:pPr>
        <w:numPr>
          <w:ilvl w:val="0"/>
          <w:numId w:val="45"/>
        </w:numPr>
        <w:spacing w:before="100" w:beforeAutospacing="1" w:after="240"/>
        <w:ind w:left="495" w:right="375"/>
        <w:jc w:val="both"/>
        <w:rPr>
          <w:rFonts w:ascii="Arial" w:hAnsi="Arial" w:cs="Arial"/>
          <w:sz w:val="22"/>
          <w:szCs w:val="22"/>
          <w:lang w:val="es-ES_tradnl"/>
        </w:rPr>
      </w:pPr>
      <w:r w:rsidRPr="00CF1B34">
        <w:rPr>
          <w:rFonts w:ascii="Arial" w:hAnsi="Arial" w:cs="Arial"/>
          <w:sz w:val="22"/>
          <w:szCs w:val="22"/>
          <w:lang w:val="es-ES_tradnl"/>
        </w:rPr>
        <w:t>Como hemos dicho, suponen un ahorro fiscal en la declaración de la renta, ya que las aportaciones realizadas al plan reducen la base imponible. </w:t>
      </w:r>
    </w:p>
    <w:p w14:paraId="331EA7F3" w14:textId="77777777" w:rsidR="004F71FB" w:rsidRPr="00CF1B34" w:rsidRDefault="004F71FB" w:rsidP="004F7A62">
      <w:pPr>
        <w:numPr>
          <w:ilvl w:val="0"/>
          <w:numId w:val="45"/>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lastRenderedPageBreak/>
        <w:t>Además, sus prestaciones tributan como rendimiento del trabajo en el IRPF.  Por último, permiten mejorar la situación financiera de cara a la jubilación. </w:t>
      </w:r>
    </w:p>
    <w:p w14:paraId="3A1DE753" w14:textId="77777777" w:rsidR="004F71FB" w:rsidRPr="00CF1B34" w:rsidRDefault="004F71FB"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Dentro de los sistemas de previsión social privadas, existen multitud de modalidades de planes que se establecen en función de varios criterios. Así, en función de la política de inversión, podemos encontrar Planes de…</w:t>
      </w:r>
    </w:p>
    <w:p w14:paraId="28403106" w14:textId="77777777" w:rsidR="004F71FB" w:rsidRPr="00CF1B34" w:rsidRDefault="004F71FB"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Renta variable</w:t>
      </w:r>
    </w:p>
    <w:p w14:paraId="41A56CCD" w14:textId="77777777" w:rsidR="004F71FB" w:rsidRPr="00CF1B34" w:rsidRDefault="004F71FB"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Esta modalidad invierte en activos de renta variable. Ofrece una rentabilidad superior a los planes de renta fija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por tanto, tienen un riesgo más elevado.  </w:t>
      </w:r>
    </w:p>
    <w:p w14:paraId="024BC21A" w14:textId="77777777" w:rsidR="004F71FB" w:rsidRPr="00CF1B34" w:rsidRDefault="004F71FB"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Renta variable mixta.</w:t>
      </w:r>
    </w:p>
    <w:p w14:paraId="2F6219D1" w14:textId="77777777" w:rsidR="004F71FB" w:rsidRPr="00CF1B34" w:rsidRDefault="004F71FB"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Combinan la inversión en renta fija con la inversión en renta variable hasta un máximo del 75% del capital.</w:t>
      </w:r>
    </w:p>
    <w:p w14:paraId="61852D82" w14:textId="77777777" w:rsidR="004F71FB" w:rsidRPr="00CF1B34" w:rsidRDefault="004F71FB"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Renta fija mixta</w:t>
      </w:r>
    </w:p>
    <w:p w14:paraId="4D2FC91D" w14:textId="7E509664" w:rsidR="004F71FB" w:rsidRPr="00CF1B34" w:rsidRDefault="004F71FB"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Este tipo de</w:t>
      </w:r>
      <w:r w:rsidR="0010608C" w:rsidRPr="00CF1B34">
        <w:rPr>
          <w:rFonts w:ascii="Arial" w:hAnsi="Arial" w:cs="Arial"/>
          <w:sz w:val="22"/>
          <w:szCs w:val="22"/>
          <w:lang w:val="es-ES_tradnl"/>
        </w:rPr>
        <w:t xml:space="preserve"> </w:t>
      </w:r>
      <w:r w:rsidRPr="00CF1B34">
        <w:rPr>
          <w:rFonts w:ascii="Arial" w:hAnsi="Arial" w:cs="Arial"/>
          <w:b/>
          <w:bCs/>
          <w:sz w:val="22"/>
          <w:szCs w:val="22"/>
          <w:lang w:val="es-ES_tradnl"/>
        </w:rPr>
        <w:t>planes de pensiones</w:t>
      </w:r>
      <w:r w:rsidR="0010608C" w:rsidRPr="00CF1B34">
        <w:rPr>
          <w:rFonts w:ascii="Arial" w:hAnsi="Arial" w:cs="Arial"/>
          <w:sz w:val="22"/>
          <w:szCs w:val="22"/>
          <w:lang w:val="es-ES_tradnl"/>
        </w:rPr>
        <w:t xml:space="preserve"> </w:t>
      </w:r>
      <w:r w:rsidRPr="00CF1B34">
        <w:rPr>
          <w:rFonts w:ascii="Arial" w:hAnsi="Arial" w:cs="Arial"/>
          <w:sz w:val="22"/>
          <w:szCs w:val="22"/>
          <w:lang w:val="es-ES_tradnl"/>
        </w:rPr>
        <w:t>combinan la inversión en renta variable hasta un máximo del 30%, con la inversión en renta fija. </w:t>
      </w:r>
    </w:p>
    <w:p w14:paraId="3D434529" w14:textId="77777777" w:rsidR="004F71FB" w:rsidRPr="00CF1B34" w:rsidRDefault="004F71FB"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Garantizados</w:t>
      </w:r>
    </w:p>
    <w:p w14:paraId="58C117C0" w14:textId="77777777" w:rsidR="004F71FB" w:rsidRPr="00CF1B34" w:rsidRDefault="004F71FB"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Esta modalidad supone un riesgo muy reducido y garantiza al titular la recuperación de todo el capital siempre y cuando mantenga su dinero hasta la fecha de vencimiento.  </w:t>
      </w:r>
    </w:p>
    <w:p w14:paraId="0F16EFF9" w14:textId="77777777" w:rsidR="004F71FB" w:rsidRPr="00CF1B34" w:rsidRDefault="004F71F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función del promotor, los planes pueden ser individuales, si se contratan en una entidad financiera por los clientes a título personal. Son los más extendidos y lo que la mayoría de la gente entiende por un plan de pensiones; de empleo, si son promovidos por empresas y corporaciones en los que los titulares son los propios empleados; o asociados, si son promovidos por sindicatos, gremios o asociaciones. En este caso, los titulares son los propios asociados o afiliados.</w:t>
      </w:r>
    </w:p>
    <w:p w14:paraId="50868115" w14:textId="5E625B7D" w:rsidR="0028441E" w:rsidRDefault="0028441E"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Planificación fiscal</w:t>
      </w:r>
    </w:p>
    <w:p w14:paraId="63C43B8F" w14:textId="0C4C1237" w:rsidR="0028441E" w:rsidRPr="00974417" w:rsidRDefault="0028441E" w:rsidP="0028441E">
      <w:pPr>
        <w:rPr>
          <w:rStyle w:val="Textoennegrita"/>
          <w:rFonts w:ascii="Arial" w:hAnsi="Arial" w:cs="Arial"/>
          <w:b w:val="0"/>
          <w:bCs w:val="0"/>
          <w:color w:val="4A4A4A"/>
          <w:sz w:val="22"/>
          <w:szCs w:val="22"/>
          <w:shd w:val="clear" w:color="auto" w:fill="FFFFFF"/>
        </w:rPr>
      </w:pPr>
      <w:r w:rsidRPr="00974417">
        <w:rPr>
          <w:rFonts w:ascii="Arial" w:hAnsi="Arial" w:cs="Arial"/>
          <w:color w:val="4A4A4A"/>
          <w:sz w:val="22"/>
          <w:szCs w:val="22"/>
          <w:shd w:val="clear" w:color="auto" w:fill="FFFFFF"/>
        </w:rPr>
        <w:t>La planificación fiscal, también conocida como</w:t>
      </w:r>
      <w:r w:rsidRPr="00974417">
        <w:rPr>
          <w:rStyle w:val="Textoennegrita"/>
          <w:rFonts w:ascii="Arial" w:hAnsi="Arial" w:cs="Arial"/>
          <w:color w:val="4A4A4A"/>
          <w:sz w:val="22"/>
          <w:szCs w:val="22"/>
          <w:shd w:val="clear" w:color="auto" w:fill="FFFFFF"/>
        </w:rPr>
        <w:t xml:space="preserve"> planificación tributaria es un proceso que está constituido por un conjunto de actos jurídicos</w:t>
      </w:r>
      <w:r w:rsidRPr="00974417">
        <w:rPr>
          <w:rFonts w:ascii="Arial" w:hAnsi="Arial" w:cs="Arial"/>
          <w:color w:val="4A4A4A"/>
          <w:sz w:val="22"/>
          <w:szCs w:val="22"/>
          <w:shd w:val="clear" w:color="auto" w:fill="FFFFFF"/>
        </w:rPr>
        <w:t xml:space="preserve"> que son lícitos, y que, perteneciendo al contribuyente, tienen como objetivo maximizar la inversión eficiente que este realice ya sea a aquellos recursos que destine para su negocio o bien busca reducir la carga tributaria de una empresa o un autónomo dentro de la legalidad. ¿Cómo se consigue esto? Pues generalmente</w:t>
      </w:r>
      <w:r w:rsidRPr="00974417">
        <w:rPr>
          <w:rStyle w:val="Textoennegrita"/>
          <w:rFonts w:ascii="Arial" w:hAnsi="Arial" w:cs="Arial"/>
          <w:color w:val="4A4A4A"/>
          <w:sz w:val="22"/>
          <w:szCs w:val="22"/>
          <w:shd w:val="clear" w:color="auto" w:fill="FFFFFF"/>
        </w:rPr>
        <w:t xml:space="preserve"> </w:t>
      </w:r>
      <w:r w:rsidRPr="00974417">
        <w:rPr>
          <w:rStyle w:val="Textoennegrita"/>
          <w:rFonts w:ascii="Arial" w:hAnsi="Arial" w:cs="Arial"/>
          <w:b w:val="0"/>
          <w:bCs w:val="0"/>
          <w:color w:val="4A4A4A"/>
          <w:sz w:val="22"/>
          <w:szCs w:val="22"/>
          <w:shd w:val="clear" w:color="auto" w:fill="FFFFFF"/>
        </w:rPr>
        <w:t>se realiza a través de la reducción de la carga tributaria, siempre teniendo en cuenta las opciones que contemplen el ordenamiento jurídico</w:t>
      </w:r>
      <w:r w:rsidR="00D46C06" w:rsidRPr="00974417">
        <w:rPr>
          <w:rStyle w:val="Textoennegrita"/>
          <w:rFonts w:ascii="Arial" w:hAnsi="Arial" w:cs="Arial"/>
          <w:b w:val="0"/>
          <w:bCs w:val="0"/>
          <w:color w:val="4A4A4A"/>
          <w:sz w:val="22"/>
          <w:szCs w:val="22"/>
          <w:shd w:val="clear" w:color="auto" w:fill="FFFFFF"/>
        </w:rPr>
        <w:t>.</w:t>
      </w:r>
    </w:p>
    <w:p w14:paraId="5D636D4B" w14:textId="7FE4CB8E" w:rsidR="00D46C06" w:rsidRPr="00974417" w:rsidRDefault="00D46C06" w:rsidP="0028441E">
      <w:pPr>
        <w:rPr>
          <w:rStyle w:val="Textoennegrita"/>
          <w:rFonts w:ascii="Arial" w:hAnsi="Arial" w:cs="Arial"/>
          <w:b w:val="0"/>
          <w:bCs w:val="0"/>
          <w:color w:val="4A4A4A"/>
          <w:sz w:val="22"/>
          <w:szCs w:val="22"/>
          <w:shd w:val="clear" w:color="auto" w:fill="FFFFFF"/>
        </w:rPr>
      </w:pPr>
      <w:r w:rsidRPr="00974417">
        <w:rPr>
          <w:rStyle w:val="Textoennegrita"/>
          <w:rFonts w:ascii="Arial" w:hAnsi="Arial" w:cs="Arial"/>
          <w:b w:val="0"/>
          <w:bCs w:val="0"/>
          <w:color w:val="4A4A4A"/>
          <w:sz w:val="22"/>
          <w:szCs w:val="22"/>
          <w:shd w:val="clear" w:color="auto" w:fill="FFFFFF"/>
        </w:rPr>
        <w:t xml:space="preserve">Tiene pues como </w:t>
      </w:r>
      <w:r w:rsidRPr="00974417">
        <w:rPr>
          <w:rStyle w:val="Textoennegrita"/>
          <w:rFonts w:ascii="Arial" w:hAnsi="Arial" w:cs="Arial"/>
          <w:color w:val="4A4A4A"/>
          <w:sz w:val="22"/>
          <w:szCs w:val="22"/>
          <w:shd w:val="clear" w:color="auto" w:fill="FFFFFF"/>
        </w:rPr>
        <w:t>objetivos</w:t>
      </w:r>
      <w:r w:rsidRPr="00974417">
        <w:rPr>
          <w:rStyle w:val="Textoennegrita"/>
          <w:rFonts w:ascii="Arial" w:hAnsi="Arial" w:cs="Arial"/>
          <w:b w:val="0"/>
          <w:bCs w:val="0"/>
          <w:color w:val="4A4A4A"/>
          <w:sz w:val="22"/>
          <w:szCs w:val="22"/>
          <w:shd w:val="clear" w:color="auto" w:fill="FFFFFF"/>
        </w:rPr>
        <w:t>: reducir la cantidad de impuestos a pagar, optimizar la estructura fiscal de la empresa, autónomo o persona física, minimizar la carga tributaria y maximizar el ahorro fiscal</w:t>
      </w:r>
      <w:r w:rsidR="00A3652C" w:rsidRPr="00974417">
        <w:rPr>
          <w:rStyle w:val="Textoennegrita"/>
          <w:rFonts w:ascii="Arial" w:hAnsi="Arial" w:cs="Arial"/>
          <w:b w:val="0"/>
          <w:bCs w:val="0"/>
          <w:color w:val="4A4A4A"/>
          <w:sz w:val="22"/>
          <w:szCs w:val="22"/>
          <w:shd w:val="clear" w:color="auto" w:fill="FFFFFF"/>
        </w:rPr>
        <w:t xml:space="preserve">. </w:t>
      </w:r>
    </w:p>
    <w:p w14:paraId="076207FE" w14:textId="36471E7D" w:rsidR="00A3652C" w:rsidRPr="00974417" w:rsidRDefault="00A3652C" w:rsidP="0028441E">
      <w:pPr>
        <w:rPr>
          <w:rStyle w:val="Textoennegrita"/>
          <w:rFonts w:ascii="Arial" w:hAnsi="Arial" w:cs="Arial"/>
          <w:b w:val="0"/>
          <w:bCs w:val="0"/>
          <w:color w:val="4A4A4A"/>
          <w:sz w:val="22"/>
          <w:szCs w:val="22"/>
          <w:shd w:val="clear" w:color="auto" w:fill="FFFFFF"/>
        </w:rPr>
      </w:pPr>
      <w:r w:rsidRPr="00974417">
        <w:rPr>
          <w:rStyle w:val="Textoennegrita"/>
          <w:rFonts w:ascii="Arial" w:hAnsi="Arial" w:cs="Arial"/>
          <w:b w:val="0"/>
          <w:bCs w:val="0"/>
          <w:color w:val="4A4A4A"/>
          <w:sz w:val="22"/>
          <w:szCs w:val="22"/>
          <w:shd w:val="clear" w:color="auto" w:fill="FFFFFF"/>
        </w:rPr>
        <w:t>Para ello las estrategias a seguir son: el estudio de las deducciones aplicables considerando resultados presentes y proyecciones futuras, implementar planes de ahorro fiscal que reduzcan los impuestos y se adapten a la actividad económica o revisar y ajustar la contabilidad periódicamente para asegurar la deducibilidad de gastos y minimizar la carga tributaria</w:t>
      </w:r>
    </w:p>
    <w:p w14:paraId="21992B7B" w14:textId="77777777" w:rsidR="00D46C06" w:rsidRPr="00974417" w:rsidRDefault="00D46C06" w:rsidP="0028441E">
      <w:pPr>
        <w:rPr>
          <w:rFonts w:ascii="Arial" w:hAnsi="Arial" w:cs="Arial"/>
          <w:b/>
          <w:bCs/>
          <w:sz w:val="22"/>
          <w:szCs w:val="22"/>
        </w:rPr>
      </w:pPr>
    </w:p>
    <w:p w14:paraId="3431947D" w14:textId="1E0E2EBF" w:rsidR="0028441E" w:rsidRPr="00974417" w:rsidRDefault="00D46C06" w:rsidP="00D46C06">
      <w:pPr>
        <w:rPr>
          <w:rFonts w:ascii="Arial" w:hAnsi="Arial" w:cs="Arial"/>
          <w:b/>
          <w:bCs/>
          <w:color w:val="2F5496" w:themeColor="accent1" w:themeShade="BF"/>
          <w:sz w:val="22"/>
          <w:szCs w:val="22"/>
          <w:lang w:val="es-ES_tradnl"/>
        </w:rPr>
      </w:pPr>
      <w:r w:rsidRPr="00974417">
        <w:rPr>
          <w:rFonts w:ascii="Arial" w:hAnsi="Arial" w:cs="Arial"/>
          <w:b/>
          <w:bCs/>
          <w:color w:val="2F5496" w:themeColor="accent1" w:themeShade="BF"/>
          <w:sz w:val="22"/>
          <w:szCs w:val="22"/>
          <w:lang w:val="es-ES_tradnl"/>
        </w:rPr>
        <w:t>Ideas para una buena planificación fiscal:</w:t>
      </w:r>
    </w:p>
    <w:p w14:paraId="3C294915" w14:textId="6310CA30" w:rsidR="00D46C06" w:rsidRPr="00974417" w:rsidRDefault="00D46C06" w:rsidP="004F7A62">
      <w:pPr>
        <w:pStyle w:val="Prrafodelista"/>
        <w:numPr>
          <w:ilvl w:val="0"/>
          <w:numId w:val="245"/>
        </w:numPr>
        <w:rPr>
          <w:rFonts w:ascii="Arial" w:hAnsi="Arial" w:cs="Arial"/>
          <w:sz w:val="22"/>
          <w:szCs w:val="22"/>
        </w:rPr>
      </w:pPr>
      <w:r w:rsidRPr="00974417">
        <w:rPr>
          <w:rStyle w:val="Textoennegrita"/>
          <w:rFonts w:ascii="Arial" w:hAnsi="Arial" w:cs="Arial"/>
          <w:color w:val="4A4A4A"/>
          <w:sz w:val="22"/>
          <w:szCs w:val="22"/>
        </w:rPr>
        <w:t>Invertir en vivienda habitual</w:t>
      </w:r>
      <w:r w:rsidRPr="00974417">
        <w:rPr>
          <w:rFonts w:ascii="Arial" w:hAnsi="Arial" w:cs="Arial"/>
          <w:sz w:val="22"/>
          <w:szCs w:val="22"/>
        </w:rPr>
        <w:t xml:space="preserve">: la </w:t>
      </w:r>
      <w:r w:rsidRPr="00974417">
        <w:rPr>
          <w:rStyle w:val="Textoennegrita"/>
          <w:rFonts w:ascii="Arial" w:hAnsi="Arial" w:cs="Arial"/>
          <w:color w:val="4A4A4A"/>
          <w:sz w:val="22"/>
          <w:szCs w:val="22"/>
        </w:rPr>
        <w:t>deducción por vivienda habitual</w:t>
      </w:r>
      <w:r w:rsidRPr="00974417">
        <w:rPr>
          <w:rFonts w:ascii="Arial" w:hAnsi="Arial" w:cs="Arial"/>
          <w:sz w:val="22"/>
          <w:szCs w:val="22"/>
        </w:rPr>
        <w:t xml:space="preserve"> es una de las más habituales entre el contribuyente español. Abarca la compra, construcción, la reforma y </w:t>
      </w:r>
      <w:r w:rsidRPr="00974417">
        <w:rPr>
          <w:rFonts w:ascii="Arial" w:hAnsi="Arial" w:cs="Arial"/>
          <w:sz w:val="22"/>
          <w:szCs w:val="22"/>
        </w:rPr>
        <w:lastRenderedPageBreak/>
        <w:t>las aportaciones a cuentas ahorro vivienda. De forma general, es posible deducir un 15% de las cantidades aportadas hasta un máximo de 9.015 euros.</w:t>
      </w:r>
    </w:p>
    <w:p w14:paraId="16E57E7A" w14:textId="77777777" w:rsidR="00D46C06" w:rsidRPr="00974417" w:rsidRDefault="00D46C06" w:rsidP="004F7A62">
      <w:pPr>
        <w:pStyle w:val="Prrafodelista"/>
        <w:numPr>
          <w:ilvl w:val="0"/>
          <w:numId w:val="245"/>
        </w:numPr>
        <w:rPr>
          <w:rFonts w:ascii="Arial" w:hAnsi="Arial" w:cs="Arial"/>
          <w:sz w:val="22"/>
          <w:szCs w:val="22"/>
        </w:rPr>
      </w:pPr>
      <w:r w:rsidRPr="00974417">
        <w:rPr>
          <w:rStyle w:val="Textoennegrita"/>
          <w:rFonts w:ascii="Arial" w:hAnsi="Arial" w:cs="Arial"/>
          <w:color w:val="4A4A4A"/>
          <w:sz w:val="22"/>
          <w:szCs w:val="22"/>
        </w:rPr>
        <w:t>Hacer aportaciones a una cuenta ahorro vivienda</w:t>
      </w:r>
      <w:r w:rsidRPr="00974417">
        <w:rPr>
          <w:rFonts w:ascii="Arial" w:hAnsi="Arial" w:cs="Arial"/>
          <w:sz w:val="22"/>
          <w:szCs w:val="22"/>
        </w:rPr>
        <w:t>: las deducciones son las mismas que por la adquisición de vivienda. Es decir, un 15% de las cantidades aportadas hasta un máximo de 9.015,18 euros, lo que sitúa la deducción efectiva en 1.352,27 euros. Las deducciones se pueden realizar durante cuatro años y pasado ese periodo se dispone de dos ejercicios adicionales para comprar efectivamente una vivienda habitual. En caso contrario habrá que devolver las cantidades deducidas más un recargo.</w:t>
      </w:r>
    </w:p>
    <w:p w14:paraId="7D31CB9C" w14:textId="3EC98B94" w:rsidR="00D46C06" w:rsidRPr="00974417" w:rsidRDefault="00D46C06" w:rsidP="004F7A62">
      <w:pPr>
        <w:pStyle w:val="Prrafodelista"/>
        <w:numPr>
          <w:ilvl w:val="0"/>
          <w:numId w:val="245"/>
        </w:numPr>
        <w:rPr>
          <w:rFonts w:ascii="Arial" w:hAnsi="Arial" w:cs="Arial"/>
          <w:sz w:val="22"/>
          <w:szCs w:val="22"/>
        </w:rPr>
      </w:pPr>
      <w:r w:rsidRPr="00974417">
        <w:rPr>
          <w:rStyle w:val="Textoennegrita"/>
          <w:rFonts w:ascii="Arial" w:hAnsi="Arial" w:cs="Arial"/>
          <w:color w:val="4A4A4A"/>
          <w:sz w:val="22"/>
          <w:szCs w:val="22"/>
        </w:rPr>
        <w:t>Alquiler de vivienda:</w:t>
      </w:r>
      <w:r w:rsidRPr="00974417">
        <w:rPr>
          <w:rFonts w:ascii="Arial" w:hAnsi="Arial" w:cs="Arial"/>
          <w:sz w:val="22"/>
          <w:szCs w:val="22"/>
        </w:rPr>
        <w:t xml:space="preserve"> la deducción por alquiler de vivienda habitual tiene dos partes. El arrendador y el arrendatario. De forma general, el arrendador puede desgravar cualquier gasto ocasionado por alquiler y dependiendo del inquilino, una parte de las ganancias que obtenga (la reducción de carácter general es del 50% sobre la renta obtenida por el alquiler). Por su parte, el arrendatario puede acogerse a una deducción similar a las de las hipotecas con un tramo estatal y otro autonómico. El tramo estatal incluye una deducción del 10,05% de las cantidades aportadas en concepto de alquiler siempre que la base imposible sea inferior a 24.020 euros y hasta un máximo de 9.015,18 euros.</w:t>
      </w:r>
    </w:p>
    <w:p w14:paraId="7A5D0FD6" w14:textId="54FC7A77" w:rsidR="00D46C06" w:rsidRPr="00974417" w:rsidRDefault="00D46C06" w:rsidP="004F7A62">
      <w:pPr>
        <w:pStyle w:val="Prrafodelista"/>
        <w:numPr>
          <w:ilvl w:val="0"/>
          <w:numId w:val="245"/>
        </w:numPr>
        <w:rPr>
          <w:rFonts w:ascii="Arial" w:hAnsi="Arial" w:cs="Arial"/>
          <w:sz w:val="22"/>
          <w:szCs w:val="22"/>
        </w:rPr>
      </w:pPr>
      <w:r w:rsidRPr="00974417">
        <w:rPr>
          <w:rStyle w:val="Textoennegrita"/>
          <w:rFonts w:ascii="Arial" w:hAnsi="Arial" w:cs="Arial"/>
          <w:color w:val="4A4A4A"/>
          <w:sz w:val="22"/>
          <w:szCs w:val="22"/>
        </w:rPr>
        <w:t>Aportaciones a plan de pensiones</w:t>
      </w:r>
      <w:r w:rsidRPr="00974417">
        <w:rPr>
          <w:rFonts w:ascii="Arial" w:hAnsi="Arial" w:cs="Arial"/>
          <w:sz w:val="22"/>
          <w:szCs w:val="22"/>
        </w:rPr>
        <w:t>: la fiscalidad de los planes de pensiones es más ventajosa que la de otros productos financieros y por eso también son uno de los vehículos más utilizados para reducir la factura fiscal. Las deducciones se practican sobre las cantidades aportadas hasta unos límites en función de la edad del partícipe. De esta forma, los menores de 50 años podrán deducir hasta 10.000 o el 30% de sus ingresos y los mayores de 50 años hasta 12.500 euros o un 50% de sus ingresos, entendidos estos la suma de sus rendimientos netos del trabajo y de actividades económicas.</w:t>
      </w:r>
    </w:p>
    <w:p w14:paraId="5F3581CC" w14:textId="77777777" w:rsidR="00D46C06" w:rsidRPr="00974417" w:rsidRDefault="00D46C06" w:rsidP="004F7A62">
      <w:pPr>
        <w:pStyle w:val="Prrafodelista"/>
        <w:numPr>
          <w:ilvl w:val="0"/>
          <w:numId w:val="245"/>
        </w:numPr>
        <w:rPr>
          <w:rFonts w:ascii="Arial" w:hAnsi="Arial" w:cs="Arial"/>
          <w:sz w:val="22"/>
          <w:szCs w:val="22"/>
        </w:rPr>
      </w:pPr>
      <w:r w:rsidRPr="00974417">
        <w:rPr>
          <w:rStyle w:val="Textoennegrita"/>
          <w:rFonts w:ascii="Arial" w:hAnsi="Arial" w:cs="Arial"/>
          <w:color w:val="4A4A4A"/>
          <w:sz w:val="22"/>
          <w:szCs w:val="22"/>
        </w:rPr>
        <w:t>Compensar minusvalías en inversiones</w:t>
      </w:r>
      <w:r w:rsidRPr="00974417">
        <w:rPr>
          <w:rFonts w:ascii="Arial" w:hAnsi="Arial" w:cs="Arial"/>
          <w:sz w:val="22"/>
          <w:szCs w:val="22"/>
        </w:rPr>
        <w:t>: para quienes inviertan en bolsa y hayan sufrido pérdidas, la fiscalidad de las acciones les permite compensar esa minusvalía en bolsa.</w:t>
      </w:r>
    </w:p>
    <w:p w14:paraId="22C14F18" w14:textId="77777777" w:rsidR="00D46C06" w:rsidRPr="00974417" w:rsidRDefault="00D46C06" w:rsidP="004F7A62">
      <w:pPr>
        <w:pStyle w:val="Prrafodelista"/>
        <w:numPr>
          <w:ilvl w:val="0"/>
          <w:numId w:val="245"/>
        </w:numPr>
        <w:rPr>
          <w:rFonts w:ascii="Arial" w:hAnsi="Arial" w:cs="Arial"/>
          <w:sz w:val="22"/>
          <w:szCs w:val="22"/>
        </w:rPr>
      </w:pPr>
      <w:r w:rsidRPr="00974417">
        <w:rPr>
          <w:rStyle w:val="Textoennegrita"/>
          <w:rFonts w:ascii="Arial" w:hAnsi="Arial" w:cs="Arial"/>
          <w:color w:val="4A4A4A"/>
          <w:sz w:val="22"/>
          <w:szCs w:val="22"/>
        </w:rPr>
        <w:t>Donativos</w:t>
      </w:r>
      <w:r w:rsidRPr="00974417">
        <w:rPr>
          <w:rFonts w:ascii="Arial" w:hAnsi="Arial" w:cs="Arial"/>
          <w:sz w:val="22"/>
          <w:szCs w:val="22"/>
        </w:rPr>
        <w:t>: también existen deducciones por donativos que permiten deducir el 10%, 20% o 30% de las cantidades aportadas a entidades sin ánimo de lucro, actividades de mecenazgo y otras donaciones contempladas por entidades autorizadas por la ley. El porcentaje a aplicar depende del tipo de institución y la actividad que realice. Conviene aclarar que se puede deducir no sólo las aportaciones extraordinarias, sino también las cuotas que se pagan como socio, así como por las aportaciones no dinerarias. El porcentaje de deducción no puede superar el 10% de la base liquidable con carácter general y al 15% para determinadas actividades y programas prioritarios de mecenazgo.</w:t>
      </w:r>
    </w:p>
    <w:p w14:paraId="58EC73FE" w14:textId="77777777" w:rsidR="00974417" w:rsidRPr="00CF1B34" w:rsidRDefault="00974417" w:rsidP="00974417">
      <w:pPr>
        <w:pBdr>
          <w:bottom w:val="dotted" w:sz="12" w:space="12" w:color="666666"/>
        </w:pBdr>
        <w:spacing w:after="240"/>
        <w:ind w:left="720"/>
        <w:jc w:val="both"/>
        <w:rPr>
          <w:rFonts w:ascii="Arial" w:hAnsi="Arial" w:cs="Arial"/>
          <w:color w:val="212529"/>
          <w:sz w:val="22"/>
          <w:szCs w:val="22"/>
          <w:lang w:val="es-ES_tradnl"/>
        </w:rPr>
      </w:pPr>
      <w:r w:rsidRPr="00974417">
        <w:rPr>
          <w:rFonts w:ascii="Arial" w:hAnsi="Arial" w:cs="Arial"/>
          <w:sz w:val="22"/>
          <w:szCs w:val="22"/>
        </w:rPr>
        <w:t xml:space="preserve">Resumiendo, la planificación fiscal </w:t>
      </w:r>
      <w:r w:rsidRPr="00974417">
        <w:rPr>
          <w:rFonts w:ascii="Arial" w:hAnsi="Arial" w:cs="Arial"/>
          <w:color w:val="000000"/>
          <w:sz w:val="22"/>
          <w:szCs w:val="22"/>
          <w:shd w:val="clear" w:color="auto" w:fill="FFFFFF"/>
        </w:rPr>
        <w:t>es una</w:t>
      </w:r>
      <w:r>
        <w:rPr>
          <w:rFonts w:ascii="Arial" w:hAnsi="Arial" w:cs="Arial"/>
          <w:color w:val="000000"/>
          <w:sz w:val="22"/>
          <w:szCs w:val="22"/>
          <w:shd w:val="clear" w:color="auto" w:fill="FFFFFF"/>
        </w:rPr>
        <w:t xml:space="preserve"> </w:t>
      </w:r>
      <w:r w:rsidRPr="00974417">
        <w:rPr>
          <w:rStyle w:val="highlight-answer"/>
          <w:rFonts w:ascii="Arial" w:hAnsi="Arial" w:cs="Arial"/>
          <w:b/>
          <w:bCs/>
          <w:color w:val="000000"/>
          <w:sz w:val="22"/>
          <w:szCs w:val="22"/>
          <w:shd w:val="clear" w:color="auto" w:fill="FFFFFF"/>
        </w:rPr>
        <w:t>estrategia integral que busca reducir la carga tributaria de cualquiera</w:t>
      </w:r>
      <w:r>
        <w:rPr>
          <w:rStyle w:val="highlight-answer"/>
          <w:rFonts w:ascii="Arial" w:hAnsi="Arial" w:cs="Arial"/>
          <w:b/>
          <w:bCs/>
          <w:color w:val="000000"/>
          <w:sz w:val="22"/>
          <w:szCs w:val="22"/>
          <w:shd w:val="clear" w:color="auto" w:fill="FFFFFF"/>
        </w:rPr>
        <w:t xml:space="preserve"> entidad</w:t>
      </w:r>
      <w:r w:rsidRPr="00974417">
        <w:rPr>
          <w:rFonts w:ascii="Arial" w:hAnsi="Arial" w:cs="Arial"/>
          <w:color w:val="000000"/>
          <w:sz w:val="22"/>
          <w:szCs w:val="22"/>
          <w:shd w:val="clear" w:color="auto" w:fill="FFFFFF"/>
        </w:rPr>
        <w:t>, mediante el conocimiento y aplicación de las deducciones, exenciones y créditos fiscales disponibles, y la optimización de la contabilidad y retribución de socios y administradores. Es fundamental para cualquier empresa o autónomo que busque minimizar su carga tributaria y maximizar su ahorro fiscal.</w:t>
      </w:r>
    </w:p>
    <w:p w14:paraId="6D041958" w14:textId="73D44916" w:rsidR="00D46C06" w:rsidRPr="004B60B3" w:rsidRDefault="004B60B3" w:rsidP="00D46C06">
      <w:pPr>
        <w:rPr>
          <w:rFonts w:ascii="Arial" w:hAnsi="Arial" w:cs="Arial"/>
          <w:b/>
          <w:bCs/>
          <w:color w:val="2F5496" w:themeColor="accent1" w:themeShade="BF"/>
          <w:sz w:val="22"/>
          <w:szCs w:val="22"/>
        </w:rPr>
      </w:pPr>
      <w:r>
        <w:rPr>
          <w:rFonts w:ascii="Arial" w:hAnsi="Arial" w:cs="Arial"/>
          <w:b/>
          <w:bCs/>
          <w:color w:val="2F5496" w:themeColor="accent1" w:themeShade="BF"/>
          <w:sz w:val="22"/>
          <w:szCs w:val="22"/>
        </w:rPr>
        <w:t>Plataforma Multisectorial contra la Morosidad (</w:t>
      </w:r>
      <w:r w:rsidR="006B440F" w:rsidRPr="004B60B3">
        <w:rPr>
          <w:rFonts w:ascii="Arial" w:hAnsi="Arial" w:cs="Arial"/>
          <w:b/>
          <w:bCs/>
          <w:color w:val="2F5496" w:themeColor="accent1" w:themeShade="BF"/>
          <w:sz w:val="22"/>
          <w:szCs w:val="22"/>
        </w:rPr>
        <w:t>P</w:t>
      </w:r>
      <w:r w:rsidRPr="004B60B3">
        <w:rPr>
          <w:rFonts w:ascii="Arial" w:hAnsi="Arial" w:cs="Arial"/>
          <w:b/>
          <w:bCs/>
          <w:color w:val="2F5496" w:themeColor="accent1" w:themeShade="BF"/>
          <w:sz w:val="22"/>
          <w:szCs w:val="22"/>
        </w:rPr>
        <w:t>M</w:t>
      </w:r>
      <w:r w:rsidR="006B440F" w:rsidRPr="004B60B3">
        <w:rPr>
          <w:rFonts w:ascii="Arial" w:hAnsi="Arial" w:cs="Arial"/>
          <w:b/>
          <w:bCs/>
          <w:color w:val="2F5496" w:themeColor="accent1" w:themeShade="BF"/>
          <w:sz w:val="22"/>
          <w:szCs w:val="22"/>
        </w:rPr>
        <w:t>cM</w:t>
      </w:r>
      <w:r>
        <w:rPr>
          <w:rFonts w:ascii="Arial" w:hAnsi="Arial" w:cs="Arial"/>
          <w:b/>
          <w:bCs/>
          <w:color w:val="2F5496" w:themeColor="accent1" w:themeShade="BF"/>
          <w:sz w:val="22"/>
          <w:szCs w:val="22"/>
        </w:rPr>
        <w:t>)</w:t>
      </w:r>
    </w:p>
    <w:p w14:paraId="73A0E227" w14:textId="77777777" w:rsidR="0005154A" w:rsidRPr="00CF1B34" w:rsidRDefault="0005154A" w:rsidP="0005154A">
      <w:pPr>
        <w:pBdr>
          <w:bottom w:val="dotted" w:sz="12" w:space="12" w:color="666666"/>
        </w:pBdr>
        <w:spacing w:after="240"/>
        <w:ind w:left="720"/>
        <w:jc w:val="both"/>
        <w:rPr>
          <w:rFonts w:ascii="Arial" w:hAnsi="Arial" w:cs="Arial"/>
          <w:color w:val="212529"/>
          <w:sz w:val="22"/>
          <w:szCs w:val="22"/>
          <w:lang w:val="es-ES_tradnl"/>
        </w:rPr>
      </w:pPr>
      <w:r>
        <w:rPr>
          <w:rFonts w:ascii="Arial" w:hAnsi="Arial" w:cs="Arial"/>
          <w:color w:val="000000" w:themeColor="text1"/>
          <w:sz w:val="22"/>
          <w:szCs w:val="22"/>
          <w:lang w:val="es-ES_tradnl"/>
        </w:rPr>
        <w:t>La misión fundamental de la PMcM es combatir la morosidad en las operaciones comerciales y luchar por el cumplimiento de los plazos legales de pago.</w:t>
      </w:r>
    </w:p>
    <w:p w14:paraId="5F713CC7" w14:textId="6D1A53DA" w:rsidR="00E256E0" w:rsidRPr="00CF1B34" w:rsidRDefault="00835D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Plazo</w:t>
      </w:r>
    </w:p>
    <w:p w14:paraId="72D7CBDD" w14:textId="77777777" w:rsidR="00E432E1" w:rsidRPr="00CF1B34" w:rsidRDefault="001737E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Período de tiempo al que decido invertir. </w:t>
      </w:r>
      <w:r w:rsidR="00E432E1" w:rsidRPr="00CF1B34">
        <w:rPr>
          <w:rFonts w:ascii="Arial" w:hAnsi="Arial" w:cs="Arial"/>
          <w:color w:val="000000" w:themeColor="text1"/>
          <w:sz w:val="22"/>
          <w:szCs w:val="22"/>
          <w:lang w:val="es-ES_tradnl"/>
        </w:rPr>
        <w:t>Al establecer el plazo debo de considerar si puedo necesitar el dinero en ese periodo.</w:t>
      </w:r>
    </w:p>
    <w:p w14:paraId="0C2E9438" w14:textId="6508B8EC" w:rsidR="00835D03" w:rsidRPr="00CF1B34" w:rsidRDefault="00835D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 xml:space="preserve">Plazo de vigencia de una orden </w:t>
      </w:r>
      <w:r w:rsidR="0010608C" w:rsidRPr="00CF1B34">
        <w:rPr>
          <w:rFonts w:ascii="Arial" w:hAnsi="Arial" w:cs="Arial"/>
          <w:b/>
          <w:bCs/>
          <w:color w:val="004773"/>
          <w:sz w:val="22"/>
          <w:szCs w:val="22"/>
          <w:lang w:val="es-ES_tradnl"/>
        </w:rPr>
        <w:t xml:space="preserve">bursátil </w:t>
      </w:r>
    </w:p>
    <w:p w14:paraId="033400CF" w14:textId="618C4562" w:rsidR="00F15211" w:rsidRPr="00CF1B34" w:rsidRDefault="00E432E1" w:rsidP="0005621A">
      <w:p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Periodo de validez de una orden bursátil. Estos pueden ser:</w:t>
      </w:r>
    </w:p>
    <w:p w14:paraId="5D4E9DBC" w14:textId="3BFDF7D4" w:rsidR="00E432E1" w:rsidRPr="00CF1B34" w:rsidRDefault="00E432E1" w:rsidP="004F7A62">
      <w:pPr>
        <w:pStyle w:val="Prrafodelista"/>
        <w:numPr>
          <w:ilvl w:val="1"/>
          <w:numId w:val="19"/>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Validez d</w:t>
      </w:r>
      <w:r w:rsidR="00333CCF">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a. La orden es valida solo para la sesión en curso. En caso de no negociarse en el transcurso de la misma se cancela automáticamente.</w:t>
      </w:r>
    </w:p>
    <w:p w14:paraId="7BA18397" w14:textId="327CCF93" w:rsidR="00E432E1" w:rsidRPr="00CF1B34" w:rsidRDefault="00E432E1" w:rsidP="004F7A62">
      <w:pPr>
        <w:pStyle w:val="Prrafodelista"/>
        <w:numPr>
          <w:ilvl w:val="1"/>
          <w:numId w:val="19"/>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Validez hasta la fecha. Se marcar</w:t>
      </w:r>
      <w:r w:rsidR="00333CCF">
        <w:rPr>
          <w:rFonts w:ascii="Arial" w:hAnsi="Arial" w:cs="Arial"/>
          <w:color w:val="000000" w:themeColor="text1"/>
          <w:sz w:val="22"/>
          <w:szCs w:val="22"/>
          <w:lang w:val="es-ES_tradnl"/>
        </w:rPr>
        <w:t>á</w:t>
      </w:r>
      <w:r w:rsidRPr="00CF1B34">
        <w:rPr>
          <w:rFonts w:ascii="Arial" w:hAnsi="Arial" w:cs="Arial"/>
          <w:color w:val="000000" w:themeColor="text1"/>
          <w:sz w:val="22"/>
          <w:szCs w:val="22"/>
          <w:lang w:val="es-ES_tradnl"/>
        </w:rPr>
        <w:t xml:space="preserve"> una fecha de validez máxima. Al cierre de la sesión de dicha fecha se cancelar</w:t>
      </w:r>
      <w:r w:rsidR="00333CCF">
        <w:rPr>
          <w:rFonts w:ascii="Arial" w:hAnsi="Arial" w:cs="Arial"/>
          <w:color w:val="000000" w:themeColor="text1"/>
          <w:sz w:val="22"/>
          <w:szCs w:val="22"/>
          <w:lang w:val="es-ES_tradnl"/>
        </w:rPr>
        <w:t>á</w:t>
      </w:r>
      <w:r w:rsidRPr="00CF1B34">
        <w:rPr>
          <w:rFonts w:ascii="Arial" w:hAnsi="Arial" w:cs="Arial"/>
          <w:color w:val="000000" w:themeColor="text1"/>
          <w:sz w:val="22"/>
          <w:szCs w:val="22"/>
          <w:lang w:val="es-ES_tradnl"/>
        </w:rPr>
        <w:t xml:space="preserve"> automáticamente la orden o resto no negociado. La validez máxima que ac</w:t>
      </w:r>
      <w:r w:rsidR="00333CCF">
        <w:rPr>
          <w:rFonts w:ascii="Arial" w:hAnsi="Arial" w:cs="Arial"/>
          <w:color w:val="000000" w:themeColor="text1"/>
          <w:sz w:val="22"/>
          <w:szCs w:val="22"/>
          <w:lang w:val="es-ES_tradnl"/>
        </w:rPr>
        <w:t>t</w:t>
      </w:r>
      <w:r w:rsidRPr="00CF1B34">
        <w:rPr>
          <w:rFonts w:ascii="Arial" w:hAnsi="Arial" w:cs="Arial"/>
          <w:color w:val="000000" w:themeColor="text1"/>
          <w:sz w:val="22"/>
          <w:szCs w:val="22"/>
          <w:lang w:val="es-ES_tradnl"/>
        </w:rPr>
        <w:t>ualmente admite el sistema es la penúltima fecha del mes en curso.</w:t>
      </w:r>
    </w:p>
    <w:p w14:paraId="14DA9106" w14:textId="5E67EADA" w:rsidR="00E432E1" w:rsidRPr="00CF1B34" w:rsidRDefault="00E432E1" w:rsidP="004F7A62">
      <w:pPr>
        <w:pStyle w:val="Prrafodelista"/>
        <w:numPr>
          <w:ilvl w:val="1"/>
          <w:numId w:val="19"/>
        </w:numPr>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Validez hasta su cancelación. Las ordenes o resto no negociados se cancelar</w:t>
      </w:r>
      <w:r w:rsidR="00333CCF">
        <w:rPr>
          <w:rFonts w:ascii="Arial" w:hAnsi="Arial" w:cs="Arial"/>
          <w:color w:val="000000" w:themeColor="text1"/>
          <w:sz w:val="22"/>
          <w:szCs w:val="22"/>
          <w:lang w:val="es-ES_tradnl"/>
        </w:rPr>
        <w:t>á</w:t>
      </w:r>
      <w:r w:rsidRPr="00CF1B34">
        <w:rPr>
          <w:rFonts w:ascii="Arial" w:hAnsi="Arial" w:cs="Arial"/>
          <w:color w:val="000000" w:themeColor="text1"/>
          <w:sz w:val="22"/>
          <w:szCs w:val="22"/>
          <w:lang w:val="es-ES_tradnl"/>
        </w:rPr>
        <w:t>n automáticamente el ultimo d</w:t>
      </w:r>
      <w:r w:rsidR="00333CCF">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a del mes en curso. El sistema entiende que una orden dada hasta su ejecución solo es para el mes en curso.</w:t>
      </w:r>
    </w:p>
    <w:p w14:paraId="031A90AB" w14:textId="77777777" w:rsidR="00E432E1" w:rsidRPr="00CF1B34" w:rsidRDefault="00E432E1" w:rsidP="0005621A">
      <w:pPr>
        <w:pStyle w:val="Prrafodelista"/>
        <w:pBdr>
          <w:bottom w:val="dotted" w:sz="12" w:space="12" w:color="666666"/>
        </w:pBdr>
        <w:spacing w:after="240"/>
        <w:jc w:val="both"/>
        <w:rPr>
          <w:rFonts w:ascii="Arial" w:hAnsi="Arial" w:cs="Arial"/>
          <w:color w:val="212529"/>
          <w:sz w:val="22"/>
          <w:szCs w:val="22"/>
          <w:lang w:val="es-ES_tradnl"/>
        </w:rPr>
      </w:pPr>
    </w:p>
    <w:p w14:paraId="4B975A82" w14:textId="39534D23" w:rsidR="00333CCF" w:rsidRDefault="00333CCF"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Plazo fijo</w:t>
      </w:r>
    </w:p>
    <w:p w14:paraId="644AEA42" w14:textId="21DF9A22" w:rsidR="00333CCF" w:rsidRPr="00333CCF" w:rsidRDefault="00333CCF" w:rsidP="00333CCF">
      <w:pPr>
        <w:ind w:left="708"/>
        <w:rPr>
          <w:rFonts w:ascii="Arial" w:hAnsi="Arial" w:cs="Arial"/>
          <w:sz w:val="22"/>
          <w:szCs w:val="22"/>
        </w:rPr>
      </w:pPr>
      <w:r w:rsidRPr="00333CCF">
        <w:rPr>
          <w:rFonts w:ascii="Arial" w:hAnsi="Arial" w:cs="Arial"/>
          <w:color w:val="333333"/>
          <w:sz w:val="22"/>
          <w:szCs w:val="22"/>
          <w:shd w:val="clear" w:color="auto" w:fill="FFFFFF"/>
        </w:rPr>
        <w:t>Uno de los productos de ahorro más conservadores que existe en el mercado es el</w:t>
      </w:r>
      <w:r>
        <w:rPr>
          <w:rFonts w:ascii="Arial" w:hAnsi="Arial" w:cs="Arial"/>
          <w:color w:val="333333"/>
          <w:sz w:val="22"/>
          <w:szCs w:val="22"/>
          <w:shd w:val="clear" w:color="auto" w:fill="FFFFFF"/>
        </w:rPr>
        <w:t xml:space="preserve"> </w:t>
      </w:r>
      <w:r w:rsidRPr="00333CCF">
        <w:rPr>
          <w:rFonts w:ascii="Arial" w:hAnsi="Arial" w:cs="Arial"/>
          <w:b/>
          <w:bCs/>
          <w:color w:val="333333"/>
          <w:sz w:val="22"/>
          <w:szCs w:val="22"/>
          <w:shd w:val="clear" w:color="auto" w:fill="FFFFFF"/>
        </w:rPr>
        <w:t>Plazo Fijo</w:t>
      </w:r>
      <w:r w:rsidRPr="00333CCF">
        <w:rPr>
          <w:rFonts w:ascii="Arial" w:hAnsi="Arial" w:cs="Arial"/>
          <w:color w:val="333333"/>
          <w:sz w:val="22"/>
          <w:szCs w:val="22"/>
          <w:shd w:val="clear" w:color="auto" w:fill="FFFFFF"/>
        </w:rPr>
        <w:t>. Estos depósitos que ofrecen la mayoría de los bancos y cajas de ahorro son una interesante estrategia de ahorro e inversión para rentabilizar nuestro dinero.</w:t>
      </w:r>
    </w:p>
    <w:p w14:paraId="7AB32E15" w14:textId="77777777" w:rsidR="00333CCF" w:rsidRPr="00CF1B34" w:rsidRDefault="00333CCF" w:rsidP="00333CCF">
      <w:pPr>
        <w:pBdr>
          <w:bottom w:val="dotted" w:sz="12" w:space="12" w:color="666666"/>
        </w:pBdr>
        <w:spacing w:after="240"/>
        <w:ind w:left="720"/>
        <w:jc w:val="both"/>
        <w:rPr>
          <w:rFonts w:ascii="Arial" w:hAnsi="Arial" w:cs="Arial"/>
          <w:color w:val="212529"/>
          <w:sz w:val="22"/>
          <w:szCs w:val="22"/>
          <w:lang w:val="es-ES_tradnl"/>
        </w:rPr>
      </w:pPr>
      <w:r w:rsidRPr="00333CCF">
        <w:rPr>
          <w:rFonts w:ascii="Arial" w:hAnsi="Arial" w:cs="Arial"/>
          <w:color w:val="333333"/>
          <w:sz w:val="22"/>
          <w:szCs w:val="22"/>
        </w:rPr>
        <w:t>Generalmente requieren de un importe mínimo y un máximo, y los plazos son muy variados a corto plazo desde1 mes, 3 meses, 6 meses, 9 meses hasta 12 meses. Sin embargo, quienes buscan productos a largo plazo tienen propuestas desde 15 meses hasta 5 años.</w:t>
      </w:r>
    </w:p>
    <w:p w14:paraId="02B805A7" w14:textId="40B1D095" w:rsidR="00673E75" w:rsidRDefault="00673E75"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Pleno empleo</w:t>
      </w:r>
    </w:p>
    <w:p w14:paraId="31DD8814" w14:textId="77777777" w:rsidR="00D63F39" w:rsidRDefault="00673E75" w:rsidP="00D63F39">
      <w:pPr>
        <w:ind w:left="708"/>
        <w:rPr>
          <w:rFonts w:ascii="Arial" w:hAnsi="Arial" w:cs="Arial"/>
          <w:b/>
          <w:bCs/>
          <w:color w:val="333333"/>
          <w:sz w:val="22"/>
          <w:szCs w:val="22"/>
          <w:shd w:val="clear" w:color="auto" w:fill="FFFFFF"/>
        </w:rPr>
      </w:pPr>
      <w:r w:rsidRPr="00673E75">
        <w:rPr>
          <w:rFonts w:ascii="Arial" w:hAnsi="Arial" w:cs="Arial"/>
          <w:b/>
          <w:bCs/>
          <w:color w:val="333333"/>
          <w:sz w:val="22"/>
          <w:szCs w:val="22"/>
          <w:shd w:val="clear" w:color="auto" w:fill="FFFFFF"/>
        </w:rPr>
        <w:t>El pleno empleo es un concepto económico, más bien llamado una teoría, en la cual se hace referencia a una situación específica de la población laboral activa</w:t>
      </w:r>
      <w:r w:rsidRPr="00673E75">
        <w:rPr>
          <w:rFonts w:ascii="Arial" w:hAnsi="Arial" w:cs="Arial"/>
          <w:color w:val="333333"/>
          <w:sz w:val="22"/>
          <w:szCs w:val="22"/>
          <w:shd w:val="clear" w:color="auto" w:fill="FFFFFF"/>
        </w:rPr>
        <w:t xml:space="preserve">. En dicha situación, todos los que buscan trabajo lo consiguen; es decir, que </w:t>
      </w:r>
      <w:r w:rsidRPr="00673E75">
        <w:rPr>
          <w:rFonts w:ascii="Arial" w:hAnsi="Arial" w:cs="Arial"/>
          <w:b/>
          <w:bCs/>
          <w:color w:val="333333"/>
          <w:sz w:val="22"/>
          <w:szCs w:val="22"/>
          <w:shd w:val="clear" w:color="auto" w:fill="FFFFFF"/>
        </w:rPr>
        <w:t xml:space="preserve">la demanda y la oferta laboral, dado un nivel de salarios, son iguales. </w:t>
      </w:r>
    </w:p>
    <w:p w14:paraId="090694F2" w14:textId="2A163AE1" w:rsidR="00D63F39" w:rsidRPr="00D63F39" w:rsidRDefault="00673E75" w:rsidP="00D63F39">
      <w:pPr>
        <w:ind w:left="708"/>
        <w:rPr>
          <w:rFonts w:ascii="Arial" w:hAnsi="Arial" w:cs="Arial"/>
          <w:sz w:val="22"/>
          <w:szCs w:val="22"/>
        </w:rPr>
      </w:pPr>
      <w:r w:rsidRPr="00673E75">
        <w:rPr>
          <w:rFonts w:ascii="Arial" w:hAnsi="Arial" w:cs="Arial"/>
          <w:color w:val="333333"/>
          <w:sz w:val="22"/>
          <w:szCs w:val="22"/>
          <w:shd w:val="clear" w:color="auto" w:fill="FFFFFF"/>
        </w:rPr>
        <w:t>Se supone que, mediante esta teoría, </w:t>
      </w:r>
      <w:r w:rsidRPr="00673E75">
        <w:rPr>
          <w:rStyle w:val="Textoennegrita"/>
          <w:rFonts w:ascii="Arial" w:hAnsi="Arial" w:cs="Arial"/>
          <w:color w:val="333333"/>
          <w:sz w:val="22"/>
          <w:szCs w:val="22"/>
          <w:shd w:val="clear" w:color="auto" w:fill="FFFFFF"/>
        </w:rPr>
        <w:t>el desempleo es igual a “0”.</w:t>
      </w:r>
      <w:r w:rsidRPr="00673E75">
        <w:rPr>
          <w:rFonts w:ascii="Arial" w:hAnsi="Arial" w:cs="Arial"/>
          <w:color w:val="333333"/>
          <w:sz w:val="22"/>
          <w:szCs w:val="22"/>
          <w:shd w:val="clear" w:color="auto" w:fill="FFFFFF"/>
        </w:rPr>
        <w:t> No obstante, ya que es algo casi imposible de lograr, se considera que existe pleno empleo cuando la tasa es algo superior a “0”, pero no es elevada.</w:t>
      </w:r>
      <w:r w:rsidR="00D63F39" w:rsidRPr="00D63F39">
        <w:rPr>
          <w:rFonts w:ascii="Helvetica" w:hAnsi="Helvetica"/>
          <w:color w:val="000000"/>
          <w:shd w:val="clear" w:color="auto" w:fill="FFFFFF"/>
        </w:rPr>
        <w:t xml:space="preserve"> </w:t>
      </w:r>
      <w:r w:rsidR="00D63F39" w:rsidRPr="00D63F39">
        <w:rPr>
          <w:rFonts w:ascii="Arial" w:hAnsi="Arial" w:cs="Arial"/>
          <w:color w:val="000000"/>
          <w:sz w:val="22"/>
          <w:szCs w:val="22"/>
          <w:shd w:val="clear" w:color="auto" w:fill="FFFFFF"/>
        </w:rPr>
        <w:t>Según la definición, se considera pleno empleo cuando la tasa de paro es inferior al 4% de la población en edad laboral (entre 16 y 64 años)</w:t>
      </w:r>
    </w:p>
    <w:p w14:paraId="6E39B32A" w14:textId="77777777" w:rsidR="00D63F39" w:rsidRPr="00D63F39" w:rsidRDefault="00D63F39" w:rsidP="00D63F39">
      <w:pPr>
        <w:ind w:firstLine="708"/>
        <w:rPr>
          <w:rFonts w:ascii="Arial" w:hAnsi="Arial" w:cs="Arial"/>
          <w:sz w:val="22"/>
          <w:szCs w:val="22"/>
        </w:rPr>
      </w:pPr>
      <w:r w:rsidRPr="00D63F39">
        <w:rPr>
          <w:rFonts w:ascii="Arial" w:hAnsi="Arial" w:cs="Arial"/>
          <w:sz w:val="22"/>
          <w:szCs w:val="22"/>
        </w:rPr>
        <w:t>El pleno empleo tiene varias características beneficiosas:</w:t>
      </w:r>
    </w:p>
    <w:p w14:paraId="369B3743" w14:textId="77777777" w:rsidR="00D63F39" w:rsidRPr="00D63F39" w:rsidRDefault="00D63F39" w:rsidP="004F7A62">
      <w:pPr>
        <w:pStyle w:val="Prrafodelista"/>
        <w:numPr>
          <w:ilvl w:val="0"/>
          <w:numId w:val="246"/>
        </w:numPr>
        <w:rPr>
          <w:rFonts w:ascii="Arial" w:hAnsi="Arial" w:cs="Arial"/>
          <w:sz w:val="22"/>
          <w:szCs w:val="22"/>
        </w:rPr>
      </w:pPr>
      <w:r w:rsidRPr="00D63F39">
        <w:rPr>
          <w:rFonts w:ascii="Arial" w:hAnsi="Arial" w:cs="Arial"/>
          <w:b/>
          <w:bCs/>
          <w:sz w:val="22"/>
          <w:szCs w:val="22"/>
        </w:rPr>
        <w:t>Mejora de la distribución de la renta</w:t>
      </w:r>
      <w:r w:rsidRPr="00D63F39">
        <w:rPr>
          <w:rFonts w:ascii="Arial" w:hAnsi="Arial" w:cs="Arial"/>
          <w:sz w:val="22"/>
          <w:szCs w:val="22"/>
        </w:rPr>
        <w:t>: Cuando más personas están empleadas, hay una distribución más equitativa de la renta, lo que puede reducir los niveles de pobreza y desigualdad.</w:t>
      </w:r>
    </w:p>
    <w:p w14:paraId="7BA3D97B" w14:textId="77777777" w:rsidR="00D63F39" w:rsidRPr="00D63F39" w:rsidRDefault="00D63F39" w:rsidP="004F7A62">
      <w:pPr>
        <w:pStyle w:val="Prrafodelista"/>
        <w:numPr>
          <w:ilvl w:val="0"/>
          <w:numId w:val="246"/>
        </w:numPr>
        <w:rPr>
          <w:rFonts w:ascii="Arial" w:hAnsi="Arial" w:cs="Arial"/>
          <w:sz w:val="22"/>
          <w:szCs w:val="22"/>
        </w:rPr>
      </w:pPr>
      <w:r w:rsidRPr="00D63F39">
        <w:rPr>
          <w:rFonts w:ascii="Arial" w:hAnsi="Arial" w:cs="Arial"/>
          <w:b/>
          <w:bCs/>
          <w:sz w:val="22"/>
          <w:szCs w:val="22"/>
        </w:rPr>
        <w:t>Mayor recaudación fiscal</w:t>
      </w:r>
      <w:r w:rsidRPr="00D63F39">
        <w:rPr>
          <w:rFonts w:ascii="Arial" w:hAnsi="Arial" w:cs="Arial"/>
          <w:sz w:val="22"/>
          <w:szCs w:val="22"/>
        </w:rPr>
        <w:t>: Un mercado laboral en pleno empleo se asocia con mayores ingresos para el Estado a través de impuestos y contribuciones sociales, lo que potencialmente permite una mejor financiación de servicios públicos y bienestar social.</w:t>
      </w:r>
    </w:p>
    <w:p w14:paraId="57DB4336" w14:textId="77777777" w:rsidR="00D63F39" w:rsidRPr="00D63F39" w:rsidRDefault="00D63F39" w:rsidP="004F7A62">
      <w:pPr>
        <w:pStyle w:val="Prrafodelista"/>
        <w:numPr>
          <w:ilvl w:val="0"/>
          <w:numId w:val="246"/>
        </w:numPr>
        <w:rPr>
          <w:rFonts w:ascii="Arial" w:hAnsi="Arial" w:cs="Arial"/>
          <w:sz w:val="22"/>
          <w:szCs w:val="22"/>
        </w:rPr>
      </w:pPr>
      <w:r w:rsidRPr="00D63F39">
        <w:rPr>
          <w:rFonts w:ascii="Arial" w:hAnsi="Arial" w:cs="Arial"/>
          <w:b/>
          <w:bCs/>
          <w:sz w:val="22"/>
          <w:szCs w:val="22"/>
        </w:rPr>
        <w:t>Cohesión social</w:t>
      </w:r>
      <w:r w:rsidRPr="00D63F39">
        <w:rPr>
          <w:rFonts w:ascii="Arial" w:hAnsi="Arial" w:cs="Arial"/>
          <w:sz w:val="22"/>
          <w:szCs w:val="22"/>
        </w:rPr>
        <w:t>: El pleno empleo puede contribuir a mejorar la cohesión social, reducir tensiones y conflictos laborales, y favorecer un clima de estabilidad y confianza que incentiva la inversión y el desarrollo de negocios.</w:t>
      </w:r>
    </w:p>
    <w:p w14:paraId="554A8BFD" w14:textId="6D333AB9" w:rsidR="00A23A19" w:rsidRPr="00673E75" w:rsidRDefault="00673E75" w:rsidP="00D63F39">
      <w:pPr>
        <w:pBdr>
          <w:bottom w:val="dotted" w:sz="12" w:space="12" w:color="666666"/>
        </w:pBdr>
        <w:spacing w:after="240"/>
        <w:ind w:left="708"/>
        <w:jc w:val="both"/>
        <w:rPr>
          <w:rFonts w:ascii="Arial" w:hAnsi="Arial" w:cs="Arial"/>
          <w:color w:val="212529"/>
          <w:sz w:val="22"/>
          <w:szCs w:val="22"/>
          <w:lang w:val="es-ES_tradnl"/>
        </w:rPr>
      </w:pPr>
      <w:r w:rsidRPr="00673E75">
        <w:rPr>
          <w:rFonts w:ascii="Arial" w:hAnsi="Arial" w:cs="Arial"/>
          <w:color w:val="333333"/>
          <w:sz w:val="22"/>
          <w:szCs w:val="22"/>
          <w:shd w:val="clear" w:color="auto" w:fill="FFFFFF"/>
        </w:rPr>
        <w:t xml:space="preserve">En otras palabras, </w:t>
      </w:r>
      <w:r w:rsidRPr="00673E75">
        <w:rPr>
          <w:rStyle w:val="Textoennegrita"/>
          <w:rFonts w:ascii="Arial" w:hAnsi="Arial" w:cs="Arial"/>
          <w:color w:val="333333"/>
          <w:sz w:val="22"/>
          <w:szCs w:val="22"/>
          <w:shd w:val="clear" w:color="auto" w:fill="FFFFFF"/>
        </w:rPr>
        <w:t>la teoría del «pleno empleo» no se propone acabar por completo con el paro forzoso,</w:t>
      </w:r>
      <w:r w:rsidRPr="00673E75">
        <w:rPr>
          <w:rFonts w:ascii="Arial" w:hAnsi="Arial" w:cs="Arial"/>
          <w:color w:val="333333"/>
          <w:sz w:val="22"/>
          <w:szCs w:val="22"/>
          <w:shd w:val="clear" w:color="auto" w:fill="FFFFFF"/>
        </w:rPr>
        <w:t xml:space="preserve"> sino reducir sus dimensiones hasta el punto de “aceptable”.</w:t>
      </w:r>
    </w:p>
    <w:p w14:paraId="2523C80C" w14:textId="174C8266" w:rsidR="00D63F39" w:rsidRPr="00D63F39" w:rsidRDefault="00D63F39" w:rsidP="00D63F39">
      <w:pPr>
        <w:pStyle w:val="Ttulo2"/>
        <w:spacing w:before="0" w:beforeAutospacing="0"/>
        <w:jc w:val="both"/>
        <w:rPr>
          <w:rFonts w:ascii="Arial" w:hAnsi="Arial" w:cs="Arial"/>
          <w:color w:val="212529"/>
          <w:sz w:val="22"/>
          <w:szCs w:val="22"/>
          <w:lang w:val="es-ES_tradnl"/>
        </w:rPr>
      </w:pPr>
      <w:r w:rsidRPr="00D63F39">
        <w:rPr>
          <w:rFonts w:ascii="Arial" w:hAnsi="Arial" w:cs="Arial"/>
          <w:color w:val="004773"/>
          <w:sz w:val="22"/>
          <w:szCs w:val="22"/>
          <w:lang w:val="es-ES_tradnl"/>
        </w:rPr>
        <w:t>Plusvalías</w:t>
      </w:r>
    </w:p>
    <w:p w14:paraId="6634BE42" w14:textId="106F9E97" w:rsidR="004F71FB" w:rsidRPr="00CF1B34" w:rsidRDefault="00A23A19" w:rsidP="0005621A">
      <w:pPr>
        <w:pStyle w:val="Ttulo2"/>
        <w:spacing w:before="0" w:beforeAutospacing="0"/>
        <w:ind w:left="708"/>
        <w:jc w:val="both"/>
        <w:rPr>
          <w:rStyle w:val="apple-converted-space"/>
          <w:rFonts w:ascii="Arial" w:hAnsi="Arial" w:cs="Arial"/>
          <w:b w:val="0"/>
          <w:bCs w:val="0"/>
          <w:sz w:val="22"/>
          <w:szCs w:val="22"/>
          <w:lang w:val="es-ES_tradnl"/>
        </w:rPr>
      </w:pPr>
      <w:r w:rsidRPr="00CF1B34">
        <w:rPr>
          <w:rFonts w:ascii="Arial" w:hAnsi="Arial" w:cs="Arial"/>
          <w:b w:val="0"/>
          <w:bCs w:val="0"/>
          <w:color w:val="212529"/>
          <w:sz w:val="22"/>
          <w:szCs w:val="22"/>
          <w:lang w:val="es-ES_tradnl"/>
        </w:rPr>
        <w:t>Ganancias generadas por un incremento en el precio de mercado de un valor. Mientras se mantiene el activo, son plusvalías potenciales o latentes; la venta del mismo supone la realización de éstas, al hacerse efectivos los beneficios.</w:t>
      </w:r>
      <w:r w:rsidR="004F71FB" w:rsidRPr="00CF1B34">
        <w:rPr>
          <w:rStyle w:val="apple-converted-space"/>
          <w:rFonts w:ascii="Arial" w:hAnsi="Arial" w:cs="Arial"/>
          <w:b w:val="0"/>
          <w:bCs w:val="0"/>
          <w:sz w:val="22"/>
          <w:szCs w:val="22"/>
          <w:lang w:val="es-ES_tradnl"/>
        </w:rPr>
        <w:t xml:space="preserve"> </w:t>
      </w:r>
    </w:p>
    <w:p w14:paraId="6034F8B2" w14:textId="2CE19C45" w:rsidR="004F71FB" w:rsidRPr="00CF1B34" w:rsidRDefault="004F71FB" w:rsidP="0005621A">
      <w:pPr>
        <w:pStyle w:val="Ttulo2"/>
        <w:spacing w:before="0" w:beforeAutospacing="0"/>
        <w:ind w:left="708"/>
        <w:jc w:val="both"/>
        <w:rPr>
          <w:rFonts w:ascii="Arial" w:hAnsi="Arial" w:cs="Arial"/>
          <w:b w:val="0"/>
          <w:bCs w:val="0"/>
          <w:color w:val="0D0D0D" w:themeColor="text1" w:themeTint="F2"/>
          <w:sz w:val="22"/>
          <w:szCs w:val="22"/>
          <w:lang w:val="es-ES_tradnl"/>
        </w:rPr>
      </w:pPr>
      <w:r w:rsidRPr="00CF1B34">
        <w:rPr>
          <w:rFonts w:ascii="Arial" w:hAnsi="Arial" w:cs="Arial"/>
          <w:b w:val="0"/>
          <w:bCs w:val="0"/>
          <w:color w:val="0D0D0D" w:themeColor="text1" w:themeTint="F2"/>
          <w:sz w:val="22"/>
          <w:szCs w:val="22"/>
          <w:lang w:val="es-ES_tradnl"/>
        </w:rPr>
        <w:lastRenderedPageBreak/>
        <w:t>¿Cómo tributan los fondos de inversión</w:t>
      </w:r>
      <w:r w:rsidRPr="00CF1B34">
        <w:rPr>
          <w:rFonts w:ascii="Arial" w:hAnsi="Arial" w:cs="Arial"/>
          <w:color w:val="0D0D0D" w:themeColor="text1" w:themeTint="F2"/>
          <w:sz w:val="22"/>
          <w:szCs w:val="22"/>
          <w:lang w:val="es-ES_tradnl"/>
        </w:rPr>
        <w:t>?</w:t>
      </w:r>
    </w:p>
    <w:p w14:paraId="6DC0B3D1" w14:textId="0EFB0455" w:rsidR="004F71FB" w:rsidRPr="00CF1B34" w:rsidRDefault="004F71F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plusvalía está grabada por una serie de impuestos, el principal gravamen es el Impuesto sobre la Renta de las Personas Físicas (IRPF) pero pese a ello cabe destacar que las ventajas fiscales de los fondos de inversión son una de sus principales ventajas frente a otro tipo de inversiones.</w:t>
      </w:r>
    </w:p>
    <w:p w14:paraId="14BF54DC" w14:textId="77777777" w:rsidR="004F71FB" w:rsidRPr="00CF1B34" w:rsidRDefault="004F71F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principal ventaja de los fondos de inversión es que es posible traspasar los fondos sin tributar. Los fondos de inversión permiten pasar de una inversión a otra empleando la figura del traspaso. En el momento en el que se realiza un traspaso no existe ninguna implicación fiscal y únicamente se tributará en el momento en el que se realice el reembolso final. Hasta ese momento, el inversor tiene total libertad para mover y reinvertir su dinero entre fondos sin que sea necesario tributar.</w:t>
      </w:r>
    </w:p>
    <w:p w14:paraId="0B27402F" w14:textId="77777777" w:rsidR="004F71FB" w:rsidRPr="00CF1B34" w:rsidRDefault="004F71F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el caso de la inversión en acciones ocurre todo lo contrario, si queremos cambiar las acciones que constituyen nuestra cartera únicamente tenemos la posibilidad de vender y comprar. La venta y posterior compra de acciones tiene siempre una implicación fiscal siendo necesario declarar las ganancias o pérdidas patrimoniales correspondientes.</w:t>
      </w:r>
    </w:p>
    <w:p w14:paraId="7BD610C1" w14:textId="77777777" w:rsidR="004F71FB" w:rsidRPr="00CF1B34" w:rsidRDefault="004F71FB"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se calcula la plusvalía?</w:t>
      </w:r>
    </w:p>
    <w:p w14:paraId="5E4DB977" w14:textId="77777777" w:rsidR="004F71FB" w:rsidRPr="00CF1B34" w:rsidRDefault="004F71F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 la hora de calcular las plusvalías o minusvalías en el momento de la venta es necesario comparar el valor del primer fondo que adquirimos, independientemente de que se hayan producido traspasos posteriormente, con el valor del reembolso final en el momento de la venta.</w:t>
      </w:r>
    </w:p>
    <w:p w14:paraId="66D10616" w14:textId="77777777" w:rsidR="004F71FB" w:rsidRPr="00CF1B34" w:rsidRDefault="004F71FB"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Compensación de pérdidas y ganancias</w:t>
      </w:r>
    </w:p>
    <w:p w14:paraId="7BE35D7E" w14:textId="77777777" w:rsidR="004F71FB" w:rsidRPr="00CF1B34" w:rsidRDefault="004F71FB"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caso de que el resultado del reembolso sea negativo, existe la posibilidad de compensar estas pérdidas (minusvalías) con las ganancias (plusvalías). Existe un periodo máximo de cuatros años establecido para ello y la cantidad compensada no puede superar el 25% de los rendimientos de capital mobiliario.</w:t>
      </w:r>
    </w:p>
    <w:p w14:paraId="56B8EA7B" w14:textId="77777777" w:rsidR="00D51AD9" w:rsidRPr="00CF1B34" w:rsidRDefault="004F71F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Existe también la posibilidad de compensar las ganancias en fondos de inversión con las pérdidas en bolsa ocasionadas como consecuencia de la venta de acciones.</w:t>
      </w:r>
    </w:p>
    <w:p w14:paraId="1B50611F" w14:textId="77777777" w:rsidR="00D51AD9" w:rsidRPr="00CF1B34" w:rsidRDefault="00D51AD9"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Plusvalía municipal</w:t>
      </w:r>
    </w:p>
    <w:p w14:paraId="75AA962F" w14:textId="77777777" w:rsidR="00D51AD9" w:rsidRPr="00CF1B34" w:rsidRDefault="00D51AD9" w:rsidP="0005621A">
      <w:pPr>
        <w:ind w:left="708"/>
        <w:jc w:val="both"/>
        <w:rPr>
          <w:rFonts w:ascii="Arial" w:hAnsi="Arial" w:cs="Arial"/>
          <w:sz w:val="22"/>
          <w:szCs w:val="22"/>
          <w:lang w:val="es-ES_tradnl"/>
        </w:rPr>
      </w:pPr>
      <w:r w:rsidRPr="00CF1B34">
        <w:rPr>
          <w:rFonts w:ascii="Arial" w:hAnsi="Arial" w:cs="Arial"/>
          <w:sz w:val="22"/>
          <w:szCs w:val="22"/>
          <w:lang w:val="es-ES_tradnl"/>
        </w:rPr>
        <w:t>La plusvalía es un concepto fundamental cuando se realiza la venta de un objeto y se refiere a la diferencia entre el precio de compra y el precio de venta de los valores mobiliarios. Es un término muy utilizado en la compraventa de inmuebles.</w:t>
      </w:r>
    </w:p>
    <w:p w14:paraId="420EB182" w14:textId="77777777" w:rsidR="00D51AD9" w:rsidRPr="00CF1B34" w:rsidRDefault="00D51AD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Desde el punto de vista tributario, la plusvalía está gravada como impuesto. En función de la naturaleza del sujeto pasivo, las plusvalías pueden ser gravadas en el impuesto sobre la renta de las personas físicas y en el impuesto sobre sociedades.</w:t>
      </w:r>
    </w:p>
    <w:p w14:paraId="48BCA536" w14:textId="77777777" w:rsidR="00D51AD9" w:rsidRPr="00CF1B34" w:rsidRDefault="00D51AD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hablamos de un bien inmueble, el pago de la plusvalía es un </w:t>
      </w:r>
      <w:r w:rsidRPr="00CF1B34">
        <w:rPr>
          <w:rFonts w:ascii="Arial" w:hAnsi="Arial" w:cs="Arial"/>
          <w:b/>
          <w:bCs/>
          <w:sz w:val="22"/>
          <w:szCs w:val="22"/>
          <w:lang w:val="es-ES_tradnl"/>
        </w:rPr>
        <w:t>impuesto municipal</w:t>
      </w:r>
      <w:r w:rsidRPr="00CF1B34">
        <w:rPr>
          <w:rFonts w:ascii="Arial" w:hAnsi="Arial" w:cs="Arial"/>
          <w:sz w:val="22"/>
          <w:szCs w:val="22"/>
          <w:lang w:val="es-ES_tradnl"/>
        </w:rPr>
        <w:t> y se realiza en el ayuntamiento de la localidad en la que se encuentre el bien. Este impuesto sobre el Incremento del Valor de los terrenos de naturaleza urbana (IIVTNU) es conocido también como </w:t>
      </w:r>
      <w:r w:rsidRPr="00CF1B34">
        <w:rPr>
          <w:rFonts w:ascii="Arial" w:hAnsi="Arial" w:cs="Arial"/>
          <w:b/>
          <w:bCs/>
          <w:sz w:val="22"/>
          <w:szCs w:val="22"/>
          <w:lang w:val="es-ES_tradnl"/>
        </w:rPr>
        <w:t>plusvalía municipal</w:t>
      </w:r>
      <w:r w:rsidRPr="00CF1B34">
        <w:rPr>
          <w:rFonts w:ascii="Arial" w:hAnsi="Arial" w:cs="Arial"/>
          <w:sz w:val="22"/>
          <w:szCs w:val="22"/>
          <w:lang w:val="es-ES_tradnl"/>
        </w:rPr>
        <w:t> y es de carácter anual.</w:t>
      </w:r>
    </w:p>
    <w:p w14:paraId="081AF26B" w14:textId="77777777" w:rsidR="00D51AD9" w:rsidRPr="00CF1B34" w:rsidRDefault="00D51AD9"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¿Cuándo es necesario pagar la plusvalía municipal?</w:t>
      </w:r>
    </w:p>
    <w:p w14:paraId="0CD2B8A2" w14:textId="77777777" w:rsidR="00D51AD9" w:rsidRPr="00CF1B34" w:rsidRDefault="00D51AD9"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lastRenderedPageBreak/>
        <w:t>El impuesto de plusvalía municipal deberá pagarse en aquellos casos en los que se obtiene una ganancia derivada de:</w:t>
      </w:r>
    </w:p>
    <w:p w14:paraId="0B01D674" w14:textId="77777777" w:rsidR="00D51AD9" w:rsidRPr="00CF1B34" w:rsidRDefault="00D51AD9" w:rsidP="004F7A62">
      <w:pPr>
        <w:numPr>
          <w:ilvl w:val="0"/>
          <w:numId w:val="46"/>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herencia de un inmueble</w:t>
      </w:r>
    </w:p>
    <w:p w14:paraId="608CCB13" w14:textId="77777777" w:rsidR="00D51AD9" w:rsidRPr="00CF1B34" w:rsidRDefault="00D51AD9" w:rsidP="004F7A62">
      <w:pPr>
        <w:numPr>
          <w:ilvl w:val="0"/>
          <w:numId w:val="46"/>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Recibir una casa en donación</w:t>
      </w:r>
    </w:p>
    <w:p w14:paraId="145774D1" w14:textId="77777777" w:rsidR="00D51AD9" w:rsidRPr="00CF1B34" w:rsidRDefault="00D51AD9" w:rsidP="004F7A62">
      <w:pPr>
        <w:numPr>
          <w:ilvl w:val="0"/>
          <w:numId w:val="46"/>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venta de una vivienda</w:t>
      </w:r>
    </w:p>
    <w:p w14:paraId="7A293264" w14:textId="77777777" w:rsidR="00D51AD9" w:rsidRPr="00CF1B34" w:rsidRDefault="00D51AD9"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¿Cómo se calcula la plusvalía?</w:t>
      </w:r>
    </w:p>
    <w:p w14:paraId="197F1693" w14:textId="77777777" w:rsidR="00D51AD9" w:rsidRPr="00CF1B34" w:rsidRDefault="00D51AD9"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A la hora de calcular la plusvalía debemos tener en cuenta el valor catastral de la vivienda y el tiempo transcurrido entre el momento de adquisición y la venta a donación.</w:t>
      </w:r>
    </w:p>
    <w:p w14:paraId="3B91BCC6" w14:textId="77777777" w:rsidR="00D51AD9" w:rsidRPr="00CF1B34" w:rsidRDefault="00D51AD9"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Para obtener la base imponible sobre la que se calcula el impuesto, al valor catastral del bien se aplican unas tasas de revaloración que son establecidas por los ayuntamientos en función del número de años que se ha tenido la vivienda.</w:t>
      </w:r>
    </w:p>
    <w:p w14:paraId="6103DAAF" w14:textId="77777777" w:rsidR="00D51AD9" w:rsidRPr="00CF1B34" w:rsidRDefault="00D51AD9"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Sobre dicha base imponible se aplica el tipo establecido por el ayuntamiento siempre que sea inferior al 30% fijado como límite máximo. El resultado obtenido, es la cantidad que el contribuyente deberá pagar.</w:t>
      </w:r>
    </w:p>
    <w:p w14:paraId="6BE954D9" w14:textId="77777777" w:rsidR="00D51AD9" w:rsidRPr="00CF1B34" w:rsidRDefault="00D51AD9"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¿Quién paga la plusvalía municipal?</w:t>
      </w:r>
    </w:p>
    <w:p w14:paraId="7168EA89" w14:textId="77777777" w:rsidR="00D51AD9" w:rsidRPr="00CF1B34" w:rsidRDefault="00D51AD9"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pagador del IIVTNU dependerá del tipo de operación. En el caso de una donación, la persona que recibe el terreno o inmueble será la encargada de hacer frente al impuesto.</w:t>
      </w:r>
    </w:p>
    <w:p w14:paraId="2660CEB3" w14:textId="77777777" w:rsidR="00BB7951" w:rsidRPr="00CF1B34" w:rsidRDefault="00D51AD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Por el contrario, cuando se trata de una compraventa, el impuesto será abonado por la persona o entidad que transmite el terreno exceptuando aquellos casos en los que se trate de una persona física no residente en España</w:t>
      </w:r>
    </w:p>
    <w:p w14:paraId="3E1C6A1B"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Política de inversión o vocación inversora</w:t>
      </w:r>
    </w:p>
    <w:p w14:paraId="011B643F" w14:textId="77777777" w:rsidR="00507B6E" w:rsidRPr="00CF1B34" w:rsidRDefault="00A23A19" w:rsidP="0005621A">
      <w:pPr>
        <w:pStyle w:val="NormalWeb"/>
        <w:shd w:val="clear" w:color="auto" w:fill="FFFFFF"/>
        <w:spacing w:before="0" w:beforeAutospacing="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Directrices que definen los valores e instrumentos financieros que deben componer la cartera de un fondo de inversión (porcentaje de renta fija o variable, de valores nacionales o extranjeros, etc.). La vocación inversora de un fondo determina su nivel de riesgo, por lo que su conocimiento permite al inversor saber si el fondo se adapta a sus expectativas y necesidades. </w:t>
      </w:r>
    </w:p>
    <w:p w14:paraId="4AFEB4B7" w14:textId="3A3E3F9E" w:rsidR="00507B6E" w:rsidRPr="00CF1B34" w:rsidRDefault="00A23A19"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212529"/>
          <w:sz w:val="22"/>
          <w:szCs w:val="22"/>
          <w:lang w:val="es-ES_tradnl"/>
        </w:rPr>
        <w:t>La política de inversión la establece la sociedad gestora y viene recogida en el folleto del fondo.</w:t>
      </w:r>
      <w:r w:rsidR="00507B6E" w:rsidRPr="00CF1B34">
        <w:rPr>
          <w:rFonts w:ascii="Arial" w:hAnsi="Arial" w:cs="Arial"/>
          <w:color w:val="191B1C"/>
          <w:sz w:val="22"/>
          <w:szCs w:val="22"/>
          <w:lang w:val="es-ES_tradnl"/>
        </w:rPr>
        <w:t xml:space="preserve"> Esta política define todos los criterios que determinan cuánto, cuándo y dónde invertir. Antes de ofertarse, cada fondo de inversión define en detalle cuál es su política de inversión.</w:t>
      </w:r>
    </w:p>
    <w:p w14:paraId="28679C89" w14:textId="77777777" w:rsidR="00507B6E" w:rsidRPr="00CF1B34" w:rsidRDefault="00507B6E"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política de inversión del fondo viene siempre claramente especificada en el folleto legal. El folleto de cada uno de los fondos de inversión es un documento obligatorio en que es necesario detallar toda la información relevante en relación con el mismo.</w:t>
      </w:r>
    </w:p>
    <w:p w14:paraId="29ECF542" w14:textId="77777777" w:rsidR="00507B6E" w:rsidRPr="00CF1B34" w:rsidRDefault="00507B6E" w:rsidP="0005621A">
      <w:pPr>
        <w:shd w:val="clear" w:color="auto" w:fill="FFFFFF"/>
        <w:spacing w:after="100" w:afterAutospacing="1"/>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En función de la política de inversión los fondos se clasifican en:</w:t>
      </w:r>
    </w:p>
    <w:p w14:paraId="0289B561" w14:textId="77777777" w:rsidR="00507B6E" w:rsidRPr="00CF1B34" w:rsidRDefault="00507B6E" w:rsidP="004F7A62">
      <w:pPr>
        <w:numPr>
          <w:ilvl w:val="0"/>
          <w:numId w:val="47"/>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b/>
          <w:bCs/>
          <w:color w:val="191B1C"/>
          <w:sz w:val="22"/>
          <w:szCs w:val="22"/>
          <w:lang w:val="es-ES_tradnl"/>
        </w:rPr>
        <w:t>Fondos de renta variable</w:t>
      </w:r>
      <w:r w:rsidRPr="00CF1B34">
        <w:rPr>
          <w:rFonts w:ascii="Arial" w:hAnsi="Arial" w:cs="Arial"/>
          <w:color w:val="191B1C"/>
          <w:sz w:val="22"/>
          <w:szCs w:val="22"/>
          <w:lang w:val="es-ES_tradnl"/>
        </w:rPr>
        <w:t>: son aquellos que invierten la mayor parte de los activos en renta variable. Dentro de los fondos de renta variable podríamos establecer subtipos en función de los sectores, las zonas geográficas y el nivel de riesgo entre otros.</w:t>
      </w:r>
    </w:p>
    <w:p w14:paraId="77FFF9E4" w14:textId="77777777" w:rsidR="00507B6E" w:rsidRPr="00CF1B34" w:rsidRDefault="00507B6E" w:rsidP="004F7A62">
      <w:pPr>
        <w:numPr>
          <w:ilvl w:val="0"/>
          <w:numId w:val="47"/>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b/>
          <w:bCs/>
          <w:color w:val="191B1C"/>
          <w:sz w:val="22"/>
          <w:szCs w:val="22"/>
          <w:lang w:val="es-ES_tradnl"/>
        </w:rPr>
        <w:lastRenderedPageBreak/>
        <w:t>Fondos de renta fija</w:t>
      </w:r>
      <w:r w:rsidRPr="00CF1B34">
        <w:rPr>
          <w:rFonts w:ascii="Arial" w:hAnsi="Arial" w:cs="Arial"/>
          <w:color w:val="191B1C"/>
          <w:sz w:val="22"/>
          <w:szCs w:val="22"/>
          <w:lang w:val="es-ES_tradnl"/>
        </w:rPr>
        <w:t>: son los que invierten la mayoría de su capital en activos de renta fija como obligaciones, bonos, pagarés o letras. Incluyen también los fondos monetarios.</w:t>
      </w:r>
    </w:p>
    <w:p w14:paraId="32228DC0" w14:textId="77777777" w:rsidR="00507B6E" w:rsidRPr="00CF1B34" w:rsidRDefault="00507B6E" w:rsidP="004F7A62">
      <w:pPr>
        <w:numPr>
          <w:ilvl w:val="0"/>
          <w:numId w:val="47"/>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b/>
          <w:bCs/>
          <w:color w:val="191B1C"/>
          <w:sz w:val="22"/>
          <w:szCs w:val="22"/>
          <w:lang w:val="es-ES_tradnl"/>
        </w:rPr>
        <w:t>Fondos mixtos</w:t>
      </w:r>
      <w:r w:rsidRPr="00CF1B34">
        <w:rPr>
          <w:rFonts w:ascii="Arial" w:hAnsi="Arial" w:cs="Arial"/>
          <w:color w:val="191B1C"/>
          <w:sz w:val="22"/>
          <w:szCs w:val="22"/>
          <w:lang w:val="es-ES_tradnl"/>
        </w:rPr>
        <w:t>: son aquellos fondos que combinan la inversión en renta variable con la inversión en renta fija</w:t>
      </w:r>
    </w:p>
    <w:p w14:paraId="72A4DB22" w14:textId="77777777" w:rsidR="00507B6E" w:rsidRPr="00CF1B34" w:rsidRDefault="00507B6E" w:rsidP="004F7A62">
      <w:pPr>
        <w:numPr>
          <w:ilvl w:val="0"/>
          <w:numId w:val="47"/>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b/>
          <w:bCs/>
          <w:color w:val="191B1C"/>
          <w:sz w:val="22"/>
          <w:szCs w:val="22"/>
          <w:lang w:val="es-ES_tradnl"/>
        </w:rPr>
        <w:t>Fondos garantizados:</w:t>
      </w:r>
      <w:r w:rsidRPr="00CF1B34">
        <w:rPr>
          <w:rFonts w:ascii="Arial" w:hAnsi="Arial" w:cs="Arial"/>
          <w:color w:val="191B1C"/>
          <w:sz w:val="22"/>
          <w:szCs w:val="22"/>
          <w:lang w:val="es-ES_tradnl"/>
        </w:rPr>
        <w:t> son aquellos fondos que tienen una cantidad garantizada preestablecida que percibirá el inversor en el momento del vencimiento.</w:t>
      </w:r>
    </w:p>
    <w:p w14:paraId="3977A622" w14:textId="77777777" w:rsidR="00507B6E" w:rsidRPr="00CF1B34" w:rsidRDefault="00507B6E" w:rsidP="004F7A62">
      <w:pPr>
        <w:numPr>
          <w:ilvl w:val="0"/>
          <w:numId w:val="47"/>
        </w:numPr>
        <w:shd w:val="clear" w:color="auto" w:fill="FFFFFF"/>
        <w:spacing w:before="100" w:beforeAutospacing="1" w:after="240"/>
        <w:jc w:val="both"/>
        <w:rPr>
          <w:rFonts w:ascii="Arial" w:hAnsi="Arial" w:cs="Arial"/>
          <w:color w:val="191B1C"/>
          <w:sz w:val="22"/>
          <w:szCs w:val="22"/>
          <w:lang w:val="es-ES_tradnl"/>
        </w:rPr>
      </w:pPr>
      <w:r w:rsidRPr="00CF1B34">
        <w:rPr>
          <w:rFonts w:ascii="Arial" w:hAnsi="Arial" w:cs="Arial"/>
          <w:b/>
          <w:bCs/>
          <w:color w:val="191B1C"/>
          <w:sz w:val="22"/>
          <w:szCs w:val="22"/>
          <w:lang w:val="es-ES_tradnl"/>
        </w:rPr>
        <w:t>Fondos por compartimentos</w:t>
      </w:r>
      <w:r w:rsidRPr="00CF1B34">
        <w:rPr>
          <w:rFonts w:ascii="Arial" w:hAnsi="Arial" w:cs="Arial"/>
          <w:color w:val="191B1C"/>
          <w:sz w:val="22"/>
          <w:szCs w:val="22"/>
          <w:lang w:val="es-ES_tradnl"/>
        </w:rPr>
        <w:t>: estos fondos son aquellos que están compuestos por otros subfondos. Al estar compuesto por diferentes fondos, conviven también diferentes políticas de inversión.</w:t>
      </w:r>
    </w:p>
    <w:p w14:paraId="26FC555F" w14:textId="77777777" w:rsidR="00507B6E" w:rsidRPr="00CF1B34" w:rsidRDefault="00507B6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191B1C"/>
          <w:sz w:val="22"/>
          <w:szCs w:val="22"/>
          <w:lang w:val="es-ES_tradnl"/>
        </w:rPr>
        <w:t>Fondos globales</w:t>
      </w:r>
      <w:r w:rsidRPr="00CF1B34">
        <w:rPr>
          <w:rFonts w:ascii="Arial" w:hAnsi="Arial" w:cs="Arial"/>
          <w:color w:val="191B1C"/>
          <w:sz w:val="22"/>
          <w:szCs w:val="22"/>
          <w:lang w:val="es-ES_tradnl"/>
        </w:rPr>
        <w:t>: este tipo de fondos no cuentan con una política de inversión definida. Sus gestores tienen libertad de inversión en cuanto las zonas geográficas o los tipos de activos.</w:t>
      </w:r>
    </w:p>
    <w:p w14:paraId="360A57BA" w14:textId="3F104861" w:rsidR="00835D03" w:rsidRPr="00CF1B34" w:rsidRDefault="00835D03"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Política monetaria</w:t>
      </w:r>
    </w:p>
    <w:p w14:paraId="735269D6" w14:textId="77777777" w:rsidR="007F1C39" w:rsidRPr="00CF1B34" w:rsidRDefault="00820FD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Con la política monetaria se manejan los tipos de interés para influir en otras magnitudes como puede ser la inflación.</w:t>
      </w:r>
      <w:r w:rsidR="00995F31" w:rsidRPr="00CF1B34">
        <w:rPr>
          <w:rFonts w:ascii="Arial" w:hAnsi="Arial" w:cs="Arial"/>
          <w:color w:val="191B1C"/>
          <w:sz w:val="22"/>
          <w:szCs w:val="22"/>
          <w:lang w:val="es-ES_tradnl"/>
        </w:rPr>
        <w:t xml:space="preserve"> </w:t>
      </w:r>
      <w:r w:rsidR="00995F31" w:rsidRPr="00CF1B34">
        <w:rPr>
          <w:rFonts w:ascii="Arial" w:hAnsi="Arial" w:cs="Arial"/>
          <w:color w:val="000000"/>
          <w:sz w:val="22"/>
          <w:szCs w:val="22"/>
          <w:shd w:val="clear" w:color="auto" w:fill="FFFFFF"/>
          <w:lang w:val="es-ES_tradnl"/>
        </w:rPr>
        <w:t>Su objetivo final es preservar el poder adquisitivo de la moneda mediante la creación de condiciones monetarias y financieras que favorezcan la estabilidad de precios. Los principales instrumentos de la política monetaria son las operaciones de mercado abierto, los requisitos de encajes bancarios y los créditos a los bancos.</w:t>
      </w:r>
    </w:p>
    <w:p w14:paraId="47A4F8EB" w14:textId="39CCC5A8" w:rsidR="00835D03" w:rsidRPr="00CF1B34" w:rsidRDefault="00835D03"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Ponderación</w:t>
      </w:r>
    </w:p>
    <w:p w14:paraId="5607D137" w14:textId="77777777" w:rsidR="00E247F9" w:rsidRPr="00CF1B34" w:rsidRDefault="00820FD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ponderación es el peso que se atribuye a cada variable dentro de un conjunto</w:t>
      </w:r>
      <w:r w:rsidR="00E247F9" w:rsidRPr="00CF1B34">
        <w:rPr>
          <w:rFonts w:ascii="Arial" w:hAnsi="Arial" w:cs="Arial"/>
          <w:color w:val="000000" w:themeColor="text1"/>
          <w:sz w:val="22"/>
          <w:szCs w:val="22"/>
          <w:lang w:val="es-ES_tradnl"/>
        </w:rPr>
        <w:t xml:space="preserve"> que se pretende medir o expresar en un índice.</w:t>
      </w:r>
    </w:p>
    <w:p w14:paraId="48C0C6FE" w14:textId="322705E3"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Portfolio</w:t>
      </w:r>
    </w:p>
    <w:p w14:paraId="6289CC29" w14:textId="4C4D3CB3" w:rsidR="00507B6E" w:rsidRPr="00CF1B34" w:rsidRDefault="00A23A19"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212529"/>
          <w:sz w:val="22"/>
          <w:szCs w:val="22"/>
          <w:lang w:val="es-ES_tradnl"/>
        </w:rPr>
        <w:t>Se denomina portfolio o cartera al conjunto de inversiones, o combinación de activos financieros que constituyen el patrimonio de una persona o entidad.</w:t>
      </w:r>
      <w:r w:rsidR="00507B6E" w:rsidRPr="00CF1B34">
        <w:rPr>
          <w:rFonts w:ascii="Arial" w:hAnsi="Arial" w:cs="Arial"/>
          <w:color w:val="191B1C"/>
          <w:sz w:val="22"/>
          <w:szCs w:val="22"/>
          <w:shd w:val="clear" w:color="auto" w:fill="FFFFFF"/>
          <w:lang w:val="es-ES_tradnl"/>
        </w:rPr>
        <w:t xml:space="preserve"> Esta cartera se denominada también </w:t>
      </w:r>
      <w:r w:rsidR="00507B6E" w:rsidRPr="00CF1B34">
        <w:rPr>
          <w:rStyle w:val="Textoennegrita"/>
          <w:rFonts w:ascii="Arial" w:hAnsi="Arial" w:cs="Arial"/>
          <w:color w:val="191B1C"/>
          <w:sz w:val="22"/>
          <w:szCs w:val="22"/>
          <w:shd w:val="clear" w:color="auto" w:fill="FFFFFF"/>
          <w:lang w:val="es-ES_tradnl"/>
        </w:rPr>
        <w:t>cartera de valores </w:t>
      </w:r>
      <w:r w:rsidR="00507B6E" w:rsidRPr="00CF1B34">
        <w:rPr>
          <w:rFonts w:ascii="Arial" w:hAnsi="Arial" w:cs="Arial"/>
          <w:color w:val="191B1C"/>
          <w:sz w:val="22"/>
          <w:szCs w:val="22"/>
          <w:shd w:val="clear" w:color="auto" w:fill="FFFFFF"/>
          <w:lang w:val="es-ES_tradnl"/>
        </w:rPr>
        <w:t>y puedes estar compuesta por la combinación de instrumentos financieros de renta variable y renta fija. En función de los instrumentos que incluya variará su rentabilidad.</w:t>
      </w:r>
      <w:r w:rsidR="00507B6E" w:rsidRPr="00CF1B34">
        <w:rPr>
          <w:rFonts w:ascii="Arial" w:hAnsi="Arial" w:cs="Arial"/>
          <w:color w:val="191B1C"/>
          <w:sz w:val="22"/>
          <w:szCs w:val="22"/>
          <w:lang w:val="es-ES_tradnl"/>
        </w:rPr>
        <w:t xml:space="preserve"> En caso de que la cartera incluya instrumentos de renta fija existirá un retorno fijo pero una menor rentabilidad que en el caso de la renta variable que ofrecerá mayores rentabilidades, pero no asegura el retorno inicial.</w:t>
      </w:r>
    </w:p>
    <w:p w14:paraId="5B6A2692" w14:textId="77777777" w:rsidR="00507B6E" w:rsidRPr="00CF1B34" w:rsidRDefault="00507B6E"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¿Cuál es el perfil del inversor?</w:t>
      </w:r>
    </w:p>
    <w:p w14:paraId="12569B8A" w14:textId="77777777" w:rsidR="00507B6E" w:rsidRPr="00CF1B34" w:rsidRDefault="00507B6E"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 la hora de elaborar la composición de la cartera es fundamental definir el </w:t>
      </w:r>
      <w:r w:rsidRPr="00CF1B34">
        <w:rPr>
          <w:rStyle w:val="Textoennegrita"/>
          <w:rFonts w:ascii="Arial" w:hAnsi="Arial" w:cs="Arial"/>
          <w:color w:val="191B1C"/>
          <w:sz w:val="22"/>
          <w:szCs w:val="22"/>
          <w:lang w:val="es-ES_tradnl"/>
        </w:rPr>
        <w:t>perfil del inversor</w:t>
      </w:r>
      <w:r w:rsidRPr="00CF1B34">
        <w:rPr>
          <w:rFonts w:ascii="Arial" w:hAnsi="Arial" w:cs="Arial"/>
          <w:color w:val="191B1C"/>
          <w:sz w:val="22"/>
          <w:szCs w:val="22"/>
          <w:lang w:val="es-ES_tradnl"/>
        </w:rPr>
        <w:t>, para ello debemos tener en cuenta cuál es el riesgo que están dispuestos a asumir ya que está será la base en la creación de la cartera.</w:t>
      </w:r>
    </w:p>
    <w:p w14:paraId="1F99B136" w14:textId="77777777" w:rsidR="00507B6E" w:rsidRPr="00CF1B34" w:rsidRDefault="00507B6E" w:rsidP="0005621A">
      <w:pPr>
        <w:pStyle w:val="NormalWeb"/>
        <w:shd w:val="clear" w:color="auto" w:fill="FFFFFF"/>
        <w:spacing w:before="0" w:beforeAutospacing="0"/>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Generalmente se establecen tres perfiles de inversor:</w:t>
      </w:r>
    </w:p>
    <w:p w14:paraId="6630214F" w14:textId="77777777" w:rsidR="00507B6E" w:rsidRPr="00CF1B34" w:rsidRDefault="00507B6E" w:rsidP="004F7A62">
      <w:pPr>
        <w:pStyle w:val="listitem"/>
        <w:numPr>
          <w:ilvl w:val="0"/>
          <w:numId w:val="4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Conservador: engloba a aquellos inversores que buscan protección y estabilidad para su dinero, son más afines por tanto a los productos de renta fija y los depósitos.</w:t>
      </w:r>
    </w:p>
    <w:p w14:paraId="5F7AB27B" w14:textId="77777777" w:rsidR="00507B6E" w:rsidRPr="00CF1B34" w:rsidRDefault="00507B6E" w:rsidP="004F7A62">
      <w:pPr>
        <w:pStyle w:val="listitem"/>
        <w:numPr>
          <w:ilvl w:val="0"/>
          <w:numId w:val="4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t>Moderado: es el perfil más equilibrado. Buscan estabilidad, pero sacando partido a sus ahorros. Están dispuestos a asumir un cierto riesgo en el medio plazo.</w:t>
      </w:r>
    </w:p>
    <w:p w14:paraId="011E1046" w14:textId="77777777" w:rsidR="00507B6E" w:rsidRPr="00CF1B34" w:rsidRDefault="00507B6E" w:rsidP="004F7A62">
      <w:pPr>
        <w:pStyle w:val="listitem"/>
        <w:numPr>
          <w:ilvl w:val="0"/>
          <w:numId w:val="48"/>
        </w:numPr>
        <w:shd w:val="clear" w:color="auto" w:fill="FFFFFF"/>
        <w:spacing w:after="240" w:afterAutospacing="0"/>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Agresivo: este perfil está dispuesto a correr más riesgos a cambio de la posibilidad de obtener unos beneficios mayores.</w:t>
      </w:r>
    </w:p>
    <w:p w14:paraId="7962FD02" w14:textId="77777777" w:rsidR="00507B6E" w:rsidRPr="00CF1B34" w:rsidRDefault="00507B6E"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¿Cuáles son los objetivos de la inversión?</w:t>
      </w:r>
    </w:p>
    <w:p w14:paraId="65911CAD" w14:textId="77777777" w:rsidR="00507B6E" w:rsidRPr="00CF1B34" w:rsidRDefault="00507B6E"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Una vez definido el perfil del inversor es necesario definir los objetivos de inversión. A la hora de definir el objetivo de la inversión es conveniente fijar una rentabilidad concreta o al menos un rango determinado de beneficios.</w:t>
      </w:r>
    </w:p>
    <w:p w14:paraId="0B061442" w14:textId="77777777" w:rsidR="00507B6E" w:rsidRPr="00CF1B34" w:rsidRDefault="00507B6E" w:rsidP="0005621A">
      <w:pPr>
        <w:ind w:firstLine="708"/>
        <w:jc w:val="both"/>
        <w:rPr>
          <w:rFonts w:ascii="Arial" w:hAnsi="Arial" w:cs="Arial"/>
          <w:sz w:val="22"/>
          <w:szCs w:val="22"/>
          <w:lang w:val="es-ES_tradnl"/>
        </w:rPr>
      </w:pPr>
      <w:r w:rsidRPr="00CF1B34">
        <w:rPr>
          <w:rStyle w:val="Textoennegrita"/>
          <w:rFonts w:ascii="Arial" w:hAnsi="Arial" w:cs="Arial"/>
          <w:color w:val="191B1C"/>
          <w:sz w:val="22"/>
          <w:szCs w:val="22"/>
          <w:shd w:val="clear" w:color="auto" w:fill="FFFFFF"/>
          <w:lang w:val="es-ES_tradnl"/>
        </w:rPr>
        <w:t>Diversificar los riesgos</w:t>
      </w:r>
    </w:p>
    <w:p w14:paraId="0343E1AD" w14:textId="77777777" w:rsidR="00507B6E" w:rsidRPr="00CF1B34" w:rsidRDefault="00507B6E"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Lograr el equilibrio es una de las premisas básicas en la formación de cualquier cartera de inversión de forma que esta sea capaz de cubrir los riesgos de aquellos activos más agresivos con otro más conservadores. La diversificación en la inversión es la fórmula más eficaz para lograrlo.</w:t>
      </w:r>
    </w:p>
    <w:p w14:paraId="052136E2" w14:textId="77777777" w:rsidR="00507B6E" w:rsidRPr="00CF1B34" w:rsidRDefault="00507B6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Otra de las cosas para tener en cuenta a la hora de formar un portafolio es la fiscalidad de cada producto y las comisiones que las entidades cargarán sobre cada uno de ellos.</w:t>
      </w:r>
    </w:p>
    <w:p w14:paraId="232EE4D2" w14:textId="3D6E1DE9" w:rsidR="00835D03" w:rsidRPr="00CF1B34" w:rsidRDefault="00835D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Posición abierta</w:t>
      </w:r>
    </w:p>
    <w:p w14:paraId="5B881698" w14:textId="77777777" w:rsidR="00E247F9" w:rsidRPr="00CF1B34" w:rsidRDefault="00E247F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Cuando dos participantes negocian un contrato de futuros por primera vez generan una posición abierta. En el caso de futuros, posición abierta compradora es la posición en la cual se queda obligado a comprar. Posición abierta vendedora es aquella posición en la cual se queda obligado a vender.</w:t>
      </w:r>
    </w:p>
    <w:p w14:paraId="35433450" w14:textId="27E7EEA3"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Posición corta</w:t>
      </w:r>
    </w:p>
    <w:p w14:paraId="6E3ABBF3"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tiene un inversor que ha vendido un activo, o que ha asumido un compromiso de venta.</w:t>
      </w:r>
    </w:p>
    <w:p w14:paraId="5E493FC7"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Posición larga</w:t>
      </w:r>
    </w:p>
    <w:p w14:paraId="3B20A1B7"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que tiene un inversor que ha comprado un activo, o que ha asumido un compromiso de compra.</w:t>
      </w:r>
    </w:p>
    <w:p w14:paraId="634495E6" w14:textId="6680B9B5" w:rsidR="00A671B6" w:rsidRPr="00CF1B34" w:rsidRDefault="00A671B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de amortizaci</w:t>
      </w:r>
      <w:r w:rsidR="00D63F39">
        <w:rPr>
          <w:rFonts w:ascii="Arial" w:hAnsi="Arial" w:cs="Arial"/>
          <w:b/>
          <w:bCs/>
          <w:color w:val="004773"/>
          <w:sz w:val="22"/>
          <w:szCs w:val="22"/>
          <w:lang w:val="es-ES_tradnl"/>
        </w:rPr>
        <w:t>ó</w:t>
      </w:r>
      <w:r w:rsidRPr="00CF1B34">
        <w:rPr>
          <w:rFonts w:ascii="Arial" w:hAnsi="Arial" w:cs="Arial"/>
          <w:b/>
          <w:bCs/>
          <w:color w:val="004773"/>
          <w:sz w:val="22"/>
          <w:szCs w:val="22"/>
          <w:lang w:val="es-ES_tradnl"/>
        </w:rPr>
        <w:t>n</w:t>
      </w:r>
    </w:p>
    <w:p w14:paraId="0C8CA63D" w14:textId="77777777" w:rsidR="00A671B6" w:rsidRPr="00CF1B34" w:rsidRDefault="00A671B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importe que recibe el propietario de un valor con motivo de su vencimiento. En el caso de los BONOS y Obligaciones este importe se ve incrementado en un ultimo pago de cupón, que se realiza en la misa fecha.</w:t>
      </w:r>
    </w:p>
    <w:p w14:paraId="3DAE715D" w14:textId="70A8D6B2" w:rsidR="00835D03" w:rsidRPr="00CF1B34" w:rsidRDefault="00835D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de cierre</w:t>
      </w:r>
    </w:p>
    <w:p w14:paraId="6FAC58DD" w14:textId="2A03410B" w:rsidR="00A671B6" w:rsidRPr="00CF1B34" w:rsidRDefault="00A671B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calcular diariamente al finalizar la sesión burs</w:t>
      </w:r>
      <w:r w:rsidR="0026429D">
        <w:rPr>
          <w:rFonts w:ascii="Arial" w:hAnsi="Arial" w:cs="Arial"/>
          <w:color w:val="000000" w:themeColor="text1"/>
          <w:sz w:val="22"/>
          <w:szCs w:val="22"/>
          <w:lang w:val="es-ES_tradnl"/>
        </w:rPr>
        <w:t>á</w:t>
      </w:r>
      <w:r w:rsidRPr="00CF1B34">
        <w:rPr>
          <w:rFonts w:ascii="Arial" w:hAnsi="Arial" w:cs="Arial"/>
          <w:color w:val="000000" w:themeColor="text1"/>
          <w:sz w:val="22"/>
          <w:szCs w:val="22"/>
          <w:lang w:val="es-ES_tradnl"/>
        </w:rPr>
        <w:t>t</w:t>
      </w:r>
      <w:r w:rsidR="0026429D">
        <w:rPr>
          <w:rFonts w:ascii="Arial" w:hAnsi="Arial" w:cs="Arial"/>
          <w:color w:val="000000" w:themeColor="text1"/>
          <w:sz w:val="22"/>
          <w:szCs w:val="22"/>
          <w:lang w:val="es-ES_tradnl"/>
        </w:rPr>
        <w:t>i</w:t>
      </w:r>
      <w:r w:rsidRPr="00CF1B34">
        <w:rPr>
          <w:rFonts w:ascii="Arial" w:hAnsi="Arial" w:cs="Arial"/>
          <w:color w:val="000000" w:themeColor="text1"/>
          <w:sz w:val="22"/>
          <w:szCs w:val="22"/>
          <w:lang w:val="es-ES_tradnl"/>
        </w:rPr>
        <w:t xml:space="preserve">l y para ello se </w:t>
      </w:r>
      <w:proofErr w:type="gramStart"/>
      <w:r w:rsidRPr="00CF1B34">
        <w:rPr>
          <w:rFonts w:ascii="Arial" w:hAnsi="Arial" w:cs="Arial"/>
          <w:color w:val="000000" w:themeColor="text1"/>
          <w:sz w:val="22"/>
          <w:szCs w:val="22"/>
          <w:lang w:val="es-ES_tradnl"/>
        </w:rPr>
        <w:t>tomara</w:t>
      </w:r>
      <w:proofErr w:type="gramEnd"/>
      <w:r w:rsidRPr="00CF1B34">
        <w:rPr>
          <w:rFonts w:ascii="Arial" w:hAnsi="Arial" w:cs="Arial"/>
          <w:color w:val="000000" w:themeColor="text1"/>
          <w:sz w:val="22"/>
          <w:szCs w:val="22"/>
          <w:lang w:val="es-ES_tradnl"/>
        </w:rPr>
        <w:t xml:space="preserve"> en cuenta el precio medio ponderado de los doscientos últimos títulos negociados. El precio de cierre será el precio de referencia del valor para la siguiente sesión.</w:t>
      </w:r>
    </w:p>
    <w:p w14:paraId="786ABDBE" w14:textId="3E441047" w:rsidR="00835D03" w:rsidRPr="00CF1B34" w:rsidRDefault="00835D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de compensación</w:t>
      </w:r>
    </w:p>
    <w:p w14:paraId="2E0F1878" w14:textId="77777777" w:rsidR="00C76630" w:rsidRPr="00CF1B34" w:rsidRDefault="00537FC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Media de los precios registrados el dia de la </w:t>
      </w:r>
      <w:r w:rsidR="00C76630" w:rsidRPr="00CF1B34">
        <w:rPr>
          <w:rFonts w:ascii="Arial" w:hAnsi="Arial" w:cs="Arial"/>
          <w:color w:val="000000" w:themeColor="text1"/>
          <w:sz w:val="22"/>
          <w:szCs w:val="22"/>
          <w:lang w:val="es-ES_tradnl"/>
        </w:rPr>
        <w:t>liquidación, sobre cuya base se calculan los intereses de saldo.</w:t>
      </w:r>
    </w:p>
    <w:p w14:paraId="3F306267" w14:textId="18F35115" w:rsidR="00835D03" w:rsidRPr="00CF1B34" w:rsidRDefault="00835D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de ejercicio de una opción o Strike Price</w:t>
      </w:r>
    </w:p>
    <w:p w14:paraId="175CA641" w14:textId="77777777" w:rsidR="00C76630" w:rsidRPr="00CF1B34" w:rsidRDefault="00C766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Es el precio al cual se ejerce la opción call o put al vencimiento de dicho contrato.</w:t>
      </w:r>
    </w:p>
    <w:p w14:paraId="6DE8BCF3" w14:textId="49DBD6E4"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de emisión</w:t>
      </w:r>
    </w:p>
    <w:p w14:paraId="14A59D75" w14:textId="78186373"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Precio efectivo que deberán abonar los suscriptores en el momento de la emisión de un valor. En las emisiones de valores de renta fija normalmente coincide con el valor nominal, aunque en algunos casos puede ser inferior o superior, según se emita al descuento o con prima, respectivamente. Ver</w:t>
      </w:r>
      <w:r w:rsidR="0026429D">
        <w:rPr>
          <w:rFonts w:ascii="Arial" w:hAnsi="Arial" w:cs="Arial"/>
          <w:color w:val="212529"/>
          <w:sz w:val="22"/>
          <w:szCs w:val="22"/>
          <w:lang w:val="es-ES_tradnl"/>
        </w:rPr>
        <w:t xml:space="preserve"> </w:t>
      </w:r>
      <w:hyperlink r:id="rId312" w:tgtFrame="_self" w:history="1">
        <w:r w:rsidRPr="00DC5C6C">
          <w:rPr>
            <w:rFonts w:ascii="Arial" w:hAnsi="Arial" w:cs="Arial"/>
            <w:b/>
            <w:bCs/>
            <w:color w:val="2F5496" w:themeColor="accent1" w:themeShade="BF"/>
            <w:sz w:val="22"/>
            <w:szCs w:val="22"/>
            <w:u w:val="single"/>
            <w:lang w:val="es-ES_tradnl"/>
          </w:rPr>
          <w:t>Prima de emisión</w:t>
        </w:r>
      </w:hyperlink>
      <w:r w:rsidRPr="00DC5C6C">
        <w:rPr>
          <w:rFonts w:ascii="Arial" w:hAnsi="Arial" w:cs="Arial"/>
          <w:color w:val="2F5496" w:themeColor="accent1" w:themeShade="BF"/>
          <w:sz w:val="22"/>
          <w:szCs w:val="22"/>
          <w:lang w:val="es-ES_tradnl"/>
        </w:rPr>
        <w:t>.</w:t>
      </w:r>
    </w:p>
    <w:p w14:paraId="7694E0CD" w14:textId="5F4CCB01" w:rsidR="00835D03" w:rsidRPr="00CF1B34" w:rsidRDefault="00835D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de liquidación a vencimiento</w:t>
      </w:r>
    </w:p>
    <w:p w14:paraId="0F63EF88" w14:textId="77777777" w:rsidR="00C76630" w:rsidRPr="00CF1B34" w:rsidRDefault="00C766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Precio de referencia sobre el que se calcula la liquidación por diferencias en la fecha de ejercicio si se trata de opciones o en la fecha de vencimiento si son futuros.</w:t>
      </w:r>
    </w:p>
    <w:p w14:paraId="44BAADE2" w14:textId="03EC487C" w:rsidR="00835D03" w:rsidRPr="00CF1B34" w:rsidRDefault="00835D03"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de liquidación diaria</w:t>
      </w:r>
    </w:p>
    <w:p w14:paraId="60B055A1" w14:textId="77777777" w:rsidR="00C76630" w:rsidRPr="00CF1B34" w:rsidRDefault="00C766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Precio de referencia sobre el que se calculan los depósitos en garantía y la liquidación diaria de perdidas y ganancias.</w:t>
      </w:r>
    </w:p>
    <w:p w14:paraId="309649A0" w14:textId="4DCCD40E"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de reembolso</w:t>
      </w:r>
    </w:p>
    <w:p w14:paraId="10935AD7"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que recibe el inversor en el momento de la amortización o vencimiento del valor. Viene determinado en las condiciones iniciales de la emisión, y aunque suele coincidir con el valor nominal puede ser inferior o superior, según los casos.</w:t>
      </w:r>
    </w:p>
    <w:p w14:paraId="626597EF" w14:textId="214C07EC"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del dinero</w:t>
      </w:r>
    </w:p>
    <w:p w14:paraId="775D65B9" w14:textId="77777777" w:rsidR="00C76630" w:rsidRPr="00CF1B34" w:rsidRDefault="00C766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trata del dinero que tenemos que dar para que nos presten dinero. A corto plazo lo marca el Banco de España con sus intervenciones diarias y la subasta decenal que celebra con las entidades financieras. A largo plazo lo marca el mercado.</w:t>
      </w:r>
    </w:p>
    <w:p w14:paraId="3F1EFC67" w14:textId="1DD9B70E"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ex - cup</w:t>
      </w:r>
      <w:r w:rsidR="00995F31"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n</w:t>
      </w:r>
    </w:p>
    <w:p w14:paraId="069E1FF7" w14:textId="77777777" w:rsidR="00C35436" w:rsidRPr="00CF1B34" w:rsidRDefault="00C7663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valor actual, descontado a tipos de interés del momento, de los flujos futuros que la emisión en cuestión vaya a tener. Los flujos futuros serán los diferentes cupones que se van a cobrar mas el reembolso del principal</w:t>
      </w:r>
      <w:r w:rsidR="00C35436" w:rsidRPr="00CF1B34">
        <w:rPr>
          <w:rFonts w:ascii="Arial" w:hAnsi="Arial" w:cs="Arial"/>
          <w:color w:val="000000" w:themeColor="text1"/>
          <w:sz w:val="22"/>
          <w:szCs w:val="22"/>
          <w:lang w:val="es-ES_tradnl"/>
        </w:rPr>
        <w:t>.</w:t>
      </w:r>
    </w:p>
    <w:p w14:paraId="4B3BBF00" w14:textId="6A03F208" w:rsidR="00DC5C6C" w:rsidRDefault="00DC5C6C"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Precio objetivo de una empresa</w:t>
      </w:r>
    </w:p>
    <w:p w14:paraId="7AA73C0B" w14:textId="1E6AD71B" w:rsidR="00DC5C6C" w:rsidRPr="00E15E94" w:rsidRDefault="00DC5C6C" w:rsidP="00E15E94">
      <w:pPr>
        <w:ind w:left="708"/>
        <w:rPr>
          <w:rFonts w:ascii="Arial" w:hAnsi="Arial" w:cs="Arial"/>
          <w:sz w:val="22"/>
          <w:szCs w:val="22"/>
        </w:rPr>
      </w:pPr>
      <w:r w:rsidRPr="00E15E94">
        <w:rPr>
          <w:rFonts w:ascii="Arial" w:hAnsi="Arial" w:cs="Arial"/>
          <w:color w:val="333333"/>
          <w:sz w:val="22"/>
          <w:szCs w:val="22"/>
          <w:shd w:val="clear" w:color="auto" w:fill="FFFFFF"/>
        </w:rPr>
        <w:t xml:space="preserve">El </w:t>
      </w:r>
      <w:r w:rsidRPr="00E15E94">
        <w:rPr>
          <w:rStyle w:val="Textoennegrita"/>
          <w:rFonts w:ascii="Arial" w:hAnsi="Arial" w:cs="Arial"/>
          <w:color w:val="333333"/>
          <w:sz w:val="22"/>
          <w:szCs w:val="22"/>
          <w:shd w:val="clear" w:color="auto" w:fill="FFFFFF"/>
        </w:rPr>
        <w:t>precio objetivo</w:t>
      </w:r>
      <w:r w:rsidRPr="00E15E94">
        <w:rPr>
          <w:rFonts w:ascii="Arial" w:hAnsi="Arial" w:cs="Arial"/>
          <w:color w:val="333333"/>
          <w:sz w:val="22"/>
          <w:szCs w:val="22"/>
          <w:shd w:val="clear" w:color="auto" w:fill="FFFFFF"/>
        </w:rPr>
        <w:t xml:space="preserve"> de una empresa es el que nos indica la </w:t>
      </w:r>
      <w:r w:rsidRPr="00E15E94">
        <w:rPr>
          <w:rStyle w:val="Textoennegrita"/>
          <w:rFonts w:ascii="Arial" w:hAnsi="Arial" w:cs="Arial"/>
          <w:color w:val="333333"/>
          <w:sz w:val="22"/>
          <w:szCs w:val="22"/>
          <w:shd w:val="clear" w:color="auto" w:fill="FFFFFF"/>
        </w:rPr>
        <w:t>descripción de la situación presente de la misma</w:t>
      </w:r>
      <w:r w:rsidRPr="00E15E94">
        <w:rPr>
          <w:rFonts w:ascii="Arial" w:hAnsi="Arial" w:cs="Arial"/>
          <w:color w:val="333333"/>
          <w:sz w:val="22"/>
          <w:szCs w:val="22"/>
          <w:shd w:val="clear" w:color="auto" w:fill="FFFFFF"/>
        </w:rPr>
        <w:t xml:space="preserve"> y de sus perspectivas de futuro. Generalmente muchos bancos y sociedades de valores realizan análisis de las empresas con el fin de determinar un </w:t>
      </w:r>
      <w:r w:rsidRPr="00E15E94">
        <w:rPr>
          <w:rStyle w:val="Textoennegrita"/>
          <w:rFonts w:ascii="Arial" w:hAnsi="Arial" w:cs="Arial"/>
          <w:color w:val="333333"/>
          <w:sz w:val="22"/>
          <w:szCs w:val="22"/>
          <w:shd w:val="clear" w:color="auto" w:fill="FFFFFF"/>
        </w:rPr>
        <w:t>precio objetivo de sus acciones</w:t>
      </w:r>
      <w:r w:rsidRPr="00E15E94">
        <w:rPr>
          <w:rFonts w:ascii="Arial" w:hAnsi="Arial" w:cs="Arial"/>
          <w:color w:val="333333"/>
          <w:sz w:val="22"/>
          <w:szCs w:val="22"/>
          <w:shd w:val="clear" w:color="auto" w:fill="FFFFFF"/>
        </w:rPr>
        <w:t>. Hay que aclarar que solo se trata de una orientación, ya que los analistas no conocen el futuro y pueden surgir ciertas desviaciones.</w:t>
      </w:r>
    </w:p>
    <w:p w14:paraId="4339E637" w14:textId="77777777" w:rsidR="00DC5C6C" w:rsidRPr="00E15E94" w:rsidRDefault="00DC5C6C" w:rsidP="00E15E94">
      <w:pPr>
        <w:ind w:left="708"/>
        <w:rPr>
          <w:rFonts w:ascii="Arial" w:hAnsi="Arial" w:cs="Arial"/>
          <w:color w:val="000000"/>
          <w:sz w:val="22"/>
          <w:szCs w:val="22"/>
        </w:rPr>
      </w:pPr>
      <w:r w:rsidRPr="00E15E94">
        <w:rPr>
          <w:rFonts w:ascii="Arial" w:hAnsi="Arial" w:cs="Arial"/>
          <w:color w:val="000000"/>
          <w:sz w:val="22"/>
          <w:szCs w:val="22"/>
        </w:rPr>
        <w:t>El análisis fundamental se centra en evaluar la salud financiera y el rendimiento de una empresa, así como el entorno económico y de mercado en el que opera. Algunos de los factores que se analizan incluyen:</w:t>
      </w:r>
    </w:p>
    <w:p w14:paraId="1F41AA9E" w14:textId="77777777" w:rsidR="00DC5C6C" w:rsidRPr="00E15E94" w:rsidRDefault="00DC5C6C" w:rsidP="004F7A62">
      <w:pPr>
        <w:pStyle w:val="Prrafodelista"/>
        <w:numPr>
          <w:ilvl w:val="0"/>
          <w:numId w:val="247"/>
        </w:numPr>
        <w:rPr>
          <w:rFonts w:ascii="Arial" w:hAnsi="Arial" w:cs="Arial"/>
          <w:color w:val="000000"/>
          <w:sz w:val="22"/>
          <w:szCs w:val="22"/>
        </w:rPr>
      </w:pPr>
      <w:r w:rsidRPr="00E15E94">
        <w:rPr>
          <w:rFonts w:ascii="Arial" w:hAnsi="Arial" w:cs="Arial"/>
          <w:color w:val="000000"/>
          <w:sz w:val="22"/>
          <w:szCs w:val="22"/>
        </w:rPr>
        <w:t>Estados financieros</w:t>
      </w:r>
    </w:p>
    <w:p w14:paraId="353B32AF" w14:textId="1887B32E" w:rsidR="00DC5C6C" w:rsidRPr="00E15E94" w:rsidRDefault="00DC5C6C" w:rsidP="004F7A62">
      <w:pPr>
        <w:pStyle w:val="Prrafodelista"/>
        <w:numPr>
          <w:ilvl w:val="0"/>
          <w:numId w:val="247"/>
        </w:numPr>
        <w:rPr>
          <w:rFonts w:ascii="Arial" w:hAnsi="Arial" w:cs="Arial"/>
          <w:color w:val="000000"/>
          <w:sz w:val="22"/>
          <w:szCs w:val="22"/>
        </w:rPr>
      </w:pPr>
      <w:r w:rsidRPr="00E15E94">
        <w:rPr>
          <w:rFonts w:ascii="Arial" w:hAnsi="Arial" w:cs="Arial"/>
          <w:color w:val="000000"/>
          <w:sz w:val="22"/>
          <w:szCs w:val="22"/>
        </w:rPr>
        <w:t>Ratios financier</w:t>
      </w:r>
      <w:r w:rsidR="00E15E94" w:rsidRPr="00E15E94">
        <w:rPr>
          <w:rFonts w:ascii="Arial" w:hAnsi="Arial" w:cs="Arial"/>
          <w:color w:val="000000"/>
          <w:sz w:val="22"/>
          <w:szCs w:val="22"/>
        </w:rPr>
        <w:t>a</w:t>
      </w:r>
      <w:r w:rsidRPr="00E15E94">
        <w:rPr>
          <w:rFonts w:ascii="Arial" w:hAnsi="Arial" w:cs="Arial"/>
          <w:color w:val="000000"/>
          <w:sz w:val="22"/>
          <w:szCs w:val="22"/>
        </w:rPr>
        <w:t>s</w:t>
      </w:r>
    </w:p>
    <w:p w14:paraId="3B1441C2" w14:textId="77777777" w:rsidR="00DC5C6C" w:rsidRPr="00E15E94" w:rsidRDefault="00DC5C6C" w:rsidP="004F7A62">
      <w:pPr>
        <w:pStyle w:val="Prrafodelista"/>
        <w:numPr>
          <w:ilvl w:val="0"/>
          <w:numId w:val="247"/>
        </w:numPr>
        <w:rPr>
          <w:rFonts w:ascii="Arial" w:hAnsi="Arial" w:cs="Arial"/>
          <w:color w:val="000000"/>
          <w:sz w:val="22"/>
          <w:szCs w:val="22"/>
        </w:rPr>
      </w:pPr>
      <w:r w:rsidRPr="00E15E94">
        <w:rPr>
          <w:rFonts w:ascii="Arial" w:hAnsi="Arial" w:cs="Arial"/>
          <w:color w:val="000000"/>
          <w:sz w:val="22"/>
          <w:szCs w:val="22"/>
        </w:rPr>
        <w:t>Perspectivas de crecimiento</w:t>
      </w:r>
    </w:p>
    <w:p w14:paraId="132B95AF" w14:textId="77777777" w:rsidR="00DC5C6C" w:rsidRPr="00E15E94" w:rsidRDefault="00DC5C6C" w:rsidP="004F7A62">
      <w:pPr>
        <w:pStyle w:val="Prrafodelista"/>
        <w:numPr>
          <w:ilvl w:val="0"/>
          <w:numId w:val="247"/>
        </w:numPr>
        <w:rPr>
          <w:rFonts w:ascii="Arial" w:hAnsi="Arial" w:cs="Arial"/>
          <w:color w:val="000000"/>
          <w:sz w:val="22"/>
          <w:szCs w:val="22"/>
        </w:rPr>
      </w:pPr>
      <w:r w:rsidRPr="00E15E94">
        <w:rPr>
          <w:rFonts w:ascii="Arial" w:hAnsi="Arial" w:cs="Arial"/>
          <w:color w:val="000000"/>
          <w:sz w:val="22"/>
          <w:szCs w:val="22"/>
        </w:rPr>
        <w:t>Comparaciones con empresas similares en el mismo sector</w:t>
      </w:r>
    </w:p>
    <w:p w14:paraId="0A1A04C3" w14:textId="77777777" w:rsidR="00DC5C6C" w:rsidRPr="00E15E94" w:rsidRDefault="00DC5C6C" w:rsidP="00E15E94">
      <w:pPr>
        <w:ind w:left="708"/>
        <w:rPr>
          <w:rFonts w:ascii="Arial" w:hAnsi="Arial" w:cs="Arial"/>
          <w:color w:val="000000"/>
          <w:sz w:val="22"/>
          <w:szCs w:val="22"/>
        </w:rPr>
      </w:pPr>
      <w:r w:rsidRPr="00E15E94">
        <w:rPr>
          <w:rFonts w:ascii="Arial" w:hAnsi="Arial" w:cs="Arial"/>
          <w:color w:val="000000"/>
          <w:sz w:val="22"/>
          <w:szCs w:val="22"/>
        </w:rPr>
        <w:t>Una vez que se ha estimado el valor intrínseco de la empresa, se divide este valor por el número de acciones en circulación para obtener el precio objetivo por acción.</w:t>
      </w:r>
    </w:p>
    <w:p w14:paraId="6686B942" w14:textId="77777777" w:rsidR="00DC5C6C" w:rsidRPr="00E15E94" w:rsidRDefault="00DC5C6C" w:rsidP="00E15E94">
      <w:pPr>
        <w:ind w:left="708"/>
        <w:rPr>
          <w:rFonts w:ascii="Arial" w:hAnsi="Arial" w:cs="Arial"/>
          <w:sz w:val="22"/>
          <w:szCs w:val="22"/>
        </w:rPr>
      </w:pPr>
      <w:r w:rsidRPr="00E15E94">
        <w:rPr>
          <w:rFonts w:ascii="Arial" w:hAnsi="Arial" w:cs="Arial"/>
          <w:color w:val="000000"/>
          <w:sz w:val="22"/>
          <w:szCs w:val="22"/>
          <w:shd w:val="clear" w:color="auto" w:fill="FFFFFF"/>
        </w:rPr>
        <w:lastRenderedPageBreak/>
        <w:t>El análisis técnico se centra en el estudio de patrones y tendencias de precios históricos. Los analistas técnicos utilizan herramientas como gráficos y indicadores para identificar patrones y predicciones sobre el comportamiento futuro del precio de la acción.</w:t>
      </w:r>
    </w:p>
    <w:p w14:paraId="2A96A3AD" w14:textId="77777777" w:rsidR="00E15E94" w:rsidRPr="00E15E94" w:rsidRDefault="00E15E94" w:rsidP="00E15E94">
      <w:pPr>
        <w:ind w:left="708"/>
        <w:rPr>
          <w:rFonts w:ascii="Arial" w:hAnsi="Arial" w:cs="Arial"/>
          <w:color w:val="000000"/>
          <w:sz w:val="22"/>
          <w:szCs w:val="22"/>
        </w:rPr>
      </w:pPr>
      <w:r w:rsidRPr="00E15E94">
        <w:rPr>
          <w:rFonts w:ascii="Arial" w:hAnsi="Arial" w:cs="Arial"/>
          <w:color w:val="000000"/>
          <w:sz w:val="22"/>
          <w:szCs w:val="22"/>
        </w:rPr>
        <w:t>El precio objetivo es una herramienta importante para los inversores y analistas financieros, ya que:</w:t>
      </w:r>
    </w:p>
    <w:p w14:paraId="7011F1B2" w14:textId="77777777" w:rsidR="00E15E94" w:rsidRPr="00E15E94" w:rsidRDefault="00E15E94" w:rsidP="004F7A62">
      <w:pPr>
        <w:pStyle w:val="Prrafodelista"/>
        <w:numPr>
          <w:ilvl w:val="0"/>
          <w:numId w:val="248"/>
        </w:numPr>
        <w:rPr>
          <w:rFonts w:ascii="Arial" w:hAnsi="Arial" w:cs="Arial"/>
          <w:color w:val="000000"/>
          <w:sz w:val="22"/>
          <w:szCs w:val="22"/>
        </w:rPr>
      </w:pPr>
      <w:r w:rsidRPr="00E15E94">
        <w:rPr>
          <w:rFonts w:ascii="Arial" w:hAnsi="Arial" w:cs="Arial"/>
          <w:color w:val="000000"/>
          <w:sz w:val="22"/>
          <w:szCs w:val="22"/>
        </w:rPr>
        <w:t>Ayuda a evaluar la valoración de una empresa en relación con su rendimiento y perspectivas</w:t>
      </w:r>
    </w:p>
    <w:p w14:paraId="7B722F4C" w14:textId="77777777" w:rsidR="00E15E94" w:rsidRPr="00E15E94" w:rsidRDefault="00E15E94" w:rsidP="004F7A62">
      <w:pPr>
        <w:pStyle w:val="Prrafodelista"/>
        <w:numPr>
          <w:ilvl w:val="0"/>
          <w:numId w:val="248"/>
        </w:numPr>
        <w:rPr>
          <w:rFonts w:ascii="Arial" w:hAnsi="Arial" w:cs="Arial"/>
          <w:color w:val="000000"/>
          <w:sz w:val="22"/>
          <w:szCs w:val="22"/>
        </w:rPr>
      </w:pPr>
      <w:r w:rsidRPr="00E15E94">
        <w:rPr>
          <w:rFonts w:ascii="Arial" w:hAnsi="Arial" w:cs="Arial"/>
          <w:color w:val="000000"/>
          <w:sz w:val="22"/>
          <w:szCs w:val="22"/>
        </w:rPr>
        <w:t>Permite identificar oportunidades de inversión y tomar decisiones informadas</w:t>
      </w:r>
    </w:p>
    <w:p w14:paraId="668D7DB4" w14:textId="77777777" w:rsidR="00E15E94" w:rsidRPr="00E15E94" w:rsidRDefault="00E15E94" w:rsidP="004F7A62">
      <w:pPr>
        <w:pStyle w:val="Prrafodelista"/>
        <w:numPr>
          <w:ilvl w:val="0"/>
          <w:numId w:val="248"/>
        </w:numPr>
        <w:rPr>
          <w:rFonts w:ascii="Arial" w:hAnsi="Arial" w:cs="Arial"/>
          <w:color w:val="000000"/>
          <w:sz w:val="22"/>
          <w:szCs w:val="22"/>
        </w:rPr>
      </w:pPr>
      <w:r w:rsidRPr="00E15E94">
        <w:rPr>
          <w:rFonts w:ascii="Arial" w:hAnsi="Arial" w:cs="Arial"/>
          <w:color w:val="000000"/>
          <w:sz w:val="22"/>
          <w:szCs w:val="22"/>
        </w:rPr>
        <w:t>Se utiliza como base para crear estrategias de inversión y gestión de portafolios</w:t>
      </w:r>
    </w:p>
    <w:p w14:paraId="7E8E351C" w14:textId="63ABBA54" w:rsidR="00E15E94" w:rsidRPr="00E15E94" w:rsidRDefault="00E15E94" w:rsidP="00E15E94">
      <w:pPr>
        <w:pBdr>
          <w:bottom w:val="dotted" w:sz="12" w:space="12" w:color="666666"/>
        </w:pBdr>
        <w:spacing w:after="240"/>
        <w:ind w:left="720"/>
        <w:jc w:val="both"/>
        <w:rPr>
          <w:rFonts w:ascii="Arial" w:hAnsi="Arial" w:cs="Arial"/>
          <w:color w:val="212529"/>
          <w:sz w:val="22"/>
          <w:szCs w:val="22"/>
          <w:lang w:val="es-ES_tradnl"/>
        </w:rPr>
      </w:pPr>
      <w:r w:rsidRPr="00E15E94">
        <w:rPr>
          <w:rFonts w:ascii="Arial" w:hAnsi="Arial" w:cs="Arial"/>
          <w:color w:val="000000"/>
          <w:sz w:val="22"/>
          <w:szCs w:val="22"/>
          <w:shd w:val="clear" w:color="auto" w:fill="FFFFFF"/>
        </w:rPr>
        <w:t xml:space="preserve">Es, por tanto, una </w:t>
      </w:r>
      <w:r w:rsidRPr="00E15E94">
        <w:rPr>
          <w:rStyle w:val="highlight-answer"/>
          <w:rFonts w:ascii="Arial" w:hAnsi="Arial" w:cs="Arial"/>
          <w:b/>
          <w:bCs/>
          <w:color w:val="000000"/>
          <w:sz w:val="22"/>
          <w:szCs w:val="22"/>
          <w:shd w:val="clear" w:color="auto" w:fill="FFFFFF"/>
        </w:rPr>
        <w:t>estimación del valor que un activo financiero debería alcanzar según un análisis bursátil</w:t>
      </w:r>
      <w:r w:rsidRPr="00E15E94">
        <w:rPr>
          <w:rFonts w:ascii="Arial" w:hAnsi="Arial" w:cs="Arial"/>
          <w:color w:val="000000"/>
          <w:sz w:val="22"/>
          <w:szCs w:val="22"/>
          <w:shd w:val="clear" w:color="auto" w:fill="FFFFFF"/>
        </w:rPr>
        <w:t xml:space="preserve">. </w:t>
      </w:r>
    </w:p>
    <w:p w14:paraId="0AD73AA4" w14:textId="27BBA1AD"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T</w:t>
      </w:r>
      <w:r w:rsidR="00995F31" w:rsidRPr="00CF1B34">
        <w:rPr>
          <w:rFonts w:ascii="Arial" w:hAnsi="Arial" w:cs="Arial"/>
          <w:b/>
          <w:bCs/>
          <w:color w:val="004773"/>
          <w:sz w:val="22"/>
          <w:szCs w:val="22"/>
          <w:lang w:val="es-ES_tradnl"/>
        </w:rPr>
        <w:t>é</w:t>
      </w:r>
      <w:r w:rsidRPr="00CF1B34">
        <w:rPr>
          <w:rFonts w:ascii="Arial" w:hAnsi="Arial" w:cs="Arial"/>
          <w:b/>
          <w:bCs/>
          <w:color w:val="004773"/>
          <w:sz w:val="22"/>
          <w:szCs w:val="22"/>
          <w:lang w:val="es-ES_tradnl"/>
        </w:rPr>
        <w:t>cnico Entrega</w:t>
      </w:r>
    </w:p>
    <w:p w14:paraId="4FD4AFA1" w14:textId="10D8BF0A" w:rsidR="00C35436" w:rsidRPr="00CF1B34" w:rsidRDefault="00C3543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Precio al que se realizan todas las compra-ventas de cada Activo Subyacente en el ejercicio a vencimiento de las Operaciones sobre Acciones, con el fin de minimizar el número de operaciones. El Precio T</w:t>
      </w:r>
      <w:r w:rsidR="00DC5C6C">
        <w:rPr>
          <w:rFonts w:ascii="Arial" w:hAnsi="Arial" w:cs="Arial"/>
          <w:color w:val="000000" w:themeColor="text1"/>
          <w:sz w:val="22"/>
          <w:szCs w:val="22"/>
          <w:lang w:val="es-ES_tradnl"/>
        </w:rPr>
        <w:t>é</w:t>
      </w:r>
      <w:r w:rsidRPr="00CF1B34">
        <w:rPr>
          <w:rFonts w:ascii="Arial" w:hAnsi="Arial" w:cs="Arial"/>
          <w:color w:val="000000" w:themeColor="text1"/>
          <w:sz w:val="22"/>
          <w:szCs w:val="22"/>
          <w:lang w:val="es-ES_tradnl"/>
        </w:rPr>
        <w:t>cnico de Entrega se forma el Precio Medio Ponderado de cada acción en la sesión de vencimiento.</w:t>
      </w:r>
    </w:p>
    <w:p w14:paraId="1858CC12" w14:textId="27DBB9EC"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Precio total</w:t>
      </w:r>
    </w:p>
    <w:p w14:paraId="2EC19C0B" w14:textId="77777777" w:rsidR="00C35436" w:rsidRPr="00CF1B34" w:rsidRDefault="00C3543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suma del precio ex - cupón mas el cupón corrido que se haya devengado.</w:t>
      </w:r>
    </w:p>
    <w:p w14:paraId="0010AA2C" w14:textId="700791A3"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Preferencias de sostenibilidad </w:t>
      </w:r>
    </w:p>
    <w:p w14:paraId="1A5D1914"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el test de idoneidad, las entidades que ofrecen servicios de inversión formulan preguntas para perfilar al cliente en función de su conocimiento, situación financiera y objetivos de inversión. A partir del 2 de agosto de 2022, las entidades realizarán una serie de preguntas para recoger las preferencias de sostenibilidad de sus clientes, relativas a la proporción mínima de inversión sostenible o de desempeño de los criterios medioambientales, sociales o de buen gobierno. Los inversores pueden asimismo decidir en qué tipo de inversiones (actividades o prácticas) no quieren invertir o cuáles son sus niveles de tolerancia a través de las principales incidencias adversas (PIAS) o en los factores de sostenibilidad. </w:t>
      </w:r>
    </w:p>
    <w:p w14:paraId="49228D1A" w14:textId="137E1976" w:rsidR="00895BBD" w:rsidRDefault="00895BBD"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 xml:space="preserve">Prejubilación </w:t>
      </w:r>
    </w:p>
    <w:p w14:paraId="5A6ABEFA" w14:textId="6B99697D" w:rsidR="00895BBD" w:rsidRPr="00895BBD" w:rsidRDefault="00895BBD" w:rsidP="00C73466">
      <w:pPr>
        <w:shd w:val="clear" w:color="auto" w:fill="FFFFFF"/>
        <w:ind w:left="708"/>
        <w:textAlignment w:val="baseline"/>
        <w:rPr>
          <w:rFonts w:ascii="Arial" w:hAnsi="Arial" w:cs="Arial"/>
          <w:color w:val="626262"/>
          <w:sz w:val="22"/>
          <w:szCs w:val="22"/>
        </w:rPr>
      </w:pPr>
      <w:r w:rsidRPr="00895BBD">
        <w:rPr>
          <w:rFonts w:ascii="Arial" w:hAnsi="Arial" w:cs="Arial"/>
          <w:color w:val="626262"/>
          <w:sz w:val="22"/>
          <w:szCs w:val="22"/>
        </w:rPr>
        <w:t>Aunque se crea que son sinónimos, y así se usen, l</w:t>
      </w:r>
      <w:r w:rsidRPr="00895BBD">
        <w:rPr>
          <w:rFonts w:ascii="Arial" w:hAnsi="Arial" w:cs="Arial"/>
          <w:b/>
          <w:bCs/>
          <w:color w:val="626262"/>
          <w:sz w:val="22"/>
          <w:szCs w:val="22"/>
          <w:bdr w:val="none" w:sz="0" w:space="0" w:color="auto" w:frame="1"/>
        </w:rPr>
        <w:t>a</w:t>
      </w:r>
      <w:r w:rsidRPr="00C73466">
        <w:rPr>
          <w:rFonts w:ascii="Arial" w:hAnsi="Arial" w:cs="Arial"/>
          <w:b/>
          <w:bCs/>
          <w:color w:val="626262"/>
          <w:sz w:val="22"/>
          <w:szCs w:val="22"/>
          <w:bdr w:val="none" w:sz="0" w:space="0" w:color="auto" w:frame="1"/>
        </w:rPr>
        <w:t xml:space="preserve"> jubilación anticipada </w:t>
      </w:r>
      <w:r w:rsidRPr="00895BBD">
        <w:rPr>
          <w:rFonts w:ascii="Arial" w:hAnsi="Arial" w:cs="Arial"/>
          <w:b/>
          <w:bCs/>
          <w:color w:val="626262"/>
          <w:sz w:val="22"/>
          <w:szCs w:val="22"/>
          <w:bdr w:val="none" w:sz="0" w:space="0" w:color="auto" w:frame="1"/>
        </w:rPr>
        <w:t>y la prejubilación son dos términos muy diferentes</w:t>
      </w:r>
      <w:r w:rsidRPr="00C73466">
        <w:rPr>
          <w:rFonts w:ascii="Arial" w:hAnsi="Arial" w:cs="Arial"/>
          <w:b/>
          <w:bCs/>
          <w:color w:val="626262"/>
          <w:sz w:val="22"/>
          <w:szCs w:val="22"/>
          <w:bdr w:val="none" w:sz="0" w:space="0" w:color="auto" w:frame="1"/>
        </w:rPr>
        <w:t xml:space="preserve"> </w:t>
      </w:r>
      <w:r w:rsidRPr="00895BBD">
        <w:rPr>
          <w:rFonts w:ascii="Arial" w:hAnsi="Arial" w:cs="Arial"/>
          <w:color w:val="626262"/>
          <w:sz w:val="22"/>
          <w:szCs w:val="22"/>
        </w:rPr>
        <w:t>(sólo tienen en común que representan un hito en la vida laboral de una persona).</w:t>
      </w:r>
    </w:p>
    <w:p w14:paraId="4C2D5217" w14:textId="11A3AC30" w:rsidR="00895BBD" w:rsidRPr="00895BBD" w:rsidRDefault="00895BBD" w:rsidP="00C73466">
      <w:pPr>
        <w:shd w:val="clear" w:color="auto" w:fill="FFFFFF"/>
        <w:ind w:left="708"/>
        <w:textAlignment w:val="baseline"/>
        <w:rPr>
          <w:rFonts w:ascii="Arial" w:hAnsi="Arial" w:cs="Arial"/>
          <w:color w:val="626262"/>
          <w:sz w:val="22"/>
          <w:szCs w:val="22"/>
        </w:rPr>
      </w:pPr>
      <w:r w:rsidRPr="00895BBD">
        <w:rPr>
          <w:rFonts w:ascii="Arial" w:hAnsi="Arial" w:cs="Arial"/>
          <w:color w:val="626262"/>
          <w:sz w:val="22"/>
          <w:szCs w:val="22"/>
        </w:rPr>
        <w:t>La</w:t>
      </w:r>
      <w:r w:rsidRPr="00C73466">
        <w:rPr>
          <w:rFonts w:ascii="Arial" w:hAnsi="Arial" w:cs="Arial"/>
          <w:color w:val="626262"/>
          <w:sz w:val="22"/>
          <w:szCs w:val="22"/>
        </w:rPr>
        <w:t xml:space="preserve"> </w:t>
      </w:r>
      <w:r w:rsidRPr="00895BBD">
        <w:rPr>
          <w:rFonts w:ascii="Arial" w:hAnsi="Arial" w:cs="Arial"/>
          <w:b/>
          <w:bCs/>
          <w:color w:val="626262"/>
          <w:sz w:val="22"/>
          <w:szCs w:val="22"/>
          <w:bdr w:val="none" w:sz="0" w:space="0" w:color="auto" w:frame="1"/>
        </w:rPr>
        <w:t>jubilación anticipada</w:t>
      </w:r>
      <w:r w:rsidRPr="00895BBD">
        <w:rPr>
          <w:rFonts w:ascii="Arial" w:hAnsi="Arial" w:cs="Arial"/>
          <w:color w:val="626262"/>
          <w:sz w:val="22"/>
          <w:szCs w:val="22"/>
        </w:rPr>
        <w:t>, explicada de forma resumida, es una</w:t>
      </w:r>
      <w:r w:rsidRPr="00C73466">
        <w:rPr>
          <w:rFonts w:ascii="Arial" w:hAnsi="Arial" w:cs="Arial"/>
          <w:color w:val="626262"/>
          <w:sz w:val="22"/>
          <w:szCs w:val="22"/>
        </w:rPr>
        <w:t xml:space="preserve"> </w:t>
      </w:r>
      <w:r w:rsidRPr="00895BBD">
        <w:rPr>
          <w:rFonts w:ascii="Arial" w:hAnsi="Arial" w:cs="Arial"/>
          <w:b/>
          <w:bCs/>
          <w:color w:val="626262"/>
          <w:sz w:val="22"/>
          <w:szCs w:val="22"/>
          <w:bdr w:val="none" w:sz="0" w:space="0" w:color="auto" w:frame="1"/>
        </w:rPr>
        <w:t>forma de acceder a la pensión antes de la edad legal</w:t>
      </w:r>
      <w:r w:rsidRPr="00895BBD">
        <w:rPr>
          <w:rFonts w:ascii="Arial" w:hAnsi="Arial" w:cs="Arial"/>
          <w:color w:val="626262"/>
          <w:sz w:val="22"/>
          <w:szCs w:val="22"/>
        </w:rPr>
        <w:t>. Un “retiro anticipado” que requiere del cumplimiento de unas condiciones para hacerse efectivo, como, por ejemplo, haber cotizado un número determinado de años o cumplir ciertas condiciones de edad. Por su parte, la</w:t>
      </w:r>
      <w:r w:rsidRPr="00C73466">
        <w:rPr>
          <w:rFonts w:ascii="Arial" w:hAnsi="Arial" w:cs="Arial"/>
          <w:color w:val="626262"/>
          <w:sz w:val="22"/>
          <w:szCs w:val="22"/>
        </w:rPr>
        <w:t xml:space="preserve"> </w:t>
      </w:r>
      <w:r w:rsidRPr="00895BBD">
        <w:rPr>
          <w:rFonts w:ascii="Arial" w:hAnsi="Arial" w:cs="Arial"/>
          <w:b/>
          <w:bCs/>
          <w:color w:val="626262"/>
          <w:sz w:val="22"/>
          <w:szCs w:val="22"/>
          <w:bdr w:val="none" w:sz="0" w:space="0" w:color="auto" w:frame="1"/>
        </w:rPr>
        <w:t>prejubilación</w:t>
      </w:r>
      <w:r w:rsidR="00C73466" w:rsidRPr="00C73466">
        <w:rPr>
          <w:rFonts w:ascii="Arial" w:hAnsi="Arial" w:cs="Arial"/>
          <w:color w:val="626262"/>
          <w:sz w:val="22"/>
          <w:szCs w:val="22"/>
        </w:rPr>
        <w:t xml:space="preserve"> </w:t>
      </w:r>
      <w:r w:rsidRPr="00895BBD">
        <w:rPr>
          <w:rFonts w:ascii="Arial" w:hAnsi="Arial" w:cs="Arial"/>
          <w:color w:val="626262"/>
          <w:sz w:val="22"/>
          <w:szCs w:val="22"/>
        </w:rPr>
        <w:t>es un</w:t>
      </w:r>
      <w:r w:rsidRPr="00C73466">
        <w:rPr>
          <w:rFonts w:ascii="Arial" w:hAnsi="Arial" w:cs="Arial"/>
          <w:color w:val="626262"/>
          <w:sz w:val="22"/>
          <w:szCs w:val="22"/>
        </w:rPr>
        <w:t xml:space="preserve"> </w:t>
      </w:r>
      <w:r w:rsidRPr="00895BBD">
        <w:rPr>
          <w:rFonts w:ascii="Arial" w:hAnsi="Arial" w:cs="Arial"/>
          <w:b/>
          <w:bCs/>
          <w:color w:val="626262"/>
          <w:sz w:val="22"/>
          <w:szCs w:val="22"/>
          <w:bdr w:val="none" w:sz="0" w:space="0" w:color="auto" w:frame="1"/>
        </w:rPr>
        <w:t>concepto que dista, y mucho, de parecerse a lo previamente descrito</w:t>
      </w:r>
      <w:r w:rsidRPr="00895BBD">
        <w:rPr>
          <w:rFonts w:ascii="Arial" w:hAnsi="Arial" w:cs="Arial"/>
          <w:color w:val="626262"/>
          <w:sz w:val="22"/>
          <w:szCs w:val="22"/>
        </w:rPr>
        <w:t>.</w:t>
      </w:r>
    </w:p>
    <w:p w14:paraId="05ED16C0" w14:textId="7B98E380" w:rsidR="00895BBD" w:rsidRPr="00C73466" w:rsidRDefault="00895BBD" w:rsidP="00C73466">
      <w:pPr>
        <w:ind w:left="708"/>
        <w:rPr>
          <w:rFonts w:ascii="Arial" w:hAnsi="Arial" w:cs="Arial"/>
          <w:sz w:val="22"/>
          <w:szCs w:val="22"/>
        </w:rPr>
      </w:pPr>
      <w:r w:rsidRPr="00C73466">
        <w:rPr>
          <w:rFonts w:ascii="Arial" w:hAnsi="Arial" w:cs="Arial"/>
          <w:color w:val="626262"/>
          <w:sz w:val="22"/>
          <w:szCs w:val="22"/>
          <w:shd w:val="clear" w:color="auto" w:fill="FFFFFF"/>
        </w:rPr>
        <w:t>La</w:t>
      </w:r>
      <w:r w:rsidR="00C73466" w:rsidRPr="00C73466">
        <w:rPr>
          <w:rFonts w:ascii="Arial" w:hAnsi="Arial" w:cs="Arial"/>
          <w:color w:val="626262"/>
          <w:sz w:val="22"/>
          <w:szCs w:val="22"/>
          <w:shd w:val="clear" w:color="auto" w:fill="FFFFFF"/>
        </w:rPr>
        <w:t xml:space="preserve"> </w:t>
      </w:r>
      <w:r w:rsidRPr="00C73466">
        <w:rPr>
          <w:rFonts w:ascii="Arial" w:hAnsi="Arial" w:cs="Arial"/>
          <w:b/>
          <w:bCs/>
          <w:color w:val="626262"/>
          <w:sz w:val="22"/>
          <w:szCs w:val="22"/>
          <w:bdr w:val="none" w:sz="0" w:space="0" w:color="auto" w:frame="1"/>
          <w:shd w:val="clear" w:color="auto" w:fill="FFFFFF"/>
        </w:rPr>
        <w:t>prejubilación</w:t>
      </w:r>
      <w:r w:rsidRPr="00C73466">
        <w:rPr>
          <w:rFonts w:ascii="Arial" w:hAnsi="Arial" w:cs="Arial"/>
          <w:color w:val="626262"/>
          <w:sz w:val="22"/>
          <w:szCs w:val="22"/>
          <w:shd w:val="clear" w:color="auto" w:fill="FFFFFF"/>
        </w:rPr>
        <w:t>, la cual no está contemplada en la normativa de la Seguridad Social, es un a</w:t>
      </w:r>
      <w:r w:rsidRPr="00C73466">
        <w:rPr>
          <w:rFonts w:ascii="Arial" w:hAnsi="Arial" w:cs="Arial"/>
          <w:b/>
          <w:bCs/>
          <w:color w:val="626262"/>
          <w:sz w:val="22"/>
          <w:szCs w:val="22"/>
          <w:bdr w:val="none" w:sz="0" w:space="0" w:color="auto" w:frame="1"/>
          <w:shd w:val="clear" w:color="auto" w:fill="FFFFFF"/>
        </w:rPr>
        <w:t>cuerdo entre la empresa y el trabajador para dar por concluida su relación laboral</w:t>
      </w:r>
      <w:r w:rsidR="00C73466" w:rsidRPr="00C73466">
        <w:rPr>
          <w:rFonts w:ascii="Arial" w:hAnsi="Arial" w:cs="Arial"/>
          <w:b/>
          <w:bCs/>
          <w:color w:val="626262"/>
          <w:sz w:val="22"/>
          <w:szCs w:val="22"/>
          <w:bdr w:val="none" w:sz="0" w:space="0" w:color="auto" w:frame="1"/>
          <w:shd w:val="clear" w:color="auto" w:fill="FFFFFF"/>
        </w:rPr>
        <w:t xml:space="preserve"> </w:t>
      </w:r>
      <w:r w:rsidRPr="00C73466">
        <w:rPr>
          <w:rFonts w:ascii="Arial" w:hAnsi="Arial" w:cs="Arial"/>
          <w:color w:val="626262"/>
          <w:sz w:val="22"/>
          <w:szCs w:val="22"/>
          <w:shd w:val="clear" w:color="auto" w:fill="FFFFFF"/>
        </w:rPr>
        <w:t>en unas</w:t>
      </w:r>
      <w:r w:rsidR="00C73466" w:rsidRPr="00C73466">
        <w:rPr>
          <w:rFonts w:ascii="Arial" w:hAnsi="Arial" w:cs="Arial"/>
          <w:color w:val="626262"/>
          <w:sz w:val="22"/>
          <w:szCs w:val="22"/>
          <w:shd w:val="clear" w:color="auto" w:fill="FFFFFF"/>
        </w:rPr>
        <w:t xml:space="preserve"> </w:t>
      </w:r>
      <w:r w:rsidRPr="00C73466">
        <w:rPr>
          <w:rFonts w:ascii="Arial" w:hAnsi="Arial" w:cs="Arial"/>
          <w:b/>
          <w:bCs/>
          <w:color w:val="626262"/>
          <w:sz w:val="22"/>
          <w:szCs w:val="22"/>
          <w:bdr w:val="none" w:sz="0" w:space="0" w:color="auto" w:frame="1"/>
          <w:shd w:val="clear" w:color="auto" w:fill="FFFFFF"/>
        </w:rPr>
        <w:t>condiciones que permitan al trabajador llegar a la edad legal de jubilación con unas garantías económicas iguales o parecidas</w:t>
      </w:r>
      <w:r w:rsidR="00C73466" w:rsidRPr="00C73466">
        <w:rPr>
          <w:rFonts w:ascii="Arial" w:hAnsi="Arial" w:cs="Arial"/>
          <w:color w:val="626262"/>
          <w:sz w:val="22"/>
          <w:szCs w:val="22"/>
          <w:shd w:val="clear" w:color="auto" w:fill="FFFFFF"/>
        </w:rPr>
        <w:t xml:space="preserve"> </w:t>
      </w:r>
      <w:r w:rsidRPr="00C73466">
        <w:rPr>
          <w:rFonts w:ascii="Arial" w:hAnsi="Arial" w:cs="Arial"/>
          <w:color w:val="626262"/>
          <w:sz w:val="22"/>
          <w:szCs w:val="22"/>
          <w:shd w:val="clear" w:color="auto" w:fill="FFFFFF"/>
        </w:rPr>
        <w:t>a las que tenía cuando se encontraba en activo</w:t>
      </w:r>
    </w:p>
    <w:p w14:paraId="440BEEC4" w14:textId="05B39182" w:rsidR="00C73466" w:rsidRPr="00C73466" w:rsidRDefault="00C73466" w:rsidP="00C73466">
      <w:pPr>
        <w:ind w:left="708" w:firstLine="12"/>
        <w:rPr>
          <w:rFonts w:ascii="Arial" w:hAnsi="Arial" w:cs="Arial"/>
          <w:sz w:val="22"/>
          <w:szCs w:val="22"/>
        </w:rPr>
      </w:pPr>
      <w:r>
        <w:rPr>
          <w:rFonts w:ascii="Arial" w:hAnsi="Arial" w:cs="Arial"/>
          <w:b/>
          <w:bCs/>
          <w:color w:val="626262"/>
          <w:sz w:val="22"/>
          <w:szCs w:val="22"/>
          <w:bdr w:val="none" w:sz="0" w:space="0" w:color="auto" w:frame="1"/>
          <w:shd w:val="clear" w:color="auto" w:fill="FFFFFF"/>
        </w:rPr>
        <w:t>L</w:t>
      </w:r>
      <w:r w:rsidRPr="00C73466">
        <w:rPr>
          <w:rFonts w:ascii="Arial" w:hAnsi="Arial" w:cs="Arial"/>
          <w:b/>
          <w:bCs/>
          <w:color w:val="626262"/>
          <w:sz w:val="22"/>
          <w:szCs w:val="22"/>
          <w:bdr w:val="none" w:sz="0" w:space="0" w:color="auto" w:frame="1"/>
          <w:shd w:val="clear" w:color="auto" w:fill="FFFFFF"/>
        </w:rPr>
        <w:t>egalmente, no existen unos requisitos a cumplir para la prejubilación</w:t>
      </w:r>
      <w:r w:rsidRPr="00C73466">
        <w:rPr>
          <w:rFonts w:ascii="Arial" w:hAnsi="Arial" w:cs="Arial"/>
          <w:color w:val="626262"/>
          <w:sz w:val="22"/>
          <w:szCs w:val="22"/>
          <w:shd w:val="clear" w:color="auto" w:fill="FFFFFF"/>
        </w:rPr>
        <w:t>, más allá de los que establezca la empresa para la firma del acuerdo,</w:t>
      </w:r>
      <w:r>
        <w:rPr>
          <w:rFonts w:ascii="Arial" w:hAnsi="Arial" w:cs="Arial"/>
          <w:color w:val="626262"/>
          <w:sz w:val="22"/>
          <w:szCs w:val="22"/>
          <w:shd w:val="clear" w:color="auto" w:fill="FFFFFF"/>
        </w:rPr>
        <w:t xml:space="preserve"> </w:t>
      </w:r>
      <w:r w:rsidRPr="00C73466">
        <w:rPr>
          <w:rFonts w:ascii="Arial" w:hAnsi="Arial" w:cs="Arial"/>
          <w:b/>
          <w:bCs/>
          <w:color w:val="626262"/>
          <w:sz w:val="22"/>
          <w:szCs w:val="22"/>
          <w:bdr w:val="none" w:sz="0" w:space="0" w:color="auto" w:frame="1"/>
          <w:shd w:val="clear" w:color="auto" w:fill="FFFFFF"/>
        </w:rPr>
        <w:t xml:space="preserve">lo habitual es que se ofrezca esta “opción” </w:t>
      </w:r>
      <w:r w:rsidRPr="00C73466">
        <w:rPr>
          <w:rFonts w:ascii="Arial" w:hAnsi="Arial" w:cs="Arial"/>
          <w:color w:val="626262"/>
          <w:sz w:val="22"/>
          <w:szCs w:val="22"/>
          <w:shd w:val="clear" w:color="auto" w:fill="FFFFFF"/>
        </w:rPr>
        <w:t>a aquellos que:</w:t>
      </w:r>
    </w:p>
    <w:p w14:paraId="639B4BCF" w14:textId="77777777" w:rsidR="00C73466" w:rsidRPr="00C73466" w:rsidRDefault="00C73466" w:rsidP="004F7A62">
      <w:pPr>
        <w:numPr>
          <w:ilvl w:val="0"/>
          <w:numId w:val="249"/>
        </w:numPr>
        <w:shd w:val="clear" w:color="auto" w:fill="FFFFFF"/>
        <w:spacing w:before="120" w:after="120"/>
        <w:ind w:left="1080"/>
        <w:textAlignment w:val="baseline"/>
        <w:rPr>
          <w:rFonts w:ascii="Arial" w:hAnsi="Arial" w:cs="Arial"/>
          <w:color w:val="626262"/>
          <w:sz w:val="22"/>
          <w:szCs w:val="22"/>
        </w:rPr>
      </w:pPr>
      <w:r w:rsidRPr="00C73466">
        <w:rPr>
          <w:rFonts w:ascii="Arial" w:hAnsi="Arial" w:cs="Arial"/>
          <w:color w:val="626262"/>
          <w:sz w:val="22"/>
          <w:szCs w:val="22"/>
        </w:rPr>
        <w:lastRenderedPageBreak/>
        <w:t>Tengan 55 o más.</w:t>
      </w:r>
    </w:p>
    <w:p w14:paraId="57B82528" w14:textId="77777777" w:rsidR="00C73466" w:rsidRPr="00C73466" w:rsidRDefault="00C73466" w:rsidP="004F7A62">
      <w:pPr>
        <w:numPr>
          <w:ilvl w:val="0"/>
          <w:numId w:val="249"/>
        </w:numPr>
        <w:shd w:val="clear" w:color="auto" w:fill="FFFFFF"/>
        <w:spacing w:before="120" w:after="120"/>
        <w:ind w:left="1080"/>
        <w:textAlignment w:val="baseline"/>
        <w:rPr>
          <w:rFonts w:ascii="Arial" w:hAnsi="Arial" w:cs="Arial"/>
          <w:color w:val="626262"/>
          <w:sz w:val="22"/>
          <w:szCs w:val="22"/>
        </w:rPr>
      </w:pPr>
      <w:r w:rsidRPr="00C73466">
        <w:rPr>
          <w:rFonts w:ascii="Arial" w:hAnsi="Arial" w:cs="Arial"/>
          <w:color w:val="626262"/>
          <w:sz w:val="22"/>
          <w:szCs w:val="22"/>
        </w:rPr>
        <w:t>No puedan acceder a la jubilación anticipada (y su única “alternativa” sea la prejubilación).</w:t>
      </w:r>
    </w:p>
    <w:p w14:paraId="4E76567B" w14:textId="77777777" w:rsidR="00C73466" w:rsidRPr="00C73466" w:rsidRDefault="00C73466" w:rsidP="004F7A62">
      <w:pPr>
        <w:numPr>
          <w:ilvl w:val="0"/>
          <w:numId w:val="249"/>
        </w:numPr>
        <w:shd w:val="clear" w:color="auto" w:fill="FFFFFF"/>
        <w:spacing w:before="120" w:after="120"/>
        <w:ind w:left="1080"/>
        <w:textAlignment w:val="baseline"/>
        <w:rPr>
          <w:rFonts w:ascii="Arial" w:hAnsi="Arial" w:cs="Arial"/>
          <w:color w:val="626262"/>
          <w:sz w:val="22"/>
          <w:szCs w:val="22"/>
        </w:rPr>
      </w:pPr>
      <w:r w:rsidRPr="00C73466">
        <w:rPr>
          <w:rFonts w:ascii="Arial" w:hAnsi="Arial" w:cs="Arial"/>
          <w:color w:val="626262"/>
          <w:sz w:val="22"/>
          <w:szCs w:val="22"/>
        </w:rPr>
        <w:t>Hayan cotizado los años suficientes a la Seguridad (por no alcanzar la edad que se necesita o no tengan los años cotizados que se exigen).</w:t>
      </w:r>
    </w:p>
    <w:p w14:paraId="2CE09C8E" w14:textId="77777777" w:rsidR="00C73466" w:rsidRPr="00C73466" w:rsidRDefault="00C73466" w:rsidP="004F7A62">
      <w:pPr>
        <w:numPr>
          <w:ilvl w:val="0"/>
          <w:numId w:val="249"/>
        </w:numPr>
        <w:shd w:val="clear" w:color="auto" w:fill="FFFFFF"/>
        <w:spacing w:before="120" w:after="120"/>
        <w:ind w:left="1080"/>
        <w:textAlignment w:val="baseline"/>
        <w:rPr>
          <w:rFonts w:ascii="Arial" w:hAnsi="Arial" w:cs="Arial"/>
          <w:color w:val="626262"/>
          <w:sz w:val="22"/>
          <w:szCs w:val="22"/>
        </w:rPr>
      </w:pPr>
      <w:r w:rsidRPr="00C73466">
        <w:rPr>
          <w:rFonts w:ascii="Arial" w:hAnsi="Arial" w:cs="Arial"/>
          <w:color w:val="626262"/>
          <w:sz w:val="22"/>
          <w:szCs w:val="22"/>
        </w:rPr>
        <w:t>Tengan una determinada antigüedad en la empresa.</w:t>
      </w:r>
    </w:p>
    <w:p w14:paraId="649FC755" w14:textId="77777777" w:rsidR="00AF3038" w:rsidRDefault="00C73466" w:rsidP="00AF3038">
      <w:pPr>
        <w:pStyle w:val="NormalWeb"/>
        <w:shd w:val="clear" w:color="auto" w:fill="FFFFFF"/>
        <w:spacing w:before="0" w:beforeAutospacing="0" w:after="0" w:afterAutospacing="0"/>
        <w:ind w:left="708"/>
        <w:textAlignment w:val="baseline"/>
        <w:rPr>
          <w:rFonts w:ascii="Arial" w:hAnsi="Arial" w:cs="Arial"/>
          <w:b/>
          <w:bCs/>
          <w:color w:val="626262"/>
          <w:sz w:val="22"/>
          <w:szCs w:val="22"/>
          <w:bdr w:val="none" w:sz="0" w:space="0" w:color="auto" w:frame="1"/>
          <w:shd w:val="clear" w:color="auto" w:fill="FFFFFF"/>
        </w:rPr>
      </w:pPr>
      <w:r w:rsidRPr="00C73466">
        <w:rPr>
          <w:rFonts w:ascii="Arial" w:hAnsi="Arial" w:cs="Arial"/>
          <w:color w:val="626262"/>
          <w:sz w:val="22"/>
          <w:szCs w:val="22"/>
          <w:shd w:val="clear" w:color="auto" w:fill="FFFFFF"/>
        </w:rPr>
        <w:t xml:space="preserve">El empleado y la empresa </w:t>
      </w:r>
      <w:r w:rsidRPr="00C73466">
        <w:rPr>
          <w:rFonts w:ascii="Arial" w:hAnsi="Arial" w:cs="Arial"/>
          <w:b/>
          <w:bCs/>
          <w:color w:val="626262"/>
          <w:sz w:val="22"/>
          <w:szCs w:val="22"/>
          <w:bdr w:val="none" w:sz="0" w:space="0" w:color="auto" w:frame="1"/>
          <w:shd w:val="clear" w:color="auto" w:fill="FFFFFF"/>
        </w:rPr>
        <w:t xml:space="preserve">llegan a un acuerdo para que el trabajador reciba una cantidad de dinero determinada </w:t>
      </w:r>
      <w:r w:rsidRPr="00C73466">
        <w:rPr>
          <w:rFonts w:ascii="Arial" w:hAnsi="Arial" w:cs="Arial"/>
          <w:color w:val="626262"/>
          <w:sz w:val="22"/>
          <w:szCs w:val="22"/>
          <w:shd w:val="clear" w:color="auto" w:fill="FFFFFF"/>
        </w:rPr>
        <w:t xml:space="preserve">que </w:t>
      </w:r>
      <w:r w:rsidRPr="00C73466">
        <w:rPr>
          <w:rFonts w:ascii="Arial" w:hAnsi="Arial" w:cs="Arial"/>
          <w:b/>
          <w:bCs/>
          <w:color w:val="626262"/>
          <w:sz w:val="22"/>
          <w:szCs w:val="22"/>
          <w:bdr w:val="none" w:sz="0" w:space="0" w:color="auto" w:frame="1"/>
          <w:shd w:val="clear" w:color="auto" w:fill="FFFFFF"/>
        </w:rPr>
        <w:t>complemente su prestación por desempleo hasta el momento en que, por fin, se pueda acoger a la jubilación anticipada o a la jubilación ordinaria.</w:t>
      </w:r>
    </w:p>
    <w:p w14:paraId="4767F1CD" w14:textId="4425E79D" w:rsidR="00AF3038" w:rsidRPr="00AF3038" w:rsidRDefault="00C73466" w:rsidP="00AF3038">
      <w:pPr>
        <w:pStyle w:val="NormalWeb"/>
        <w:shd w:val="clear" w:color="auto" w:fill="FFFFFF"/>
        <w:spacing w:before="0" w:beforeAutospacing="0" w:after="0" w:afterAutospacing="0"/>
        <w:ind w:left="708"/>
        <w:textAlignment w:val="baseline"/>
        <w:rPr>
          <w:rFonts w:ascii="Arial" w:hAnsi="Arial" w:cs="Arial"/>
          <w:color w:val="626262"/>
          <w:sz w:val="22"/>
          <w:szCs w:val="22"/>
        </w:rPr>
      </w:pPr>
      <w:r w:rsidRPr="00C73466">
        <w:rPr>
          <w:rFonts w:ascii="Arial" w:hAnsi="Arial" w:cs="Arial"/>
          <w:b/>
          <w:bCs/>
          <w:color w:val="626262"/>
          <w:sz w:val="22"/>
          <w:szCs w:val="22"/>
          <w:bdr w:val="none" w:sz="0" w:space="0" w:color="auto" w:frame="1"/>
          <w:shd w:val="clear" w:color="auto" w:fill="FFFFFF"/>
        </w:rPr>
        <w:t>Lo más habitual es que el trabajador ingrese, mensualmente, entre el 60% y el 80% de su sueldo</w:t>
      </w:r>
      <w:r w:rsidR="00AF3038">
        <w:rPr>
          <w:rFonts w:ascii="Arial" w:hAnsi="Arial" w:cs="Arial"/>
          <w:b/>
          <w:bCs/>
          <w:color w:val="626262"/>
          <w:sz w:val="22"/>
          <w:szCs w:val="22"/>
          <w:bdr w:val="none" w:sz="0" w:space="0" w:color="auto" w:frame="1"/>
          <w:shd w:val="clear" w:color="auto" w:fill="FFFFFF"/>
        </w:rPr>
        <w:t xml:space="preserve">. </w:t>
      </w:r>
      <w:r w:rsidR="00AF3038" w:rsidRPr="00AF3038">
        <w:rPr>
          <w:rFonts w:ascii="Arial" w:hAnsi="Arial" w:cs="Arial"/>
          <w:color w:val="626262"/>
          <w:sz w:val="22"/>
          <w:szCs w:val="22"/>
        </w:rPr>
        <w:t>Para</w:t>
      </w:r>
      <w:r w:rsidR="00AF3038">
        <w:rPr>
          <w:rFonts w:ascii="Arial" w:hAnsi="Arial" w:cs="Arial"/>
          <w:color w:val="626262"/>
          <w:sz w:val="22"/>
          <w:szCs w:val="22"/>
        </w:rPr>
        <w:t xml:space="preserve"> </w:t>
      </w:r>
      <w:r w:rsidR="00AF3038" w:rsidRPr="00AF3038">
        <w:rPr>
          <w:rFonts w:ascii="Arial" w:hAnsi="Arial" w:cs="Arial"/>
          <w:b/>
          <w:bCs/>
          <w:color w:val="626262"/>
          <w:sz w:val="22"/>
          <w:szCs w:val="22"/>
          <w:bdr w:val="none" w:sz="0" w:space="0" w:color="auto" w:frame="1"/>
        </w:rPr>
        <w:t>calcular el importe de la jubilación</w:t>
      </w:r>
      <w:r w:rsidR="00AF3038" w:rsidRPr="00AF3038">
        <w:rPr>
          <w:rFonts w:ascii="Arial" w:hAnsi="Arial" w:cs="Arial"/>
          <w:color w:val="626262"/>
          <w:sz w:val="22"/>
          <w:szCs w:val="22"/>
        </w:rPr>
        <w:t>, en base al porcentaje que hemos indicado, la empresa tiene en cuenta</w:t>
      </w:r>
      <w:r w:rsidR="00AF3038">
        <w:rPr>
          <w:rFonts w:ascii="Arial" w:hAnsi="Arial" w:cs="Arial"/>
          <w:color w:val="626262"/>
          <w:sz w:val="22"/>
          <w:szCs w:val="22"/>
        </w:rPr>
        <w:t xml:space="preserve"> </w:t>
      </w:r>
      <w:r w:rsidR="00AF3038" w:rsidRPr="00AF3038">
        <w:rPr>
          <w:rFonts w:ascii="Arial" w:hAnsi="Arial" w:cs="Arial"/>
          <w:b/>
          <w:bCs/>
          <w:color w:val="626262"/>
          <w:sz w:val="22"/>
          <w:szCs w:val="22"/>
          <w:bdr w:val="none" w:sz="0" w:space="0" w:color="auto" w:frame="1"/>
        </w:rPr>
        <w:t>una serie de factores</w:t>
      </w:r>
      <w:r w:rsidR="00AF3038" w:rsidRPr="00AF3038">
        <w:rPr>
          <w:rFonts w:ascii="Arial" w:hAnsi="Arial" w:cs="Arial"/>
          <w:color w:val="626262"/>
          <w:sz w:val="22"/>
          <w:szCs w:val="22"/>
        </w:rPr>
        <w:t>, destacando:</w:t>
      </w:r>
    </w:p>
    <w:p w14:paraId="79B43064" w14:textId="0C93F3B0" w:rsidR="00AF3038" w:rsidRPr="00AF3038" w:rsidRDefault="00AF3038" w:rsidP="004F7A62">
      <w:pPr>
        <w:numPr>
          <w:ilvl w:val="0"/>
          <w:numId w:val="250"/>
        </w:numPr>
        <w:shd w:val="clear" w:color="auto" w:fill="FFFFFF"/>
        <w:ind w:left="1080"/>
        <w:textAlignment w:val="baseline"/>
        <w:rPr>
          <w:rFonts w:ascii="Arial" w:hAnsi="Arial" w:cs="Arial"/>
          <w:color w:val="626262"/>
          <w:sz w:val="22"/>
          <w:szCs w:val="22"/>
        </w:rPr>
      </w:pPr>
      <w:r w:rsidRPr="00AF3038">
        <w:rPr>
          <w:rFonts w:ascii="Arial" w:hAnsi="Arial" w:cs="Arial"/>
          <w:b/>
          <w:bCs/>
          <w:color w:val="626262"/>
          <w:sz w:val="22"/>
          <w:szCs w:val="22"/>
          <w:bdr w:val="none" w:sz="0" w:space="0" w:color="auto" w:frame="1"/>
        </w:rPr>
        <w:t>Edad del trabajador</w:t>
      </w:r>
      <w:r>
        <w:rPr>
          <w:rFonts w:ascii="Arial" w:hAnsi="Arial" w:cs="Arial"/>
          <w:b/>
          <w:bCs/>
          <w:color w:val="626262"/>
          <w:sz w:val="22"/>
          <w:szCs w:val="22"/>
          <w:bdr w:val="none" w:sz="0" w:space="0" w:color="auto" w:frame="1"/>
        </w:rPr>
        <w:t xml:space="preserve"> </w:t>
      </w:r>
      <w:r w:rsidRPr="00AF3038">
        <w:rPr>
          <w:rFonts w:ascii="Arial" w:hAnsi="Arial" w:cs="Arial"/>
          <w:color w:val="626262"/>
          <w:sz w:val="22"/>
          <w:szCs w:val="22"/>
        </w:rPr>
        <w:t>(como hemos advertido, lo normal es que se prejubile a partir de los 55 años, aunque puede ser antes).</w:t>
      </w:r>
    </w:p>
    <w:p w14:paraId="10B17440" w14:textId="2ADCDB43" w:rsidR="00AF3038" w:rsidRPr="00AF3038" w:rsidRDefault="00AF3038" w:rsidP="004F7A62">
      <w:pPr>
        <w:numPr>
          <w:ilvl w:val="0"/>
          <w:numId w:val="250"/>
        </w:numPr>
        <w:shd w:val="clear" w:color="auto" w:fill="FFFFFF"/>
        <w:ind w:left="1080"/>
        <w:textAlignment w:val="baseline"/>
        <w:rPr>
          <w:rFonts w:ascii="Arial" w:hAnsi="Arial" w:cs="Arial"/>
          <w:color w:val="626262"/>
          <w:sz w:val="22"/>
          <w:szCs w:val="22"/>
        </w:rPr>
      </w:pPr>
      <w:r w:rsidRPr="00AF3038">
        <w:rPr>
          <w:rFonts w:ascii="Arial" w:hAnsi="Arial" w:cs="Arial"/>
          <w:b/>
          <w:bCs/>
          <w:color w:val="626262"/>
          <w:sz w:val="22"/>
          <w:szCs w:val="22"/>
          <w:bdr w:val="none" w:sz="0" w:space="0" w:color="auto" w:frame="1"/>
        </w:rPr>
        <w:t>Antigüedad en la empresa</w:t>
      </w:r>
      <w:r>
        <w:rPr>
          <w:rFonts w:ascii="Arial" w:hAnsi="Arial" w:cs="Arial"/>
          <w:color w:val="626262"/>
          <w:sz w:val="22"/>
          <w:szCs w:val="22"/>
        </w:rPr>
        <w:t xml:space="preserve"> </w:t>
      </w:r>
      <w:r w:rsidRPr="00AF3038">
        <w:rPr>
          <w:rFonts w:ascii="Arial" w:hAnsi="Arial" w:cs="Arial"/>
          <w:color w:val="626262"/>
          <w:sz w:val="22"/>
          <w:szCs w:val="22"/>
        </w:rPr>
        <w:t>(la establece la propia compañía).</w:t>
      </w:r>
    </w:p>
    <w:p w14:paraId="02C581E9" w14:textId="6F70BE9E" w:rsidR="00AF3038" w:rsidRPr="00AF3038" w:rsidRDefault="00AF3038" w:rsidP="004F7A62">
      <w:pPr>
        <w:numPr>
          <w:ilvl w:val="0"/>
          <w:numId w:val="250"/>
        </w:numPr>
        <w:shd w:val="clear" w:color="auto" w:fill="FFFFFF"/>
        <w:ind w:left="1080"/>
        <w:textAlignment w:val="baseline"/>
        <w:rPr>
          <w:rFonts w:ascii="Arial" w:hAnsi="Arial" w:cs="Arial"/>
          <w:color w:val="626262"/>
          <w:sz w:val="22"/>
          <w:szCs w:val="22"/>
        </w:rPr>
      </w:pPr>
      <w:r w:rsidRPr="00AF3038">
        <w:rPr>
          <w:rFonts w:ascii="Arial" w:hAnsi="Arial" w:cs="Arial"/>
          <w:b/>
          <w:bCs/>
          <w:color w:val="626262"/>
          <w:sz w:val="22"/>
          <w:szCs w:val="22"/>
          <w:bdr w:val="none" w:sz="0" w:space="0" w:color="auto" w:frame="1"/>
        </w:rPr>
        <w:t>Duración</w:t>
      </w:r>
      <w:r>
        <w:rPr>
          <w:rFonts w:ascii="Arial" w:hAnsi="Arial" w:cs="Arial"/>
          <w:color w:val="626262"/>
          <w:sz w:val="22"/>
          <w:szCs w:val="22"/>
        </w:rPr>
        <w:t xml:space="preserve"> </w:t>
      </w:r>
      <w:r w:rsidRPr="00AF3038">
        <w:rPr>
          <w:rFonts w:ascii="Arial" w:hAnsi="Arial" w:cs="Arial"/>
          <w:color w:val="626262"/>
          <w:sz w:val="22"/>
          <w:szCs w:val="22"/>
        </w:rPr>
        <w:t>de la prejubilación.</w:t>
      </w:r>
    </w:p>
    <w:p w14:paraId="67C2CE0F" w14:textId="6E158622" w:rsidR="00C73466" w:rsidRPr="00AF3038" w:rsidRDefault="00C73466" w:rsidP="00AF3038">
      <w:pPr>
        <w:pBdr>
          <w:bottom w:val="dotted" w:sz="12" w:space="12" w:color="666666"/>
        </w:pBdr>
        <w:spacing w:after="240"/>
        <w:ind w:left="720"/>
        <w:jc w:val="both"/>
        <w:rPr>
          <w:rFonts w:ascii="Arial" w:hAnsi="Arial" w:cs="Arial"/>
          <w:b/>
          <w:bCs/>
          <w:color w:val="626262"/>
          <w:sz w:val="22"/>
          <w:szCs w:val="22"/>
          <w:bdr w:val="none" w:sz="0" w:space="0" w:color="auto" w:frame="1"/>
          <w:shd w:val="clear" w:color="auto" w:fill="FFFFFF"/>
        </w:rPr>
      </w:pPr>
    </w:p>
    <w:p w14:paraId="569DC713" w14:textId="3C4018C1" w:rsidR="00507B6E"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Premio </w:t>
      </w:r>
    </w:p>
    <w:p w14:paraId="3AB05E83" w14:textId="77777777" w:rsidR="00C35436" w:rsidRPr="00CF1B34" w:rsidRDefault="00C3543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dice que una divisa esta a premio en una operación FWD cuando el tipo de interés de esta divisa es menor que la del dólar USA.</w:t>
      </w:r>
    </w:p>
    <w:p w14:paraId="4BD86BDA" w14:textId="52F46D23" w:rsidR="005E39A8" w:rsidRDefault="005E39A8"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Presión fiscal</w:t>
      </w:r>
    </w:p>
    <w:p w14:paraId="7029CA3E" w14:textId="77777777" w:rsidR="00C34BEB" w:rsidRPr="00C34BEB" w:rsidRDefault="00C34BEB" w:rsidP="005F40C2">
      <w:pPr>
        <w:ind w:left="708"/>
        <w:rPr>
          <w:rFonts w:ascii="Arial" w:hAnsi="Arial" w:cs="Arial"/>
          <w:sz w:val="22"/>
          <w:szCs w:val="22"/>
        </w:rPr>
      </w:pPr>
      <w:r w:rsidRPr="00C34BEB">
        <w:rPr>
          <w:rFonts w:ascii="Arial" w:hAnsi="Arial" w:cs="Arial"/>
          <w:sz w:val="22"/>
          <w:szCs w:val="22"/>
        </w:rPr>
        <w:t>La presión fiscal, es el total de los impuestos recaudados por el sector público de un país respecto al PIB, por lo que viene expresada como un % respecto al PIB. La presión fiscal se refiere a todos los impuestos, tanto los directos como los indirectos, pagados tanto por las empresas como por los particulares.</w:t>
      </w:r>
    </w:p>
    <w:p w14:paraId="0E409DF8" w14:textId="77777777" w:rsidR="00C34BEB" w:rsidRPr="00C34BEB" w:rsidRDefault="00C34BEB" w:rsidP="005F40C2">
      <w:pPr>
        <w:ind w:left="708"/>
        <w:rPr>
          <w:rFonts w:ascii="Arial" w:hAnsi="Arial" w:cs="Arial"/>
          <w:sz w:val="22"/>
          <w:szCs w:val="22"/>
        </w:rPr>
      </w:pPr>
      <w:r w:rsidRPr="00C34BEB">
        <w:rPr>
          <w:rFonts w:ascii="Arial" w:hAnsi="Arial" w:cs="Arial"/>
          <w:sz w:val="22"/>
          <w:szCs w:val="22"/>
        </w:rPr>
        <w:t>En definitiva, la presión fiscal es el porcentaje del PIB que los ciudadanos de una región dedican a pagar impuestos.</w:t>
      </w:r>
    </w:p>
    <w:p w14:paraId="5FF8E6DE" w14:textId="77777777" w:rsidR="00C34BEB" w:rsidRPr="00C34BEB" w:rsidRDefault="00C34BEB" w:rsidP="005F40C2">
      <w:pPr>
        <w:ind w:left="708"/>
        <w:rPr>
          <w:rFonts w:ascii="Arial" w:hAnsi="Arial" w:cs="Arial"/>
          <w:sz w:val="22"/>
          <w:szCs w:val="22"/>
        </w:rPr>
      </w:pPr>
      <w:r w:rsidRPr="00C34BEB">
        <w:rPr>
          <w:rFonts w:ascii="Arial" w:hAnsi="Arial" w:cs="Arial"/>
          <w:sz w:val="22"/>
          <w:szCs w:val="22"/>
        </w:rPr>
        <w:t>Por lo tanto, la fórmula de la presión fiscal es la división de la recaudación fiscal total entre el PIB.</w:t>
      </w:r>
    </w:p>
    <w:p w14:paraId="6ABDC031" w14:textId="77777777" w:rsidR="00C34BEB" w:rsidRPr="00C34BEB" w:rsidRDefault="00C34BEB" w:rsidP="005F40C2">
      <w:pPr>
        <w:ind w:firstLine="708"/>
        <w:rPr>
          <w:rFonts w:ascii="Arial" w:hAnsi="Arial" w:cs="Arial"/>
          <w:sz w:val="22"/>
          <w:szCs w:val="22"/>
        </w:rPr>
      </w:pPr>
      <w:r w:rsidRPr="00C34BEB">
        <w:rPr>
          <w:rStyle w:val="Textoennegrita"/>
          <w:rFonts w:ascii="Arial" w:hAnsi="Arial" w:cs="Arial"/>
          <w:color w:val="333333"/>
          <w:sz w:val="22"/>
          <w:szCs w:val="22"/>
        </w:rPr>
        <w:t>PF= RF/PIB X 100</w:t>
      </w:r>
    </w:p>
    <w:p w14:paraId="0C830713" w14:textId="77777777" w:rsidR="00C34BEB" w:rsidRPr="00C34BEB" w:rsidRDefault="00C34BEB" w:rsidP="005F40C2">
      <w:pPr>
        <w:ind w:firstLine="708"/>
        <w:rPr>
          <w:rFonts w:ascii="Arial" w:hAnsi="Arial" w:cs="Arial"/>
          <w:sz w:val="22"/>
          <w:szCs w:val="22"/>
        </w:rPr>
      </w:pPr>
      <w:r w:rsidRPr="00C34BEB">
        <w:rPr>
          <w:rFonts w:ascii="Arial" w:hAnsi="Arial" w:cs="Arial"/>
          <w:sz w:val="22"/>
          <w:szCs w:val="22"/>
        </w:rPr>
        <w:t>Siendo:</w:t>
      </w:r>
    </w:p>
    <w:p w14:paraId="19B30D44" w14:textId="77777777" w:rsidR="00C34BEB" w:rsidRPr="00C34BEB" w:rsidRDefault="00C34BEB" w:rsidP="005F40C2">
      <w:pPr>
        <w:ind w:firstLine="708"/>
        <w:rPr>
          <w:rFonts w:ascii="Arial" w:hAnsi="Arial" w:cs="Arial"/>
          <w:sz w:val="22"/>
          <w:szCs w:val="22"/>
        </w:rPr>
      </w:pPr>
      <w:r w:rsidRPr="00C34BEB">
        <w:rPr>
          <w:rFonts w:ascii="Arial" w:hAnsi="Arial" w:cs="Arial"/>
          <w:sz w:val="22"/>
          <w:szCs w:val="22"/>
        </w:rPr>
        <w:t>PF: Presión fiscal</w:t>
      </w:r>
    </w:p>
    <w:p w14:paraId="0510A75F" w14:textId="77777777" w:rsidR="00C34BEB" w:rsidRPr="00C34BEB" w:rsidRDefault="00C34BEB" w:rsidP="005F40C2">
      <w:pPr>
        <w:ind w:firstLine="708"/>
        <w:rPr>
          <w:rFonts w:ascii="Arial" w:hAnsi="Arial" w:cs="Arial"/>
          <w:sz w:val="22"/>
          <w:szCs w:val="22"/>
        </w:rPr>
      </w:pPr>
      <w:r w:rsidRPr="00C34BEB">
        <w:rPr>
          <w:rFonts w:ascii="Arial" w:hAnsi="Arial" w:cs="Arial"/>
          <w:sz w:val="22"/>
          <w:szCs w:val="22"/>
        </w:rPr>
        <w:t>RF: Recaudación fiscal = Ingresos fiscales</w:t>
      </w:r>
    </w:p>
    <w:p w14:paraId="443B98E9" w14:textId="77777777" w:rsidR="005F40C2" w:rsidRPr="00CF1B34" w:rsidRDefault="00C34BEB" w:rsidP="005F40C2">
      <w:pPr>
        <w:pBdr>
          <w:bottom w:val="dotted" w:sz="12" w:space="12" w:color="666666"/>
        </w:pBdr>
        <w:spacing w:after="240"/>
        <w:ind w:left="720"/>
        <w:jc w:val="both"/>
        <w:rPr>
          <w:rFonts w:ascii="Arial" w:hAnsi="Arial" w:cs="Arial"/>
          <w:color w:val="212529"/>
          <w:sz w:val="22"/>
          <w:szCs w:val="22"/>
          <w:lang w:val="es-ES_tradnl"/>
        </w:rPr>
      </w:pPr>
      <w:r w:rsidRPr="00C34BEB">
        <w:rPr>
          <w:rFonts w:ascii="Arial" w:hAnsi="Arial" w:cs="Arial"/>
          <w:sz w:val="22"/>
          <w:szCs w:val="22"/>
        </w:rPr>
        <w:t>La presión fiscal se mide con la recaudación real, es decir, no se tienen en cuenta las cantidades que no se hayan conseguido recaudar, debido, por ejemplo, a la evasión fiscal.</w:t>
      </w:r>
    </w:p>
    <w:p w14:paraId="1CE06FD5" w14:textId="027C9D57" w:rsidR="005F40C2" w:rsidRPr="007F225F" w:rsidRDefault="007F225F" w:rsidP="0005621A">
      <w:pPr>
        <w:jc w:val="both"/>
        <w:rPr>
          <w:rFonts w:ascii="Arial" w:hAnsi="Arial" w:cs="Arial"/>
          <w:b/>
          <w:bCs/>
          <w:color w:val="2F5496" w:themeColor="accent1" w:themeShade="BF"/>
          <w:sz w:val="22"/>
          <w:szCs w:val="22"/>
        </w:rPr>
      </w:pPr>
      <w:r w:rsidRPr="007F225F">
        <w:rPr>
          <w:rFonts w:ascii="Arial" w:hAnsi="Arial" w:cs="Arial"/>
          <w:b/>
          <w:bCs/>
          <w:color w:val="2F5496" w:themeColor="accent1" w:themeShade="BF"/>
          <w:sz w:val="22"/>
          <w:szCs w:val="22"/>
        </w:rPr>
        <w:t>P</w:t>
      </w:r>
      <w:r w:rsidR="005F40C2" w:rsidRPr="007F225F">
        <w:rPr>
          <w:rFonts w:ascii="Arial" w:hAnsi="Arial" w:cs="Arial"/>
          <w:b/>
          <w:bCs/>
          <w:color w:val="2F5496" w:themeColor="accent1" w:themeShade="BF"/>
          <w:sz w:val="22"/>
          <w:szCs w:val="22"/>
        </w:rPr>
        <w:t>restaciones</w:t>
      </w:r>
      <w:r w:rsidRPr="007F225F">
        <w:rPr>
          <w:rFonts w:ascii="Arial" w:hAnsi="Arial" w:cs="Arial"/>
          <w:b/>
          <w:bCs/>
          <w:color w:val="2F5496" w:themeColor="accent1" w:themeShade="BF"/>
          <w:sz w:val="22"/>
          <w:szCs w:val="22"/>
        </w:rPr>
        <w:t xml:space="preserve"> planes de pens</w:t>
      </w:r>
      <w:r>
        <w:rPr>
          <w:rFonts w:ascii="Arial" w:hAnsi="Arial" w:cs="Arial"/>
          <w:b/>
          <w:bCs/>
          <w:color w:val="2F5496" w:themeColor="accent1" w:themeShade="BF"/>
          <w:sz w:val="22"/>
          <w:szCs w:val="22"/>
        </w:rPr>
        <w:t>i</w:t>
      </w:r>
      <w:r w:rsidRPr="007F225F">
        <w:rPr>
          <w:rFonts w:ascii="Arial" w:hAnsi="Arial" w:cs="Arial"/>
          <w:b/>
          <w:bCs/>
          <w:color w:val="2F5496" w:themeColor="accent1" w:themeShade="BF"/>
          <w:sz w:val="22"/>
          <w:szCs w:val="22"/>
        </w:rPr>
        <w:t>ones</w:t>
      </w:r>
    </w:p>
    <w:p w14:paraId="14CA0113" w14:textId="71DD54EE" w:rsidR="007F225F" w:rsidRPr="007F225F" w:rsidRDefault="007F225F" w:rsidP="007F225F">
      <w:pPr>
        <w:ind w:left="708"/>
        <w:rPr>
          <w:rFonts w:ascii="Arial" w:hAnsi="Arial" w:cs="Arial"/>
          <w:sz w:val="22"/>
          <w:szCs w:val="22"/>
        </w:rPr>
      </w:pPr>
      <w:r w:rsidRPr="007F225F">
        <w:rPr>
          <w:rStyle w:val="Textoennegrita"/>
          <w:rFonts w:ascii="Arial" w:hAnsi="Arial" w:cs="Arial"/>
          <w:color w:val="333333"/>
          <w:sz w:val="22"/>
          <w:szCs w:val="22"/>
          <w:shd w:val="clear" w:color="auto" w:fill="FFFFFF"/>
        </w:rPr>
        <w:t>Las prestaciones son los derechos económicos</w:t>
      </w:r>
      <w:r w:rsidRPr="007F225F">
        <w:rPr>
          <w:rFonts w:ascii="Arial" w:hAnsi="Arial" w:cs="Arial"/>
          <w:color w:val="333333"/>
          <w:sz w:val="22"/>
          <w:szCs w:val="22"/>
          <w:shd w:val="clear" w:color="auto" w:fill="FFFFFF"/>
        </w:rPr>
        <w:t xml:space="preserve"> que percibe el partícipe de un plan de pensiones en el momento en el que se produce una de las contingencias contempladas, como lo son la jubilación, invalidez, fallecimiento, desempleo prolongado o enfermedad grave.</w:t>
      </w:r>
    </w:p>
    <w:p w14:paraId="50E2AD3C" w14:textId="77777777" w:rsidR="007F225F" w:rsidRPr="007F225F" w:rsidRDefault="007F225F" w:rsidP="007F225F">
      <w:pPr>
        <w:pStyle w:val="NormalWeb"/>
        <w:shd w:val="clear" w:color="auto" w:fill="FFFFFF"/>
        <w:spacing w:before="0" w:beforeAutospacing="0" w:after="165" w:afterAutospacing="0"/>
        <w:ind w:firstLine="708"/>
        <w:rPr>
          <w:rFonts w:ascii="Arial" w:hAnsi="Arial" w:cs="Arial"/>
          <w:color w:val="333333"/>
          <w:sz w:val="22"/>
          <w:szCs w:val="22"/>
        </w:rPr>
      </w:pPr>
      <w:r w:rsidRPr="007F225F">
        <w:rPr>
          <w:rFonts w:ascii="Arial" w:hAnsi="Arial" w:cs="Arial"/>
          <w:color w:val="333333"/>
          <w:sz w:val="22"/>
          <w:szCs w:val="22"/>
        </w:rPr>
        <w:t>Estas prestaciones pueden cobrarse de distintas formas:</w:t>
      </w:r>
    </w:p>
    <w:p w14:paraId="231CC70B" w14:textId="77777777" w:rsidR="007F225F" w:rsidRPr="007F225F" w:rsidRDefault="007F225F" w:rsidP="007F225F">
      <w:pPr>
        <w:pStyle w:val="NormalWeb"/>
        <w:shd w:val="clear" w:color="auto" w:fill="FFFFFF"/>
        <w:spacing w:before="0" w:beforeAutospacing="0" w:after="165" w:afterAutospacing="0"/>
        <w:ind w:left="708"/>
        <w:rPr>
          <w:rFonts w:ascii="Arial" w:hAnsi="Arial" w:cs="Arial"/>
          <w:color w:val="333333"/>
          <w:sz w:val="22"/>
          <w:szCs w:val="22"/>
        </w:rPr>
      </w:pPr>
      <w:r w:rsidRPr="007F225F">
        <w:rPr>
          <w:rStyle w:val="Textoennegrita"/>
          <w:rFonts w:ascii="Arial" w:hAnsi="Arial" w:cs="Arial"/>
          <w:color w:val="333333"/>
          <w:sz w:val="22"/>
          <w:szCs w:val="22"/>
        </w:rPr>
        <w:t>Forma de capital</w:t>
      </w:r>
      <w:r w:rsidRPr="007F225F">
        <w:rPr>
          <w:rFonts w:ascii="Arial" w:hAnsi="Arial" w:cs="Arial"/>
          <w:color w:val="333333"/>
          <w:sz w:val="22"/>
          <w:szCs w:val="22"/>
        </w:rPr>
        <w:t>: Esto es mediante un único pago, es decir que recibiremos la totalidad de sus derechos consolidados en el Plan de Pensiones.</w:t>
      </w:r>
    </w:p>
    <w:p w14:paraId="220CA838" w14:textId="77777777" w:rsidR="007F225F" w:rsidRPr="007F225F" w:rsidRDefault="007F225F" w:rsidP="007F225F">
      <w:pPr>
        <w:pStyle w:val="NormalWeb"/>
        <w:shd w:val="clear" w:color="auto" w:fill="FFFFFF"/>
        <w:spacing w:before="0" w:beforeAutospacing="0" w:after="165" w:afterAutospacing="0"/>
        <w:ind w:left="708"/>
        <w:rPr>
          <w:rFonts w:ascii="Arial" w:hAnsi="Arial" w:cs="Arial"/>
          <w:color w:val="333333"/>
          <w:sz w:val="22"/>
          <w:szCs w:val="22"/>
        </w:rPr>
      </w:pPr>
      <w:r w:rsidRPr="007F225F">
        <w:rPr>
          <w:rStyle w:val="Textoennegrita"/>
          <w:rFonts w:ascii="Arial" w:hAnsi="Arial" w:cs="Arial"/>
          <w:color w:val="333333"/>
          <w:sz w:val="22"/>
          <w:szCs w:val="22"/>
        </w:rPr>
        <w:lastRenderedPageBreak/>
        <w:t>Forma de renta:</w:t>
      </w:r>
      <w:r w:rsidRPr="007F225F">
        <w:rPr>
          <w:rFonts w:ascii="Arial" w:hAnsi="Arial" w:cs="Arial"/>
          <w:color w:val="333333"/>
          <w:sz w:val="22"/>
          <w:szCs w:val="22"/>
        </w:rPr>
        <w:t> Lo que supone una serie de pagos fraccionados, y se dividen en Rentas no aseguradas, cuando no se garantiza la duración ni un interés mínimo, sino que el capital no percibido participa de la rentabilidad del plan de pensiones, y las Rentas aseguradas, donde se garantiza la duración de las mismas y/o un interés.</w:t>
      </w:r>
    </w:p>
    <w:p w14:paraId="2D9BEFC9" w14:textId="77777777" w:rsidR="007F225F" w:rsidRPr="00CF1B34" w:rsidRDefault="007F225F" w:rsidP="007F225F">
      <w:pPr>
        <w:pBdr>
          <w:bottom w:val="dotted" w:sz="12" w:space="12" w:color="666666"/>
        </w:pBdr>
        <w:spacing w:after="240"/>
        <w:ind w:left="720"/>
        <w:jc w:val="both"/>
        <w:rPr>
          <w:rFonts w:ascii="Arial" w:hAnsi="Arial" w:cs="Arial"/>
          <w:color w:val="212529"/>
          <w:sz w:val="22"/>
          <w:szCs w:val="22"/>
          <w:lang w:val="es-ES_tradnl"/>
        </w:rPr>
      </w:pPr>
      <w:r w:rsidRPr="007F225F">
        <w:rPr>
          <w:rStyle w:val="Textoennegrita"/>
          <w:rFonts w:ascii="Arial" w:hAnsi="Arial" w:cs="Arial"/>
          <w:color w:val="333333"/>
          <w:sz w:val="22"/>
          <w:szCs w:val="22"/>
        </w:rPr>
        <w:t>Forma mixta:</w:t>
      </w:r>
      <w:r w:rsidRPr="007F225F">
        <w:rPr>
          <w:rFonts w:ascii="Arial" w:hAnsi="Arial" w:cs="Arial"/>
          <w:color w:val="333333"/>
          <w:sz w:val="22"/>
          <w:szCs w:val="22"/>
        </w:rPr>
        <w:t> La renta puede ser, a su vez, vitalicia o temporal, es decir, las prestaciones en las que se combinan distintas modalidades de prestación.</w:t>
      </w:r>
    </w:p>
    <w:p w14:paraId="32BFC52F" w14:textId="699103F5"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w:t>
      </w:r>
      <w:r w:rsidR="00995F31" w:rsidRPr="00CF1B34">
        <w:rPr>
          <w:rFonts w:ascii="Arial" w:hAnsi="Arial" w:cs="Arial"/>
          <w:b/>
          <w:bCs/>
          <w:color w:val="004773"/>
          <w:sz w:val="22"/>
          <w:szCs w:val="22"/>
          <w:lang w:val="es-ES_tradnl"/>
        </w:rPr>
        <w:t>é</w:t>
      </w:r>
      <w:r w:rsidRPr="00CF1B34">
        <w:rPr>
          <w:rFonts w:ascii="Arial" w:hAnsi="Arial" w:cs="Arial"/>
          <w:b/>
          <w:bCs/>
          <w:color w:val="004773"/>
          <w:sz w:val="22"/>
          <w:szCs w:val="22"/>
          <w:lang w:val="es-ES_tradnl"/>
        </w:rPr>
        <w:t>stamo de valores</w:t>
      </w:r>
    </w:p>
    <w:p w14:paraId="7967EA0D" w14:textId="727F08C7" w:rsidR="00685E8C" w:rsidRPr="00CF1B34" w:rsidRDefault="00C3543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 </w:t>
      </w:r>
      <w:r w:rsidR="00685E8C" w:rsidRPr="00CF1B34">
        <w:rPr>
          <w:rFonts w:ascii="Arial" w:hAnsi="Arial" w:cs="Arial"/>
          <w:color w:val="000000" w:themeColor="text1"/>
          <w:sz w:val="22"/>
          <w:szCs w:val="22"/>
          <w:lang w:val="es-ES_tradnl"/>
        </w:rPr>
        <w:t>Ce</w:t>
      </w:r>
      <w:r w:rsidRPr="00CF1B34">
        <w:rPr>
          <w:rFonts w:ascii="Arial" w:hAnsi="Arial" w:cs="Arial"/>
          <w:color w:val="000000" w:themeColor="text1"/>
          <w:sz w:val="22"/>
          <w:szCs w:val="22"/>
          <w:lang w:val="es-ES_tradnl"/>
        </w:rPr>
        <w:t>sión de títulos para su aplicación</w:t>
      </w:r>
      <w:r w:rsidR="00685E8C" w:rsidRPr="00CF1B34">
        <w:rPr>
          <w:rFonts w:ascii="Arial" w:hAnsi="Arial" w:cs="Arial"/>
          <w:color w:val="000000" w:themeColor="text1"/>
          <w:sz w:val="22"/>
          <w:szCs w:val="22"/>
          <w:lang w:val="es-ES_tradnl"/>
        </w:rPr>
        <w:t xml:space="preserve"> a las operaciones de venta con crédito al mercado a cambio de un determinado interés. El préstamo de valores para operaciones con crédito al mercado esta regulado con carácter general por la Orden ministerial de Econom</w:t>
      </w:r>
      <w:r w:rsidR="00D046A3">
        <w:rPr>
          <w:rFonts w:ascii="Arial" w:hAnsi="Arial" w:cs="Arial"/>
          <w:color w:val="000000" w:themeColor="text1"/>
          <w:sz w:val="22"/>
          <w:szCs w:val="22"/>
          <w:lang w:val="es-ES_tradnl"/>
        </w:rPr>
        <w:t>í</w:t>
      </w:r>
      <w:r w:rsidR="00685E8C" w:rsidRPr="00CF1B34">
        <w:rPr>
          <w:rFonts w:ascii="Arial" w:hAnsi="Arial" w:cs="Arial"/>
          <w:color w:val="000000" w:themeColor="text1"/>
          <w:sz w:val="22"/>
          <w:szCs w:val="22"/>
          <w:lang w:val="es-ES_tradnl"/>
        </w:rPr>
        <w:t>a y Hacienda de 25 de marzo de 1991 y, para las instituciones de inversión colectiva específicamente, por la Orden del Ministerio de Econom</w:t>
      </w:r>
      <w:r w:rsidR="00D046A3">
        <w:rPr>
          <w:rFonts w:ascii="Arial" w:hAnsi="Arial" w:cs="Arial"/>
          <w:color w:val="000000" w:themeColor="text1"/>
          <w:sz w:val="22"/>
          <w:szCs w:val="22"/>
          <w:lang w:val="es-ES_tradnl"/>
        </w:rPr>
        <w:t>í</w:t>
      </w:r>
      <w:r w:rsidR="00685E8C" w:rsidRPr="00CF1B34">
        <w:rPr>
          <w:rFonts w:ascii="Arial" w:hAnsi="Arial" w:cs="Arial"/>
          <w:color w:val="000000" w:themeColor="text1"/>
          <w:sz w:val="22"/>
          <w:szCs w:val="22"/>
          <w:lang w:val="es-ES_tradnl"/>
        </w:rPr>
        <w:t>a y Hacienda de 31 de julio de 1991. El préstamo de valores se documenta mediante un contrato en el que deberá identificar los valores objeto del mismo, a través de su referencia de registro, indicando expresamente su afectación a dicho uso y la duración del préstamo.</w:t>
      </w:r>
    </w:p>
    <w:p w14:paraId="2C387796" w14:textId="09710163"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w:t>
      </w:r>
      <w:r w:rsidR="00995F31" w:rsidRPr="00CF1B34">
        <w:rPr>
          <w:rFonts w:ascii="Arial" w:hAnsi="Arial" w:cs="Arial"/>
          <w:b/>
          <w:bCs/>
          <w:color w:val="004773"/>
          <w:sz w:val="22"/>
          <w:szCs w:val="22"/>
          <w:lang w:val="es-ES_tradnl"/>
        </w:rPr>
        <w:t>é</w:t>
      </w:r>
      <w:r w:rsidRPr="00CF1B34">
        <w:rPr>
          <w:rFonts w:ascii="Arial" w:hAnsi="Arial" w:cs="Arial"/>
          <w:b/>
          <w:bCs/>
          <w:color w:val="004773"/>
          <w:sz w:val="22"/>
          <w:szCs w:val="22"/>
          <w:lang w:val="es-ES_tradnl"/>
        </w:rPr>
        <w:t>stamo internacional</w:t>
      </w:r>
    </w:p>
    <w:p w14:paraId="2206F525" w14:textId="77777777" w:rsidR="00C64CA3" w:rsidRPr="00CF1B34" w:rsidRDefault="00C64CA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aquellos que obtiene un residente en un país en moneda distinta a la suya propia.</w:t>
      </w:r>
    </w:p>
    <w:p w14:paraId="5444E016" w14:textId="7B946303" w:rsidR="00957163" w:rsidRDefault="00957163"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Préstamos paralelos (Back to Back)</w:t>
      </w:r>
    </w:p>
    <w:p w14:paraId="1B51AF21" w14:textId="7A3AB11F" w:rsidR="00957163" w:rsidRPr="00A800E3" w:rsidRDefault="00957163" w:rsidP="00957163">
      <w:pPr>
        <w:rPr>
          <w:rFonts w:ascii="Arial" w:hAnsi="Arial" w:cs="Arial"/>
          <w:color w:val="333333"/>
          <w:sz w:val="22"/>
          <w:szCs w:val="22"/>
          <w:shd w:val="clear" w:color="auto" w:fill="FFFFFF"/>
        </w:rPr>
      </w:pPr>
      <w:r w:rsidRPr="00A800E3">
        <w:rPr>
          <w:rFonts w:ascii="Arial" w:hAnsi="Arial" w:cs="Arial"/>
          <w:color w:val="333333"/>
          <w:sz w:val="22"/>
          <w:szCs w:val="22"/>
          <w:shd w:val="clear" w:color="auto" w:fill="FFFFFF"/>
        </w:rPr>
        <w:t>Los</w:t>
      </w:r>
      <w:r w:rsidR="00A800E3">
        <w:rPr>
          <w:rFonts w:ascii="Arial" w:hAnsi="Arial" w:cs="Arial"/>
          <w:color w:val="333333"/>
          <w:sz w:val="22"/>
          <w:szCs w:val="22"/>
          <w:shd w:val="clear" w:color="auto" w:fill="FFFFFF"/>
        </w:rPr>
        <w:t xml:space="preserve"> </w:t>
      </w:r>
      <w:r w:rsidRPr="00A800E3">
        <w:rPr>
          <w:rStyle w:val="Textoennegrita"/>
          <w:rFonts w:ascii="Arial" w:hAnsi="Arial" w:cs="Arial"/>
          <w:color w:val="333333"/>
          <w:sz w:val="22"/>
          <w:szCs w:val="22"/>
          <w:shd w:val="clear" w:color="auto" w:fill="FFFFFF"/>
        </w:rPr>
        <w:t>préstamos</w:t>
      </w:r>
      <w:r w:rsidR="00A800E3">
        <w:rPr>
          <w:rStyle w:val="Textoennegrita"/>
          <w:rFonts w:ascii="Arial" w:hAnsi="Arial" w:cs="Arial"/>
          <w:color w:val="333333"/>
          <w:sz w:val="22"/>
          <w:szCs w:val="22"/>
          <w:shd w:val="clear" w:color="auto" w:fill="FFFFFF"/>
        </w:rPr>
        <w:t xml:space="preserve"> </w:t>
      </w:r>
      <w:r w:rsidRPr="00A800E3">
        <w:rPr>
          <w:rStyle w:val="Textoennegrita"/>
          <w:rFonts w:ascii="Arial" w:hAnsi="Arial" w:cs="Arial"/>
          <w:color w:val="333333"/>
          <w:sz w:val="22"/>
          <w:szCs w:val="22"/>
          <w:shd w:val="clear" w:color="auto" w:fill="FFFFFF"/>
        </w:rPr>
        <w:t>paralelos, o back-to- back</w:t>
      </w:r>
      <w:r w:rsidRPr="00A800E3">
        <w:rPr>
          <w:rFonts w:ascii="Arial" w:hAnsi="Arial" w:cs="Arial"/>
          <w:color w:val="333333"/>
          <w:sz w:val="22"/>
          <w:szCs w:val="22"/>
          <w:shd w:val="clear" w:color="auto" w:fill="FFFFFF"/>
        </w:rPr>
        <w:t>, tuvieron su origen en el Reino Unido como medios para evitar la rigidez del</w:t>
      </w:r>
      <w:r w:rsidR="00A800E3">
        <w:rPr>
          <w:rFonts w:ascii="Arial" w:hAnsi="Arial" w:cs="Arial"/>
          <w:color w:val="333333"/>
          <w:sz w:val="22"/>
          <w:szCs w:val="22"/>
          <w:shd w:val="clear" w:color="auto" w:fill="FFFFFF"/>
        </w:rPr>
        <w:t xml:space="preserve"> cambio de divisas</w:t>
      </w:r>
      <w:r w:rsidRPr="00A800E3">
        <w:rPr>
          <w:rFonts w:ascii="Arial" w:hAnsi="Arial" w:cs="Arial"/>
          <w:color w:val="333333"/>
          <w:sz w:val="22"/>
          <w:szCs w:val="22"/>
          <w:shd w:val="clear" w:color="auto" w:fill="FFFFFF"/>
        </w:rPr>
        <w:t>, y a su vez, prevenir</w:t>
      </w:r>
      <w:r w:rsidR="00A800E3" w:rsidRPr="00A800E3">
        <w:rPr>
          <w:rFonts w:ascii="Arial" w:hAnsi="Arial" w:cs="Arial"/>
          <w:color w:val="333333"/>
          <w:sz w:val="22"/>
          <w:szCs w:val="22"/>
          <w:shd w:val="clear" w:color="auto" w:fill="FFFFFF"/>
        </w:rPr>
        <w:t xml:space="preserve"> una salida de capital británico.</w:t>
      </w:r>
    </w:p>
    <w:p w14:paraId="3E671129" w14:textId="59187BC9" w:rsidR="00957163" w:rsidRPr="00A800E3" w:rsidRDefault="00957163" w:rsidP="00957163">
      <w:pPr>
        <w:rPr>
          <w:rFonts w:ascii="Arial" w:hAnsi="Arial" w:cs="Arial"/>
          <w:sz w:val="22"/>
          <w:szCs w:val="22"/>
        </w:rPr>
      </w:pPr>
      <w:r w:rsidRPr="00A800E3">
        <w:rPr>
          <w:rFonts w:ascii="Arial" w:hAnsi="Arial" w:cs="Arial"/>
          <w:color w:val="333333"/>
          <w:sz w:val="22"/>
          <w:szCs w:val="22"/>
          <w:shd w:val="clear" w:color="auto" w:fill="FFFFFF"/>
        </w:rPr>
        <w:t>El gobierno británico, durante los años setenta, gravó con impuestos las transacciones en divisas, incluyendo a su propia moneda, encareciendo así la salida de capital, suponiendo que alentaría la inversión doméstica en desmedro de la inversión en el exterior, quitándole cierto atractivo.</w:t>
      </w:r>
    </w:p>
    <w:p w14:paraId="095D7CF8" w14:textId="130A2272" w:rsidR="00957163" w:rsidRPr="00A800E3" w:rsidRDefault="00957163" w:rsidP="00957163">
      <w:pPr>
        <w:rPr>
          <w:rFonts w:ascii="Arial" w:hAnsi="Arial" w:cs="Arial"/>
          <w:sz w:val="22"/>
          <w:szCs w:val="22"/>
        </w:rPr>
      </w:pPr>
      <w:r w:rsidRPr="00A800E3">
        <w:rPr>
          <w:rFonts w:ascii="Arial" w:hAnsi="Arial" w:cs="Arial"/>
          <w:color w:val="333333"/>
          <w:sz w:val="22"/>
          <w:szCs w:val="22"/>
          <w:shd w:val="clear" w:color="auto" w:fill="FFFFFF"/>
        </w:rPr>
        <w:t>venir una salida de capital británico</w:t>
      </w:r>
    </w:p>
    <w:p w14:paraId="3DFE7DC9" w14:textId="77777777" w:rsidR="00957163" w:rsidRPr="00A800E3" w:rsidRDefault="00957163" w:rsidP="00957163">
      <w:pPr>
        <w:pStyle w:val="NormalWeb"/>
        <w:shd w:val="clear" w:color="auto" w:fill="FFFFFF"/>
        <w:spacing w:before="0" w:beforeAutospacing="0" w:after="165" w:afterAutospacing="0"/>
        <w:rPr>
          <w:rFonts w:ascii="Arial" w:hAnsi="Arial" w:cs="Arial"/>
          <w:color w:val="333333"/>
          <w:sz w:val="22"/>
          <w:szCs w:val="22"/>
        </w:rPr>
      </w:pPr>
      <w:r w:rsidRPr="00A800E3">
        <w:rPr>
          <w:rFonts w:ascii="Arial" w:hAnsi="Arial" w:cs="Arial"/>
          <w:color w:val="333333"/>
          <w:sz w:val="22"/>
          <w:szCs w:val="22"/>
        </w:rPr>
        <w:t>las condiciones del préstamo «back-to-back» son las siguientes:</w:t>
      </w:r>
    </w:p>
    <w:p w14:paraId="672C4ED3" w14:textId="77777777" w:rsidR="00957163" w:rsidRPr="00A800E3" w:rsidRDefault="00957163" w:rsidP="004F7A62">
      <w:pPr>
        <w:numPr>
          <w:ilvl w:val="0"/>
          <w:numId w:val="251"/>
        </w:numPr>
        <w:shd w:val="clear" w:color="auto" w:fill="FFFFFF"/>
        <w:spacing w:before="100" w:beforeAutospacing="1" w:after="100" w:afterAutospacing="1"/>
        <w:rPr>
          <w:rFonts w:ascii="Arial" w:hAnsi="Arial" w:cs="Arial"/>
          <w:color w:val="333333"/>
          <w:sz w:val="22"/>
          <w:szCs w:val="22"/>
        </w:rPr>
      </w:pPr>
      <w:r w:rsidRPr="00A800E3">
        <w:rPr>
          <w:rFonts w:ascii="Arial" w:hAnsi="Arial" w:cs="Arial"/>
          <w:color w:val="333333"/>
          <w:sz w:val="22"/>
          <w:szCs w:val="22"/>
        </w:rPr>
        <w:t>Ud. debe ser cliente existente del banco prestador.</w:t>
      </w:r>
    </w:p>
    <w:p w14:paraId="29D8E772" w14:textId="0C7FC85B" w:rsidR="00957163" w:rsidRPr="00A800E3" w:rsidRDefault="00957163" w:rsidP="004F7A62">
      <w:pPr>
        <w:numPr>
          <w:ilvl w:val="0"/>
          <w:numId w:val="251"/>
        </w:numPr>
        <w:shd w:val="clear" w:color="auto" w:fill="FFFFFF"/>
        <w:spacing w:before="100" w:beforeAutospacing="1" w:after="100" w:afterAutospacing="1"/>
        <w:rPr>
          <w:rFonts w:ascii="Arial" w:hAnsi="Arial" w:cs="Arial"/>
          <w:color w:val="333333"/>
          <w:sz w:val="22"/>
          <w:szCs w:val="22"/>
        </w:rPr>
      </w:pPr>
      <w:r w:rsidRPr="00A800E3">
        <w:rPr>
          <w:rFonts w:ascii="Arial" w:hAnsi="Arial" w:cs="Arial"/>
          <w:color w:val="333333"/>
          <w:sz w:val="22"/>
          <w:szCs w:val="22"/>
        </w:rPr>
        <w:t>Ud. debe tener un mínimo de saldo en un</w:t>
      </w:r>
      <w:r w:rsidR="00A800E3">
        <w:rPr>
          <w:rFonts w:ascii="Arial" w:hAnsi="Arial" w:cs="Arial"/>
          <w:color w:val="333333"/>
          <w:sz w:val="22"/>
          <w:szCs w:val="22"/>
        </w:rPr>
        <w:t xml:space="preserve"> deposito a plazo</w:t>
      </w:r>
      <w:r w:rsidR="00A800E3" w:rsidRPr="00A800E3">
        <w:rPr>
          <w:rFonts w:ascii="Arial" w:hAnsi="Arial" w:cs="Arial"/>
          <w:color w:val="333333"/>
          <w:sz w:val="22"/>
          <w:szCs w:val="22"/>
        </w:rPr>
        <w:t xml:space="preserve"> </w:t>
      </w:r>
      <w:r w:rsidRPr="00A800E3">
        <w:rPr>
          <w:rFonts w:ascii="Arial" w:hAnsi="Arial" w:cs="Arial"/>
          <w:color w:val="333333"/>
          <w:sz w:val="22"/>
          <w:szCs w:val="22"/>
        </w:rPr>
        <w:t>(varía según el banco).</w:t>
      </w:r>
    </w:p>
    <w:p w14:paraId="0133BE62" w14:textId="1D3607C1" w:rsidR="00957163" w:rsidRPr="00A800E3" w:rsidRDefault="00957163" w:rsidP="004F7A62">
      <w:pPr>
        <w:numPr>
          <w:ilvl w:val="0"/>
          <w:numId w:val="251"/>
        </w:numPr>
        <w:shd w:val="clear" w:color="auto" w:fill="FFFFFF"/>
        <w:spacing w:before="100" w:beforeAutospacing="1" w:after="100" w:afterAutospacing="1"/>
        <w:rPr>
          <w:rFonts w:ascii="Arial" w:hAnsi="Arial" w:cs="Arial"/>
          <w:color w:val="333333"/>
          <w:sz w:val="22"/>
          <w:szCs w:val="22"/>
        </w:rPr>
      </w:pPr>
      <w:r w:rsidRPr="00A800E3">
        <w:rPr>
          <w:rFonts w:ascii="Arial" w:hAnsi="Arial" w:cs="Arial"/>
          <w:color w:val="333333"/>
          <w:sz w:val="22"/>
          <w:szCs w:val="22"/>
        </w:rPr>
        <w:t>Se puede pedir prestado el 98%</w:t>
      </w:r>
      <w:r w:rsidR="00A800E3">
        <w:rPr>
          <w:rFonts w:ascii="Arial" w:hAnsi="Arial" w:cs="Arial"/>
          <w:color w:val="333333"/>
          <w:sz w:val="22"/>
          <w:szCs w:val="22"/>
        </w:rPr>
        <w:t xml:space="preserve"> </w:t>
      </w:r>
      <w:r w:rsidRPr="00A800E3">
        <w:rPr>
          <w:rFonts w:ascii="Arial" w:hAnsi="Arial" w:cs="Arial"/>
          <w:color w:val="333333"/>
          <w:sz w:val="22"/>
          <w:szCs w:val="22"/>
        </w:rPr>
        <w:t>(varía según el banco) del saldo del depósito a plazo.</w:t>
      </w:r>
    </w:p>
    <w:p w14:paraId="391B7165" w14:textId="77777777" w:rsidR="00957163" w:rsidRPr="00A800E3" w:rsidRDefault="00957163" w:rsidP="004F7A62">
      <w:pPr>
        <w:numPr>
          <w:ilvl w:val="0"/>
          <w:numId w:val="251"/>
        </w:numPr>
        <w:shd w:val="clear" w:color="auto" w:fill="FFFFFF"/>
        <w:spacing w:before="100" w:beforeAutospacing="1" w:after="100" w:afterAutospacing="1"/>
        <w:rPr>
          <w:rFonts w:ascii="Arial" w:hAnsi="Arial" w:cs="Arial"/>
          <w:color w:val="333333"/>
          <w:sz w:val="22"/>
          <w:szCs w:val="22"/>
        </w:rPr>
      </w:pPr>
      <w:r w:rsidRPr="00A800E3">
        <w:rPr>
          <w:rFonts w:ascii="Arial" w:hAnsi="Arial" w:cs="Arial"/>
          <w:color w:val="333333"/>
          <w:sz w:val="22"/>
          <w:szCs w:val="22"/>
        </w:rPr>
        <w:t>Los gastos de abrir el préstamo rondan cercanos al 0,01% de la cantidad prestada.</w:t>
      </w:r>
    </w:p>
    <w:p w14:paraId="6CDA0795" w14:textId="3CD42F89" w:rsidR="00957163" w:rsidRDefault="00957163" w:rsidP="004F7A62">
      <w:pPr>
        <w:numPr>
          <w:ilvl w:val="0"/>
          <w:numId w:val="251"/>
        </w:numPr>
        <w:shd w:val="clear" w:color="auto" w:fill="FFFFFF"/>
        <w:spacing w:before="100" w:beforeAutospacing="1" w:after="100" w:afterAutospacing="1"/>
        <w:rPr>
          <w:rFonts w:ascii="Arial" w:hAnsi="Arial" w:cs="Arial"/>
          <w:color w:val="333333"/>
          <w:sz w:val="22"/>
          <w:szCs w:val="22"/>
        </w:rPr>
      </w:pPr>
      <w:r w:rsidRPr="00A800E3">
        <w:rPr>
          <w:rFonts w:ascii="Arial" w:hAnsi="Arial" w:cs="Arial"/>
          <w:color w:val="333333"/>
          <w:sz w:val="22"/>
          <w:szCs w:val="22"/>
        </w:rPr>
        <w:t>Los tipos de interés serán aproximadamente 0,5% por encima de los que se reciban en el depósito a plazo.</w:t>
      </w:r>
    </w:p>
    <w:p w14:paraId="4FB9B5EE" w14:textId="77777777" w:rsidR="00A800E3" w:rsidRPr="00A800E3" w:rsidRDefault="00A800E3" w:rsidP="00A800E3">
      <w:pPr>
        <w:pStyle w:val="Prrafodelista"/>
        <w:pBdr>
          <w:bottom w:val="dotted" w:sz="12" w:space="12" w:color="666666"/>
        </w:pBdr>
        <w:spacing w:after="240"/>
        <w:jc w:val="both"/>
        <w:rPr>
          <w:rFonts w:ascii="Arial" w:hAnsi="Arial" w:cs="Arial"/>
          <w:color w:val="212529"/>
          <w:sz w:val="22"/>
          <w:szCs w:val="22"/>
          <w:lang w:val="es-ES_tradnl"/>
        </w:rPr>
      </w:pPr>
    </w:p>
    <w:p w14:paraId="4A9A9C1E" w14:textId="546B24BF" w:rsidR="005A67D1" w:rsidRPr="006D0888" w:rsidRDefault="005A67D1" w:rsidP="006D0888">
      <w:pPr>
        <w:rPr>
          <w:rFonts w:ascii="Arial" w:hAnsi="Arial" w:cs="Arial"/>
          <w:b/>
          <w:bCs/>
          <w:color w:val="2F5496" w:themeColor="accent1" w:themeShade="BF"/>
          <w:sz w:val="22"/>
          <w:szCs w:val="22"/>
        </w:rPr>
      </w:pPr>
      <w:r w:rsidRPr="006D0888">
        <w:rPr>
          <w:rFonts w:ascii="Arial" w:hAnsi="Arial" w:cs="Arial"/>
          <w:b/>
          <w:bCs/>
          <w:color w:val="2F5496" w:themeColor="accent1" w:themeShade="BF"/>
          <w:sz w:val="22"/>
          <w:szCs w:val="22"/>
          <w:lang w:val="es-ES_tradnl"/>
        </w:rPr>
        <w:t>Prestamos sindicados</w:t>
      </w:r>
    </w:p>
    <w:p w14:paraId="169897C6" w14:textId="77777777" w:rsidR="006D0888" w:rsidRPr="006D0888" w:rsidRDefault="00C64CA3" w:rsidP="006D0888">
      <w:pPr>
        <w:rPr>
          <w:rStyle w:val="Textoennegrita"/>
          <w:rFonts w:ascii="Arial" w:hAnsi="Arial" w:cs="Arial"/>
          <w:color w:val="000000"/>
          <w:sz w:val="22"/>
          <w:szCs w:val="22"/>
        </w:rPr>
      </w:pPr>
      <w:r w:rsidRPr="006D0888">
        <w:rPr>
          <w:rFonts w:ascii="Arial" w:hAnsi="Arial" w:cs="Arial"/>
          <w:color w:val="000000" w:themeColor="text1"/>
          <w:sz w:val="22"/>
          <w:szCs w:val="22"/>
          <w:lang w:val="es-ES_tradnl"/>
        </w:rPr>
        <w:t>Son financiaciones singulares, de gran volumen, concedidas por varias entidades</w:t>
      </w:r>
      <w:r w:rsidRPr="006D0888">
        <w:rPr>
          <w:color w:val="000000" w:themeColor="text1"/>
          <w:lang w:val="es-ES_tradnl"/>
        </w:rPr>
        <w:t xml:space="preserve"> conjuntamente.</w:t>
      </w:r>
      <w:r w:rsidR="00A800E3" w:rsidRPr="006D0888">
        <w:rPr>
          <w:color w:val="000000" w:themeColor="text1"/>
          <w:lang w:val="es-ES_tradnl"/>
        </w:rPr>
        <w:t xml:space="preserve"> </w:t>
      </w:r>
      <w:r w:rsidR="00A800E3" w:rsidRPr="006D0888">
        <w:rPr>
          <w:color w:val="000000"/>
          <w:shd w:val="clear" w:color="auto" w:fill="FFFFFF"/>
        </w:rPr>
        <w:t>En lugar de recibir un préstamo de una sola entidad, la empresa obtiene una gran cantidad de capital de varios prestamistas, cada uno aportando un porcentaje del dinero prestado.</w:t>
      </w:r>
      <w:r w:rsidR="006D0888" w:rsidRPr="006D0888">
        <w:rPr>
          <w:rStyle w:val="Textoennegrita"/>
          <w:rFonts w:ascii="Arial" w:hAnsi="Arial" w:cs="Arial"/>
          <w:color w:val="000000"/>
          <w:sz w:val="22"/>
          <w:szCs w:val="22"/>
        </w:rPr>
        <w:t xml:space="preserve"> </w:t>
      </w:r>
    </w:p>
    <w:p w14:paraId="03A5F775" w14:textId="3980A076" w:rsidR="006D0888" w:rsidRPr="006D0888" w:rsidRDefault="006D0888" w:rsidP="006D0888">
      <w:pPr>
        <w:pStyle w:val="NormalWeb"/>
        <w:shd w:val="clear" w:color="auto" w:fill="FFFFFF"/>
        <w:spacing w:before="0" w:after="0"/>
        <w:rPr>
          <w:rFonts w:ascii="Arial" w:hAnsi="Arial" w:cs="Arial"/>
          <w:color w:val="000000"/>
          <w:sz w:val="22"/>
          <w:szCs w:val="22"/>
        </w:rPr>
      </w:pPr>
      <w:r w:rsidRPr="006D0888">
        <w:rPr>
          <w:rFonts w:ascii="Arial" w:hAnsi="Arial" w:cs="Arial"/>
          <w:b/>
          <w:bCs/>
          <w:color w:val="000000"/>
          <w:sz w:val="22"/>
          <w:szCs w:val="22"/>
        </w:rPr>
        <w:t>Ventajas</w:t>
      </w:r>
    </w:p>
    <w:p w14:paraId="1112F915" w14:textId="77777777" w:rsidR="006D0888" w:rsidRPr="006D0888" w:rsidRDefault="006D0888" w:rsidP="004F7A62">
      <w:pPr>
        <w:numPr>
          <w:ilvl w:val="0"/>
          <w:numId w:val="252"/>
        </w:numPr>
        <w:shd w:val="clear" w:color="auto" w:fill="FFFFFF"/>
        <w:spacing w:after="100" w:afterAutospacing="1"/>
        <w:rPr>
          <w:rFonts w:ascii="Arial" w:hAnsi="Arial" w:cs="Arial"/>
          <w:color w:val="000000"/>
          <w:sz w:val="22"/>
          <w:szCs w:val="22"/>
        </w:rPr>
      </w:pPr>
      <w:r w:rsidRPr="006D0888">
        <w:rPr>
          <w:rFonts w:ascii="Arial" w:hAnsi="Arial" w:cs="Arial"/>
          <w:color w:val="000000"/>
          <w:sz w:val="22"/>
          <w:szCs w:val="22"/>
        </w:rPr>
        <w:t>Permite a las empresas acceder a grandes cantidades de capital que, de otra forma, sería difícil o imposible obtener con el apoyo de una sola entidad.</w:t>
      </w:r>
    </w:p>
    <w:p w14:paraId="1FEA493D" w14:textId="77777777" w:rsidR="006D0888" w:rsidRPr="006D0888" w:rsidRDefault="006D0888" w:rsidP="004F7A62">
      <w:pPr>
        <w:numPr>
          <w:ilvl w:val="0"/>
          <w:numId w:val="252"/>
        </w:numPr>
        <w:shd w:val="clear" w:color="auto" w:fill="FFFFFF"/>
        <w:spacing w:before="100" w:beforeAutospacing="1" w:after="100" w:afterAutospacing="1"/>
        <w:rPr>
          <w:rFonts w:ascii="Arial" w:hAnsi="Arial" w:cs="Arial"/>
          <w:color w:val="000000"/>
          <w:sz w:val="22"/>
          <w:szCs w:val="22"/>
        </w:rPr>
      </w:pPr>
      <w:r w:rsidRPr="006D0888">
        <w:rPr>
          <w:rFonts w:ascii="Arial" w:hAnsi="Arial" w:cs="Arial"/>
          <w:color w:val="000000"/>
          <w:sz w:val="22"/>
          <w:szCs w:val="22"/>
        </w:rPr>
        <w:lastRenderedPageBreak/>
        <w:t>Ofrece una mayor flexibilidad y capacidad de respuesta a las necesidades financieras de la empresa.</w:t>
      </w:r>
    </w:p>
    <w:p w14:paraId="7A085BE2" w14:textId="77777777" w:rsidR="006D0888" w:rsidRPr="006D0888" w:rsidRDefault="006D0888" w:rsidP="004F7A62">
      <w:pPr>
        <w:numPr>
          <w:ilvl w:val="0"/>
          <w:numId w:val="252"/>
        </w:numPr>
        <w:shd w:val="clear" w:color="auto" w:fill="FFFFFF"/>
        <w:spacing w:before="100" w:beforeAutospacing="1"/>
        <w:rPr>
          <w:rFonts w:ascii="Arial" w:hAnsi="Arial" w:cs="Arial"/>
          <w:color w:val="000000"/>
          <w:sz w:val="22"/>
          <w:szCs w:val="22"/>
        </w:rPr>
      </w:pPr>
      <w:r w:rsidRPr="006D0888">
        <w:rPr>
          <w:rFonts w:ascii="Arial" w:hAnsi="Arial" w:cs="Arial"/>
          <w:color w:val="000000"/>
          <w:sz w:val="22"/>
          <w:szCs w:val="22"/>
        </w:rPr>
        <w:t>Reduce el riesgo para cada entidad financiera, ya que el préstamo se divide entre varios prestamistas.</w:t>
      </w:r>
    </w:p>
    <w:p w14:paraId="2DB9EC2E" w14:textId="77777777" w:rsidR="006D0888" w:rsidRPr="006D0888" w:rsidRDefault="006D0888" w:rsidP="006D0888">
      <w:pPr>
        <w:shd w:val="clear" w:color="auto" w:fill="FFFFFF"/>
        <w:spacing w:beforeAutospacing="1" w:afterAutospacing="1"/>
        <w:rPr>
          <w:rFonts w:ascii="Arial" w:hAnsi="Arial" w:cs="Arial"/>
          <w:color w:val="000000"/>
          <w:sz w:val="22"/>
          <w:szCs w:val="22"/>
        </w:rPr>
      </w:pPr>
      <w:r w:rsidRPr="006D0888">
        <w:rPr>
          <w:rFonts w:ascii="Arial" w:hAnsi="Arial" w:cs="Arial"/>
          <w:b/>
          <w:bCs/>
          <w:color w:val="000000"/>
          <w:sz w:val="22"/>
          <w:szCs w:val="22"/>
        </w:rPr>
        <w:t>Estructura</w:t>
      </w:r>
    </w:p>
    <w:p w14:paraId="50A67CF2" w14:textId="77777777" w:rsidR="006D0888" w:rsidRPr="006D0888" w:rsidRDefault="006D0888" w:rsidP="004F7A62">
      <w:pPr>
        <w:numPr>
          <w:ilvl w:val="0"/>
          <w:numId w:val="253"/>
        </w:numPr>
        <w:shd w:val="clear" w:color="auto" w:fill="FFFFFF"/>
        <w:spacing w:afterAutospacing="1"/>
        <w:rPr>
          <w:rFonts w:ascii="Arial" w:hAnsi="Arial" w:cs="Arial"/>
          <w:color w:val="000000"/>
          <w:sz w:val="22"/>
          <w:szCs w:val="22"/>
        </w:rPr>
      </w:pPr>
      <w:r w:rsidRPr="006D0888">
        <w:rPr>
          <w:rFonts w:ascii="Arial" w:hAnsi="Arial" w:cs="Arial"/>
          <w:b/>
          <w:bCs/>
          <w:color w:val="000000"/>
          <w:sz w:val="22"/>
          <w:szCs w:val="22"/>
        </w:rPr>
        <w:t>Un grupo de bancos o entidades financieras se unen para formar un sindicato, que actúa como organizador y gestor del préstamo</w:t>
      </w:r>
      <w:r w:rsidRPr="006D0888">
        <w:rPr>
          <w:rFonts w:ascii="Arial" w:hAnsi="Arial" w:cs="Arial"/>
          <w:color w:val="000000"/>
          <w:sz w:val="22"/>
          <w:szCs w:val="22"/>
        </w:rPr>
        <w:t>.</w:t>
      </w:r>
    </w:p>
    <w:p w14:paraId="1E1440C2" w14:textId="77777777" w:rsidR="006D0888" w:rsidRPr="006D0888" w:rsidRDefault="006D0888" w:rsidP="004F7A62">
      <w:pPr>
        <w:numPr>
          <w:ilvl w:val="0"/>
          <w:numId w:val="253"/>
        </w:numPr>
        <w:shd w:val="clear" w:color="auto" w:fill="FFFFFF"/>
        <w:spacing w:before="100" w:beforeAutospacing="1" w:after="100" w:afterAutospacing="1"/>
        <w:rPr>
          <w:rFonts w:ascii="Arial" w:hAnsi="Arial" w:cs="Arial"/>
          <w:color w:val="000000"/>
          <w:sz w:val="22"/>
          <w:szCs w:val="22"/>
        </w:rPr>
      </w:pPr>
      <w:r w:rsidRPr="006D0888">
        <w:rPr>
          <w:rFonts w:ascii="Arial" w:hAnsi="Arial" w:cs="Arial"/>
          <w:color w:val="000000"/>
          <w:sz w:val="22"/>
          <w:szCs w:val="22"/>
        </w:rPr>
        <w:t>Cada entidad financiera aporta un porcentaje del dinero prestado, y se compromete a pagar una parte de la deuda en caso de incumplimiento del préstamo.</w:t>
      </w:r>
    </w:p>
    <w:p w14:paraId="0A051B16" w14:textId="77777777" w:rsidR="006D0888" w:rsidRPr="006D0888" w:rsidRDefault="006D0888" w:rsidP="004F7A62">
      <w:pPr>
        <w:numPr>
          <w:ilvl w:val="0"/>
          <w:numId w:val="253"/>
        </w:numPr>
        <w:shd w:val="clear" w:color="auto" w:fill="FFFFFF"/>
        <w:spacing w:before="100" w:beforeAutospacing="1"/>
        <w:rPr>
          <w:rFonts w:ascii="Arial" w:hAnsi="Arial" w:cs="Arial"/>
          <w:color w:val="000000"/>
          <w:sz w:val="22"/>
          <w:szCs w:val="22"/>
        </w:rPr>
      </w:pPr>
      <w:r w:rsidRPr="006D0888">
        <w:rPr>
          <w:rFonts w:ascii="Arial" w:hAnsi="Arial" w:cs="Arial"/>
          <w:color w:val="000000"/>
          <w:sz w:val="22"/>
          <w:szCs w:val="22"/>
        </w:rPr>
        <w:t>El préstamo se estructura y se administra por el organizador, que también puede recibir comisiones por su trabajo.</w:t>
      </w:r>
    </w:p>
    <w:p w14:paraId="31113BD8" w14:textId="77777777" w:rsidR="006D0888" w:rsidRPr="00CF1B34" w:rsidRDefault="006D0888" w:rsidP="006D0888">
      <w:pPr>
        <w:pBdr>
          <w:bottom w:val="dotted" w:sz="12" w:space="12" w:color="666666"/>
        </w:pBdr>
        <w:spacing w:after="240"/>
        <w:ind w:left="720"/>
        <w:jc w:val="both"/>
        <w:rPr>
          <w:rFonts w:ascii="Arial" w:hAnsi="Arial" w:cs="Arial"/>
          <w:color w:val="212529"/>
          <w:sz w:val="22"/>
          <w:szCs w:val="22"/>
          <w:lang w:val="es-ES_tradnl"/>
        </w:rPr>
      </w:pPr>
      <w:r w:rsidRPr="006D0888">
        <w:rPr>
          <w:rFonts w:ascii="Arial" w:hAnsi="Arial" w:cs="Arial"/>
          <w:color w:val="000000"/>
          <w:sz w:val="22"/>
          <w:szCs w:val="22"/>
          <w:shd w:val="clear" w:color="auto" w:fill="FFFFFF"/>
        </w:rPr>
        <w:t>El mercado de préstamos sindicados es la forma dominante de financiación de operaciones corporativas en Estados Unidos y Europa.</w:t>
      </w:r>
    </w:p>
    <w:p w14:paraId="00911BD2" w14:textId="77777777" w:rsidR="00507B6E" w:rsidRPr="00CF1B34" w:rsidRDefault="00507B6E"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Prestatario</w:t>
      </w:r>
    </w:p>
    <w:p w14:paraId="59E4F79E" w14:textId="341FC162" w:rsidR="00507B6E" w:rsidRPr="00CF1B34" w:rsidRDefault="00507B6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w:t>
      </w:r>
      <w:r w:rsidR="004D1AF7">
        <w:rPr>
          <w:rFonts w:ascii="Arial" w:hAnsi="Arial" w:cs="Arial"/>
          <w:sz w:val="22"/>
          <w:szCs w:val="22"/>
          <w:lang w:val="es-ES_tradnl"/>
        </w:rPr>
        <w:t xml:space="preserve">n </w:t>
      </w:r>
      <w:r w:rsidRPr="00CF1B34">
        <w:rPr>
          <w:rFonts w:ascii="Arial" w:hAnsi="Arial" w:cs="Arial"/>
          <w:b/>
          <w:bCs/>
          <w:sz w:val="22"/>
          <w:szCs w:val="22"/>
          <w:lang w:val="es-ES_tradnl"/>
        </w:rPr>
        <w:t>prestatario</w:t>
      </w:r>
      <w:r w:rsidR="004D1AF7">
        <w:rPr>
          <w:rFonts w:ascii="Arial" w:hAnsi="Arial" w:cs="Arial"/>
          <w:sz w:val="22"/>
          <w:szCs w:val="22"/>
          <w:lang w:val="es-ES_tradnl"/>
        </w:rPr>
        <w:t xml:space="preserve"> </w:t>
      </w:r>
      <w:r w:rsidRPr="00CF1B34">
        <w:rPr>
          <w:rFonts w:ascii="Arial" w:hAnsi="Arial" w:cs="Arial"/>
          <w:sz w:val="22"/>
          <w:szCs w:val="22"/>
          <w:lang w:val="es-ES_tradnl"/>
        </w:rPr>
        <w:t>es alguien que recibe una cantidad de dinero y se compromete a devolverla, unida a unos intereses, en un determinado periodo de tiempo (o lo que es lo mismo, en una fecha de vencimiento). Por tanto, básicamente un prestatario es la persona física o jurídica que recibe un préstamo, firmando para ello un contrato con una entidad financiera, o crediticia…, o un banco. En ese punto, pasa a ser deudor de la cantidad que ha recibido. Y normalmente, destinará esa cantidad a comprar un activo.</w:t>
      </w:r>
    </w:p>
    <w:p w14:paraId="524DE520" w14:textId="5216FAED" w:rsidR="00507B6E" w:rsidRPr="00CF1B34" w:rsidRDefault="00507B6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hablamos de un</w:t>
      </w:r>
      <w:r w:rsidR="004D1AF7">
        <w:rPr>
          <w:rFonts w:ascii="Arial" w:hAnsi="Arial" w:cs="Arial"/>
          <w:sz w:val="22"/>
          <w:szCs w:val="22"/>
          <w:lang w:val="es-ES_tradnl"/>
        </w:rPr>
        <w:t xml:space="preserve"> </w:t>
      </w:r>
      <w:r w:rsidRPr="00CF1B34">
        <w:rPr>
          <w:rFonts w:ascii="Arial" w:hAnsi="Arial" w:cs="Arial"/>
          <w:b/>
          <w:bCs/>
          <w:sz w:val="22"/>
          <w:szCs w:val="22"/>
          <w:lang w:val="es-ES_tradnl"/>
        </w:rPr>
        <w:t>prestatario hipotecario</w:t>
      </w:r>
      <w:r w:rsidRPr="00CF1B34">
        <w:rPr>
          <w:rFonts w:ascii="Arial" w:hAnsi="Arial" w:cs="Arial"/>
          <w:sz w:val="22"/>
          <w:szCs w:val="22"/>
          <w:lang w:val="es-ES_tradnl"/>
        </w:rPr>
        <w:t>, es quien solicita dicha</w:t>
      </w:r>
      <w:r w:rsidR="004D1AF7">
        <w:rPr>
          <w:rFonts w:ascii="Arial" w:hAnsi="Arial" w:cs="Arial"/>
          <w:sz w:val="22"/>
          <w:szCs w:val="22"/>
          <w:lang w:val="es-ES_tradnl"/>
        </w:rPr>
        <w:t xml:space="preserve"> hipoteca</w:t>
      </w:r>
      <w:r w:rsidR="004D1AF7" w:rsidRPr="00CF1B34">
        <w:rPr>
          <w:rFonts w:ascii="Arial" w:hAnsi="Arial" w:cs="Arial"/>
          <w:sz w:val="22"/>
          <w:szCs w:val="22"/>
          <w:lang w:val="es-ES_tradnl"/>
        </w:rPr>
        <w:t xml:space="preserve"> </w:t>
      </w:r>
      <w:r w:rsidRPr="00CF1B34">
        <w:rPr>
          <w:rFonts w:ascii="Arial" w:hAnsi="Arial" w:cs="Arial"/>
          <w:sz w:val="22"/>
          <w:szCs w:val="22"/>
          <w:lang w:val="es-ES_tradnl"/>
        </w:rPr>
        <w:t>y se compromete a devolver el préstamo en cuotas mensuales, en el plazo establecido y pagando un interés determinado y distinto en función del tipo de interés de la hipoteca que haya contratado: fijo, variable o mixto.</w:t>
      </w:r>
    </w:p>
    <w:p w14:paraId="115BD87E" w14:textId="77777777" w:rsidR="00507B6E" w:rsidRPr="00CF1B34" w:rsidRDefault="00507B6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Así, contrae un compromiso con quien le presta el dinero. Este compromiso se plasmará en un contrato que recoja las condiciones del acuerdo que ambas partes firmen. Será una prueba escrita de esta confianza, y a la vez el comprobante ante cualquier posible incidencia.</w:t>
      </w:r>
    </w:p>
    <w:p w14:paraId="0B8D016A" w14:textId="77777777" w:rsidR="00507B6E" w:rsidRPr="00CF1B34" w:rsidRDefault="00507B6E"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¿Puede haber más de un prestatario en una hipoteca?</w:t>
      </w:r>
    </w:p>
    <w:p w14:paraId="3B7BF65B" w14:textId="77777777" w:rsidR="00507B6E" w:rsidRPr="00CF1B34" w:rsidRDefault="00507B6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es posible que exista más de un prestatario en una hipoteca. En caso de que la entidad financiera estime que un único titular no cumpla con el perfil necesario para asumir la hipoteca, podrá proponer la opción de un cotitular. También puede haber cotitular en caso de que sean varias personas quienes pidan el préstamo, por ejemplo, una pareja que vaya a comprar una vivienda, o varios socios que vayan a montar un proyecto empresarial.</w:t>
      </w:r>
    </w:p>
    <w:p w14:paraId="1DA6D967" w14:textId="77777777" w:rsidR="00507B6E" w:rsidRPr="00CF1B34" w:rsidRDefault="00507B6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 importante tener en cuenta que un cotitular no es un avalista, ya que el avalista es quien respalda un préstamo y responde por el deudor en caso de impago de las cuotas. En cambio, el cotitular asume el mismo vínculo directo, y está tan vinculado a la hipoteca como el otro deudor.</w:t>
      </w:r>
    </w:p>
    <w:p w14:paraId="24EEFDD1" w14:textId="77777777" w:rsidR="00507B6E" w:rsidRPr="00CF1B34" w:rsidRDefault="00507B6E"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¿Es lo mismo un prestamista y un prestatario?</w:t>
      </w:r>
    </w:p>
    <w:p w14:paraId="7F8BF3A5" w14:textId="77777777" w:rsidR="00507B6E" w:rsidRPr="00CF1B34" w:rsidRDefault="00507B6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No es lo mismo un prestamista que un prestatario. De hecho, es la figura opuesta: es el agente económico físico o jurídico que nos presta su dinero habiendo evaluado nuestra solvencia, y que también nos exigirá algunas condiciones a cambio.</w:t>
      </w:r>
    </w:p>
    <w:p w14:paraId="370EEE0A" w14:textId="77777777" w:rsidR="00507B6E" w:rsidRPr="00CF1B34" w:rsidRDefault="00507B6E"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lastRenderedPageBreak/>
        <w:t>¿Se puede ser prestatario sin ser propietario?</w:t>
      </w:r>
    </w:p>
    <w:p w14:paraId="52CEBB17" w14:textId="77777777" w:rsidR="00507B6E" w:rsidRPr="00CF1B34" w:rsidRDefault="00507B6E"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es posible ser prestatario sin ser propietario. En ese caso firmaremos como titulares de la escritura de la hipoteca, pero no apareceremos en la escritura de compraventa. Es decir, asumimos la deuda sin recibir ninguna parte de la vivienda, como un avalista.</w:t>
      </w:r>
    </w:p>
    <w:p w14:paraId="69608B1D" w14:textId="77777777" w:rsidR="00507B6E" w:rsidRPr="00CF1B34" w:rsidRDefault="00507B6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Este procedimiento se usa para mejorar los ingresos por unidad familiar, pasar el scoring del banco y afianzar la operación. Pero es una posición no recomendable, pues podría ser considerarse una donación encubierta, y porque, además, en caso de impago, podríamos figurar en la CIRBE.</w:t>
      </w:r>
    </w:p>
    <w:p w14:paraId="1FC4C8BC" w14:textId="1FB54036" w:rsidR="006D0888" w:rsidRDefault="006D0888"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Presupuesto familiar</w:t>
      </w:r>
    </w:p>
    <w:p w14:paraId="5AFD83CE" w14:textId="64BC8B0A" w:rsidR="00887855" w:rsidRPr="00887855" w:rsidRDefault="00887855" w:rsidP="00887855">
      <w:pPr>
        <w:pStyle w:val="NormalWeb"/>
        <w:shd w:val="clear" w:color="auto" w:fill="FFFFFF"/>
        <w:spacing w:before="0" w:beforeAutospacing="0" w:after="225" w:afterAutospacing="0"/>
        <w:ind w:left="708"/>
        <w:rPr>
          <w:rFonts w:ascii="Arial" w:hAnsi="Arial" w:cs="Arial"/>
          <w:color w:val="4A4A4A"/>
          <w:sz w:val="22"/>
          <w:szCs w:val="22"/>
        </w:rPr>
      </w:pPr>
      <w:r w:rsidRPr="00887855">
        <w:rPr>
          <w:rStyle w:val="Textoennegrita"/>
          <w:rFonts w:ascii="Arial" w:hAnsi="Arial" w:cs="Arial"/>
          <w:color w:val="4A4A4A"/>
          <w:sz w:val="22"/>
          <w:szCs w:val="22"/>
        </w:rPr>
        <w:t>Aprender a elaborar un presupuesto</w:t>
      </w:r>
      <w:r w:rsidRPr="00887855">
        <w:rPr>
          <w:rFonts w:ascii="Arial" w:hAnsi="Arial" w:cs="Arial"/>
          <w:color w:val="4A4A4A"/>
          <w:sz w:val="22"/>
          <w:szCs w:val="22"/>
        </w:rPr>
        <w:t xml:space="preserve"> es el primer paso hacia una mejor gestión financiera y la diferencia entre controlar de verdad nuestras finanzas o tener una idea aproximada de cómo fluct</w:t>
      </w:r>
      <w:r>
        <w:rPr>
          <w:rFonts w:ascii="Arial" w:hAnsi="Arial" w:cs="Arial"/>
          <w:color w:val="4A4A4A"/>
          <w:sz w:val="22"/>
          <w:szCs w:val="22"/>
        </w:rPr>
        <w:t>ú</w:t>
      </w:r>
      <w:r w:rsidRPr="00887855">
        <w:rPr>
          <w:rFonts w:ascii="Arial" w:hAnsi="Arial" w:cs="Arial"/>
          <w:color w:val="4A4A4A"/>
          <w:sz w:val="22"/>
          <w:szCs w:val="22"/>
        </w:rPr>
        <w:t xml:space="preserve">a nuestro capital. </w:t>
      </w:r>
      <w:r w:rsidRPr="00887855">
        <w:rPr>
          <w:rStyle w:val="Textoennegrita"/>
          <w:rFonts w:ascii="Arial" w:hAnsi="Arial" w:cs="Arial"/>
          <w:color w:val="4A4A4A"/>
          <w:sz w:val="22"/>
          <w:szCs w:val="22"/>
        </w:rPr>
        <w:t xml:space="preserve">La mayoría de personas posee un esquema mental </w:t>
      </w:r>
      <w:r w:rsidRPr="00887855">
        <w:rPr>
          <w:rFonts w:ascii="Arial" w:hAnsi="Arial" w:cs="Arial"/>
          <w:color w:val="4A4A4A"/>
          <w:sz w:val="22"/>
          <w:szCs w:val="22"/>
        </w:rPr>
        <w:t xml:space="preserve">sobre cómo están organizadas sus finanzas, pero después son pocos los ahorradores que lo plasman en un papel y la diferencia entre ambas fórmulas </w:t>
      </w:r>
      <w:proofErr w:type="gramStart"/>
      <w:r w:rsidRPr="00887855">
        <w:rPr>
          <w:rFonts w:ascii="Arial" w:hAnsi="Arial" w:cs="Arial"/>
          <w:color w:val="4A4A4A"/>
          <w:sz w:val="22"/>
          <w:szCs w:val="22"/>
        </w:rPr>
        <w:t>es</w:t>
      </w:r>
      <w:proofErr w:type="gramEnd"/>
      <w:r w:rsidRPr="00887855">
        <w:rPr>
          <w:rFonts w:ascii="Arial" w:hAnsi="Arial" w:cs="Arial"/>
          <w:color w:val="4A4A4A"/>
          <w:sz w:val="22"/>
          <w:szCs w:val="22"/>
        </w:rPr>
        <w:t xml:space="preserve"> abismal. Mientras sólo tengamos una ideal mental de nuestro presupuesto seremos incapaces de estudiar nuestro comportamiento como consumidores con la profundidad que debe hacerse y, por lo tanto, de </w:t>
      </w:r>
      <w:r w:rsidRPr="00887855">
        <w:rPr>
          <w:rStyle w:val="Textoennegrita"/>
          <w:rFonts w:ascii="Arial" w:hAnsi="Arial" w:cs="Arial"/>
          <w:color w:val="4A4A4A"/>
          <w:sz w:val="22"/>
          <w:szCs w:val="22"/>
        </w:rPr>
        <w:t>tomar decisiones informadas</w:t>
      </w:r>
      <w:r w:rsidRPr="00887855">
        <w:rPr>
          <w:rFonts w:ascii="Arial" w:hAnsi="Arial" w:cs="Arial"/>
          <w:color w:val="4A4A4A"/>
          <w:sz w:val="22"/>
          <w:szCs w:val="22"/>
        </w:rPr>
        <w:t>.</w:t>
      </w:r>
    </w:p>
    <w:p w14:paraId="4AB65BBD" w14:textId="0A275D1E" w:rsidR="00887855" w:rsidRPr="00887855" w:rsidRDefault="00887855" w:rsidP="00887855">
      <w:pPr>
        <w:ind w:left="708"/>
        <w:rPr>
          <w:rFonts w:ascii="Arial" w:hAnsi="Arial" w:cs="Arial"/>
          <w:sz w:val="22"/>
          <w:szCs w:val="22"/>
        </w:rPr>
      </w:pPr>
      <w:r w:rsidRPr="00887855">
        <w:rPr>
          <w:rFonts w:ascii="Arial" w:hAnsi="Arial" w:cs="Arial"/>
          <w:sz w:val="22"/>
          <w:szCs w:val="22"/>
        </w:rPr>
        <w:t>El objetivo de un presupuesto es, por una parte, c</w:t>
      </w:r>
      <w:r w:rsidRPr="00887855">
        <w:rPr>
          <w:rStyle w:val="Textoennegrita"/>
          <w:rFonts w:ascii="Arial" w:hAnsi="Arial" w:cs="Arial"/>
          <w:color w:val="4A4A4A"/>
          <w:sz w:val="22"/>
          <w:szCs w:val="22"/>
        </w:rPr>
        <w:t>ontrolar nuestras finanzas personales</w:t>
      </w:r>
      <w:r w:rsidRPr="00887855">
        <w:rPr>
          <w:rFonts w:ascii="Arial" w:hAnsi="Arial" w:cs="Arial"/>
          <w:sz w:val="22"/>
          <w:szCs w:val="22"/>
        </w:rPr>
        <w:t xml:space="preserve"> y por otra </w:t>
      </w:r>
      <w:r w:rsidRPr="00887855">
        <w:rPr>
          <w:rStyle w:val="Textoennegrita"/>
          <w:rFonts w:ascii="Arial" w:hAnsi="Arial" w:cs="Arial"/>
          <w:color w:val="4A4A4A"/>
          <w:sz w:val="22"/>
          <w:szCs w:val="22"/>
        </w:rPr>
        <w:t xml:space="preserve">optimizar nuestra gestión </w:t>
      </w:r>
      <w:r w:rsidRPr="00887855">
        <w:rPr>
          <w:rFonts w:ascii="Arial" w:hAnsi="Arial" w:cs="Arial"/>
          <w:sz w:val="22"/>
          <w:szCs w:val="22"/>
        </w:rPr>
        <w:t xml:space="preserve">financiera, aunque todo se puede resumir como </w:t>
      </w:r>
      <w:r w:rsidRPr="00887855">
        <w:rPr>
          <w:rStyle w:val="Textoennegrita"/>
          <w:rFonts w:ascii="Arial" w:hAnsi="Arial" w:cs="Arial"/>
          <w:color w:val="4A4A4A"/>
          <w:sz w:val="22"/>
          <w:szCs w:val="22"/>
        </w:rPr>
        <w:t>“gastar menos de lo que ingresamos”</w:t>
      </w:r>
      <w:r w:rsidRPr="00887855">
        <w:rPr>
          <w:rFonts w:ascii="Arial" w:hAnsi="Arial" w:cs="Arial"/>
          <w:sz w:val="22"/>
          <w:szCs w:val="22"/>
        </w:rPr>
        <w:t>, algo que no siempre es tan fácil. Los</w:t>
      </w:r>
      <w:r w:rsidRPr="00887855">
        <w:rPr>
          <w:rStyle w:val="Textoennegrita"/>
          <w:rFonts w:ascii="Arial" w:hAnsi="Arial" w:cs="Arial"/>
          <w:color w:val="4A4A4A"/>
          <w:sz w:val="22"/>
          <w:szCs w:val="22"/>
        </w:rPr>
        <w:t xml:space="preserve"> pasos para elaborar un presupuesto básico</w:t>
      </w:r>
      <w:r w:rsidRPr="00887855">
        <w:rPr>
          <w:rFonts w:ascii="Arial" w:hAnsi="Arial" w:cs="Arial"/>
          <w:sz w:val="22"/>
          <w:szCs w:val="22"/>
        </w:rPr>
        <w:t> son también muy sencillos:</w:t>
      </w:r>
    </w:p>
    <w:p w14:paraId="50EA4829" w14:textId="5F64F949" w:rsidR="00887855" w:rsidRPr="00887855" w:rsidRDefault="00887855" w:rsidP="004F7A62">
      <w:pPr>
        <w:pStyle w:val="Prrafodelista"/>
        <w:numPr>
          <w:ilvl w:val="0"/>
          <w:numId w:val="254"/>
        </w:numPr>
        <w:rPr>
          <w:rFonts w:ascii="Arial" w:hAnsi="Arial" w:cs="Arial"/>
          <w:sz w:val="22"/>
          <w:szCs w:val="22"/>
        </w:rPr>
      </w:pPr>
      <w:r w:rsidRPr="00887855">
        <w:rPr>
          <w:rFonts w:ascii="Arial" w:hAnsi="Arial" w:cs="Arial"/>
          <w:sz w:val="22"/>
          <w:szCs w:val="22"/>
        </w:rPr>
        <w:t>Calcular ingresos y patrimonio</w:t>
      </w:r>
      <w:r w:rsidR="002436EC">
        <w:rPr>
          <w:rFonts w:ascii="Arial" w:hAnsi="Arial" w:cs="Arial"/>
          <w:sz w:val="22"/>
          <w:szCs w:val="22"/>
        </w:rPr>
        <w:t>, recopilando toda la información.</w:t>
      </w:r>
    </w:p>
    <w:p w14:paraId="2BC82283" w14:textId="016456AF" w:rsidR="00887855" w:rsidRPr="00887855" w:rsidRDefault="00887855" w:rsidP="004F7A62">
      <w:pPr>
        <w:pStyle w:val="Prrafodelista"/>
        <w:numPr>
          <w:ilvl w:val="0"/>
          <w:numId w:val="254"/>
        </w:numPr>
        <w:rPr>
          <w:rFonts w:ascii="Arial" w:hAnsi="Arial" w:cs="Arial"/>
          <w:sz w:val="22"/>
          <w:szCs w:val="22"/>
        </w:rPr>
      </w:pPr>
      <w:r w:rsidRPr="00887855">
        <w:rPr>
          <w:rFonts w:ascii="Arial" w:hAnsi="Arial" w:cs="Arial"/>
          <w:sz w:val="22"/>
          <w:szCs w:val="22"/>
        </w:rPr>
        <w:t>Calcular</w:t>
      </w:r>
      <w:r w:rsidR="002436EC">
        <w:rPr>
          <w:rFonts w:ascii="Arial" w:hAnsi="Arial" w:cs="Arial"/>
          <w:sz w:val="22"/>
          <w:szCs w:val="22"/>
        </w:rPr>
        <w:t xml:space="preserve"> y clasificar </w:t>
      </w:r>
      <w:r w:rsidRPr="00887855">
        <w:rPr>
          <w:rFonts w:ascii="Arial" w:hAnsi="Arial" w:cs="Arial"/>
          <w:sz w:val="22"/>
          <w:szCs w:val="22"/>
        </w:rPr>
        <w:t>los gastos fijos</w:t>
      </w:r>
    </w:p>
    <w:p w14:paraId="7779939D" w14:textId="36FB4754" w:rsidR="00887855" w:rsidRPr="00887855" w:rsidRDefault="00887855" w:rsidP="004F7A62">
      <w:pPr>
        <w:pStyle w:val="Prrafodelista"/>
        <w:numPr>
          <w:ilvl w:val="0"/>
          <w:numId w:val="254"/>
        </w:numPr>
        <w:rPr>
          <w:rFonts w:ascii="Arial" w:hAnsi="Arial" w:cs="Arial"/>
          <w:sz w:val="22"/>
          <w:szCs w:val="22"/>
        </w:rPr>
      </w:pPr>
      <w:r w:rsidRPr="00887855">
        <w:rPr>
          <w:rFonts w:ascii="Arial" w:hAnsi="Arial" w:cs="Arial"/>
          <w:sz w:val="22"/>
          <w:szCs w:val="22"/>
        </w:rPr>
        <w:t>Calcular los gastos variables</w:t>
      </w:r>
      <w:r w:rsidR="002436EC">
        <w:rPr>
          <w:rFonts w:ascii="Arial" w:hAnsi="Arial" w:cs="Arial"/>
          <w:sz w:val="22"/>
          <w:szCs w:val="22"/>
        </w:rPr>
        <w:t xml:space="preserve"> y revisar</w:t>
      </w:r>
    </w:p>
    <w:p w14:paraId="7337C2AB" w14:textId="2DD21C33" w:rsidR="00887855" w:rsidRDefault="00887855" w:rsidP="004F7A62">
      <w:pPr>
        <w:pStyle w:val="Prrafodelista"/>
        <w:numPr>
          <w:ilvl w:val="0"/>
          <w:numId w:val="254"/>
        </w:numPr>
        <w:rPr>
          <w:rFonts w:ascii="Arial" w:hAnsi="Arial" w:cs="Arial"/>
          <w:sz w:val="22"/>
          <w:szCs w:val="22"/>
        </w:rPr>
      </w:pPr>
      <w:r w:rsidRPr="00887855">
        <w:rPr>
          <w:rFonts w:ascii="Arial" w:hAnsi="Arial" w:cs="Arial"/>
          <w:sz w:val="22"/>
          <w:szCs w:val="22"/>
        </w:rPr>
        <w:t>Determinar nuestro cash flow</w:t>
      </w:r>
      <w:r w:rsidR="002436EC">
        <w:rPr>
          <w:rFonts w:ascii="Arial" w:hAnsi="Arial" w:cs="Arial"/>
          <w:sz w:val="22"/>
          <w:szCs w:val="22"/>
        </w:rPr>
        <w:t xml:space="preserve"> para ajustar el presupuesto regularmente estableciendo metas a corto y largo plazo.</w:t>
      </w:r>
    </w:p>
    <w:p w14:paraId="70908EB7" w14:textId="7CD05408" w:rsidR="002436EC" w:rsidRDefault="002436EC" w:rsidP="002436EC">
      <w:pPr>
        <w:pStyle w:val="Prrafodelista"/>
        <w:rPr>
          <w:rFonts w:ascii="Arial" w:hAnsi="Arial" w:cs="Arial"/>
          <w:sz w:val="22"/>
          <w:szCs w:val="22"/>
        </w:rPr>
      </w:pPr>
      <w:r>
        <w:rPr>
          <w:rFonts w:ascii="Arial" w:hAnsi="Arial" w:cs="Arial"/>
          <w:sz w:val="22"/>
          <w:szCs w:val="22"/>
        </w:rPr>
        <w:t>Los beneficios una vez ser elaborad</w:t>
      </w:r>
    </w:p>
    <w:p w14:paraId="5F34A08E" w14:textId="5DC1B5BB" w:rsidR="002436EC" w:rsidRDefault="002436EC" w:rsidP="004F7A62">
      <w:pPr>
        <w:pStyle w:val="Prrafodelista"/>
        <w:numPr>
          <w:ilvl w:val="0"/>
          <w:numId w:val="255"/>
        </w:numPr>
        <w:rPr>
          <w:rFonts w:ascii="Arial" w:hAnsi="Arial" w:cs="Arial"/>
          <w:sz w:val="22"/>
          <w:szCs w:val="22"/>
        </w:rPr>
      </w:pPr>
      <w:r>
        <w:rPr>
          <w:rFonts w:ascii="Arial" w:hAnsi="Arial" w:cs="Arial"/>
          <w:sz w:val="22"/>
          <w:szCs w:val="22"/>
        </w:rPr>
        <w:t>Mejora la organización financiera</w:t>
      </w:r>
    </w:p>
    <w:p w14:paraId="6B65B274" w14:textId="6D95B0EB" w:rsidR="002436EC" w:rsidRDefault="002436EC" w:rsidP="004F7A62">
      <w:pPr>
        <w:pStyle w:val="Prrafodelista"/>
        <w:numPr>
          <w:ilvl w:val="0"/>
          <w:numId w:val="255"/>
        </w:numPr>
        <w:rPr>
          <w:rFonts w:ascii="Arial" w:hAnsi="Arial" w:cs="Arial"/>
          <w:sz w:val="22"/>
          <w:szCs w:val="22"/>
        </w:rPr>
      </w:pPr>
      <w:r>
        <w:rPr>
          <w:rFonts w:ascii="Arial" w:hAnsi="Arial" w:cs="Arial"/>
          <w:sz w:val="22"/>
          <w:szCs w:val="22"/>
        </w:rPr>
        <w:t>Ayuda a ahorrar</w:t>
      </w:r>
    </w:p>
    <w:p w14:paraId="22B11BD0" w14:textId="3E9A2C5F" w:rsidR="002436EC" w:rsidRDefault="002436EC" w:rsidP="004F7A62">
      <w:pPr>
        <w:pStyle w:val="Prrafodelista"/>
        <w:numPr>
          <w:ilvl w:val="0"/>
          <w:numId w:val="255"/>
        </w:numPr>
        <w:rPr>
          <w:rFonts w:ascii="Arial" w:hAnsi="Arial" w:cs="Arial"/>
          <w:sz w:val="22"/>
          <w:szCs w:val="22"/>
        </w:rPr>
      </w:pPr>
      <w:r>
        <w:rPr>
          <w:rFonts w:ascii="Arial" w:hAnsi="Arial" w:cs="Arial"/>
          <w:sz w:val="22"/>
          <w:szCs w:val="22"/>
        </w:rPr>
        <w:t xml:space="preserve">Reduce el </w:t>
      </w:r>
      <w:r w:rsidR="00735013">
        <w:rPr>
          <w:rFonts w:ascii="Arial" w:hAnsi="Arial" w:cs="Arial"/>
          <w:sz w:val="22"/>
          <w:szCs w:val="22"/>
        </w:rPr>
        <w:t>estrés</w:t>
      </w:r>
    </w:p>
    <w:p w14:paraId="3BA51D4A" w14:textId="02C084FE" w:rsidR="00735013" w:rsidRPr="002436EC" w:rsidRDefault="00735013" w:rsidP="004F7A62">
      <w:pPr>
        <w:pStyle w:val="Prrafodelista"/>
        <w:numPr>
          <w:ilvl w:val="0"/>
          <w:numId w:val="255"/>
        </w:numPr>
        <w:rPr>
          <w:rFonts w:ascii="Arial" w:hAnsi="Arial" w:cs="Arial"/>
          <w:sz w:val="22"/>
          <w:szCs w:val="22"/>
        </w:rPr>
      </w:pPr>
      <w:r>
        <w:rPr>
          <w:rFonts w:ascii="Arial" w:hAnsi="Arial" w:cs="Arial"/>
          <w:sz w:val="22"/>
          <w:szCs w:val="22"/>
        </w:rPr>
        <w:t>Permite planificar</w:t>
      </w:r>
    </w:p>
    <w:p w14:paraId="5CB9C3C4" w14:textId="77777777" w:rsidR="00735013" w:rsidRPr="00CF1B34" w:rsidRDefault="00887855" w:rsidP="00735013">
      <w:pPr>
        <w:pBdr>
          <w:bottom w:val="dotted" w:sz="12" w:space="12" w:color="666666"/>
        </w:pBdr>
        <w:spacing w:after="240"/>
        <w:ind w:left="720"/>
        <w:jc w:val="both"/>
        <w:rPr>
          <w:rFonts w:ascii="Arial" w:hAnsi="Arial" w:cs="Arial"/>
          <w:color w:val="212529"/>
          <w:sz w:val="22"/>
          <w:szCs w:val="22"/>
          <w:lang w:val="es-ES_tradnl"/>
        </w:rPr>
      </w:pPr>
      <w:r w:rsidRPr="00887855">
        <w:rPr>
          <w:rFonts w:ascii="Arial" w:hAnsi="Arial" w:cs="Arial"/>
          <w:color w:val="4A4A4A"/>
          <w:sz w:val="22"/>
          <w:szCs w:val="22"/>
          <w:shd w:val="clear" w:color="auto" w:fill="FFFFFF"/>
        </w:rPr>
        <w:t xml:space="preserve">La </w:t>
      </w:r>
      <w:r w:rsidRPr="00887855">
        <w:rPr>
          <w:rStyle w:val="Textoennegrita"/>
          <w:rFonts w:ascii="Arial" w:hAnsi="Arial" w:cs="Arial"/>
          <w:color w:val="4A4A4A"/>
          <w:sz w:val="22"/>
          <w:szCs w:val="22"/>
          <w:shd w:val="clear" w:color="auto" w:fill="FFFFFF"/>
        </w:rPr>
        <w:t>importancia del presupuesto</w:t>
      </w:r>
      <w:r w:rsidRPr="00887855">
        <w:rPr>
          <w:rFonts w:ascii="Arial" w:hAnsi="Arial" w:cs="Arial"/>
          <w:color w:val="4A4A4A"/>
          <w:sz w:val="22"/>
          <w:szCs w:val="22"/>
          <w:shd w:val="clear" w:color="auto" w:fill="FFFFFF"/>
        </w:rPr>
        <w:t xml:space="preserve"> radica en que nos permitirá saber exactamente en qué gastamos nuestro capital y por lo tanto cuáles son nuestras pautas de consumo.</w:t>
      </w:r>
      <w:r w:rsidR="00735013">
        <w:rPr>
          <w:rFonts w:ascii="Arial" w:hAnsi="Arial" w:cs="Arial"/>
          <w:color w:val="4A4A4A"/>
          <w:sz w:val="22"/>
          <w:szCs w:val="22"/>
          <w:shd w:val="clear" w:color="auto" w:fill="FFFFFF"/>
        </w:rPr>
        <w:t xml:space="preserve"> </w:t>
      </w:r>
      <w:r w:rsidR="00735013" w:rsidRPr="00735013">
        <w:rPr>
          <w:rFonts w:ascii="Arial" w:hAnsi="Arial" w:cs="Arial"/>
          <w:color w:val="000000"/>
          <w:sz w:val="22"/>
          <w:szCs w:val="22"/>
          <w:shd w:val="clear" w:color="auto" w:fill="FFFFFF"/>
        </w:rPr>
        <w:t>es un proceso continuo que requiere revisión y ajuste regularmente para asegurarte de que se está cumpliendo con las metas financieras y mejorando la gestión de los recursos.</w:t>
      </w:r>
    </w:p>
    <w:p w14:paraId="610DD71B" w14:textId="108EEEC9" w:rsidR="00507B6E"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Prima</w:t>
      </w:r>
    </w:p>
    <w:p w14:paraId="5F886A42" w14:textId="77777777" w:rsidR="00C64CA3" w:rsidRPr="00CF1B34" w:rsidRDefault="00C64CA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Suma percibida por el vendedor en un mercado a plazo, para doblar su posición cuando la posición de compra es inferior a la de venta.</w:t>
      </w:r>
    </w:p>
    <w:p w14:paraId="6B32E85D" w14:textId="1B093571"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Prima de asistencia</w:t>
      </w:r>
    </w:p>
    <w:p w14:paraId="7D67742C" w14:textId="77777777" w:rsidR="005F2172" w:rsidRPr="00CF1B34" w:rsidRDefault="00C64CA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prima de asistencia a las juntas generales de accionistas las paga la empresa para que el inversor acuda y participe en la junta. Estas primas son de 0,03 o 0,06€ (5 0 10 pesetas) por cada acción que po</w:t>
      </w:r>
      <w:r w:rsidR="005F2172" w:rsidRPr="00CF1B34">
        <w:rPr>
          <w:rFonts w:ascii="Arial" w:hAnsi="Arial" w:cs="Arial"/>
          <w:color w:val="000000" w:themeColor="text1"/>
          <w:sz w:val="22"/>
          <w:szCs w:val="22"/>
          <w:lang w:val="es-ES_tradnl"/>
        </w:rPr>
        <w:t>se</w:t>
      </w:r>
      <w:r w:rsidRPr="00CF1B34">
        <w:rPr>
          <w:rFonts w:ascii="Arial" w:hAnsi="Arial" w:cs="Arial"/>
          <w:color w:val="000000" w:themeColor="text1"/>
          <w:sz w:val="22"/>
          <w:szCs w:val="22"/>
          <w:lang w:val="es-ES_tradnl"/>
        </w:rPr>
        <w:t>a el accionista.</w:t>
      </w:r>
    </w:p>
    <w:p w14:paraId="0097C580" w14:textId="2862601C"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Prima de emisión</w:t>
      </w:r>
    </w:p>
    <w:p w14:paraId="5980673B"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Es la diferencia entre el valor nominal de un título y el precio por el que se emite. En una emisión de acciones, por ejemplo, esta prima es un sobreprecio que abonan los nuevos accionistas, normalmente con el fin de incrementar las reservas de la sociedad y evitar la dilución que de otra forma experimentarían las mismas, por la entrada de nuevos accionistas.</w:t>
      </w:r>
    </w:p>
    <w:p w14:paraId="2E051EC4"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Prima de reembolso</w:t>
      </w:r>
    </w:p>
    <w:p w14:paraId="157A1A53"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También llamada prima de amortización, es la cantidad que se abona al tenedor de un valor de renta fija, en el momento del reembolso, por encima del valor nominal del título.</w:t>
      </w:r>
    </w:p>
    <w:p w14:paraId="0850A2D2"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Prima de riesgo</w:t>
      </w:r>
    </w:p>
    <w:p w14:paraId="1882FC67"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mayor rentabilidad que un inversor exige a un activo, por aceptar el riesgo que incorpora en relación a los activos que se consideran libres de riesgo (generalmente, se emplea como referencia la deuda pública al plazo de la inversión). Por eso las emisiones de empresas privadas ofrecen tipos más altos que la deuda pública: cualquier emisor privado, por muy solvente que sea, conlleva un riesgo superior al del Estado. También para la inversión en acciones se exige mayor remuneración cuanto mayor sea el riesgo esperado (mayor prima de riesgo), en función de la coyuntura de los mercados.</w:t>
      </w:r>
    </w:p>
    <w:p w14:paraId="6FD31B1B" w14:textId="5C70774E"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Prima de una opción</w:t>
      </w:r>
    </w:p>
    <w:p w14:paraId="40503BA8" w14:textId="7A5F1860" w:rsidR="005F2172" w:rsidRPr="00CF1B34" w:rsidRDefault="005F217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los mercados a plazo es el precio pagado por el comprador de opciones al vendedor por adquirir el derecho a comprar una sola acción. Como cada contrato es de cien acciones el precio al contado es cien veces la prima. En general la prima es el exceso que se paga sobre el valor te</w:t>
      </w:r>
      <w:r w:rsidR="00011A9E">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rico de un activo financiero. El valor de la prima viene determinado por el valor intrínseco, se calcula restando del precio de mercado el precio de ejercicio. En las opciones de venta es la resta del precio de ejercicio menos el precio de mercado.</w:t>
      </w:r>
    </w:p>
    <w:p w14:paraId="7419B20A" w14:textId="73C4F121"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Principales incidencias adversas (PIAS)</w:t>
      </w:r>
    </w:p>
    <w:p w14:paraId="18D0136F"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las incidencias negativas del asesoramiento y las decisiones de inversión en los diferentes factores de sostenibilidad (ASG). Mediante el uso de una serie de indicadores, algunos obligatorios y otros voluntarios, las entidades aspiran a captar el impacto negativo de las inversiones en el medio ambiente y la sociedad (por ejemplo, se medirán las violaciones de derechos humanos o la exposición a energías fósiles). Las PIAS incluyen indicadores de actividades concretas como la producción de armas controvertidas e indicadores que recogen impacto como las emisiones de carbono. Serán los participantes en los mercados financieros quienes informen al cliente de las PIAS en materia de sostenibilidad (o, en caso de que no tengan en cuenta las incidencias adversas, tendrás que incluir una justificación clara de por qué no lo hacen). </w:t>
      </w:r>
    </w:p>
    <w:p w14:paraId="004856FE" w14:textId="47BCF98B"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Principio de convergencia</w:t>
      </w:r>
    </w:p>
    <w:p w14:paraId="4BAF8759" w14:textId="69906D36" w:rsidR="00D42EE2" w:rsidRPr="00CF1B34" w:rsidRDefault="0035151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principio de convergencia consiste en que la base tiende a cero en el vencimiento del contrato de futuro. As</w:t>
      </w:r>
      <w:r w:rsidR="00011A9E">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 xml:space="preserve">, a medida que el tiempo va disminuyendo y nos acercamos al vencimiento, el precio del futuro se aproxima al contado, </w:t>
      </w:r>
      <w:r w:rsidR="00D42EE2" w:rsidRPr="00CF1B34">
        <w:rPr>
          <w:rFonts w:ascii="Arial" w:hAnsi="Arial" w:cs="Arial"/>
          <w:color w:val="000000" w:themeColor="text1"/>
          <w:sz w:val="22"/>
          <w:szCs w:val="22"/>
          <w:lang w:val="es-ES_tradnl"/>
        </w:rPr>
        <w:t>llegando a ser aproximadamente iguales en el momento del vencimiento.</w:t>
      </w:r>
    </w:p>
    <w:p w14:paraId="01864F16" w14:textId="153EA0BD"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Privatización</w:t>
      </w:r>
    </w:p>
    <w:p w14:paraId="1894B697" w14:textId="660D7D44"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Venta total o parcial de una empresa pública (propiedad del Estado) a inversores privados, a través de una oferta pública. De esta forma, tanto la responsabilidad como los </w:t>
      </w:r>
      <w:r w:rsidRPr="00CF1B34">
        <w:rPr>
          <w:rFonts w:ascii="Arial" w:hAnsi="Arial" w:cs="Arial"/>
          <w:color w:val="212529"/>
          <w:sz w:val="22"/>
          <w:szCs w:val="22"/>
          <w:lang w:val="es-ES_tradnl"/>
        </w:rPr>
        <w:lastRenderedPageBreak/>
        <w:t>beneficios derivados de la evolución de la sociedad pasan a manos de sus accionistas. Sin embargo, en ocasiones los Estados intentan mantener ciertos mecanismos de control (como la acción de oro), sobre todo cuando la empresa desarrolla su actividad en un sector considerado estratégico. Ver</w:t>
      </w:r>
      <w:r w:rsidR="00011A9E">
        <w:rPr>
          <w:rFonts w:ascii="Arial" w:hAnsi="Arial" w:cs="Arial"/>
          <w:color w:val="212529"/>
          <w:sz w:val="22"/>
          <w:szCs w:val="22"/>
          <w:lang w:val="es-ES_tradnl"/>
        </w:rPr>
        <w:t xml:space="preserve"> </w:t>
      </w:r>
      <w:hyperlink r:id="rId313" w:tgtFrame="_self" w:history="1">
        <w:r w:rsidRPr="00011A9E">
          <w:rPr>
            <w:rFonts w:ascii="Arial" w:hAnsi="Arial" w:cs="Arial"/>
            <w:b/>
            <w:bCs/>
            <w:color w:val="2F5496" w:themeColor="accent1" w:themeShade="BF"/>
            <w:sz w:val="22"/>
            <w:szCs w:val="22"/>
            <w:u w:val="single"/>
            <w:lang w:val="es-ES_tradnl"/>
          </w:rPr>
          <w:t>Acción de oro</w:t>
        </w:r>
      </w:hyperlink>
      <w:r w:rsidRPr="00011A9E">
        <w:rPr>
          <w:rFonts w:ascii="Arial" w:hAnsi="Arial" w:cs="Arial"/>
          <w:color w:val="2F5496" w:themeColor="accent1" w:themeShade="BF"/>
          <w:sz w:val="22"/>
          <w:szCs w:val="22"/>
          <w:lang w:val="es-ES_tradnl"/>
        </w:rPr>
        <w:t>.</w:t>
      </w:r>
    </w:p>
    <w:p w14:paraId="29306E56" w14:textId="7211D60C" w:rsidR="00735013" w:rsidRDefault="00735013"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 xml:space="preserve">Productividad </w:t>
      </w:r>
    </w:p>
    <w:p w14:paraId="39BB1850" w14:textId="620286A1" w:rsidR="00B42231" w:rsidRPr="00F50489" w:rsidRDefault="00735013" w:rsidP="00F50489">
      <w:pPr>
        <w:ind w:left="708"/>
        <w:rPr>
          <w:rFonts w:ascii="Arial" w:hAnsi="Arial" w:cs="Arial"/>
          <w:sz w:val="22"/>
          <w:szCs w:val="22"/>
        </w:rPr>
      </w:pPr>
      <w:r w:rsidRPr="00F50489">
        <w:rPr>
          <w:rFonts w:ascii="Arial" w:hAnsi="Arial" w:cs="Arial"/>
          <w:color w:val="213343"/>
          <w:sz w:val="22"/>
          <w:szCs w:val="22"/>
          <w:shd w:val="clear" w:color="auto" w:fill="F6F9FC"/>
        </w:rPr>
        <w:t>La productividad es una medición que refleja la relación existente entre los resultados de una actividad, el tiempo invertido en ella y los recursos que han sido utilizados para llevarla a cabo. Este indicador suele medirse en unidades de tiempo y expresa la correspondencia entre el trabajo y el producto final.</w:t>
      </w:r>
      <w:r w:rsidR="00B42231" w:rsidRPr="00F50489">
        <w:rPr>
          <w:rFonts w:ascii="Arial" w:hAnsi="Arial" w:cs="Arial"/>
          <w:color w:val="213343"/>
          <w:sz w:val="22"/>
          <w:szCs w:val="22"/>
          <w:shd w:val="clear" w:color="auto" w:fill="F6F9FC"/>
        </w:rPr>
        <w:t xml:space="preserve"> </w:t>
      </w:r>
      <w:r w:rsidR="00B42231" w:rsidRPr="00F50489">
        <w:rPr>
          <w:rStyle w:val="Textoennegrita"/>
          <w:rFonts w:ascii="Arial" w:hAnsi="Arial" w:cs="Arial"/>
          <w:color w:val="213343"/>
          <w:sz w:val="22"/>
          <w:szCs w:val="22"/>
          <w:bdr w:val="none" w:sz="0" w:space="0" w:color="auto" w:frame="1"/>
        </w:rPr>
        <w:t>Es una forma de expresar el rendimiento a la hora de realizar una actividad</w:t>
      </w:r>
    </w:p>
    <w:p w14:paraId="1ADA479B" w14:textId="128D984E" w:rsidR="00B42231" w:rsidRPr="00F50489" w:rsidRDefault="00B42231" w:rsidP="00F50489">
      <w:pPr>
        <w:ind w:left="708"/>
        <w:rPr>
          <w:rFonts w:ascii="Arial" w:hAnsi="Arial" w:cs="Arial"/>
          <w:sz w:val="22"/>
          <w:szCs w:val="22"/>
        </w:rPr>
      </w:pPr>
      <w:r w:rsidRPr="00F50489">
        <w:rPr>
          <w:rStyle w:val="Textoennegrita"/>
          <w:rFonts w:ascii="Arial" w:hAnsi="Arial" w:cs="Arial"/>
          <w:color w:val="213343"/>
          <w:sz w:val="22"/>
          <w:szCs w:val="22"/>
          <w:bdr w:val="none" w:sz="0" w:space="0" w:color="auto" w:frame="1"/>
        </w:rPr>
        <w:t>La búsqueda de la eficiencia ha hecho que la productividad se convierta en uno de los aspectos fundamentales de la cultura empresarial.</w:t>
      </w:r>
      <w:r w:rsidRPr="00F50489">
        <w:rPr>
          <w:rFonts w:ascii="Arial" w:hAnsi="Arial" w:cs="Arial"/>
          <w:color w:val="213343"/>
          <w:sz w:val="22"/>
          <w:szCs w:val="22"/>
        </w:rPr>
        <w:t xml:space="preserve"> Hay un énfasis en todo aquello que pueda mejorar la productividad:</w:t>
      </w:r>
    </w:p>
    <w:p w14:paraId="75558D1D" w14:textId="77777777" w:rsidR="00B42231" w:rsidRPr="00F50489" w:rsidRDefault="00B42231" w:rsidP="004F7A62">
      <w:pPr>
        <w:numPr>
          <w:ilvl w:val="0"/>
          <w:numId w:val="256"/>
        </w:numPr>
        <w:spacing w:before="100" w:beforeAutospacing="1" w:after="100" w:afterAutospacing="1"/>
        <w:textAlignment w:val="baseline"/>
        <w:rPr>
          <w:rFonts w:ascii="Arial" w:hAnsi="Arial" w:cs="Arial"/>
          <w:color w:val="213343"/>
          <w:sz w:val="22"/>
          <w:szCs w:val="22"/>
        </w:rPr>
      </w:pPr>
      <w:r w:rsidRPr="00F50489">
        <w:rPr>
          <w:rFonts w:ascii="Arial" w:hAnsi="Arial" w:cs="Arial"/>
          <w:color w:val="213343"/>
          <w:sz w:val="22"/>
          <w:szCs w:val="22"/>
        </w:rPr>
        <w:t>Medición de resultados</w:t>
      </w:r>
    </w:p>
    <w:p w14:paraId="6E139016" w14:textId="77777777" w:rsidR="00B42231" w:rsidRPr="00F50489" w:rsidRDefault="00B42231" w:rsidP="004F7A62">
      <w:pPr>
        <w:numPr>
          <w:ilvl w:val="0"/>
          <w:numId w:val="256"/>
        </w:numPr>
        <w:spacing w:before="100" w:beforeAutospacing="1" w:after="100" w:afterAutospacing="1"/>
        <w:textAlignment w:val="baseline"/>
        <w:rPr>
          <w:rFonts w:ascii="Arial" w:hAnsi="Arial" w:cs="Arial"/>
          <w:color w:val="213343"/>
          <w:sz w:val="22"/>
          <w:szCs w:val="22"/>
        </w:rPr>
      </w:pPr>
      <w:r w:rsidRPr="00F50489">
        <w:rPr>
          <w:rFonts w:ascii="Arial" w:hAnsi="Arial" w:cs="Arial"/>
          <w:color w:val="213343"/>
          <w:sz w:val="22"/>
          <w:szCs w:val="22"/>
        </w:rPr>
        <w:t>Métricas de rendimiento</w:t>
      </w:r>
    </w:p>
    <w:p w14:paraId="7F8B9440" w14:textId="77777777" w:rsidR="00B42231" w:rsidRPr="00F50489" w:rsidRDefault="00B42231" w:rsidP="004F7A62">
      <w:pPr>
        <w:numPr>
          <w:ilvl w:val="0"/>
          <w:numId w:val="256"/>
        </w:numPr>
        <w:spacing w:before="100" w:beforeAutospacing="1" w:after="100" w:afterAutospacing="1"/>
        <w:textAlignment w:val="baseline"/>
        <w:rPr>
          <w:rFonts w:ascii="Arial" w:hAnsi="Arial" w:cs="Arial"/>
          <w:color w:val="213343"/>
          <w:sz w:val="22"/>
          <w:szCs w:val="22"/>
        </w:rPr>
      </w:pPr>
      <w:r w:rsidRPr="00F50489">
        <w:rPr>
          <w:rFonts w:ascii="Arial" w:hAnsi="Arial" w:cs="Arial"/>
          <w:color w:val="213343"/>
          <w:sz w:val="22"/>
          <w:szCs w:val="22"/>
        </w:rPr>
        <w:t>Medidas de conciliación y flexibilidad laboral</w:t>
      </w:r>
    </w:p>
    <w:p w14:paraId="28C3499F" w14:textId="77777777" w:rsidR="00B42231" w:rsidRPr="00F50489" w:rsidRDefault="00B42231" w:rsidP="004F7A62">
      <w:pPr>
        <w:numPr>
          <w:ilvl w:val="0"/>
          <w:numId w:val="256"/>
        </w:numPr>
        <w:spacing w:before="100" w:beforeAutospacing="1" w:after="100" w:afterAutospacing="1"/>
        <w:textAlignment w:val="baseline"/>
        <w:rPr>
          <w:rFonts w:ascii="Arial" w:hAnsi="Arial" w:cs="Arial"/>
          <w:color w:val="213343"/>
          <w:sz w:val="22"/>
          <w:szCs w:val="22"/>
        </w:rPr>
      </w:pPr>
      <w:r w:rsidRPr="00F50489">
        <w:rPr>
          <w:rFonts w:ascii="Arial" w:hAnsi="Arial" w:cs="Arial"/>
          <w:color w:val="213343"/>
          <w:sz w:val="22"/>
          <w:szCs w:val="22"/>
        </w:rPr>
        <w:t>Esquemas de trabajo a distancia y trabajo híbrido</w:t>
      </w:r>
    </w:p>
    <w:p w14:paraId="66EC21AA" w14:textId="77777777" w:rsidR="00B42231" w:rsidRPr="00F50489" w:rsidRDefault="00B42231" w:rsidP="004F7A62">
      <w:pPr>
        <w:numPr>
          <w:ilvl w:val="0"/>
          <w:numId w:val="256"/>
        </w:numPr>
        <w:spacing w:before="100" w:beforeAutospacing="1" w:after="100" w:afterAutospacing="1"/>
        <w:textAlignment w:val="baseline"/>
        <w:rPr>
          <w:rFonts w:ascii="Arial" w:hAnsi="Arial" w:cs="Arial"/>
          <w:color w:val="213343"/>
          <w:sz w:val="22"/>
          <w:szCs w:val="22"/>
        </w:rPr>
      </w:pPr>
      <w:r w:rsidRPr="00F50489">
        <w:rPr>
          <w:rFonts w:ascii="Arial" w:hAnsi="Arial" w:cs="Arial"/>
          <w:color w:val="213343"/>
          <w:sz w:val="22"/>
          <w:szCs w:val="22"/>
        </w:rPr>
        <w:t>Innovación tecnológica</w:t>
      </w:r>
    </w:p>
    <w:p w14:paraId="0BD46CD9" w14:textId="77777777" w:rsidR="00B42231" w:rsidRPr="00F50489" w:rsidRDefault="00B42231" w:rsidP="004F7A62">
      <w:pPr>
        <w:numPr>
          <w:ilvl w:val="0"/>
          <w:numId w:val="256"/>
        </w:numPr>
        <w:spacing w:before="100" w:beforeAutospacing="1" w:after="100" w:afterAutospacing="1"/>
        <w:textAlignment w:val="baseline"/>
        <w:rPr>
          <w:rFonts w:ascii="Arial" w:hAnsi="Arial" w:cs="Arial"/>
          <w:color w:val="213343"/>
          <w:sz w:val="22"/>
          <w:szCs w:val="22"/>
        </w:rPr>
      </w:pPr>
      <w:r w:rsidRPr="00F50489">
        <w:rPr>
          <w:rFonts w:ascii="Arial" w:hAnsi="Arial" w:cs="Arial"/>
          <w:color w:val="213343"/>
          <w:sz w:val="22"/>
          <w:szCs w:val="22"/>
        </w:rPr>
        <w:t>Digitalización</w:t>
      </w:r>
    </w:p>
    <w:p w14:paraId="6F607E7F" w14:textId="77777777" w:rsidR="00B42231" w:rsidRPr="00F50489" w:rsidRDefault="00B42231" w:rsidP="004F7A62">
      <w:pPr>
        <w:numPr>
          <w:ilvl w:val="0"/>
          <w:numId w:val="256"/>
        </w:numPr>
        <w:spacing w:before="100" w:beforeAutospacing="1" w:after="100" w:afterAutospacing="1"/>
        <w:textAlignment w:val="baseline"/>
        <w:rPr>
          <w:rFonts w:ascii="Arial" w:hAnsi="Arial" w:cs="Arial"/>
          <w:color w:val="213343"/>
          <w:sz w:val="22"/>
          <w:szCs w:val="22"/>
        </w:rPr>
      </w:pPr>
      <w:r w:rsidRPr="00F50489">
        <w:rPr>
          <w:rFonts w:ascii="Arial" w:hAnsi="Arial" w:cs="Arial"/>
          <w:color w:val="213343"/>
          <w:sz w:val="22"/>
          <w:szCs w:val="22"/>
        </w:rPr>
        <w:t>Incentivos a la creatividad y el desempeño</w:t>
      </w:r>
    </w:p>
    <w:p w14:paraId="63E1BAC8" w14:textId="77777777" w:rsidR="00B42231" w:rsidRPr="00F50489" w:rsidRDefault="00B42231" w:rsidP="004F7A62">
      <w:pPr>
        <w:numPr>
          <w:ilvl w:val="0"/>
          <w:numId w:val="256"/>
        </w:numPr>
        <w:spacing w:before="100" w:beforeAutospacing="1" w:after="100" w:afterAutospacing="1"/>
        <w:textAlignment w:val="baseline"/>
        <w:rPr>
          <w:rFonts w:ascii="Arial" w:hAnsi="Arial" w:cs="Arial"/>
          <w:color w:val="213343"/>
          <w:sz w:val="22"/>
          <w:szCs w:val="22"/>
        </w:rPr>
      </w:pPr>
      <w:r w:rsidRPr="00F50489">
        <w:rPr>
          <w:rFonts w:ascii="Arial" w:hAnsi="Arial" w:cs="Arial"/>
          <w:color w:val="213343"/>
          <w:sz w:val="22"/>
          <w:szCs w:val="22"/>
        </w:rPr>
        <w:t>Fomento a las sinergias internas y externa</w:t>
      </w:r>
    </w:p>
    <w:p w14:paraId="5B0057A9" w14:textId="53ECDC12" w:rsidR="00B42231" w:rsidRPr="00F50489" w:rsidRDefault="0010005E" w:rsidP="00F50489">
      <w:pPr>
        <w:ind w:firstLine="708"/>
        <w:rPr>
          <w:rFonts w:ascii="Arial" w:hAnsi="Arial" w:cs="Arial"/>
          <w:b/>
          <w:bCs/>
          <w:sz w:val="22"/>
          <w:szCs w:val="22"/>
        </w:rPr>
      </w:pPr>
      <w:r w:rsidRPr="00F50489">
        <w:rPr>
          <w:rFonts w:ascii="Arial" w:hAnsi="Arial" w:cs="Arial"/>
          <w:b/>
          <w:bCs/>
          <w:sz w:val="22"/>
          <w:szCs w:val="22"/>
        </w:rPr>
        <w:t>Características:</w:t>
      </w:r>
    </w:p>
    <w:p w14:paraId="6C360685" w14:textId="261F0AA0" w:rsidR="00735013" w:rsidRPr="00F50489" w:rsidRDefault="0010005E" w:rsidP="004F7A62">
      <w:pPr>
        <w:pStyle w:val="Prrafodelista"/>
        <w:numPr>
          <w:ilvl w:val="0"/>
          <w:numId w:val="257"/>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Clasifica prioridades</w:t>
      </w:r>
    </w:p>
    <w:p w14:paraId="0FE751A1" w14:textId="5A4805A9" w:rsidR="0010005E" w:rsidRPr="00F50489" w:rsidRDefault="0010005E" w:rsidP="004F7A62">
      <w:pPr>
        <w:pStyle w:val="Prrafodelista"/>
        <w:numPr>
          <w:ilvl w:val="0"/>
          <w:numId w:val="257"/>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Es planificadora</w:t>
      </w:r>
    </w:p>
    <w:p w14:paraId="180E1221" w14:textId="2EFAB43F" w:rsidR="0010005E" w:rsidRPr="00F50489" w:rsidRDefault="0010005E" w:rsidP="004F7A62">
      <w:pPr>
        <w:pStyle w:val="Prrafodelista"/>
        <w:numPr>
          <w:ilvl w:val="0"/>
          <w:numId w:val="257"/>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Requiere disciplina</w:t>
      </w:r>
    </w:p>
    <w:p w14:paraId="62E1B073" w14:textId="593634E7" w:rsidR="0010005E" w:rsidRPr="00F50489" w:rsidRDefault="0010005E" w:rsidP="004F7A62">
      <w:pPr>
        <w:pStyle w:val="Prrafodelista"/>
        <w:numPr>
          <w:ilvl w:val="0"/>
          <w:numId w:val="257"/>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Es crítica</w:t>
      </w:r>
    </w:p>
    <w:p w14:paraId="0F986A99" w14:textId="26D9DCD5" w:rsidR="0010005E" w:rsidRPr="00F50489" w:rsidRDefault="0010005E" w:rsidP="004F7A62">
      <w:pPr>
        <w:pStyle w:val="Prrafodelista"/>
        <w:numPr>
          <w:ilvl w:val="0"/>
          <w:numId w:val="257"/>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Depende de todos los niveles</w:t>
      </w:r>
    </w:p>
    <w:p w14:paraId="28CBB41A" w14:textId="3779824D" w:rsidR="00735013" w:rsidRPr="00F50489" w:rsidRDefault="0010005E" w:rsidP="00F50489">
      <w:pPr>
        <w:ind w:firstLine="708"/>
        <w:jc w:val="both"/>
        <w:rPr>
          <w:rFonts w:ascii="Arial" w:hAnsi="Arial" w:cs="Arial"/>
          <w:b/>
          <w:bCs/>
          <w:color w:val="000000" w:themeColor="text1"/>
          <w:sz w:val="22"/>
          <w:szCs w:val="22"/>
          <w:lang w:val="es-ES_tradnl"/>
        </w:rPr>
      </w:pPr>
      <w:r w:rsidRPr="00F50489">
        <w:rPr>
          <w:rFonts w:ascii="Arial" w:hAnsi="Arial" w:cs="Arial"/>
          <w:b/>
          <w:bCs/>
          <w:color w:val="000000" w:themeColor="text1"/>
          <w:sz w:val="22"/>
          <w:szCs w:val="22"/>
          <w:lang w:val="es-ES_tradnl"/>
        </w:rPr>
        <w:t>Tipos de productividad:</w:t>
      </w:r>
    </w:p>
    <w:p w14:paraId="181F9069" w14:textId="59CD6F1F" w:rsidR="0010005E" w:rsidRPr="00F50489" w:rsidRDefault="0010005E" w:rsidP="004F7A62">
      <w:pPr>
        <w:pStyle w:val="Prrafodelista"/>
        <w:numPr>
          <w:ilvl w:val="0"/>
          <w:numId w:val="258"/>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Producitividad laboral</w:t>
      </w:r>
    </w:p>
    <w:p w14:paraId="392CD267" w14:textId="7BDA29BC" w:rsidR="0010005E" w:rsidRPr="00F50489" w:rsidRDefault="0010005E" w:rsidP="004F7A62">
      <w:pPr>
        <w:pStyle w:val="Prrafodelista"/>
        <w:numPr>
          <w:ilvl w:val="0"/>
          <w:numId w:val="258"/>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Productividad de los factores</w:t>
      </w:r>
    </w:p>
    <w:p w14:paraId="7B8019BD" w14:textId="6A097741" w:rsidR="0010005E" w:rsidRPr="00F50489" w:rsidRDefault="0010005E" w:rsidP="004F7A62">
      <w:pPr>
        <w:pStyle w:val="Prrafodelista"/>
        <w:numPr>
          <w:ilvl w:val="0"/>
          <w:numId w:val="258"/>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Productividad marginal</w:t>
      </w:r>
    </w:p>
    <w:p w14:paraId="5F077A85" w14:textId="2BA157D0" w:rsidR="0010005E" w:rsidRPr="00F50489" w:rsidRDefault="00F0168D" w:rsidP="00F50489">
      <w:pPr>
        <w:ind w:firstLine="708"/>
        <w:jc w:val="both"/>
        <w:rPr>
          <w:rFonts w:ascii="Arial" w:hAnsi="Arial" w:cs="Arial"/>
          <w:color w:val="004773"/>
          <w:sz w:val="22"/>
          <w:szCs w:val="22"/>
          <w:lang w:val="es-ES_tradnl"/>
        </w:rPr>
      </w:pPr>
      <w:r w:rsidRPr="00F50489">
        <w:rPr>
          <w:rFonts w:ascii="Arial" w:hAnsi="Arial" w:cs="Arial"/>
          <w:color w:val="004773"/>
          <w:sz w:val="22"/>
          <w:szCs w:val="22"/>
          <w:lang w:val="es-ES_tradnl"/>
        </w:rPr>
        <w:t>La formula para calcular la productividad:</w:t>
      </w:r>
    </w:p>
    <w:p w14:paraId="3A23978A" w14:textId="0AA6675E" w:rsidR="00F0168D" w:rsidRPr="00F50489" w:rsidRDefault="00F0168D" w:rsidP="00F50489">
      <w:pPr>
        <w:ind w:firstLine="708"/>
        <w:rPr>
          <w:rFonts w:ascii="Arial" w:hAnsi="Arial" w:cs="Arial"/>
          <w:sz w:val="22"/>
          <w:szCs w:val="22"/>
        </w:rPr>
      </w:pPr>
      <w:r w:rsidRPr="00F50489">
        <w:rPr>
          <w:rFonts w:ascii="Arial" w:hAnsi="Arial" w:cs="Arial"/>
          <w:sz w:val="22"/>
          <w:szCs w:val="22"/>
          <w:u w:val="single"/>
        </w:rPr>
        <w:t>Unidades de producción</w:t>
      </w:r>
      <w:r w:rsidRPr="00F50489">
        <w:rPr>
          <w:rFonts w:ascii="Arial" w:hAnsi="Arial" w:cs="Arial"/>
          <w:sz w:val="22"/>
          <w:szCs w:val="22"/>
        </w:rPr>
        <w:t>.  =   Productividad</w:t>
      </w:r>
    </w:p>
    <w:p w14:paraId="67B293BD" w14:textId="2C03F5D6" w:rsidR="00F0168D" w:rsidRPr="00F50489" w:rsidRDefault="00F0168D" w:rsidP="00F50489">
      <w:pPr>
        <w:ind w:firstLine="708"/>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Unidades de insumos</w:t>
      </w:r>
    </w:p>
    <w:p w14:paraId="008469B1" w14:textId="362C99CA" w:rsidR="0010005E" w:rsidRPr="00F50489" w:rsidRDefault="00F0168D" w:rsidP="00F50489">
      <w:pPr>
        <w:ind w:firstLine="708"/>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Formulas para aumentar la productividad:</w:t>
      </w:r>
    </w:p>
    <w:p w14:paraId="527A0D7A" w14:textId="7308B89D" w:rsidR="0010005E" w:rsidRPr="00F50489" w:rsidRDefault="00F0168D" w:rsidP="004F7A62">
      <w:pPr>
        <w:pStyle w:val="Prrafodelista"/>
        <w:numPr>
          <w:ilvl w:val="0"/>
          <w:numId w:val="259"/>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Elige una herramienta para ayudar a mejorar la productividad en el trabajo.</w:t>
      </w:r>
    </w:p>
    <w:p w14:paraId="309F4131" w14:textId="1A2F9A4A" w:rsidR="00F0168D" w:rsidRPr="00F50489" w:rsidRDefault="00F0168D" w:rsidP="004F7A62">
      <w:pPr>
        <w:pStyle w:val="Prrafodelista"/>
        <w:numPr>
          <w:ilvl w:val="0"/>
          <w:numId w:val="259"/>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Crea un registro de actividades.</w:t>
      </w:r>
    </w:p>
    <w:p w14:paraId="2F3EB7DE" w14:textId="3A4EF196" w:rsidR="00F0168D" w:rsidRPr="00F50489" w:rsidRDefault="00F0168D" w:rsidP="004F7A62">
      <w:pPr>
        <w:pStyle w:val="Prrafodelista"/>
        <w:numPr>
          <w:ilvl w:val="0"/>
          <w:numId w:val="259"/>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Prioriza tus prioridades.</w:t>
      </w:r>
    </w:p>
    <w:p w14:paraId="0196D665" w14:textId="02428DD7" w:rsidR="00F0168D" w:rsidRPr="00F50489" w:rsidRDefault="00F0168D" w:rsidP="004F7A62">
      <w:pPr>
        <w:pStyle w:val="Prrafodelista"/>
        <w:numPr>
          <w:ilvl w:val="0"/>
          <w:numId w:val="259"/>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Empezar con las tareas más cortas</w:t>
      </w:r>
      <w:r w:rsidR="00F50489" w:rsidRPr="00F50489">
        <w:rPr>
          <w:rFonts w:ascii="Arial" w:hAnsi="Arial" w:cs="Arial"/>
          <w:color w:val="000000" w:themeColor="text1"/>
          <w:sz w:val="22"/>
          <w:szCs w:val="22"/>
          <w:lang w:val="es-ES_tradnl"/>
        </w:rPr>
        <w:t>.</w:t>
      </w:r>
    </w:p>
    <w:p w14:paraId="03B63BB4" w14:textId="4D63A1CA" w:rsidR="00F0168D" w:rsidRPr="00F50489" w:rsidRDefault="00F0168D" w:rsidP="004F7A62">
      <w:pPr>
        <w:pStyle w:val="Prrafodelista"/>
        <w:numPr>
          <w:ilvl w:val="0"/>
          <w:numId w:val="259"/>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Planificar el día</w:t>
      </w:r>
      <w:r w:rsidR="00F50489" w:rsidRPr="00F50489">
        <w:rPr>
          <w:rFonts w:ascii="Arial" w:hAnsi="Arial" w:cs="Arial"/>
          <w:color w:val="000000" w:themeColor="text1"/>
          <w:sz w:val="22"/>
          <w:szCs w:val="22"/>
          <w:lang w:val="es-ES_tradnl"/>
        </w:rPr>
        <w:t>.</w:t>
      </w:r>
    </w:p>
    <w:p w14:paraId="2CBC872A" w14:textId="646B7B3C" w:rsidR="00F0168D" w:rsidRPr="00F50489" w:rsidRDefault="00F50489" w:rsidP="004F7A62">
      <w:pPr>
        <w:pStyle w:val="Prrafodelista"/>
        <w:numPr>
          <w:ilvl w:val="0"/>
          <w:numId w:val="259"/>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Reservar tiempo especifico para el correo electrónico.</w:t>
      </w:r>
    </w:p>
    <w:p w14:paraId="0A63A3C9" w14:textId="2258AF7B" w:rsidR="00F50489" w:rsidRPr="00F50489" w:rsidRDefault="00F50489" w:rsidP="004F7A62">
      <w:pPr>
        <w:pStyle w:val="Prrafodelista"/>
        <w:numPr>
          <w:ilvl w:val="0"/>
          <w:numId w:val="259"/>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Agenda de reuniones una después de la otra.</w:t>
      </w:r>
    </w:p>
    <w:p w14:paraId="3F50D860" w14:textId="4E482135" w:rsidR="00F50489" w:rsidRPr="00F50489" w:rsidRDefault="00F50489" w:rsidP="004F7A62">
      <w:pPr>
        <w:pStyle w:val="Prrafodelista"/>
        <w:numPr>
          <w:ilvl w:val="0"/>
          <w:numId w:val="259"/>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Limita tu disponibilidad.</w:t>
      </w:r>
    </w:p>
    <w:p w14:paraId="402EDFA0" w14:textId="49C4B3CE" w:rsidR="00F50489" w:rsidRPr="00F50489" w:rsidRDefault="00F50489" w:rsidP="004F7A62">
      <w:pPr>
        <w:pStyle w:val="Prrafodelista"/>
        <w:numPr>
          <w:ilvl w:val="0"/>
          <w:numId w:val="259"/>
        </w:numPr>
        <w:jc w:val="both"/>
        <w:rPr>
          <w:rFonts w:ascii="Arial" w:hAnsi="Arial" w:cs="Arial"/>
          <w:color w:val="000000" w:themeColor="text1"/>
          <w:sz w:val="22"/>
          <w:szCs w:val="22"/>
          <w:lang w:val="es-ES_tradnl"/>
        </w:rPr>
      </w:pPr>
      <w:r w:rsidRPr="00F50489">
        <w:rPr>
          <w:rFonts w:ascii="Arial" w:hAnsi="Arial" w:cs="Arial"/>
          <w:color w:val="000000" w:themeColor="text1"/>
          <w:sz w:val="22"/>
          <w:szCs w:val="22"/>
          <w:lang w:val="es-ES_tradnl"/>
        </w:rPr>
        <w:t>Desconectar y descansar.</w:t>
      </w:r>
    </w:p>
    <w:p w14:paraId="0D7230CF" w14:textId="77777777" w:rsidR="00F50489" w:rsidRPr="00CF1B34" w:rsidRDefault="00F50489" w:rsidP="00F50489">
      <w:pPr>
        <w:pBdr>
          <w:bottom w:val="dotted" w:sz="12" w:space="12" w:color="666666"/>
        </w:pBdr>
        <w:spacing w:after="240"/>
        <w:ind w:left="720"/>
        <w:jc w:val="both"/>
        <w:rPr>
          <w:rFonts w:ascii="Arial" w:hAnsi="Arial" w:cs="Arial"/>
          <w:color w:val="212529"/>
          <w:sz w:val="22"/>
          <w:szCs w:val="22"/>
          <w:lang w:val="es-ES_tradnl"/>
        </w:rPr>
      </w:pPr>
      <w:r w:rsidRPr="00F50489">
        <w:rPr>
          <w:rFonts w:ascii="Arial" w:hAnsi="Arial" w:cs="Arial"/>
          <w:color w:val="213343"/>
          <w:sz w:val="22"/>
          <w:szCs w:val="22"/>
        </w:rPr>
        <w:t>Aplicar los hábitos de mejora de la productividad fuera y dentro de la oficina te proporcionará grandes beneficios: al crear métodos más eficientes para tu ambiente laboral podrás calmar el estrés que tienes y que afecta los otros ámbitos de tu vida</w:t>
      </w:r>
      <w:r>
        <w:rPr>
          <w:rFonts w:ascii="Arial" w:hAnsi="Arial" w:cs="Arial"/>
          <w:color w:val="213343"/>
          <w:sz w:val="22"/>
          <w:szCs w:val="22"/>
        </w:rPr>
        <w:t>.</w:t>
      </w:r>
    </w:p>
    <w:p w14:paraId="1C2D9028" w14:textId="6FA5055D"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Producto complejo</w:t>
      </w:r>
    </w:p>
    <w:p w14:paraId="1B001095" w14:textId="7E040A99" w:rsidR="00A23A19" w:rsidRPr="00011A9E" w:rsidRDefault="00A23A19"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lastRenderedPageBreak/>
        <w:t>De acuerdo con la normativa, son complejos aquellos instrumentos cuyas características no están suficientemente difundidas entre los inversores, para los que no existe un precio públicamente disponible y que pueden dar lugar a pérdidas reales o potenciales superiores al coste de la inversión inicial. Para que el inversor pueda adquirir un producto complejo es necesario que la entidad realice el correspondiente test de conveniencia (con independencia de que la iniciativa de la operación haya sido del cliente o del intermediario). Se consideran productos complejos las opciones, los futuros, los warrants y otros derivados, así como aquellos instrumentos financieros cuya estructura contenga algún derivado. Ver</w:t>
      </w:r>
      <w:r w:rsidR="007F1C39" w:rsidRPr="00CF1B34">
        <w:rPr>
          <w:rFonts w:ascii="Arial" w:hAnsi="Arial" w:cs="Arial"/>
          <w:color w:val="212529"/>
          <w:sz w:val="22"/>
          <w:szCs w:val="22"/>
          <w:lang w:val="es-ES_tradnl"/>
        </w:rPr>
        <w:t xml:space="preserve"> </w:t>
      </w:r>
      <w:hyperlink r:id="rId314" w:tgtFrame="_self" w:history="1">
        <w:r w:rsidRPr="00011A9E">
          <w:rPr>
            <w:rFonts w:ascii="Arial" w:hAnsi="Arial" w:cs="Arial"/>
            <w:b/>
            <w:bCs/>
            <w:color w:val="2F5496" w:themeColor="accent1" w:themeShade="BF"/>
            <w:sz w:val="22"/>
            <w:szCs w:val="22"/>
            <w:u w:val="single"/>
            <w:lang w:val="es-ES_tradnl"/>
          </w:rPr>
          <w:t>Test de conveniencia</w:t>
        </w:r>
      </w:hyperlink>
      <w:r w:rsidRPr="00011A9E">
        <w:rPr>
          <w:rFonts w:ascii="Arial" w:hAnsi="Arial" w:cs="Arial"/>
          <w:color w:val="2F5496" w:themeColor="accent1" w:themeShade="BF"/>
          <w:sz w:val="22"/>
          <w:szCs w:val="22"/>
          <w:lang w:val="es-ES_tradnl"/>
        </w:rPr>
        <w:t>.</w:t>
      </w:r>
    </w:p>
    <w:p w14:paraId="0E5973AE" w14:textId="795E8EFF" w:rsidR="007F1C39" w:rsidRPr="00CF1B34" w:rsidRDefault="007F1C3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Producto interior bruto (PIB)</w:t>
      </w:r>
    </w:p>
    <w:p w14:paraId="146A3FEC" w14:textId="77777777" w:rsidR="007F1C39" w:rsidRPr="00CF1B34" w:rsidRDefault="007F1C3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Suma de la producción de una economía que refleja el flujo de bienes y servicios producidos en el territorio de un país en un determinado periodo de tiempo. Puede ser calculado desde tres dimensiones, cuantitativamente equivalentes: 1. Desde el punto de vista del origen, representa el aporte de los diferentes sectores productivos y se mide por la suma de los valores agregados de cada uno de estos sectores (método del valor agregado) 2. Desde el punto de vista del destino, representa la utilización del producto y se mide como la suma de las demandas finales de la economía (método del gasto) 3. Desde el punto de vista del ingreso generado por los factores productivos (trabajo y capital).</w:t>
      </w:r>
    </w:p>
    <w:p w14:paraId="00367F83" w14:textId="390BEE88" w:rsidR="001C5950"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Productos de activos</w:t>
      </w:r>
    </w:p>
    <w:p w14:paraId="7BF57A2C" w14:textId="77777777" w:rsidR="00512CF3" w:rsidRPr="00CF1B34" w:rsidRDefault="00512CF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Dentro de la terminología bancaria estos productos se corresponden con la inversión crediticia de las entidades.</w:t>
      </w:r>
    </w:p>
    <w:p w14:paraId="4AD1455B" w14:textId="20FB6BC3" w:rsidR="005A67D1" w:rsidRPr="00CF1B34" w:rsidRDefault="005A67D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Productos e cobertura</w:t>
      </w:r>
    </w:p>
    <w:p w14:paraId="4A18F740" w14:textId="77777777" w:rsidR="00B145E2" w:rsidRPr="00CF1B34" w:rsidRDefault="00B145E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aquellos productos que sirven para cubrir un riesgo. Un ejemplo claro de estos productos son los futuros y las opciones.</w:t>
      </w:r>
    </w:p>
    <w:p w14:paraId="299CBA87" w14:textId="6A7E68DA" w:rsidR="00660201" w:rsidRPr="00CF1B34" w:rsidRDefault="006602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Productos de pasivo</w:t>
      </w:r>
    </w:p>
    <w:p w14:paraId="2310FC4B" w14:textId="77777777" w:rsidR="00B145E2" w:rsidRPr="00CF1B34" w:rsidRDefault="00B145E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Dentro de la terminología bancaria son aquellos que captan el dinero de sus clientes.</w:t>
      </w:r>
    </w:p>
    <w:p w14:paraId="61123C8D" w14:textId="7457C214" w:rsidR="00660201" w:rsidRPr="00CF1B34" w:rsidRDefault="006602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Productos derivados</w:t>
      </w:r>
    </w:p>
    <w:p w14:paraId="7DC473BE" w14:textId="77777777" w:rsidR="00B145E2" w:rsidRPr="00CF1B34" w:rsidRDefault="00B145E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Las opciones y los futuros también se entienden como productos derivados. Esto quiere decir que sus precios derivan de otros productos que toman como referencia.</w:t>
      </w:r>
    </w:p>
    <w:p w14:paraId="4DFA809B" w14:textId="47EC1885" w:rsidR="00660201" w:rsidRPr="00CF1B34" w:rsidRDefault="006602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Productos financieros</w:t>
      </w:r>
    </w:p>
    <w:p w14:paraId="4C10D1C6" w14:textId="57A9BDA9" w:rsidR="00B145E2" w:rsidRPr="00CF1B34" w:rsidRDefault="00B145E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aquellos que entran dentro de la financiación de una empresa, país, etc. El inversor los compra para obtener con ellos una ganancia y el emisor los vende para captar dinero con el compromiso de devolverlo y satisfacer las rentabilidades </w:t>
      </w:r>
      <w:r w:rsidR="006B565B" w:rsidRPr="00CF1B34">
        <w:rPr>
          <w:rFonts w:ascii="Arial" w:hAnsi="Arial" w:cs="Arial"/>
          <w:color w:val="000000" w:themeColor="text1"/>
          <w:sz w:val="22"/>
          <w:szCs w:val="22"/>
          <w:lang w:val="es-ES_tradnl"/>
        </w:rPr>
        <w:t>prometidas.</w:t>
      </w:r>
    </w:p>
    <w:p w14:paraId="324D0B24" w14:textId="77777777" w:rsidR="001C5950" w:rsidRPr="00CF1B34" w:rsidRDefault="001C5950" w:rsidP="0005621A">
      <w:pPr>
        <w:shd w:val="clear" w:color="auto" w:fill="FFFFFF"/>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Productos de venta combinada con la hipoteca</w:t>
      </w:r>
    </w:p>
    <w:p w14:paraId="50B12CD5" w14:textId="0E99394A" w:rsidR="001C5950" w:rsidRPr="00CF1B34" w:rsidRDefault="001C5950"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Los</w:t>
      </w:r>
      <w:r w:rsidR="00214FE6">
        <w:rPr>
          <w:rFonts w:ascii="Arial" w:hAnsi="Arial" w:cs="Arial"/>
          <w:color w:val="191B1C"/>
          <w:sz w:val="22"/>
          <w:szCs w:val="22"/>
          <w:lang w:val="es-ES_tradnl"/>
        </w:rPr>
        <w:t xml:space="preserve"> </w:t>
      </w:r>
      <w:r w:rsidRPr="00CF1B34">
        <w:rPr>
          <w:rFonts w:ascii="Arial" w:hAnsi="Arial" w:cs="Arial"/>
          <w:b/>
          <w:bCs/>
          <w:color w:val="191B1C"/>
          <w:sz w:val="22"/>
          <w:szCs w:val="22"/>
          <w:lang w:val="es-ES_tradnl"/>
        </w:rPr>
        <w:t>productos de venta combinada con la hipoteca</w:t>
      </w:r>
      <w:r w:rsidR="00214FE6">
        <w:rPr>
          <w:rFonts w:ascii="Arial" w:hAnsi="Arial" w:cs="Arial"/>
          <w:color w:val="191B1C"/>
          <w:sz w:val="22"/>
          <w:szCs w:val="22"/>
          <w:lang w:val="es-ES_tradnl"/>
        </w:rPr>
        <w:t xml:space="preserve"> </w:t>
      </w:r>
      <w:r w:rsidRPr="00CF1B34">
        <w:rPr>
          <w:rFonts w:ascii="Arial" w:hAnsi="Arial" w:cs="Arial"/>
          <w:color w:val="191B1C"/>
          <w:sz w:val="22"/>
          <w:szCs w:val="22"/>
          <w:lang w:val="es-ES_tradnl"/>
        </w:rPr>
        <w:t>son todos aquellos productos con los que las entidades pueden disfrutar de mejores condiciones en su</w:t>
      </w:r>
      <w:r w:rsidR="00011A9E">
        <w:rPr>
          <w:rFonts w:ascii="Arial" w:hAnsi="Arial" w:cs="Arial"/>
          <w:color w:val="191B1C"/>
          <w:sz w:val="22"/>
          <w:szCs w:val="22"/>
          <w:lang w:val="es-ES_tradnl"/>
        </w:rPr>
        <w:t xml:space="preserve"> </w:t>
      </w:r>
      <w:hyperlink r:id="rId315" w:history="1">
        <w:r w:rsidRPr="00CF1B34">
          <w:rPr>
            <w:rFonts w:ascii="Arial" w:hAnsi="Arial" w:cs="Arial"/>
            <w:color w:val="BD4313"/>
            <w:sz w:val="22"/>
            <w:szCs w:val="22"/>
            <w:u w:val="single"/>
            <w:lang w:val="es-ES_tradnl"/>
          </w:rPr>
          <w:t>préstamo hipotecario</w:t>
        </w:r>
      </w:hyperlink>
      <w:r w:rsidRPr="00CF1B34">
        <w:rPr>
          <w:rFonts w:ascii="Arial" w:hAnsi="Arial" w:cs="Arial"/>
          <w:color w:val="191B1C"/>
          <w:sz w:val="22"/>
          <w:szCs w:val="22"/>
          <w:lang w:val="es-ES_tradnl"/>
        </w:rPr>
        <w:t>.</w:t>
      </w:r>
    </w:p>
    <w:p w14:paraId="3811CF88" w14:textId="77777777" w:rsidR="001C5950" w:rsidRPr="00CF1B34" w:rsidRDefault="001C5950"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Estos productos se llaman vinculados porque van unidos (vinculados) al diferencial. Esto es: si vinculamos un producto a nuestra hipoteca, reducimos el diferencial de esta. Concretamente, podríamos recortar hasta un 1,3% del diferencial, pudiendo suponer un ahorro de cuota de 1.000 € al año.</w:t>
      </w:r>
    </w:p>
    <w:p w14:paraId="04108931" w14:textId="188DAD8B" w:rsidR="001C5950" w:rsidRPr="00CF1B34" w:rsidRDefault="001C5950"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Hasta la llegada de la </w:t>
      </w:r>
      <w:r w:rsidRPr="00CF1B34">
        <w:rPr>
          <w:rStyle w:val="Textoennegrita"/>
          <w:rFonts w:ascii="Arial" w:hAnsi="Arial" w:cs="Arial"/>
          <w:color w:val="191B1C"/>
          <w:sz w:val="22"/>
          <w:szCs w:val="22"/>
          <w:lang w:val="es-ES_tradnl"/>
        </w:rPr>
        <w:t>Ley Hipotecaria</w:t>
      </w:r>
      <w:r w:rsidRPr="00CF1B34">
        <w:rPr>
          <w:rFonts w:ascii="Arial" w:hAnsi="Arial" w:cs="Arial"/>
          <w:color w:val="191B1C"/>
          <w:sz w:val="22"/>
          <w:szCs w:val="22"/>
          <w:lang w:val="es-ES_tradnl"/>
        </w:rPr>
        <w:t>, estos productos asociados a la hipoteca no estaban regulados, y muchas vences los bancos podían exigirnos su contratación como condición necesaria para firmar el préstamo. Hoy esta establece que, aunque algunos de estos seguros sean obligatorios (por ejemplo, un seguro de vida del titular que cubra el pago de la hipoteca en caso de que se produzca le fallecimiento de este; o un seguro de vivienda o de daños que cubra el inmueble contra cualquier eventualidad), ningún banco puede obligarnos a contratarlos con él. Es decir, que tendremos que contratarlos, pero no necesariamente con la entidad con la que hayamos firmado nuestra</w:t>
      </w:r>
      <w:r w:rsidR="00214FE6">
        <w:rPr>
          <w:rFonts w:ascii="Arial" w:hAnsi="Arial" w:cs="Arial"/>
          <w:color w:val="191B1C"/>
          <w:sz w:val="22"/>
          <w:szCs w:val="22"/>
          <w:lang w:val="es-ES_tradnl"/>
        </w:rPr>
        <w:t xml:space="preserve"> </w:t>
      </w:r>
      <w:hyperlink r:id="rId316" w:history="1">
        <w:r w:rsidRPr="00CF1B34">
          <w:rPr>
            <w:rStyle w:val="Hipervnculo"/>
            <w:rFonts w:ascii="Arial" w:hAnsi="Arial" w:cs="Arial"/>
            <w:color w:val="BD4313"/>
            <w:sz w:val="22"/>
            <w:szCs w:val="22"/>
            <w:lang w:val="es-ES_tradnl"/>
          </w:rPr>
          <w:t>hipoteca</w:t>
        </w:r>
      </w:hyperlink>
      <w:r w:rsidRPr="00CF1B34">
        <w:rPr>
          <w:rFonts w:ascii="Arial" w:hAnsi="Arial" w:cs="Arial"/>
          <w:color w:val="191B1C"/>
          <w:sz w:val="22"/>
          <w:szCs w:val="22"/>
          <w:lang w:val="es-ES_tradnl"/>
        </w:rPr>
        <w:t>.</w:t>
      </w:r>
    </w:p>
    <w:p w14:paraId="096BC7F7" w14:textId="77777777" w:rsidR="001C5950" w:rsidRPr="00CF1B34" w:rsidRDefault="001C5950" w:rsidP="0005621A">
      <w:pPr>
        <w:pStyle w:val="Ttulo2"/>
        <w:shd w:val="clear" w:color="auto" w:fill="FFFFFF"/>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Cuáles son los productos de venta combinada con la hipoteca</w:t>
      </w:r>
    </w:p>
    <w:p w14:paraId="06E2F3D3" w14:textId="77777777" w:rsidR="001C5950" w:rsidRPr="00CF1B34" w:rsidRDefault="001C5950"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Son los siguientes: los seguros de hogar, de protección de pagos o de vida; las tarjetas de crédito y débito; la domiciliación de la nómina y las domiciliaciones de pago; los planes de pensiones… La lista es larga, aunque no todos los productos procuran la misma rebaja, ni son igual de importantes. Por ejemplo, en el caso de una hipoteca y como hemos mencionado antes, es muy aconsejable (incluso obligatorio, en este caso) un seguro de vida o un seguro contra incendios.</w:t>
      </w:r>
    </w:p>
    <w:p w14:paraId="4BB095C2" w14:textId="77777777" w:rsidR="001C5950" w:rsidRPr="00CF1B34" w:rsidRDefault="001C5950" w:rsidP="0005621A">
      <w:pPr>
        <w:pStyle w:val="Ttulo2"/>
        <w:shd w:val="clear" w:color="auto" w:fill="FFFFFF"/>
        <w:ind w:left="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Qué rentabilidad nos proporcionan los productos de venta vinculada con la hipoteca</w:t>
      </w:r>
    </w:p>
    <w:p w14:paraId="506DFE7B" w14:textId="77777777" w:rsidR="001C5950" w:rsidRPr="00CF1B34" w:rsidRDefault="001C5950"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Por mucho que estos productos impliquen algunos gastos (comisiones de apertura, mantenimiento, etc), en general suelen compensar la bajada de nuestra hipoteca. Pero siempre hay que analizarlo bien, ya que hay veces en que pueda compensarnos desvincular algunos de estos productos, aunque aumente el diferencial de nuestro préstamo.</w:t>
      </w:r>
    </w:p>
    <w:p w14:paraId="26C887B5" w14:textId="77777777" w:rsidR="001C5950" w:rsidRPr="00CF1B34" w:rsidRDefault="001C5950" w:rsidP="0005621A">
      <w:pPr>
        <w:pStyle w:val="Ttulo2"/>
        <w:shd w:val="clear" w:color="auto" w:fill="FFFFFF"/>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Cómo podemos cancelarlos</w:t>
      </w:r>
    </w:p>
    <w:p w14:paraId="760AE81E" w14:textId="77777777" w:rsidR="001C5950" w:rsidRPr="00CF1B34" w:rsidRDefault="001C5950"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 la pregunta de si es posible cancelar un producto vinculado, la respuesta es sí. Para ello deberemos solicitar dicha cancelación a nuestra entidad de crédito por escrito y con unos meses de antelación, asegurándonos de que figure el número de póliza, el número de cuenta de cargo y nuestros datos como titulares. Tendremos que tener en cuenta posibles cargos en concepto de comisiones de cancelación; en todo caso, deberemos informarnos bien sobre las condiciones de nuestra hipoteca en el registro de hipoteca y revisar bien la aplicación de estas comisiones, de qué manera y en qué casos.</w:t>
      </w:r>
    </w:p>
    <w:p w14:paraId="1B77BE09" w14:textId="77777777" w:rsidR="001C5950" w:rsidRPr="00CF1B34" w:rsidRDefault="001C5950" w:rsidP="0005621A">
      <w:pPr>
        <w:pStyle w:val="Ttulo2"/>
        <w:shd w:val="clear" w:color="auto" w:fill="FFFFFF"/>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Los productos combinados y vinculados, ¿son iguales?</w:t>
      </w:r>
    </w:p>
    <w:p w14:paraId="030C25AF" w14:textId="77777777" w:rsidR="001C5950" w:rsidRPr="00CF1B34" w:rsidRDefault="001C595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Son parecidos, pero la diferencia está en que los vinculados se comercializan de manera independiente, permitiendo al cliente elegir aquellos que le resulten interesantes. En cambio, los productos combinados se contratan en pack, y quedan prohibidos con la nueva Ley. Ya se trate de unos o de otros, el banco siempre deberá informarnos por escrito de los productos que contratemos, y de las consecuencias que podrá ocasionarnos el cancelarlos. Ahora bien: el banco nos ofrece este tipo de productos para obtener una mejor hipoteca, con mejores condiciones; y en caso de no contratarlos, supondrá una subida del interés de la que siempre nos tendrá que informar.</w:t>
      </w:r>
    </w:p>
    <w:p w14:paraId="6C88EF3E" w14:textId="5841AEE5"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Producto estructurado</w:t>
      </w:r>
    </w:p>
    <w:p w14:paraId="5C4F0E2D"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Activo que se forma combinando dos o más instrumentos financieros, generalmente productos de renta fija e instrumentos derivados. La parte de renta fija suele cumplir la función de proteger un porcentaje determinado del capital invertido a vencimiento, mientras que con la contratación del instrumento o instrumentos derivados se persigue aprovechar la evolución (al alza o a la baja) de uno o varios activos subyacentes. La posición adoptada en derivados les otorga una gran versatilidad y no sólo permite su utilización como productos de inversión, sino también como instrumentos de cobertura. Aunque surgen de la combinación de otros productos, son instrumentos financieros con características de rentabilidad y riesgo propias. Por este motivo, es posible encontrar bajo esta denominación productos totalmente diferentes en cuanto a rendimiento potencial y posibilidad de pérdida del capital invertido.</w:t>
      </w:r>
    </w:p>
    <w:p w14:paraId="5FDFC51D"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Producto no complejo</w:t>
      </w:r>
    </w:p>
    <w:p w14:paraId="2699D18A"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De acuerdo con la normativa, se consideran no complejos aquellos productos sobre los que existe suficiente información pública (incluida la relativa al precio) y que no pueden generar pérdidas superiores a la inversión inicial. Cuando estos productos se adquieren a iniciativa del cliente, no es necesario que el intermediario realice el test de conveniencia. Se consideran productos no complejos las acciones, los valores de renta fija y algunos tipos de fondos de inversión. Ver </w:t>
      </w:r>
      <w:hyperlink r:id="rId317" w:tgtFrame="_self" w:history="1">
        <w:r w:rsidRPr="00CF1B34">
          <w:rPr>
            <w:rFonts w:ascii="Arial" w:hAnsi="Arial" w:cs="Arial"/>
            <w:b/>
            <w:bCs/>
            <w:color w:val="AD2144"/>
            <w:sz w:val="22"/>
            <w:szCs w:val="22"/>
            <w:u w:val="single"/>
            <w:lang w:val="es-ES_tradnl"/>
          </w:rPr>
          <w:t>Test de conveniencia</w:t>
        </w:r>
      </w:hyperlink>
      <w:r w:rsidRPr="00CF1B34">
        <w:rPr>
          <w:rFonts w:ascii="Arial" w:hAnsi="Arial" w:cs="Arial"/>
          <w:color w:val="212529"/>
          <w:sz w:val="22"/>
          <w:szCs w:val="22"/>
          <w:lang w:val="es-ES_tradnl"/>
        </w:rPr>
        <w:t>.</w:t>
      </w:r>
    </w:p>
    <w:p w14:paraId="64BEB259" w14:textId="4C7E3258" w:rsidR="00214FE6" w:rsidRDefault="00214FE6"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Productos de inversión</w:t>
      </w:r>
    </w:p>
    <w:p w14:paraId="1AAA6999" w14:textId="082C343A" w:rsidR="00214FE6" w:rsidRPr="00214FE6" w:rsidRDefault="00214FE6" w:rsidP="00214FE6">
      <w:pPr>
        <w:rPr>
          <w:rFonts w:ascii="Arial" w:hAnsi="Arial" w:cs="Arial"/>
          <w:sz w:val="22"/>
          <w:szCs w:val="22"/>
        </w:rPr>
      </w:pPr>
      <w:r w:rsidRPr="00214FE6">
        <w:rPr>
          <w:rFonts w:ascii="Arial" w:hAnsi="Arial" w:cs="Arial"/>
          <w:color w:val="000000"/>
          <w:sz w:val="22"/>
          <w:szCs w:val="22"/>
          <w:shd w:val="clear" w:color="auto" w:fill="FFFFFF"/>
        </w:rPr>
        <w:t xml:space="preserve">Son </w:t>
      </w:r>
      <w:r w:rsidRPr="00214FE6">
        <w:rPr>
          <w:rStyle w:val="highlight-answer"/>
          <w:rFonts w:ascii="Arial" w:hAnsi="Arial" w:cs="Arial"/>
          <w:b/>
          <w:bCs/>
          <w:color w:val="000000"/>
          <w:sz w:val="22"/>
          <w:szCs w:val="22"/>
          <w:shd w:val="clear" w:color="auto" w:fill="FFFFFF"/>
        </w:rPr>
        <w:t>herramientas financieras que permiten a los inversores colocar su dinero en activos que generen rentabilidad</w:t>
      </w:r>
      <w:r w:rsidRPr="00214FE6">
        <w:rPr>
          <w:rFonts w:ascii="Arial" w:hAnsi="Arial" w:cs="Arial"/>
          <w:color w:val="000000"/>
          <w:sz w:val="22"/>
          <w:szCs w:val="22"/>
          <w:shd w:val="clear" w:color="auto" w:fill="FFFFFF"/>
        </w:rPr>
        <w:t>, como acciones, bonos, fondos de inversión, planes de pensiones, entre otros.</w:t>
      </w:r>
    </w:p>
    <w:p w14:paraId="16C1897B" w14:textId="1078B1A6" w:rsidR="00214FE6" w:rsidRPr="00214FE6" w:rsidRDefault="00214FE6" w:rsidP="00214FE6">
      <w:pPr>
        <w:pStyle w:val="NormalWeb"/>
        <w:shd w:val="clear" w:color="auto" w:fill="FFFFFF"/>
        <w:spacing w:before="0" w:beforeAutospacing="0"/>
        <w:rPr>
          <w:rFonts w:ascii="Arial" w:hAnsi="Arial" w:cs="Arial"/>
          <w:color w:val="000000"/>
          <w:sz w:val="22"/>
          <w:szCs w:val="22"/>
        </w:rPr>
      </w:pPr>
      <w:r w:rsidRPr="00214FE6">
        <w:rPr>
          <w:rFonts w:ascii="Arial" w:hAnsi="Arial" w:cs="Arial"/>
          <w:color w:val="000000"/>
          <w:sz w:val="22"/>
          <w:szCs w:val="22"/>
        </w:rPr>
        <w:t>Tipos de productos de inversión:</w:t>
      </w:r>
    </w:p>
    <w:p w14:paraId="035C922F" w14:textId="77777777" w:rsidR="00214FE6" w:rsidRPr="00214FE6" w:rsidRDefault="00214FE6" w:rsidP="00214FE6">
      <w:pPr>
        <w:pStyle w:val="Ttulo3"/>
        <w:shd w:val="clear" w:color="auto" w:fill="FFFFFF"/>
        <w:spacing w:before="0" w:after="120"/>
        <w:rPr>
          <w:rFonts w:ascii="Arial" w:hAnsi="Arial" w:cs="Arial"/>
          <w:color w:val="000000"/>
          <w:sz w:val="22"/>
          <w:szCs w:val="22"/>
        </w:rPr>
      </w:pPr>
      <w:r w:rsidRPr="00214FE6">
        <w:rPr>
          <w:rFonts w:ascii="Arial" w:hAnsi="Arial" w:cs="Arial"/>
          <w:color w:val="000000"/>
          <w:sz w:val="22"/>
          <w:szCs w:val="22"/>
        </w:rPr>
        <w:t>1. Fondos de Inversión</w:t>
      </w:r>
    </w:p>
    <w:p w14:paraId="1160CD33" w14:textId="77777777" w:rsidR="00214FE6" w:rsidRPr="00214FE6" w:rsidRDefault="00214FE6" w:rsidP="004F7A62">
      <w:pPr>
        <w:numPr>
          <w:ilvl w:val="0"/>
          <w:numId w:val="260"/>
        </w:numPr>
        <w:shd w:val="clear" w:color="auto" w:fill="FFFFFF"/>
        <w:spacing w:after="100" w:afterAutospacing="1"/>
        <w:rPr>
          <w:rFonts w:ascii="Arial" w:hAnsi="Arial" w:cs="Arial"/>
          <w:color w:val="000000"/>
          <w:sz w:val="22"/>
          <w:szCs w:val="22"/>
        </w:rPr>
      </w:pPr>
      <w:r w:rsidRPr="00214FE6">
        <w:rPr>
          <w:rFonts w:ascii="Arial" w:hAnsi="Arial" w:cs="Arial"/>
          <w:color w:val="000000"/>
          <w:sz w:val="22"/>
          <w:szCs w:val="22"/>
        </w:rPr>
        <w:t>Fondos de renta fija: invierten en activos con rentabilidad garantizada, como bonos y obligaciones.</w:t>
      </w:r>
    </w:p>
    <w:p w14:paraId="49ACD2E0" w14:textId="77777777" w:rsidR="00214FE6" w:rsidRPr="00214FE6" w:rsidRDefault="00214FE6" w:rsidP="004F7A62">
      <w:pPr>
        <w:numPr>
          <w:ilvl w:val="0"/>
          <w:numId w:val="260"/>
        </w:numPr>
        <w:shd w:val="clear" w:color="auto" w:fill="FFFFFF"/>
        <w:spacing w:before="100" w:beforeAutospacing="1" w:after="100" w:afterAutospacing="1"/>
        <w:rPr>
          <w:rFonts w:ascii="Arial" w:hAnsi="Arial" w:cs="Arial"/>
          <w:color w:val="000000"/>
          <w:sz w:val="22"/>
          <w:szCs w:val="22"/>
        </w:rPr>
      </w:pPr>
      <w:r w:rsidRPr="00214FE6">
        <w:rPr>
          <w:rFonts w:ascii="Arial" w:hAnsi="Arial" w:cs="Arial"/>
          <w:color w:val="000000"/>
          <w:sz w:val="22"/>
          <w:szCs w:val="22"/>
        </w:rPr>
        <w:t>Fondos de renta variable: invierten en acciones y otros activos con riesgo mayor, ofreciendo posibilidades de rentabilidad más alta.</w:t>
      </w:r>
    </w:p>
    <w:p w14:paraId="0622C1CE" w14:textId="77777777" w:rsidR="00214FE6" w:rsidRPr="00214FE6" w:rsidRDefault="00214FE6" w:rsidP="004F7A62">
      <w:pPr>
        <w:numPr>
          <w:ilvl w:val="0"/>
          <w:numId w:val="260"/>
        </w:numPr>
        <w:shd w:val="clear" w:color="auto" w:fill="FFFFFF"/>
        <w:spacing w:before="100" w:beforeAutospacing="1"/>
        <w:rPr>
          <w:rFonts w:ascii="Arial" w:hAnsi="Arial" w:cs="Arial"/>
          <w:color w:val="000000"/>
          <w:sz w:val="22"/>
          <w:szCs w:val="22"/>
        </w:rPr>
      </w:pPr>
      <w:r w:rsidRPr="00214FE6">
        <w:rPr>
          <w:rFonts w:ascii="Arial" w:hAnsi="Arial" w:cs="Arial"/>
          <w:color w:val="000000"/>
          <w:sz w:val="22"/>
          <w:szCs w:val="22"/>
        </w:rPr>
        <w:t>Fondos mixtos: combinan elementos de renta fija y variable para ofrecer una estrategia de inversión más diversificada.</w:t>
      </w:r>
    </w:p>
    <w:p w14:paraId="7E71BAEC" w14:textId="77777777" w:rsidR="00214FE6" w:rsidRPr="00214FE6" w:rsidRDefault="00214FE6" w:rsidP="00214FE6">
      <w:pPr>
        <w:pStyle w:val="Ttulo3"/>
        <w:shd w:val="clear" w:color="auto" w:fill="FFFFFF"/>
        <w:spacing w:before="0" w:after="120"/>
        <w:rPr>
          <w:rFonts w:ascii="Arial" w:hAnsi="Arial" w:cs="Arial"/>
          <w:color w:val="000000"/>
          <w:sz w:val="22"/>
          <w:szCs w:val="22"/>
        </w:rPr>
      </w:pPr>
      <w:r w:rsidRPr="00214FE6">
        <w:rPr>
          <w:rFonts w:ascii="Arial" w:hAnsi="Arial" w:cs="Arial"/>
          <w:color w:val="000000"/>
          <w:sz w:val="22"/>
          <w:szCs w:val="22"/>
        </w:rPr>
        <w:t>2. Activos Financieros</w:t>
      </w:r>
    </w:p>
    <w:p w14:paraId="6C1CEDB0" w14:textId="77777777" w:rsidR="00214FE6" w:rsidRPr="00214FE6" w:rsidRDefault="00214FE6" w:rsidP="004F7A62">
      <w:pPr>
        <w:numPr>
          <w:ilvl w:val="0"/>
          <w:numId w:val="261"/>
        </w:numPr>
        <w:shd w:val="clear" w:color="auto" w:fill="FFFFFF"/>
        <w:spacing w:after="100" w:afterAutospacing="1"/>
        <w:rPr>
          <w:rFonts w:ascii="Arial" w:hAnsi="Arial" w:cs="Arial"/>
          <w:color w:val="000000"/>
          <w:sz w:val="22"/>
          <w:szCs w:val="22"/>
        </w:rPr>
      </w:pPr>
      <w:r w:rsidRPr="00214FE6">
        <w:rPr>
          <w:rFonts w:ascii="Arial" w:hAnsi="Arial" w:cs="Arial"/>
          <w:color w:val="000000"/>
          <w:sz w:val="22"/>
          <w:szCs w:val="22"/>
        </w:rPr>
        <w:t>Acciones: representan la propiedad de una empresa y ofrecen rentabilidad a través de dividendos y crecimiento de valor.</w:t>
      </w:r>
    </w:p>
    <w:p w14:paraId="2CD75FD1" w14:textId="77777777" w:rsidR="00214FE6" w:rsidRPr="00214FE6" w:rsidRDefault="00214FE6" w:rsidP="004F7A62">
      <w:pPr>
        <w:numPr>
          <w:ilvl w:val="0"/>
          <w:numId w:val="261"/>
        </w:numPr>
        <w:shd w:val="clear" w:color="auto" w:fill="FFFFFF"/>
        <w:spacing w:before="100" w:beforeAutospacing="1" w:after="100" w:afterAutospacing="1"/>
        <w:rPr>
          <w:rFonts w:ascii="Arial" w:hAnsi="Arial" w:cs="Arial"/>
          <w:color w:val="000000"/>
          <w:sz w:val="22"/>
          <w:szCs w:val="22"/>
        </w:rPr>
      </w:pPr>
      <w:r w:rsidRPr="00214FE6">
        <w:rPr>
          <w:rFonts w:ascii="Arial" w:hAnsi="Arial" w:cs="Arial"/>
          <w:color w:val="000000"/>
          <w:sz w:val="22"/>
          <w:szCs w:val="22"/>
        </w:rPr>
        <w:t>Bonos y obligaciones: ofrecen rentabilidad fija a través de intereses y devolución del principal.</w:t>
      </w:r>
    </w:p>
    <w:p w14:paraId="5D839789" w14:textId="77777777" w:rsidR="00214FE6" w:rsidRPr="00214FE6" w:rsidRDefault="00214FE6" w:rsidP="004F7A62">
      <w:pPr>
        <w:numPr>
          <w:ilvl w:val="0"/>
          <w:numId w:val="261"/>
        </w:numPr>
        <w:shd w:val="clear" w:color="auto" w:fill="FFFFFF"/>
        <w:spacing w:before="100" w:beforeAutospacing="1"/>
        <w:rPr>
          <w:rFonts w:ascii="Arial" w:hAnsi="Arial" w:cs="Arial"/>
          <w:color w:val="000000"/>
          <w:sz w:val="22"/>
          <w:szCs w:val="22"/>
        </w:rPr>
      </w:pPr>
      <w:r w:rsidRPr="00214FE6">
        <w:rPr>
          <w:rFonts w:ascii="Arial" w:hAnsi="Arial" w:cs="Arial"/>
          <w:color w:val="000000"/>
          <w:sz w:val="22"/>
          <w:szCs w:val="22"/>
        </w:rPr>
        <w:t>Derivados: instrumentos financieros que derivan su valor de un activo subyacente, como acciones, índices o commodities.</w:t>
      </w:r>
    </w:p>
    <w:p w14:paraId="1C594EF8" w14:textId="77777777" w:rsidR="00214FE6" w:rsidRPr="00214FE6" w:rsidRDefault="00214FE6" w:rsidP="00214FE6">
      <w:pPr>
        <w:pStyle w:val="Ttulo3"/>
        <w:shd w:val="clear" w:color="auto" w:fill="FFFFFF"/>
        <w:spacing w:before="0" w:after="120"/>
        <w:rPr>
          <w:rFonts w:ascii="Arial" w:hAnsi="Arial" w:cs="Arial"/>
          <w:color w:val="000000"/>
          <w:sz w:val="22"/>
          <w:szCs w:val="22"/>
        </w:rPr>
      </w:pPr>
      <w:r w:rsidRPr="00214FE6">
        <w:rPr>
          <w:rFonts w:ascii="Arial" w:hAnsi="Arial" w:cs="Arial"/>
          <w:color w:val="000000"/>
          <w:sz w:val="22"/>
          <w:szCs w:val="22"/>
        </w:rPr>
        <w:t>3. Planes de Pensiones</w:t>
      </w:r>
    </w:p>
    <w:p w14:paraId="29373EA9" w14:textId="77777777" w:rsidR="00214FE6" w:rsidRPr="00214FE6" w:rsidRDefault="00214FE6" w:rsidP="004F7A62">
      <w:pPr>
        <w:numPr>
          <w:ilvl w:val="0"/>
          <w:numId w:val="262"/>
        </w:numPr>
        <w:shd w:val="clear" w:color="auto" w:fill="FFFFFF"/>
        <w:spacing w:after="100" w:afterAutospacing="1"/>
        <w:rPr>
          <w:rFonts w:ascii="Arial" w:hAnsi="Arial" w:cs="Arial"/>
          <w:color w:val="000000"/>
          <w:sz w:val="22"/>
          <w:szCs w:val="22"/>
        </w:rPr>
      </w:pPr>
      <w:r w:rsidRPr="00214FE6">
        <w:rPr>
          <w:rFonts w:ascii="Arial" w:hAnsi="Arial" w:cs="Arial"/>
          <w:color w:val="000000"/>
          <w:sz w:val="22"/>
          <w:szCs w:val="22"/>
        </w:rPr>
        <w:t>Planes de pensiones individuales: permiten ahorrar para la jubilación y ofrecen una rentabilidad variable dependiendo del rendimiento de los activos.</w:t>
      </w:r>
    </w:p>
    <w:p w14:paraId="476BA692" w14:textId="77777777" w:rsidR="00214FE6" w:rsidRPr="00214FE6" w:rsidRDefault="00214FE6" w:rsidP="004F7A62">
      <w:pPr>
        <w:numPr>
          <w:ilvl w:val="0"/>
          <w:numId w:val="262"/>
        </w:numPr>
        <w:shd w:val="clear" w:color="auto" w:fill="FFFFFF"/>
        <w:spacing w:before="100" w:beforeAutospacing="1"/>
        <w:rPr>
          <w:rFonts w:ascii="Arial" w:hAnsi="Arial" w:cs="Arial"/>
          <w:color w:val="000000"/>
          <w:sz w:val="22"/>
          <w:szCs w:val="22"/>
        </w:rPr>
      </w:pPr>
      <w:r w:rsidRPr="00214FE6">
        <w:rPr>
          <w:rFonts w:ascii="Arial" w:hAnsi="Arial" w:cs="Arial"/>
          <w:color w:val="000000"/>
          <w:sz w:val="22"/>
          <w:szCs w:val="22"/>
        </w:rPr>
        <w:t>Planes de pensiones colectivos: ofrecen una rentabilidad garantizada y son comunes en empresas y sindicatos.</w:t>
      </w:r>
    </w:p>
    <w:p w14:paraId="07E20C54" w14:textId="77777777" w:rsidR="00214FE6" w:rsidRPr="00214FE6" w:rsidRDefault="00214FE6" w:rsidP="00214FE6">
      <w:pPr>
        <w:pStyle w:val="Ttulo3"/>
        <w:shd w:val="clear" w:color="auto" w:fill="FFFFFF"/>
        <w:spacing w:before="0" w:after="120"/>
        <w:rPr>
          <w:rFonts w:ascii="Arial" w:hAnsi="Arial" w:cs="Arial"/>
          <w:color w:val="000000"/>
          <w:sz w:val="22"/>
          <w:szCs w:val="22"/>
        </w:rPr>
      </w:pPr>
      <w:r w:rsidRPr="00214FE6">
        <w:rPr>
          <w:rFonts w:ascii="Arial" w:hAnsi="Arial" w:cs="Arial"/>
          <w:color w:val="000000"/>
          <w:sz w:val="22"/>
          <w:szCs w:val="22"/>
        </w:rPr>
        <w:t>4. Inversiones Alternativas</w:t>
      </w:r>
    </w:p>
    <w:p w14:paraId="05FFAB77" w14:textId="77777777" w:rsidR="00214FE6" w:rsidRPr="00214FE6" w:rsidRDefault="00214FE6" w:rsidP="004F7A62">
      <w:pPr>
        <w:numPr>
          <w:ilvl w:val="0"/>
          <w:numId w:val="263"/>
        </w:numPr>
        <w:shd w:val="clear" w:color="auto" w:fill="FFFFFF"/>
        <w:spacing w:after="100" w:afterAutospacing="1"/>
        <w:rPr>
          <w:rFonts w:ascii="Arial" w:hAnsi="Arial" w:cs="Arial"/>
          <w:color w:val="000000"/>
          <w:sz w:val="22"/>
          <w:szCs w:val="22"/>
        </w:rPr>
      </w:pPr>
      <w:r w:rsidRPr="00214FE6">
        <w:rPr>
          <w:rFonts w:ascii="Arial" w:hAnsi="Arial" w:cs="Arial"/>
          <w:color w:val="000000"/>
          <w:sz w:val="22"/>
          <w:szCs w:val="22"/>
        </w:rPr>
        <w:t>Inversiones en propiedades inmobiliarias: permiten invertir en bienes raíces, como apartamentos o edificios.</w:t>
      </w:r>
    </w:p>
    <w:p w14:paraId="3C61A981" w14:textId="77777777" w:rsidR="00214FE6" w:rsidRPr="00214FE6" w:rsidRDefault="00214FE6" w:rsidP="004F7A62">
      <w:pPr>
        <w:numPr>
          <w:ilvl w:val="0"/>
          <w:numId w:val="263"/>
        </w:numPr>
        <w:shd w:val="clear" w:color="auto" w:fill="FFFFFF"/>
        <w:spacing w:before="100" w:beforeAutospacing="1" w:after="100" w:afterAutospacing="1"/>
        <w:rPr>
          <w:rFonts w:ascii="Arial" w:hAnsi="Arial" w:cs="Arial"/>
          <w:color w:val="000000"/>
          <w:sz w:val="22"/>
          <w:szCs w:val="22"/>
        </w:rPr>
      </w:pPr>
      <w:r w:rsidRPr="00214FE6">
        <w:rPr>
          <w:rFonts w:ascii="Arial" w:hAnsi="Arial" w:cs="Arial"/>
          <w:color w:val="000000"/>
          <w:sz w:val="22"/>
          <w:szCs w:val="22"/>
        </w:rPr>
        <w:t>Inversiones en commodities: permiten invertir en materias primas, como oro, petróleo o granos.</w:t>
      </w:r>
    </w:p>
    <w:p w14:paraId="09B09953" w14:textId="77777777" w:rsidR="00214FE6" w:rsidRPr="00214FE6" w:rsidRDefault="00214FE6" w:rsidP="004F7A62">
      <w:pPr>
        <w:numPr>
          <w:ilvl w:val="0"/>
          <w:numId w:val="263"/>
        </w:numPr>
        <w:shd w:val="clear" w:color="auto" w:fill="FFFFFF"/>
        <w:spacing w:before="100" w:beforeAutospacing="1"/>
        <w:rPr>
          <w:rFonts w:ascii="Arial" w:hAnsi="Arial" w:cs="Arial"/>
          <w:color w:val="000000"/>
          <w:sz w:val="22"/>
          <w:szCs w:val="22"/>
        </w:rPr>
      </w:pPr>
      <w:r w:rsidRPr="00214FE6">
        <w:rPr>
          <w:rFonts w:ascii="Arial" w:hAnsi="Arial" w:cs="Arial"/>
          <w:color w:val="000000"/>
          <w:sz w:val="22"/>
          <w:szCs w:val="22"/>
        </w:rPr>
        <w:lastRenderedPageBreak/>
        <w:t>Inversiones en criptomonedas: permiten invertir en activos digitales, como Bitcoin o Ethereum.</w:t>
      </w:r>
    </w:p>
    <w:p w14:paraId="56F6C85D" w14:textId="77777777" w:rsidR="00214FE6" w:rsidRPr="00214FE6" w:rsidRDefault="00214FE6" w:rsidP="00214FE6">
      <w:pPr>
        <w:pStyle w:val="Ttulo3"/>
        <w:shd w:val="clear" w:color="auto" w:fill="FFFFFF"/>
        <w:spacing w:before="0" w:after="120"/>
        <w:rPr>
          <w:rFonts w:ascii="Arial" w:hAnsi="Arial" w:cs="Arial"/>
          <w:color w:val="000000"/>
          <w:sz w:val="22"/>
          <w:szCs w:val="22"/>
        </w:rPr>
      </w:pPr>
      <w:r w:rsidRPr="00214FE6">
        <w:rPr>
          <w:rFonts w:ascii="Arial" w:hAnsi="Arial" w:cs="Arial"/>
          <w:color w:val="000000"/>
          <w:sz w:val="22"/>
          <w:szCs w:val="22"/>
        </w:rPr>
        <w:t>5. Productos Estructurados</w:t>
      </w:r>
    </w:p>
    <w:p w14:paraId="54716F00" w14:textId="77777777" w:rsidR="00214FE6" w:rsidRPr="00214FE6" w:rsidRDefault="00214FE6" w:rsidP="004F7A62">
      <w:pPr>
        <w:numPr>
          <w:ilvl w:val="0"/>
          <w:numId w:val="264"/>
        </w:numPr>
        <w:shd w:val="clear" w:color="auto" w:fill="FFFFFF"/>
        <w:spacing w:after="100" w:afterAutospacing="1"/>
        <w:rPr>
          <w:rFonts w:ascii="Arial" w:hAnsi="Arial" w:cs="Arial"/>
          <w:color w:val="000000"/>
          <w:sz w:val="22"/>
          <w:szCs w:val="22"/>
        </w:rPr>
      </w:pPr>
      <w:r w:rsidRPr="00214FE6">
        <w:rPr>
          <w:rFonts w:ascii="Arial" w:hAnsi="Arial" w:cs="Arial"/>
          <w:color w:val="000000"/>
          <w:sz w:val="22"/>
          <w:szCs w:val="22"/>
        </w:rPr>
        <w:t>Certificados de depósito: ofrecen una rentabilidad fija y garantizada a través de un plazo determinado.</w:t>
      </w:r>
    </w:p>
    <w:p w14:paraId="1EBC3D53" w14:textId="77777777" w:rsidR="00214FE6" w:rsidRPr="00214FE6" w:rsidRDefault="00214FE6" w:rsidP="004F7A62">
      <w:pPr>
        <w:numPr>
          <w:ilvl w:val="0"/>
          <w:numId w:val="264"/>
        </w:numPr>
        <w:shd w:val="clear" w:color="auto" w:fill="FFFFFF"/>
        <w:spacing w:before="100" w:beforeAutospacing="1" w:after="100" w:afterAutospacing="1"/>
        <w:rPr>
          <w:rFonts w:ascii="Arial" w:hAnsi="Arial" w:cs="Arial"/>
          <w:color w:val="000000"/>
          <w:sz w:val="22"/>
          <w:szCs w:val="22"/>
        </w:rPr>
      </w:pPr>
      <w:r w:rsidRPr="00214FE6">
        <w:rPr>
          <w:rFonts w:ascii="Arial" w:hAnsi="Arial" w:cs="Arial"/>
          <w:color w:val="000000"/>
          <w:sz w:val="22"/>
          <w:szCs w:val="22"/>
        </w:rPr>
        <w:t>Warrants: instrumentos que dan derecho a comprar o vender un activo subyacente a un precio determinado.</w:t>
      </w:r>
    </w:p>
    <w:p w14:paraId="36896954" w14:textId="77777777" w:rsidR="00214FE6" w:rsidRPr="00214FE6" w:rsidRDefault="00214FE6" w:rsidP="004F7A62">
      <w:pPr>
        <w:numPr>
          <w:ilvl w:val="0"/>
          <w:numId w:val="264"/>
        </w:numPr>
        <w:shd w:val="clear" w:color="auto" w:fill="FFFFFF"/>
        <w:spacing w:before="100" w:beforeAutospacing="1"/>
        <w:rPr>
          <w:rFonts w:ascii="Arial" w:hAnsi="Arial" w:cs="Arial"/>
          <w:color w:val="000000"/>
          <w:sz w:val="22"/>
          <w:szCs w:val="22"/>
        </w:rPr>
      </w:pPr>
      <w:r w:rsidRPr="00214FE6">
        <w:rPr>
          <w:rFonts w:ascii="Arial" w:hAnsi="Arial" w:cs="Arial"/>
          <w:color w:val="000000"/>
          <w:sz w:val="22"/>
          <w:szCs w:val="22"/>
        </w:rPr>
        <w:t>Futuros: contratos que comprometen a comprar o vender un activo subyacente a un precio determinado en un plazo futuro.</w:t>
      </w:r>
    </w:p>
    <w:p w14:paraId="4E988067" w14:textId="77777777" w:rsidR="00214FE6" w:rsidRPr="00CF1B34" w:rsidRDefault="00214FE6" w:rsidP="00214FE6">
      <w:pPr>
        <w:pBdr>
          <w:bottom w:val="dotted" w:sz="12" w:space="12" w:color="666666"/>
        </w:pBdr>
        <w:spacing w:after="240"/>
        <w:ind w:left="720"/>
        <w:jc w:val="both"/>
        <w:rPr>
          <w:rFonts w:ascii="Arial" w:hAnsi="Arial" w:cs="Arial"/>
          <w:color w:val="212529"/>
          <w:sz w:val="22"/>
          <w:szCs w:val="22"/>
          <w:lang w:val="es-ES_tradnl"/>
        </w:rPr>
      </w:pPr>
      <w:r w:rsidRPr="00214FE6">
        <w:rPr>
          <w:rFonts w:ascii="Arial" w:hAnsi="Arial" w:cs="Arial"/>
          <w:color w:val="000000"/>
          <w:sz w:val="22"/>
          <w:szCs w:val="22"/>
        </w:rPr>
        <w:t>Es importante recordar que cada producto de inversión tiene sus propias características, riesgos y posibilidades de rentabilidad.</w:t>
      </w:r>
    </w:p>
    <w:p w14:paraId="0B429060" w14:textId="4E7ACDD1" w:rsidR="00F26C00" w:rsidRPr="00CF1B34" w:rsidRDefault="00F26C0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Profundidad del mercado</w:t>
      </w:r>
    </w:p>
    <w:p w14:paraId="3C943DFF" w14:textId="77777777" w:rsidR="00F26C00" w:rsidRPr="00CF1B34" w:rsidRDefault="00F26C0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Capacidad de absorción de grandes volúmenes de transacción sin modificaciones substanciales en los precios de mercado.</w:t>
      </w:r>
    </w:p>
    <w:p w14:paraId="0B53863A" w14:textId="243466E2" w:rsidR="00660201" w:rsidRPr="00CF1B34" w:rsidRDefault="006602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Program trading</w:t>
      </w:r>
    </w:p>
    <w:p w14:paraId="03691910" w14:textId="77777777" w:rsidR="006B565B" w:rsidRPr="00CF1B34" w:rsidRDefault="006B565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Transacción por ordenador. A partir de un cierto nivel de cotización, las ordenes de compra o de venta son programadas para ser efectuadas automáticamente. Proceso peligroso que puede producir efectos acumulativos acentuadores de las variaciones de cotización.</w:t>
      </w:r>
    </w:p>
    <w:p w14:paraId="5B3B27CE" w14:textId="58FF42BA" w:rsidR="002A4B1A" w:rsidRDefault="002A4B1A"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Programa PADRE</w:t>
      </w:r>
    </w:p>
    <w:p w14:paraId="0C2456C9" w14:textId="734CFB84" w:rsidR="002A4B1A" w:rsidRPr="002A4B1A" w:rsidRDefault="002A4B1A" w:rsidP="002A4B1A">
      <w:pPr>
        <w:rPr>
          <w:rFonts w:ascii="Arial" w:hAnsi="Arial" w:cs="Arial"/>
          <w:sz w:val="22"/>
          <w:szCs w:val="22"/>
        </w:rPr>
      </w:pPr>
      <w:r w:rsidRPr="002A4B1A">
        <w:rPr>
          <w:rFonts w:ascii="Arial" w:hAnsi="Arial" w:cs="Arial"/>
          <w:color w:val="333333"/>
          <w:sz w:val="22"/>
          <w:szCs w:val="22"/>
          <w:shd w:val="clear" w:color="auto" w:fill="FFFFFF"/>
        </w:rPr>
        <w:t xml:space="preserve">El programa PADRE se ha convertido en una herramienta indispensable para afrontar la </w:t>
      </w:r>
      <w:r w:rsidRPr="002A4B1A">
        <w:rPr>
          <w:rFonts w:ascii="Arial" w:hAnsi="Arial" w:cs="Arial"/>
          <w:b/>
          <w:bCs/>
          <w:color w:val="333333"/>
          <w:sz w:val="22"/>
          <w:szCs w:val="22"/>
          <w:shd w:val="clear" w:color="auto" w:fill="FFFFFF"/>
        </w:rPr>
        <w:t>declaración de IRPF</w:t>
      </w:r>
      <w:r w:rsidRPr="002A4B1A">
        <w:rPr>
          <w:rFonts w:ascii="Arial" w:hAnsi="Arial" w:cs="Arial"/>
          <w:color w:val="333333"/>
          <w:sz w:val="22"/>
          <w:szCs w:val="22"/>
          <w:shd w:val="clear" w:color="auto" w:fill="FFFFFF"/>
        </w:rPr>
        <w:t xml:space="preserve">. El </w:t>
      </w:r>
      <w:r w:rsidRPr="002A4B1A">
        <w:rPr>
          <w:rFonts w:ascii="Arial" w:hAnsi="Arial" w:cs="Arial"/>
          <w:b/>
          <w:bCs/>
          <w:color w:val="333333"/>
          <w:sz w:val="22"/>
          <w:szCs w:val="22"/>
          <w:shd w:val="clear" w:color="auto" w:fill="FFFFFF"/>
        </w:rPr>
        <w:t>Programa de Ayuda Declaración de la Renta</w:t>
      </w:r>
      <w:r w:rsidRPr="002A4B1A">
        <w:rPr>
          <w:rFonts w:ascii="Arial" w:hAnsi="Arial" w:cs="Arial"/>
          <w:color w:val="333333"/>
          <w:sz w:val="22"/>
          <w:szCs w:val="22"/>
          <w:shd w:val="clear" w:color="auto" w:fill="FFFFFF"/>
        </w:rPr>
        <w:t xml:space="preserve"> (de ahí su nombre) es un software creado por la Agencia Tributaria para facilitar el cumplimiento de la declaración de la renta a los contribuyentes y que puede descargarse de la propia </w:t>
      </w:r>
      <w:r w:rsidRPr="002A4B1A">
        <w:rPr>
          <w:rFonts w:ascii="Arial" w:hAnsi="Arial" w:cs="Arial"/>
          <w:b/>
          <w:bCs/>
          <w:color w:val="333333"/>
          <w:sz w:val="22"/>
          <w:szCs w:val="22"/>
          <w:shd w:val="clear" w:color="auto" w:fill="FFFFFF"/>
        </w:rPr>
        <w:t>página web de Hacienda</w:t>
      </w:r>
      <w:r w:rsidRPr="002A4B1A">
        <w:rPr>
          <w:rFonts w:ascii="Arial" w:hAnsi="Arial" w:cs="Arial"/>
          <w:color w:val="333333"/>
          <w:sz w:val="22"/>
          <w:szCs w:val="22"/>
          <w:shd w:val="clear" w:color="auto" w:fill="FFFFFF"/>
        </w:rPr>
        <w:t xml:space="preserve"> para después instalarlo de forma sencilla en el ordenador.</w:t>
      </w:r>
    </w:p>
    <w:p w14:paraId="01D3E85C" w14:textId="77777777" w:rsidR="002A4B1A" w:rsidRPr="002A4B1A" w:rsidRDefault="002A4B1A" w:rsidP="002A4B1A">
      <w:pPr>
        <w:shd w:val="clear" w:color="auto" w:fill="FFFFFF"/>
        <w:spacing w:beforeAutospacing="1" w:afterAutospacing="1"/>
        <w:rPr>
          <w:rFonts w:ascii="Arial" w:hAnsi="Arial" w:cs="Arial"/>
          <w:color w:val="000000"/>
          <w:sz w:val="22"/>
          <w:szCs w:val="22"/>
        </w:rPr>
      </w:pPr>
      <w:r w:rsidRPr="002A4B1A">
        <w:rPr>
          <w:rFonts w:ascii="Arial" w:hAnsi="Arial" w:cs="Arial"/>
          <w:b/>
          <w:bCs/>
          <w:color w:val="000000"/>
          <w:sz w:val="22"/>
          <w:szCs w:val="22"/>
        </w:rPr>
        <w:t>Características</w:t>
      </w:r>
    </w:p>
    <w:p w14:paraId="3985B10B" w14:textId="77777777" w:rsidR="002A4B1A" w:rsidRPr="002A4B1A" w:rsidRDefault="002A4B1A" w:rsidP="004F7A62">
      <w:pPr>
        <w:numPr>
          <w:ilvl w:val="0"/>
          <w:numId w:val="265"/>
        </w:numPr>
        <w:shd w:val="clear" w:color="auto" w:fill="FFFFFF"/>
        <w:spacing w:afterAutospacing="1"/>
        <w:rPr>
          <w:rFonts w:ascii="Arial" w:hAnsi="Arial" w:cs="Arial"/>
          <w:color w:val="000000"/>
          <w:sz w:val="22"/>
          <w:szCs w:val="22"/>
        </w:rPr>
      </w:pPr>
      <w:r w:rsidRPr="002A4B1A">
        <w:rPr>
          <w:rFonts w:ascii="Arial" w:hAnsi="Arial" w:cs="Arial"/>
          <w:b/>
          <w:bCs/>
          <w:color w:val="000000"/>
          <w:sz w:val="22"/>
          <w:szCs w:val="22"/>
        </w:rPr>
        <w:t>Simula el resultado del borrador de la declaración de la renta, permitiendo la modificación de datos y pruebas bajo diferentes supuestos</w:t>
      </w:r>
      <w:r w:rsidRPr="002A4B1A">
        <w:rPr>
          <w:rFonts w:ascii="Arial" w:hAnsi="Arial" w:cs="Arial"/>
          <w:color w:val="000000"/>
          <w:sz w:val="22"/>
          <w:szCs w:val="22"/>
        </w:rPr>
        <w:t>.</w:t>
      </w:r>
    </w:p>
    <w:p w14:paraId="58E5BF80" w14:textId="77777777" w:rsidR="002A4B1A" w:rsidRPr="002A4B1A" w:rsidRDefault="002A4B1A" w:rsidP="004F7A62">
      <w:pPr>
        <w:numPr>
          <w:ilvl w:val="0"/>
          <w:numId w:val="265"/>
        </w:numPr>
        <w:shd w:val="clear" w:color="auto" w:fill="FFFFFF"/>
        <w:spacing w:before="100" w:beforeAutospacing="1" w:after="100" w:afterAutospacing="1"/>
        <w:rPr>
          <w:rFonts w:ascii="Arial" w:hAnsi="Arial" w:cs="Arial"/>
          <w:color w:val="000000"/>
          <w:sz w:val="22"/>
          <w:szCs w:val="22"/>
        </w:rPr>
      </w:pPr>
      <w:r w:rsidRPr="002A4B1A">
        <w:rPr>
          <w:rFonts w:ascii="Arial" w:hAnsi="Arial" w:cs="Arial"/>
          <w:color w:val="000000"/>
          <w:sz w:val="22"/>
          <w:szCs w:val="22"/>
        </w:rPr>
        <w:t>Permite incorporar datos personales de declaraciones anteriores e importar datos fiscales directamente de la página web de la AEAT.</w:t>
      </w:r>
    </w:p>
    <w:p w14:paraId="00F06D71" w14:textId="77777777" w:rsidR="002A4B1A" w:rsidRPr="002A4B1A" w:rsidRDefault="002A4B1A" w:rsidP="004F7A62">
      <w:pPr>
        <w:numPr>
          <w:ilvl w:val="0"/>
          <w:numId w:val="265"/>
        </w:numPr>
        <w:shd w:val="clear" w:color="auto" w:fill="FFFFFF"/>
        <w:spacing w:before="100" w:beforeAutospacing="1" w:after="100" w:afterAutospacing="1"/>
        <w:rPr>
          <w:rFonts w:ascii="Arial" w:hAnsi="Arial" w:cs="Arial"/>
          <w:color w:val="000000"/>
          <w:sz w:val="22"/>
          <w:szCs w:val="22"/>
        </w:rPr>
      </w:pPr>
      <w:r w:rsidRPr="002A4B1A">
        <w:rPr>
          <w:rFonts w:ascii="Arial" w:hAnsi="Arial" w:cs="Arial"/>
          <w:color w:val="000000"/>
          <w:sz w:val="22"/>
          <w:szCs w:val="22"/>
        </w:rPr>
        <w:t>Ofrece una guía de uso y un manual actualizado anualmente para incorporar las novedades fiscales.</w:t>
      </w:r>
    </w:p>
    <w:p w14:paraId="22A336A9" w14:textId="77777777" w:rsidR="002A4B1A" w:rsidRPr="002A4B1A" w:rsidRDefault="002A4B1A" w:rsidP="004F7A62">
      <w:pPr>
        <w:numPr>
          <w:ilvl w:val="0"/>
          <w:numId w:val="265"/>
        </w:numPr>
        <w:shd w:val="clear" w:color="auto" w:fill="FFFFFF"/>
        <w:spacing w:before="100" w:beforeAutospacing="1"/>
        <w:rPr>
          <w:rFonts w:ascii="Arial" w:hAnsi="Arial" w:cs="Arial"/>
          <w:color w:val="000000"/>
          <w:sz w:val="22"/>
          <w:szCs w:val="22"/>
        </w:rPr>
      </w:pPr>
      <w:r w:rsidRPr="002A4B1A">
        <w:rPr>
          <w:rFonts w:ascii="Arial" w:hAnsi="Arial" w:cs="Arial"/>
          <w:color w:val="000000"/>
          <w:sz w:val="22"/>
          <w:szCs w:val="22"/>
        </w:rPr>
        <w:t>Requiere la instalación de una Máquina Virtual Java para su correcta ejecución.</w:t>
      </w:r>
    </w:p>
    <w:p w14:paraId="7CF0AFAA" w14:textId="77777777" w:rsidR="002A4B1A" w:rsidRPr="002A4B1A" w:rsidRDefault="002A4B1A" w:rsidP="004F7A62">
      <w:pPr>
        <w:pStyle w:val="Prrafodelista"/>
        <w:numPr>
          <w:ilvl w:val="0"/>
          <w:numId w:val="265"/>
        </w:numPr>
        <w:pBdr>
          <w:bottom w:val="dotted" w:sz="12" w:space="12" w:color="666666"/>
        </w:pBdr>
        <w:spacing w:after="240"/>
        <w:jc w:val="both"/>
        <w:rPr>
          <w:rFonts w:ascii="Arial" w:hAnsi="Arial" w:cs="Arial"/>
          <w:color w:val="212529"/>
          <w:sz w:val="22"/>
          <w:szCs w:val="22"/>
          <w:lang w:val="es-ES_tradnl"/>
        </w:rPr>
      </w:pPr>
    </w:p>
    <w:p w14:paraId="057860C6" w14:textId="138F6BE5" w:rsidR="00E3439F" w:rsidRDefault="00E3439F"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Promoción</w:t>
      </w:r>
    </w:p>
    <w:p w14:paraId="1BB81832" w14:textId="4F08836C" w:rsidR="00E3439F" w:rsidRPr="00E3439F" w:rsidRDefault="00E3439F" w:rsidP="0003078B">
      <w:pPr>
        <w:ind w:left="708"/>
        <w:rPr>
          <w:rFonts w:ascii="Arial" w:hAnsi="Arial" w:cs="Arial"/>
          <w:sz w:val="22"/>
          <w:szCs w:val="22"/>
        </w:rPr>
      </w:pPr>
      <w:r w:rsidRPr="00E3439F">
        <w:rPr>
          <w:rFonts w:ascii="Arial" w:hAnsi="Arial" w:cs="Arial"/>
          <w:color w:val="333333"/>
          <w:sz w:val="22"/>
          <w:szCs w:val="22"/>
          <w:shd w:val="clear" w:color="auto" w:fill="FFFFFF"/>
        </w:rPr>
        <w:t xml:space="preserve">Las </w:t>
      </w:r>
      <w:r w:rsidRPr="00E3439F">
        <w:rPr>
          <w:rFonts w:ascii="Arial" w:hAnsi="Arial" w:cs="Arial"/>
          <w:b/>
          <w:bCs/>
          <w:color w:val="2F5496" w:themeColor="accent1" w:themeShade="BF"/>
          <w:sz w:val="22"/>
          <w:szCs w:val="22"/>
          <w:shd w:val="clear" w:color="auto" w:fill="FFFFFF"/>
        </w:rPr>
        <w:t>rebajas</w:t>
      </w:r>
      <w:r w:rsidRPr="00E3439F">
        <w:rPr>
          <w:rFonts w:ascii="Arial" w:hAnsi="Arial" w:cs="Arial"/>
          <w:color w:val="2F5496" w:themeColor="accent1" w:themeShade="BF"/>
          <w:sz w:val="22"/>
          <w:szCs w:val="22"/>
          <w:shd w:val="clear" w:color="auto" w:fill="FFFFFF"/>
        </w:rPr>
        <w:t xml:space="preserve"> </w:t>
      </w:r>
      <w:r w:rsidRPr="00E3439F">
        <w:rPr>
          <w:rFonts w:ascii="Arial" w:hAnsi="Arial" w:cs="Arial"/>
          <w:color w:val="333333"/>
          <w:sz w:val="22"/>
          <w:szCs w:val="22"/>
          <w:shd w:val="clear" w:color="auto" w:fill="FFFFFF"/>
        </w:rPr>
        <w:t>se establecen por ley según el Artículo 25 de la Ley 7/1996 de Ordenación del Comercio Minorista y se articulan en dos periodos que determinan un calendario de</w:t>
      </w:r>
      <w:r w:rsidR="0003078B" w:rsidRPr="0003078B">
        <w:rPr>
          <w:rFonts w:ascii="Arial" w:hAnsi="Arial" w:cs="Arial"/>
          <w:color w:val="333333"/>
          <w:sz w:val="22"/>
          <w:szCs w:val="22"/>
          <w:shd w:val="clear" w:color="auto" w:fill="FFFFFF"/>
        </w:rPr>
        <w:t xml:space="preserve"> rebajas de verano </w:t>
      </w:r>
      <w:r w:rsidRPr="00E3439F">
        <w:rPr>
          <w:rFonts w:ascii="Arial" w:hAnsi="Arial" w:cs="Arial"/>
          <w:color w:val="333333"/>
          <w:sz w:val="22"/>
          <w:szCs w:val="22"/>
          <w:shd w:val="clear" w:color="auto" w:fill="FFFFFF"/>
        </w:rPr>
        <w:t>y otro de</w:t>
      </w:r>
      <w:r w:rsidR="0003078B" w:rsidRPr="0003078B">
        <w:rPr>
          <w:rFonts w:ascii="Arial" w:hAnsi="Arial" w:cs="Arial"/>
          <w:color w:val="333333"/>
          <w:sz w:val="22"/>
          <w:szCs w:val="22"/>
          <w:shd w:val="clear" w:color="auto" w:fill="FFFFFF"/>
        </w:rPr>
        <w:t xml:space="preserve"> </w:t>
      </w:r>
      <w:r w:rsidR="0003078B" w:rsidRPr="0003078B">
        <w:rPr>
          <w:rFonts w:ascii="Arial" w:hAnsi="Arial" w:cs="Arial"/>
          <w:sz w:val="22"/>
          <w:szCs w:val="22"/>
        </w:rPr>
        <w:t>invierno.</w:t>
      </w:r>
    </w:p>
    <w:p w14:paraId="0A16E134" w14:textId="77777777" w:rsidR="0003078B" w:rsidRPr="0003078B" w:rsidRDefault="0003078B" w:rsidP="0003078B">
      <w:pPr>
        <w:ind w:left="708"/>
        <w:rPr>
          <w:rFonts w:ascii="Arial" w:hAnsi="Arial" w:cs="Arial"/>
          <w:sz w:val="22"/>
          <w:szCs w:val="22"/>
        </w:rPr>
      </w:pPr>
      <w:r w:rsidRPr="0003078B">
        <w:rPr>
          <w:rFonts w:ascii="Arial" w:hAnsi="Arial" w:cs="Arial"/>
          <w:color w:val="333333"/>
          <w:sz w:val="22"/>
          <w:szCs w:val="22"/>
          <w:shd w:val="clear" w:color="auto" w:fill="FFFFFF"/>
        </w:rPr>
        <w:t xml:space="preserve">Las </w:t>
      </w:r>
      <w:r w:rsidRPr="0003078B">
        <w:rPr>
          <w:rFonts w:ascii="Arial" w:hAnsi="Arial" w:cs="Arial"/>
          <w:b/>
          <w:bCs/>
          <w:color w:val="2F5496" w:themeColor="accent1" w:themeShade="BF"/>
          <w:sz w:val="22"/>
          <w:szCs w:val="22"/>
          <w:shd w:val="clear" w:color="auto" w:fill="FFFFFF"/>
        </w:rPr>
        <w:t>promociones</w:t>
      </w:r>
      <w:r w:rsidRPr="0003078B">
        <w:rPr>
          <w:rFonts w:ascii="Arial" w:hAnsi="Arial" w:cs="Arial"/>
          <w:color w:val="2F5496" w:themeColor="accent1" w:themeShade="BF"/>
          <w:sz w:val="22"/>
          <w:szCs w:val="22"/>
          <w:shd w:val="clear" w:color="auto" w:fill="FFFFFF"/>
        </w:rPr>
        <w:t xml:space="preserve"> </w:t>
      </w:r>
      <w:r w:rsidRPr="0003078B">
        <w:rPr>
          <w:rFonts w:ascii="Arial" w:hAnsi="Arial" w:cs="Arial"/>
          <w:color w:val="333333"/>
          <w:sz w:val="22"/>
          <w:szCs w:val="22"/>
          <w:shd w:val="clear" w:color="auto" w:fill="FFFFFF"/>
        </w:rPr>
        <w:t>son similares a las rebajas, pero sólo pueden afectar a unos pocos productos</w:t>
      </w:r>
    </w:p>
    <w:p w14:paraId="48885BB1" w14:textId="77777777" w:rsidR="0003078B" w:rsidRPr="0003078B" w:rsidRDefault="0003078B" w:rsidP="0003078B">
      <w:pPr>
        <w:ind w:left="708"/>
        <w:rPr>
          <w:rFonts w:ascii="Arial" w:hAnsi="Arial" w:cs="Arial"/>
          <w:sz w:val="22"/>
          <w:szCs w:val="22"/>
        </w:rPr>
      </w:pPr>
      <w:r w:rsidRPr="0003078B">
        <w:rPr>
          <w:rFonts w:ascii="Arial" w:hAnsi="Arial" w:cs="Arial"/>
          <w:color w:val="333333"/>
          <w:sz w:val="22"/>
          <w:szCs w:val="22"/>
          <w:shd w:val="clear" w:color="auto" w:fill="FFFFFF"/>
        </w:rPr>
        <w:t xml:space="preserve">En el caso de los </w:t>
      </w:r>
      <w:r w:rsidRPr="0003078B">
        <w:rPr>
          <w:rFonts w:ascii="Arial" w:hAnsi="Arial" w:cs="Arial"/>
          <w:b/>
          <w:bCs/>
          <w:color w:val="2F5496" w:themeColor="accent1" w:themeShade="BF"/>
          <w:sz w:val="22"/>
          <w:szCs w:val="22"/>
          <w:shd w:val="clear" w:color="auto" w:fill="FFFFFF"/>
        </w:rPr>
        <w:t>saldos</w:t>
      </w:r>
      <w:r w:rsidRPr="0003078B">
        <w:rPr>
          <w:rFonts w:ascii="Arial" w:hAnsi="Arial" w:cs="Arial"/>
          <w:color w:val="333333"/>
          <w:sz w:val="22"/>
          <w:szCs w:val="22"/>
          <w:shd w:val="clear" w:color="auto" w:fill="FFFFFF"/>
        </w:rPr>
        <w:t>, se trata de productos deteriorados o pasados de moda</w:t>
      </w:r>
    </w:p>
    <w:p w14:paraId="42C7385D" w14:textId="77777777" w:rsidR="0003078B" w:rsidRPr="002A4B1A" w:rsidRDefault="0003078B" w:rsidP="0003078B">
      <w:pPr>
        <w:pStyle w:val="Prrafodelista"/>
        <w:pBdr>
          <w:bottom w:val="dotted" w:sz="12" w:space="12" w:color="666666"/>
        </w:pBdr>
        <w:spacing w:after="240"/>
        <w:jc w:val="both"/>
        <w:rPr>
          <w:rFonts w:ascii="Arial" w:hAnsi="Arial" w:cs="Arial"/>
          <w:color w:val="212529"/>
          <w:sz w:val="22"/>
          <w:szCs w:val="22"/>
          <w:lang w:val="es-ES_tradnl"/>
        </w:rPr>
      </w:pPr>
      <w:r w:rsidRPr="0003078B">
        <w:rPr>
          <w:rFonts w:ascii="Arial" w:hAnsi="Arial" w:cs="Arial"/>
          <w:color w:val="333333"/>
          <w:sz w:val="22"/>
          <w:szCs w:val="22"/>
          <w:shd w:val="clear" w:color="auto" w:fill="FFFFFF"/>
        </w:rPr>
        <w:t xml:space="preserve">La venta por </w:t>
      </w:r>
      <w:r w:rsidRPr="0003078B">
        <w:rPr>
          <w:rFonts w:ascii="Arial" w:hAnsi="Arial" w:cs="Arial"/>
          <w:b/>
          <w:bCs/>
          <w:color w:val="2F5496" w:themeColor="accent1" w:themeShade="BF"/>
          <w:sz w:val="22"/>
          <w:szCs w:val="22"/>
          <w:shd w:val="clear" w:color="auto" w:fill="FFFFFF"/>
        </w:rPr>
        <w:t>liquidación</w:t>
      </w:r>
      <w:r w:rsidRPr="0003078B">
        <w:rPr>
          <w:rFonts w:ascii="Arial" w:hAnsi="Arial" w:cs="Arial"/>
          <w:color w:val="2F5496" w:themeColor="accent1" w:themeShade="BF"/>
          <w:sz w:val="22"/>
          <w:szCs w:val="22"/>
          <w:shd w:val="clear" w:color="auto" w:fill="FFFFFF"/>
        </w:rPr>
        <w:t xml:space="preserve"> </w:t>
      </w:r>
      <w:r w:rsidRPr="0003078B">
        <w:rPr>
          <w:rFonts w:ascii="Arial" w:hAnsi="Arial" w:cs="Arial"/>
          <w:color w:val="333333"/>
          <w:sz w:val="22"/>
          <w:szCs w:val="22"/>
          <w:shd w:val="clear" w:color="auto" w:fill="FFFFFF"/>
        </w:rPr>
        <w:t>está pensada para, de forma excepcional, finalizar con determinadas existencias de productos.</w:t>
      </w:r>
    </w:p>
    <w:p w14:paraId="1D03FCB1" w14:textId="0271F7EF" w:rsidR="00A62B01" w:rsidRDefault="00A62B01"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lastRenderedPageBreak/>
        <w:t>Propiedad horizontal</w:t>
      </w:r>
    </w:p>
    <w:p w14:paraId="08248A4C" w14:textId="370968C7" w:rsidR="003478FC" w:rsidRPr="003478FC" w:rsidRDefault="00B824B5" w:rsidP="003478FC">
      <w:pPr>
        <w:ind w:left="708"/>
        <w:rPr>
          <w:rFonts w:ascii="Arial" w:hAnsi="Arial" w:cs="Arial"/>
          <w:sz w:val="22"/>
          <w:szCs w:val="22"/>
        </w:rPr>
      </w:pPr>
      <w:r w:rsidRPr="003478FC">
        <w:rPr>
          <w:rFonts w:ascii="Arial" w:hAnsi="Arial" w:cs="Arial"/>
          <w:color w:val="474747"/>
          <w:sz w:val="22"/>
          <w:szCs w:val="22"/>
          <w:shd w:val="clear" w:color="auto" w:fill="FFFFFF"/>
        </w:rPr>
        <w:t>Es un</w:t>
      </w:r>
      <w:r w:rsidR="00C93278">
        <w:rPr>
          <w:rFonts w:ascii="Arial" w:hAnsi="Arial" w:cs="Arial"/>
          <w:color w:val="474747"/>
          <w:sz w:val="22"/>
          <w:szCs w:val="22"/>
          <w:shd w:val="clear" w:color="auto" w:fill="FFFFFF"/>
        </w:rPr>
        <w:t xml:space="preserve">a propiedad especial que se constituye exclusivamente sobre edificios divididos en apartamentos o locales que pueden ser aprovechados independientemente. </w:t>
      </w:r>
      <w:r w:rsidRPr="003478FC">
        <w:rPr>
          <w:rFonts w:ascii="Arial" w:hAnsi="Arial" w:cs="Arial"/>
          <w:color w:val="474747"/>
          <w:sz w:val="22"/>
          <w:szCs w:val="22"/>
          <w:shd w:val="clear" w:color="auto" w:fill="FFFFFF"/>
        </w:rPr>
        <w:t>La</w:t>
      </w:r>
      <w:r w:rsidR="00C93278">
        <w:rPr>
          <w:rFonts w:ascii="Arial" w:hAnsi="Arial" w:cs="Arial"/>
          <w:color w:val="474747"/>
          <w:sz w:val="22"/>
          <w:szCs w:val="22"/>
          <w:shd w:val="clear" w:color="auto" w:fill="FFFFFF"/>
        </w:rPr>
        <w:t xml:space="preserve"> </w:t>
      </w:r>
      <w:r w:rsidRPr="003478FC">
        <w:rPr>
          <w:rFonts w:ascii="Arial" w:hAnsi="Arial" w:cs="Arial"/>
          <w:color w:val="474747"/>
          <w:sz w:val="22"/>
          <w:szCs w:val="22"/>
          <w:shd w:val="clear" w:color="auto" w:fill="FFFFFF"/>
        </w:rPr>
        <w:t>propiedad horizontal tiene como principal característica que en ella coexisten dos clases de derecho de propiedad</w:t>
      </w:r>
      <w:r w:rsidR="003478FC" w:rsidRPr="003478FC">
        <w:rPr>
          <w:rFonts w:ascii="Arial" w:hAnsi="Arial" w:cs="Arial"/>
          <w:color w:val="474747"/>
          <w:sz w:val="22"/>
          <w:szCs w:val="22"/>
          <w:shd w:val="clear" w:color="auto" w:fill="FFFFFF"/>
        </w:rPr>
        <w:t>:</w:t>
      </w:r>
      <w:r w:rsidR="003478FC" w:rsidRPr="003478FC">
        <w:rPr>
          <w:rFonts w:ascii="Arial" w:hAnsi="Arial" w:cs="Arial"/>
          <w:color w:val="333333"/>
          <w:sz w:val="22"/>
          <w:szCs w:val="22"/>
          <w:shd w:val="clear" w:color="auto" w:fill="FFFFFF"/>
        </w:rPr>
        <w:t xml:space="preserve"> elementos privativos propios, y de copropiedad (como escaleras, jardines, ascensores, etc.).</w:t>
      </w:r>
    </w:p>
    <w:p w14:paraId="2E41D7F1" w14:textId="312787AB" w:rsidR="00B824B5" w:rsidRPr="003478FC" w:rsidRDefault="003478FC" w:rsidP="003478FC">
      <w:pPr>
        <w:ind w:left="708"/>
        <w:rPr>
          <w:rFonts w:ascii="Arial" w:hAnsi="Arial" w:cs="Arial"/>
          <w:sz w:val="22"/>
          <w:szCs w:val="22"/>
        </w:rPr>
      </w:pPr>
      <w:r w:rsidRPr="003478FC">
        <w:rPr>
          <w:rFonts w:ascii="Arial" w:hAnsi="Arial" w:cs="Arial"/>
          <w:color w:val="474747"/>
          <w:sz w:val="22"/>
          <w:szCs w:val="22"/>
          <w:shd w:val="clear" w:color="auto" w:fill="FFFFFF"/>
        </w:rPr>
        <w:t>El Régimen de Propiedad Horizontal son las</w:t>
      </w:r>
      <w:r w:rsidR="00C93278">
        <w:rPr>
          <w:rFonts w:ascii="Arial" w:hAnsi="Arial" w:cs="Arial"/>
          <w:color w:val="474747"/>
          <w:sz w:val="22"/>
          <w:szCs w:val="22"/>
          <w:shd w:val="clear" w:color="auto" w:fill="FFFFFF"/>
        </w:rPr>
        <w:t xml:space="preserve"> normas que organizan los inmuebles segregados de un edificio común</w:t>
      </w:r>
      <w:r w:rsidRPr="003478FC">
        <w:rPr>
          <w:rFonts w:ascii="Arial" w:hAnsi="Arial" w:cs="Arial"/>
          <w:color w:val="474747"/>
          <w:sz w:val="22"/>
          <w:szCs w:val="22"/>
          <w:shd w:val="clear" w:color="auto" w:fill="FFFFFF"/>
        </w:rPr>
        <w:t xml:space="preserve"> También regula la relación entre todos los propietarios y su organización a la hora de procurar el mantenimiento de los bienes comunes</w:t>
      </w:r>
    </w:p>
    <w:p w14:paraId="03AB0EF9" w14:textId="77777777" w:rsidR="003478FC" w:rsidRPr="002A4B1A" w:rsidRDefault="003478FC" w:rsidP="003478FC">
      <w:pPr>
        <w:pStyle w:val="Prrafodelista"/>
        <w:pBdr>
          <w:bottom w:val="dotted" w:sz="12" w:space="12" w:color="666666"/>
        </w:pBdr>
        <w:spacing w:after="240"/>
        <w:jc w:val="both"/>
        <w:rPr>
          <w:rFonts w:ascii="Arial" w:hAnsi="Arial" w:cs="Arial"/>
          <w:color w:val="212529"/>
          <w:sz w:val="22"/>
          <w:szCs w:val="22"/>
          <w:lang w:val="es-ES_tradnl"/>
        </w:rPr>
      </w:pPr>
      <w:r w:rsidRPr="003478FC">
        <w:rPr>
          <w:rFonts w:ascii="Arial" w:hAnsi="Arial" w:cs="Arial"/>
          <w:color w:val="474747"/>
          <w:sz w:val="22"/>
          <w:szCs w:val="22"/>
          <w:shd w:val="clear" w:color="auto" w:fill="FFFFFF"/>
        </w:rPr>
        <w:t xml:space="preserve">La propiedad </w:t>
      </w:r>
      <w:r w:rsidRPr="003478FC">
        <w:rPr>
          <w:rFonts w:ascii="Arial" w:hAnsi="Arial" w:cs="Arial"/>
          <w:b/>
          <w:bCs/>
          <w:color w:val="474747"/>
          <w:sz w:val="22"/>
          <w:szCs w:val="22"/>
          <w:shd w:val="clear" w:color="auto" w:fill="FFFFFF"/>
        </w:rPr>
        <w:t>horizontal</w:t>
      </w:r>
      <w:r w:rsidRPr="003478FC">
        <w:rPr>
          <w:rFonts w:ascii="Arial" w:hAnsi="Arial" w:cs="Arial"/>
          <w:color w:val="474747"/>
          <w:sz w:val="22"/>
          <w:szCs w:val="22"/>
          <w:shd w:val="clear" w:color="auto" w:fill="FFFFFF"/>
        </w:rPr>
        <w:t xml:space="preserve"> se refiere a edificios en los que cada propietario tiene derecho sobre una parte del edificio (por ejemplo, un piso), mientras que la propiedad </w:t>
      </w:r>
      <w:r w:rsidRPr="003478FC">
        <w:rPr>
          <w:rFonts w:ascii="Arial" w:hAnsi="Arial" w:cs="Arial"/>
          <w:b/>
          <w:bCs/>
          <w:color w:val="474747"/>
          <w:sz w:val="22"/>
          <w:szCs w:val="22"/>
          <w:shd w:val="clear" w:color="auto" w:fill="FFFFFF"/>
        </w:rPr>
        <w:t>vertical</w:t>
      </w:r>
      <w:r w:rsidRPr="003478FC">
        <w:rPr>
          <w:rFonts w:ascii="Arial" w:hAnsi="Arial" w:cs="Arial"/>
          <w:color w:val="474747"/>
          <w:sz w:val="22"/>
          <w:szCs w:val="22"/>
          <w:shd w:val="clear" w:color="auto" w:fill="FFFFFF"/>
        </w:rPr>
        <w:t xml:space="preserve"> se refiere a edificios en los que cada propietario tiene derecho sobre una parte del terreno donde se encuentra el edificio</w:t>
      </w:r>
      <w:r>
        <w:rPr>
          <w:rFonts w:ascii="Arial" w:hAnsi="Arial" w:cs="Arial"/>
          <w:color w:val="474747"/>
          <w:sz w:val="22"/>
          <w:szCs w:val="22"/>
          <w:shd w:val="clear" w:color="auto" w:fill="FFFFFF"/>
        </w:rPr>
        <w:t>.</w:t>
      </w:r>
    </w:p>
    <w:p w14:paraId="7608531A" w14:textId="5939B740"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Prorrateo</w:t>
      </w:r>
    </w:p>
    <w:p w14:paraId="38690096" w14:textId="3D68ACB0"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reparto que hay que efectuar cuando, en una oferta pública de valores, la demanda es superior a la oferta. El procedimiento de prorrateo que se aplicará en cada caso se describe de forma detallada en el folleto informativo de la oferta. También puede hablarse de prorrateo en las OPAs, cuando el número de acciones que los socios están dispuestos a vender a la sociedad oferente es superior al que ésta deseaba comprar. En tal caso, la sociedad que presenta la OPA tiene que realizar sus adquisiciones de forma proporcional entre los accionistas que aceptaron la oferta. Ver</w:t>
      </w:r>
      <w:r w:rsidR="002A4B1A">
        <w:rPr>
          <w:rFonts w:ascii="Arial" w:hAnsi="Arial" w:cs="Arial"/>
          <w:color w:val="212529"/>
          <w:sz w:val="22"/>
          <w:szCs w:val="22"/>
          <w:lang w:val="es-ES_tradnl"/>
        </w:rPr>
        <w:t xml:space="preserve"> </w:t>
      </w:r>
      <w:hyperlink r:id="rId318" w:tgtFrame="_self" w:history="1">
        <w:r w:rsidRPr="002A4B1A">
          <w:rPr>
            <w:rFonts w:ascii="Arial" w:hAnsi="Arial" w:cs="Arial"/>
            <w:b/>
            <w:bCs/>
            <w:color w:val="2F5496" w:themeColor="accent1" w:themeShade="BF"/>
            <w:sz w:val="22"/>
            <w:szCs w:val="22"/>
            <w:u w:val="single"/>
            <w:lang w:val="es-ES_tradnl"/>
          </w:rPr>
          <w:t>Oferta pública de adquisición, OPA</w:t>
        </w:r>
      </w:hyperlink>
      <w:r w:rsidRPr="002A4B1A">
        <w:rPr>
          <w:rFonts w:ascii="Arial" w:hAnsi="Arial" w:cs="Arial"/>
          <w:color w:val="2F5496" w:themeColor="accent1" w:themeShade="BF"/>
          <w:sz w:val="22"/>
          <w:szCs w:val="22"/>
          <w:lang w:val="es-ES_tradnl"/>
        </w:rPr>
        <w:t>.</w:t>
      </w:r>
    </w:p>
    <w:p w14:paraId="3ABFAE01" w14:textId="069D3BEF" w:rsidR="00660201" w:rsidRPr="00CF1B34" w:rsidRDefault="006602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Protector del inversor</w:t>
      </w:r>
    </w:p>
    <w:p w14:paraId="2A06BCDE" w14:textId="77777777" w:rsidR="006B565B" w:rsidRPr="00CF1B34" w:rsidRDefault="006B565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una figura creada por la Sociedad Rectora de la Bolsa de Madrid para recoger reclamaciones de los inversores y buscar soluciones arbitradas con las partes en litigio. Su único poder es el del arbitraje y no tiene capacidad sancionadora como la CNMV.</w:t>
      </w:r>
    </w:p>
    <w:p w14:paraId="2F4842F3" w14:textId="3C5BE81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Provisión</w:t>
      </w:r>
    </w:p>
    <w:p w14:paraId="023D308F" w14:textId="0312DCC8"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Término que hace referencia al reconocimiento actual, en las cuentas de una empresa, de un gasto que se espera en el futuro. De esta forma, la disminución en la cuenta de resultados se produce en el momento en que se dota la provisión, y cuando finalmente se produzca el gasto sólo se registrará en las cuentas una salida de efectivo (movimiento de tesorería), sin efecto alguno en la cuenta de resultados.</w:t>
      </w:r>
      <w:r w:rsidR="00F26C00" w:rsidRPr="00CF1B34">
        <w:rPr>
          <w:rFonts w:ascii="Arial" w:hAnsi="Arial" w:cs="Arial"/>
          <w:color w:val="212529"/>
          <w:sz w:val="22"/>
          <w:szCs w:val="22"/>
          <w:lang w:val="es-ES_tradnl"/>
        </w:rPr>
        <w:t xml:space="preserve"> En resumen: partidas establecidas para cubrir activos de reservas de lenta recuperación.</w:t>
      </w:r>
    </w:p>
    <w:p w14:paraId="60C54E4A" w14:textId="77777777" w:rsidR="001C5950" w:rsidRPr="00CF1B34" w:rsidRDefault="001C5950"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Provisión de fondos</w:t>
      </w:r>
    </w:p>
    <w:p w14:paraId="0C59678B" w14:textId="77777777" w:rsidR="001C5950" w:rsidRPr="00CF1B34" w:rsidRDefault="001C595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w:t>
      </w:r>
      <w:r w:rsidRPr="00CF1B34">
        <w:rPr>
          <w:rFonts w:ascii="Arial" w:hAnsi="Arial" w:cs="Arial"/>
          <w:b/>
          <w:bCs/>
          <w:sz w:val="22"/>
          <w:szCs w:val="22"/>
          <w:lang w:val="es-ES_tradnl"/>
        </w:rPr>
        <w:t>provisión de fondos</w:t>
      </w:r>
      <w:r w:rsidRPr="00CF1B34">
        <w:rPr>
          <w:rFonts w:ascii="Arial" w:hAnsi="Arial" w:cs="Arial"/>
          <w:sz w:val="22"/>
          <w:szCs w:val="22"/>
          <w:lang w:val="es-ES_tradnl"/>
        </w:rPr>
        <w:t> es el dinero que adelantamos al banco para, una vez que haya preconcedido la hipoteca, pueda realizar los trámites y financiar los gastos iniciales de la compraventa del inmueble, y también los de la firma del préstamo.</w:t>
      </w:r>
    </w:p>
    <w:p w14:paraId="5CE6003C" w14:textId="77777777" w:rsidR="001C5950" w:rsidRPr="00CF1B34" w:rsidRDefault="001C595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Así, el cliente ingresa esta cantidad en su cuenta y el banco dispondrá de ella. Como no es más que una estimación que realiza la entidad, es bastante habitual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una vez realizados esos trámites, sobre dinero. En ese caso, el banco liquidará las cuentas con nosotros y nos ingresará el sobrante en nuestra cuenta.</w:t>
      </w:r>
    </w:p>
    <w:p w14:paraId="037BF682" w14:textId="77777777" w:rsidR="001C5950" w:rsidRPr="00CF1B34" w:rsidRDefault="001C5950"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incluye la provisión de fondos?</w:t>
      </w:r>
    </w:p>
    <w:p w14:paraId="45AC831D" w14:textId="77777777" w:rsidR="001C5950" w:rsidRPr="00CF1B34" w:rsidRDefault="001C595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Como hemos dicho, la provisión de fondos cubre los gastos de las escrituras de la compraventa y de la hipoteca: la tasación del inmueble, los honorarios de la gestoría y </w:t>
      </w:r>
      <w:r w:rsidRPr="00CF1B34">
        <w:rPr>
          <w:rFonts w:ascii="Arial" w:hAnsi="Arial" w:cs="Arial"/>
          <w:sz w:val="22"/>
          <w:szCs w:val="22"/>
          <w:lang w:val="es-ES_tradnl"/>
        </w:rPr>
        <w:lastRenderedPageBreak/>
        <w:t>del notario, el IVA en nueva vivienda, o el impuesto de transmisiones patrimoniales (IPT) si es de segunda mano, los gastos del Registro de la propiedad, la comisión de apertura de la hipoteca y el Impuesto de actos jurídicos documentarios (IAJD).</w:t>
      </w:r>
    </w:p>
    <w:p w14:paraId="062EB79F" w14:textId="77777777" w:rsidR="001C5950" w:rsidRPr="00CF1B34" w:rsidRDefault="001C595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De todos estos gastos, sin duda los más significativos son los ocasionados por los impuestos, sobre todo el IPT y el IAJD.</w:t>
      </w:r>
    </w:p>
    <w:p w14:paraId="4946F832" w14:textId="77777777" w:rsidR="001C5950" w:rsidRPr="00CF1B34" w:rsidRDefault="001C5950"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cantidad de dinero supone la provisión de fondos?</w:t>
      </w:r>
    </w:p>
    <w:p w14:paraId="42AC8129" w14:textId="77777777" w:rsidR="001C5950" w:rsidRPr="00CF1B34" w:rsidRDefault="001C595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Aunque el número final variará en función de cada entidad bancaria, notaría, gestoría y empresa de tasación, y también de la comunidad autónoma donde se realicen los trámites y la compraventa, lo normal es que esta cantidad suponga entre el 10 y el 12% del precio total de la vivienda. Además, tendremos que disponer de ella antes de firmar la hipoteca que supondrá al menos el 20% de este préstamo. </w:t>
      </w:r>
    </w:p>
    <w:p w14:paraId="6EE3EA6B" w14:textId="77777777" w:rsidR="001C5950" w:rsidRPr="00CF1B34" w:rsidRDefault="001C595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Es decir,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a la hora de comprar un inmueble con hipoteca, deberemos disponer de al menos el 30% del importe de la compra.</w:t>
      </w:r>
    </w:p>
    <w:p w14:paraId="38A4F39F" w14:textId="77777777" w:rsidR="001C5950" w:rsidRPr="00CF1B34" w:rsidRDefault="001C5950"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¿Y qué ocurre tras la Ley hipotecaria?</w:t>
      </w:r>
    </w:p>
    <w:p w14:paraId="66584C31" w14:textId="77777777" w:rsidR="001C5950" w:rsidRPr="00CF1B34" w:rsidRDefault="001C595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Con la entrada en vigor de la Ley Hipotecaria el reparto de gastos ha quedado fijado de la siguiente manera: ahora es el </w:t>
      </w:r>
      <w:r w:rsidRPr="00CF1B34">
        <w:rPr>
          <w:rFonts w:ascii="Arial" w:hAnsi="Arial" w:cs="Arial"/>
          <w:b/>
          <w:bCs/>
          <w:sz w:val="22"/>
          <w:szCs w:val="22"/>
          <w:lang w:val="es-ES_tradnl"/>
        </w:rPr>
        <w:t>banco</w:t>
      </w:r>
      <w:r w:rsidRPr="00CF1B34">
        <w:rPr>
          <w:rFonts w:ascii="Arial" w:hAnsi="Arial" w:cs="Arial"/>
          <w:sz w:val="22"/>
          <w:szCs w:val="22"/>
          <w:lang w:val="es-ES_tradnl"/>
        </w:rPr>
        <w:t> quien abona los gastos del notario, el registro, el IAJD y la gestoría; y el </w:t>
      </w:r>
      <w:r w:rsidRPr="00CF1B34">
        <w:rPr>
          <w:rFonts w:ascii="Arial" w:hAnsi="Arial" w:cs="Arial"/>
          <w:b/>
          <w:bCs/>
          <w:sz w:val="22"/>
          <w:szCs w:val="22"/>
          <w:lang w:val="es-ES_tradnl"/>
        </w:rPr>
        <w:t>cliente</w:t>
      </w:r>
      <w:r w:rsidRPr="00CF1B34">
        <w:rPr>
          <w:rFonts w:ascii="Arial" w:hAnsi="Arial" w:cs="Arial"/>
          <w:sz w:val="22"/>
          <w:szCs w:val="22"/>
          <w:lang w:val="es-ES_tradnl"/>
        </w:rPr>
        <w:t> solo ha de abonar la tasación del inmueble, por lo que la provisión de fondos se ha reducido mucho.</w:t>
      </w:r>
    </w:p>
    <w:p w14:paraId="007C8DFC" w14:textId="5E7790EE"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Punto básico</w:t>
      </w:r>
    </w:p>
    <w:p w14:paraId="455F9A39"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centésima parte de un 1%, es decir, un 0,01%. Se utiliza para indicar las variaciones en los tipos de interés (los puntos básicos se suman o restan al tipo de referencia): por ejemplo, si los tipos pasan del 2% al 2,25%, se dice que han aumentado en 25 puntos básicos.</w:t>
      </w:r>
    </w:p>
    <w:p w14:paraId="7B2A38F1" w14:textId="316003DE" w:rsidR="00660201" w:rsidRPr="00CF1B34" w:rsidRDefault="006602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Punto de equilibrio operativo</w:t>
      </w:r>
    </w:p>
    <w:p w14:paraId="72B377B0" w14:textId="77777777" w:rsidR="003A0CAB" w:rsidRPr="00CF1B34" w:rsidRDefault="003A0CA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Ratio que sirve para medir el grado de apalancamiento operativo de una compañía. Se define como el nivel de producción o nivel minimo de ventas que es necesario para que la empresa sea capaz de cubrir sus costes fijos. Este punto o cantidad no significa necesariamente que la empresa gane dinero, ya que después de cubrir costes fijos hay que atender el resto de los gastos incluyendo los no financieros. Matemáticamente se define como el resultado de dividir el total de costes fijos por el precio de venta de producto menos los costes variables empleados para producirlo.</w:t>
      </w:r>
    </w:p>
    <w:p w14:paraId="7FAC447B" w14:textId="624E043C"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Punto muerto</w:t>
      </w:r>
    </w:p>
    <w:p w14:paraId="0ECC103B"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También llamado “umbral de rentabilidad”, es el punto a partir del cual el inversor comienza a obtener beneficios, tras haber cubierto los costes de la inversión.</w:t>
      </w:r>
    </w:p>
    <w:p w14:paraId="345B8BB3" w14:textId="5BAA37F5" w:rsidR="00660201" w:rsidRDefault="00C93278"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PYME</w:t>
      </w:r>
    </w:p>
    <w:p w14:paraId="00B730F1" w14:textId="77777777" w:rsidR="001F5C9E" w:rsidRPr="00CF1B34" w:rsidRDefault="001F5C9E" w:rsidP="001F5C9E">
      <w:pPr>
        <w:pBdr>
          <w:bottom w:val="dotted" w:sz="12" w:space="12" w:color="666666"/>
        </w:pBdr>
        <w:spacing w:after="240"/>
        <w:ind w:left="720"/>
        <w:jc w:val="both"/>
        <w:rPr>
          <w:rFonts w:ascii="Arial" w:hAnsi="Arial" w:cs="Arial"/>
          <w:color w:val="212529"/>
          <w:sz w:val="22"/>
          <w:szCs w:val="22"/>
          <w:lang w:val="es-ES_tradnl"/>
        </w:rPr>
      </w:pPr>
      <w:r w:rsidRPr="001F5C9E">
        <w:rPr>
          <w:rFonts w:ascii="Arial" w:hAnsi="Arial" w:cs="Arial"/>
          <w:color w:val="474747"/>
          <w:sz w:val="22"/>
          <w:szCs w:val="22"/>
          <w:shd w:val="clear" w:color="auto" w:fill="FFFFFF"/>
        </w:rPr>
        <w:t>La categoría de </w:t>
      </w:r>
      <w:r w:rsidRPr="001F5C9E">
        <w:rPr>
          <w:rFonts w:ascii="Arial" w:hAnsi="Arial" w:cs="Arial"/>
          <w:color w:val="040C28"/>
          <w:sz w:val="22"/>
          <w:szCs w:val="22"/>
          <w:shd w:val="clear" w:color="auto" w:fill="D3E3FD"/>
        </w:rPr>
        <w:t>microempresas, pequeñas y medianas empresas</w:t>
      </w:r>
      <w:r w:rsidRPr="001F5C9E">
        <w:rPr>
          <w:rFonts w:ascii="Arial" w:hAnsi="Arial" w:cs="Arial"/>
          <w:color w:val="474747"/>
          <w:sz w:val="22"/>
          <w:szCs w:val="22"/>
          <w:shd w:val="clear" w:color="auto" w:fill="FFFFFF"/>
        </w:rPr>
        <w:t> (PYME) está constituida por las empresas que ocupan a menos de 250 personas y cuyo volumen de negocios anual no excede de 50 millones de euros o cuyo balance general anual no excede de 43 millones de euros.</w:t>
      </w:r>
    </w:p>
    <w:p w14:paraId="418C9CC8" w14:textId="0EDD3305" w:rsidR="001F5C9E" w:rsidRPr="001F5C9E" w:rsidRDefault="001F5C9E" w:rsidP="001F5C9E">
      <w:pPr>
        <w:rPr>
          <w:rFonts w:ascii="Arial" w:hAnsi="Arial" w:cs="Arial"/>
          <w:sz w:val="22"/>
          <w:szCs w:val="22"/>
        </w:rPr>
      </w:pPr>
    </w:p>
    <w:p w14:paraId="4040309C" w14:textId="77777777" w:rsidR="00660201" w:rsidRPr="00CF1B34" w:rsidRDefault="00660201" w:rsidP="0005621A">
      <w:pPr>
        <w:jc w:val="both"/>
        <w:rPr>
          <w:rFonts w:ascii="Arial" w:hAnsi="Arial" w:cs="Arial"/>
          <w:b/>
          <w:bCs/>
          <w:color w:val="004773"/>
          <w:sz w:val="22"/>
          <w:szCs w:val="22"/>
          <w:lang w:val="es-ES_tradnl"/>
        </w:rPr>
      </w:pPr>
    </w:p>
    <w:p w14:paraId="7BBE6C26" w14:textId="109E6B46" w:rsidR="00660201" w:rsidRPr="00CF1B34" w:rsidRDefault="00660201" w:rsidP="0005621A">
      <w:pPr>
        <w:jc w:val="both"/>
        <w:rPr>
          <w:rFonts w:ascii="Arial" w:hAnsi="Arial" w:cs="Arial"/>
          <w:b/>
          <w:bCs/>
          <w:color w:val="2F5496" w:themeColor="accent1" w:themeShade="BF"/>
          <w:sz w:val="32"/>
          <w:szCs w:val="32"/>
          <w:lang w:val="es-ES_tradnl"/>
        </w:rPr>
      </w:pPr>
      <w:r w:rsidRPr="00CF1B34">
        <w:rPr>
          <w:rFonts w:ascii="Arial" w:hAnsi="Arial" w:cs="Arial"/>
          <w:b/>
          <w:bCs/>
          <w:color w:val="2F5496" w:themeColor="accent1" w:themeShade="BF"/>
          <w:sz w:val="32"/>
          <w:szCs w:val="32"/>
          <w:lang w:val="es-ES_tradnl"/>
        </w:rPr>
        <w:t>R</w:t>
      </w:r>
    </w:p>
    <w:p w14:paraId="09885438" w14:textId="77777777" w:rsidR="00660201" w:rsidRPr="00CF1B34" w:rsidRDefault="00660201" w:rsidP="0005621A">
      <w:pPr>
        <w:jc w:val="both"/>
        <w:rPr>
          <w:rFonts w:ascii="Arial" w:hAnsi="Arial" w:cs="Arial"/>
          <w:b/>
          <w:bCs/>
          <w:color w:val="004773"/>
          <w:sz w:val="22"/>
          <w:szCs w:val="22"/>
          <w:lang w:val="es-ES_tradnl"/>
        </w:rPr>
      </w:pPr>
    </w:p>
    <w:p w14:paraId="610B7BEF" w14:textId="2886220A" w:rsidR="00660201" w:rsidRPr="00CF1B34" w:rsidRDefault="00660201" w:rsidP="0005621A">
      <w:pPr>
        <w:jc w:val="both"/>
        <w:rPr>
          <w:rFonts w:ascii="Arial" w:hAnsi="Arial" w:cs="Arial"/>
          <w:b/>
          <w:bCs/>
          <w:color w:val="004773"/>
          <w:sz w:val="22"/>
          <w:szCs w:val="22"/>
          <w:lang w:val="es-ES_tradnl"/>
        </w:rPr>
      </w:pPr>
    </w:p>
    <w:p w14:paraId="3CD4A9A8" w14:textId="30E2F6D1" w:rsidR="00660201" w:rsidRPr="00CF1B34" w:rsidRDefault="00660201"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Raider</w:t>
      </w:r>
    </w:p>
    <w:p w14:paraId="17FDF2FB" w14:textId="77777777" w:rsidR="001A553F" w:rsidRPr="00CF1B34" w:rsidRDefault="001A553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Persona física o moral que inicia una OPA no amistosa con el fin de tomar el control de una sociedad con un objetivo financiero; en general se trata de deducir los activos o de revender la sociedad con plusvalías.</w:t>
      </w:r>
    </w:p>
    <w:p w14:paraId="0CB39A39" w14:textId="4E139A18"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Rating</w:t>
      </w:r>
    </w:p>
    <w:p w14:paraId="61303640" w14:textId="5A25CFA5" w:rsidR="00A23A19" w:rsidRPr="00CF1B34" w:rsidRDefault="00A23A19"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Instrumento analítico que permite valorar el riesgo de una empresa o de una emisión. Lo normal es que a emisores con menor solidez financiera (peor rating) se les exijan rendimientos superiores, para compensar así el mayor riesgo que se asume. Califica el riesgo de crédito de forma normalizada según los criterios de una agencia: AAA, AA, A, BBB, u otras notaciones similares. Ver</w:t>
      </w:r>
      <w:r w:rsidR="00F26C00" w:rsidRPr="00CF1B34">
        <w:rPr>
          <w:rFonts w:ascii="Arial" w:hAnsi="Arial" w:cs="Arial"/>
          <w:color w:val="212529"/>
          <w:sz w:val="22"/>
          <w:szCs w:val="22"/>
          <w:lang w:val="es-ES_tradnl"/>
        </w:rPr>
        <w:t xml:space="preserve"> </w:t>
      </w:r>
      <w:hyperlink r:id="rId319" w:tgtFrame="_self" w:history="1">
        <w:r w:rsidRPr="00CF1B34">
          <w:rPr>
            <w:rFonts w:ascii="Arial" w:hAnsi="Arial" w:cs="Arial"/>
            <w:b/>
            <w:bCs/>
            <w:color w:val="2F5496" w:themeColor="accent1" w:themeShade="BF"/>
            <w:sz w:val="22"/>
            <w:szCs w:val="22"/>
            <w:u w:val="single"/>
            <w:lang w:val="es-ES_tradnl"/>
          </w:rPr>
          <w:t>Agencia de calificación crediticia</w:t>
        </w:r>
      </w:hyperlink>
      <w:r w:rsidR="00F26C00" w:rsidRPr="00CF1B34">
        <w:rPr>
          <w:rFonts w:ascii="Arial" w:hAnsi="Arial" w:cs="Arial"/>
          <w:color w:val="2F5496" w:themeColor="accent1" w:themeShade="BF"/>
          <w:sz w:val="22"/>
          <w:szCs w:val="22"/>
          <w:lang w:val="es-ES_tradnl"/>
        </w:rPr>
        <w:t xml:space="preserve"> </w:t>
      </w:r>
      <w:r w:rsidRPr="00CF1B34">
        <w:rPr>
          <w:rFonts w:ascii="Arial" w:hAnsi="Arial" w:cs="Arial"/>
          <w:color w:val="2F5496" w:themeColor="accent1" w:themeShade="BF"/>
          <w:sz w:val="22"/>
          <w:szCs w:val="22"/>
          <w:lang w:val="es-ES_tradnl"/>
        </w:rPr>
        <w:t>y</w:t>
      </w:r>
      <w:r w:rsidR="00F26C00" w:rsidRPr="00CF1B34">
        <w:rPr>
          <w:rFonts w:ascii="Arial" w:hAnsi="Arial" w:cs="Arial"/>
          <w:color w:val="2F5496" w:themeColor="accent1" w:themeShade="BF"/>
          <w:sz w:val="22"/>
          <w:szCs w:val="22"/>
          <w:lang w:val="es-ES_tradnl"/>
        </w:rPr>
        <w:t xml:space="preserve"> </w:t>
      </w:r>
      <w:hyperlink r:id="rId320" w:tgtFrame="_self" w:history="1">
        <w:r w:rsidRPr="00CF1B34">
          <w:rPr>
            <w:rFonts w:ascii="Arial" w:hAnsi="Arial" w:cs="Arial"/>
            <w:b/>
            <w:bCs/>
            <w:color w:val="2F5496" w:themeColor="accent1" w:themeShade="BF"/>
            <w:sz w:val="22"/>
            <w:szCs w:val="22"/>
            <w:u w:val="single"/>
            <w:lang w:val="es-ES_tradnl"/>
          </w:rPr>
          <w:t>Calificación de solvencia</w:t>
        </w:r>
      </w:hyperlink>
      <w:r w:rsidRPr="00CF1B34">
        <w:rPr>
          <w:rFonts w:ascii="Arial" w:hAnsi="Arial" w:cs="Arial"/>
          <w:color w:val="2F5496" w:themeColor="accent1" w:themeShade="BF"/>
          <w:sz w:val="22"/>
          <w:szCs w:val="22"/>
          <w:lang w:val="es-ES_tradnl"/>
        </w:rPr>
        <w:t>.</w:t>
      </w:r>
    </w:p>
    <w:p w14:paraId="119E2246"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Rating ASG</w:t>
      </w:r>
    </w:p>
    <w:p w14:paraId="7A9595EB"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Evaluación de los factores ambientales, sociales y de buen gobierno en instrumentos financieros y empresas. Estas calificaciones pueden ser utilizadas por los inversores para tener en cuenta los riesgos y oportunidades relacionados con las cuestiones ASG. Actualmente el rating ASG no está regulado, por lo que la calidad de sus ratings o de las diferentes metodologías utilizadas no sigue unas pautas establecidas. </w:t>
      </w:r>
    </w:p>
    <w:p w14:paraId="2DEF2DC9" w14:textId="77777777" w:rsidR="008862C4" w:rsidRPr="00CF1B34" w:rsidRDefault="008862C4"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Ratio de información</w:t>
      </w:r>
    </w:p>
    <w:p w14:paraId="4BBC4E43" w14:textId="77777777" w:rsidR="008862C4" w:rsidRPr="00CF1B34" w:rsidRDefault="008862C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ratio de información mide la relación que existe entre el diferencial de rentabilidad de un fondo o cartera sobre su </w:t>
      </w:r>
      <w:r w:rsidRPr="00CF1B34">
        <w:rPr>
          <w:rFonts w:ascii="Arial" w:hAnsi="Arial" w:cs="Arial"/>
          <w:i/>
          <w:iCs/>
          <w:sz w:val="22"/>
          <w:szCs w:val="22"/>
          <w:lang w:val="es-ES_tradnl"/>
        </w:rPr>
        <w:t>benchmark,</w:t>
      </w:r>
      <w:r w:rsidRPr="00CF1B34">
        <w:rPr>
          <w:rFonts w:ascii="Arial" w:hAnsi="Arial" w:cs="Arial"/>
          <w:sz w:val="22"/>
          <w:szCs w:val="22"/>
          <w:lang w:val="es-ES_tradnl"/>
        </w:rPr>
        <w:t> y el riesgo que se asume en la gestión al separarse en mayor o menor medida del índice de referencia, también conocido como </w:t>
      </w:r>
      <w:r w:rsidRPr="00CF1B34">
        <w:rPr>
          <w:rFonts w:ascii="Arial" w:hAnsi="Arial" w:cs="Arial"/>
          <w:i/>
          <w:iCs/>
          <w:sz w:val="22"/>
          <w:szCs w:val="22"/>
          <w:lang w:val="es-ES_tradnl"/>
        </w:rPr>
        <w:t>Tracking de error</w:t>
      </w:r>
      <w:r w:rsidRPr="00CF1B34">
        <w:rPr>
          <w:rFonts w:ascii="Arial" w:hAnsi="Arial" w:cs="Arial"/>
          <w:sz w:val="22"/>
          <w:szCs w:val="22"/>
          <w:lang w:val="es-ES_tradnl"/>
        </w:rPr>
        <w:t>.</w:t>
      </w:r>
    </w:p>
    <w:p w14:paraId="1AD3AB2B" w14:textId="77777777" w:rsidR="008862C4" w:rsidRPr="00CF1B34" w:rsidRDefault="008862C4"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Ratio de información en fondos de inversión y carteras trata de medir la habilidad que tiene el gestor de un fondo, para obtener unos resultados mejores a la media del mercado, entendiendo esto, como la rentabilidad del índice con el cual se compara. Este indicador sirve para ver si la cartera o los fondos son capaces de obtener una rentabilidad superior a la del índice de referencia considerando la volatilidad. El ratio de información se compara con un índice y no con un activo libre de riesgo, así que es más útil para comparar rentabilidad de gestores.</w:t>
      </w:r>
    </w:p>
    <w:p w14:paraId="455A4598" w14:textId="77777777" w:rsidR="008862C4" w:rsidRPr="00CF1B34" w:rsidRDefault="008862C4"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se calcula el ratio de información?</w:t>
      </w:r>
    </w:p>
    <w:p w14:paraId="332CC22B" w14:textId="77777777" w:rsidR="008862C4" w:rsidRPr="00CF1B34" w:rsidRDefault="008862C4"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 xml:space="preserve">Ratio de información = (RC – </w:t>
      </w:r>
      <w:proofErr w:type="gramStart"/>
      <w:r w:rsidRPr="00CF1B34">
        <w:rPr>
          <w:rFonts w:ascii="Arial" w:hAnsi="Arial" w:cs="Arial"/>
          <w:sz w:val="22"/>
          <w:szCs w:val="22"/>
          <w:lang w:val="es-ES_tradnl"/>
        </w:rPr>
        <w:t>RB)/</w:t>
      </w:r>
      <w:proofErr w:type="gramEnd"/>
      <w:r w:rsidRPr="00CF1B34">
        <w:rPr>
          <w:rFonts w:ascii="Arial" w:hAnsi="Arial" w:cs="Arial"/>
          <w:sz w:val="22"/>
          <w:szCs w:val="22"/>
          <w:lang w:val="es-ES_tradnl"/>
        </w:rPr>
        <w:t xml:space="preserve"> Te</w:t>
      </w:r>
    </w:p>
    <w:p w14:paraId="5721BF51" w14:textId="77777777" w:rsidR="008862C4" w:rsidRPr="00CF1B34" w:rsidRDefault="008862C4" w:rsidP="004F7A62">
      <w:pPr>
        <w:numPr>
          <w:ilvl w:val="0"/>
          <w:numId w:val="49"/>
        </w:numPr>
        <w:spacing w:before="100" w:beforeAutospacing="1" w:after="240"/>
        <w:ind w:left="495"/>
        <w:jc w:val="both"/>
        <w:rPr>
          <w:rFonts w:ascii="Arial" w:hAnsi="Arial" w:cs="Arial"/>
          <w:sz w:val="22"/>
          <w:szCs w:val="22"/>
          <w:lang w:val="es-ES_tradnl"/>
        </w:rPr>
      </w:pPr>
      <w:proofErr w:type="gramStart"/>
      <w:r w:rsidRPr="00CF1B34">
        <w:rPr>
          <w:rFonts w:ascii="Arial" w:hAnsi="Arial" w:cs="Arial"/>
          <w:sz w:val="22"/>
          <w:szCs w:val="22"/>
          <w:lang w:val="es-ES_tradnl"/>
        </w:rPr>
        <w:t>RC :</w:t>
      </w:r>
      <w:proofErr w:type="gramEnd"/>
      <w:r w:rsidRPr="00CF1B34">
        <w:rPr>
          <w:rFonts w:ascii="Arial" w:hAnsi="Arial" w:cs="Arial"/>
          <w:sz w:val="22"/>
          <w:szCs w:val="22"/>
          <w:lang w:val="es-ES_tradnl"/>
        </w:rPr>
        <w:t xml:space="preserve"> rentabilidad cartera</w:t>
      </w:r>
    </w:p>
    <w:p w14:paraId="44B55C25" w14:textId="74587851" w:rsidR="008862C4" w:rsidRPr="00CF1B34" w:rsidRDefault="008862C4" w:rsidP="004F7A62">
      <w:pPr>
        <w:numPr>
          <w:ilvl w:val="0"/>
          <w:numId w:val="49"/>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RB: rentabilidad del</w:t>
      </w:r>
      <w:r w:rsidR="001F5C9E">
        <w:rPr>
          <w:rFonts w:ascii="Arial" w:hAnsi="Arial" w:cs="Arial"/>
          <w:sz w:val="22"/>
          <w:szCs w:val="22"/>
          <w:lang w:val="es-ES_tradnl"/>
        </w:rPr>
        <w:t xml:space="preserve"> </w:t>
      </w:r>
      <w:r w:rsidRPr="00CF1B34">
        <w:rPr>
          <w:rFonts w:ascii="Arial" w:hAnsi="Arial" w:cs="Arial"/>
          <w:i/>
          <w:iCs/>
          <w:sz w:val="22"/>
          <w:szCs w:val="22"/>
          <w:lang w:val="es-ES_tradnl"/>
        </w:rPr>
        <w:t>benchmark</w:t>
      </w:r>
    </w:p>
    <w:p w14:paraId="7C9CC97C" w14:textId="77777777" w:rsidR="008862C4" w:rsidRPr="00CF1B34" w:rsidRDefault="008862C4" w:rsidP="004F7A62">
      <w:pPr>
        <w:numPr>
          <w:ilvl w:val="0"/>
          <w:numId w:val="49"/>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Te: Tracking Error</w:t>
      </w:r>
    </w:p>
    <w:p w14:paraId="25EA9648" w14:textId="1089BB8D" w:rsidR="008862C4" w:rsidRPr="00CF1B34" w:rsidRDefault="008862C4"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 xml:space="preserve">Para qué sirve </w:t>
      </w:r>
      <w:r w:rsidR="001F5C9E">
        <w:rPr>
          <w:rFonts w:ascii="Arial" w:hAnsi="Arial" w:cs="Arial"/>
          <w:b/>
          <w:bCs/>
          <w:sz w:val="22"/>
          <w:szCs w:val="22"/>
          <w:lang w:val="es-ES_tradnl"/>
        </w:rPr>
        <w:t>la</w:t>
      </w:r>
      <w:r w:rsidRPr="00CF1B34">
        <w:rPr>
          <w:rFonts w:ascii="Arial" w:hAnsi="Arial" w:cs="Arial"/>
          <w:b/>
          <w:bCs/>
          <w:sz w:val="22"/>
          <w:szCs w:val="22"/>
          <w:lang w:val="es-ES_tradnl"/>
        </w:rPr>
        <w:t xml:space="preserve"> ratio de información</w:t>
      </w:r>
    </w:p>
    <w:p w14:paraId="339401ED" w14:textId="77777777" w:rsidR="008862C4" w:rsidRPr="00CF1B34" w:rsidRDefault="008862C4"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lastRenderedPageBreak/>
        <w:t>El Ratio de información sirve para medir el buen desempeño y las capaciones que tiene el gestor de inversiones, para generar unos beneficios o ganancias superiores a los del mercado. Visto de otra manera, es una técnica idónea para valorar o evaluar si el gestor se está ganando las comisiones a pagar por gestionar la estrategia de inversión de tu dinero.</w:t>
      </w:r>
    </w:p>
    <w:p w14:paraId="501ABCA9" w14:textId="77777777" w:rsidR="008862C4" w:rsidRPr="00CF1B34" w:rsidRDefault="008862C4"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Cuanto mayor sea el ratio de información mucho mejor, ya que significa que el gestor está sabiendo optimizar bien la inversión generando una rentabilidad óptima a la del mercado en su conjunto.</w:t>
      </w:r>
    </w:p>
    <w:p w14:paraId="2CC477E3" w14:textId="77777777" w:rsidR="008862C4" w:rsidRPr="00CF1B34" w:rsidRDefault="008862C4"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Ejemplo de ratio de información </w:t>
      </w:r>
    </w:p>
    <w:p w14:paraId="083806CD" w14:textId="77777777" w:rsidR="008862C4" w:rsidRPr="00CF1B34" w:rsidRDefault="008862C4"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Operamos un fondo o una cartera con una rentabilidad del 11%. (RC)</w:t>
      </w:r>
    </w:p>
    <w:p w14:paraId="686996F3" w14:textId="77777777" w:rsidR="008862C4" w:rsidRPr="00CF1B34" w:rsidRDefault="008862C4"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i/>
          <w:iCs/>
          <w:sz w:val="22"/>
          <w:szCs w:val="22"/>
          <w:lang w:val="es-ES_tradnl"/>
        </w:rPr>
        <w:t>benchmark </w:t>
      </w:r>
      <w:r w:rsidRPr="00CF1B34">
        <w:rPr>
          <w:rFonts w:ascii="Arial" w:hAnsi="Arial" w:cs="Arial"/>
          <w:sz w:val="22"/>
          <w:szCs w:val="22"/>
          <w:lang w:val="es-ES_tradnl"/>
        </w:rPr>
        <w:t>de esta cartera nos da de media de rentabilidad aproximada del 9%. (RB)</w:t>
      </w:r>
    </w:p>
    <w:p w14:paraId="35D0D620" w14:textId="77777777" w:rsidR="008862C4" w:rsidRPr="00CF1B34" w:rsidRDefault="008862C4"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Tracking error 3%. (Te) = Volatilidad del fondo: 7% - volatilidad del índice: 4%</w:t>
      </w:r>
    </w:p>
    <w:p w14:paraId="27B3480B" w14:textId="77777777" w:rsidR="008862C4" w:rsidRPr="00CF1B34" w:rsidRDefault="008862C4"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 xml:space="preserve">Si aplicamos la fórmula de Ratio de información = (RC – </w:t>
      </w:r>
      <w:proofErr w:type="gramStart"/>
      <w:r w:rsidRPr="00CF1B34">
        <w:rPr>
          <w:rFonts w:ascii="Arial" w:hAnsi="Arial" w:cs="Arial"/>
          <w:sz w:val="22"/>
          <w:szCs w:val="22"/>
          <w:lang w:val="es-ES_tradnl"/>
        </w:rPr>
        <w:t>RB)/</w:t>
      </w:r>
      <w:proofErr w:type="gramEnd"/>
      <w:r w:rsidRPr="00CF1B34">
        <w:rPr>
          <w:rFonts w:ascii="Arial" w:hAnsi="Arial" w:cs="Arial"/>
          <w:sz w:val="22"/>
          <w:szCs w:val="22"/>
          <w:lang w:val="es-ES_tradnl"/>
        </w:rPr>
        <w:t xml:space="preserve"> Te</w:t>
      </w:r>
    </w:p>
    <w:p w14:paraId="23DF8D3D" w14:textId="77777777" w:rsidR="008862C4" w:rsidRPr="00CF1B34" w:rsidRDefault="008862C4"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Tenemos como resultado lo siguiente: (11-9/3) =0,66</w:t>
      </w:r>
    </w:p>
    <w:p w14:paraId="12D14053" w14:textId="77777777" w:rsidR="006E6A56" w:rsidRPr="00CF1B34" w:rsidRDefault="008862C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Como podemos ver, 0,66 es un resultado en positivo, por lo que el gestor tiene un rendimiento superior al mercado. (En el caso de que esta cifra fuese en negativo, -0.66, por ejemplo, el rendimiento no sería el adecuado. Recordemos que cuanto más alto sea esta cifra, el rendimiento será mucho mejor.</w:t>
      </w:r>
    </w:p>
    <w:p w14:paraId="57A544F1" w14:textId="2D87BEA1"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Ratio bursátil</w:t>
      </w:r>
    </w:p>
    <w:p w14:paraId="7A52B307"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Indicador que permite comparar el comportamiento de acciones cotizadas, a través de dos magnitudes que relacionan en general datos de Bolsa con otros procedentes de la contabilidad de la compañía.</w:t>
      </w:r>
    </w:p>
    <w:p w14:paraId="51AB1FCF"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Ratios de endeudamiento</w:t>
      </w:r>
    </w:p>
    <w:p w14:paraId="2CF0233D"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Indican el peso que tienen los recursos ajenos en la financiación de la actividad empresarial. Los más utilizados son el ratio de apalancamiento (deuda con coste / recursos propios), el de estructura financiera (deuda con coste / (recursos propios + deuda con coste) y el de cobertura de gastos financieros (beneficio antes de intereses e impuestos / Gastos financieros). Muestran a los inversores el riesgo que tiene la empresa, por lo que se refiere a la posibilidad de hacer frente a sus deudas con los recursos de que dispone.</w:t>
      </w:r>
    </w:p>
    <w:p w14:paraId="1384A93D"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Ratios de liquidez</w:t>
      </w:r>
    </w:p>
    <w:p w14:paraId="635D46F9" w14:textId="134F6596" w:rsidR="00A23A19" w:rsidRPr="00CF1B34" w:rsidRDefault="00A23A19"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Miden la capacidad de una empresa para afrontar sus compromisos de pago a corto plazo. Los más utilizados son el ratio corriente o de solvencia (Activo circulante / Pasivo exigible a corto plazo) y la prueba ácida (Activos monetarios (efectivo e inversiones a corto plazo) / Pasivo exigible a corto plazo). Ver</w:t>
      </w:r>
      <w:r w:rsidR="00502A54" w:rsidRPr="00CF1B34">
        <w:rPr>
          <w:rFonts w:ascii="Arial" w:hAnsi="Arial" w:cs="Arial"/>
          <w:color w:val="212529"/>
          <w:sz w:val="22"/>
          <w:szCs w:val="22"/>
          <w:lang w:val="es-ES_tradnl"/>
        </w:rPr>
        <w:t xml:space="preserve"> </w:t>
      </w:r>
      <w:hyperlink r:id="rId321" w:tgtFrame="_self" w:history="1">
        <w:r w:rsidRPr="00CF1B34">
          <w:rPr>
            <w:rFonts w:ascii="Arial" w:hAnsi="Arial" w:cs="Arial"/>
            <w:b/>
            <w:bCs/>
            <w:color w:val="2F5496" w:themeColor="accent1" w:themeShade="BF"/>
            <w:sz w:val="22"/>
            <w:szCs w:val="22"/>
            <w:u w:val="single"/>
            <w:lang w:val="es-ES_tradnl"/>
          </w:rPr>
          <w:t>Activo circulante</w:t>
        </w:r>
      </w:hyperlink>
      <w:r w:rsidRPr="00CF1B34">
        <w:rPr>
          <w:rFonts w:ascii="Arial" w:hAnsi="Arial" w:cs="Arial"/>
          <w:color w:val="2F5496" w:themeColor="accent1" w:themeShade="BF"/>
          <w:sz w:val="22"/>
          <w:szCs w:val="22"/>
          <w:lang w:val="es-ES_tradnl"/>
        </w:rPr>
        <w:t>.</w:t>
      </w:r>
    </w:p>
    <w:p w14:paraId="0C78B90B"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Ratios de rentabilidad</w:t>
      </w:r>
    </w:p>
    <w:p w14:paraId="0E5F94C5"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Miden el rendimiento de una empresa, poniendo en relación los beneficios obtenidos con distintas magnitudes. Los más utilizados son el ROA (Beneficios netos / Activo total) y el ROE (Resultados después de impuestos / Fondos propios medios).</w:t>
      </w:r>
    </w:p>
    <w:p w14:paraId="1B36BF49" w14:textId="77777777" w:rsidR="006E6A56" w:rsidRPr="00CF1B34" w:rsidRDefault="006E6A56"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Ratio de Sharpe</w:t>
      </w:r>
    </w:p>
    <w:p w14:paraId="1E55026D" w14:textId="77777777" w:rsidR="006E6A56" w:rsidRPr="00CF1B34" w:rsidRDefault="006E6A56"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Ratio de Sharpe es la rentabilidad que ofrece una inversión por cada unidad de riesgo que asume. El premio nobel de economía, William Sharpe fue el encargado de desarrollarlo buscando saber si la rentabilidad de una inversión tiene que ver con haber tomado una decisión inteligente o si se debe a haber asumido mayor riesgo. Este ratio calcula la rentabilidad en función del riesgo.</w:t>
      </w:r>
    </w:p>
    <w:p w14:paraId="4A4B7A36" w14:textId="77777777" w:rsidR="006E6A56" w:rsidRPr="00CF1B34" w:rsidRDefault="006E6A56"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Ratio de Sharpe es una variable que nos sirve para comparar fondos de su mismo tipo. Es un factor bastante significativo a tener en cuenta, aunque siempre se aconseja complementarlo con otros. Para medir la calidad de un fondo es importante tener en cuenta su rentabilidad, así como el factor riesgo. No se puede afirmar que un fondo es mejor que otro porque ha sido más rentable en un periodo de tiempo determinado. Hay que medir la relación entre los factores rentabilidad y riesgo, que es exactamente lo que hace el Ratio de Sharpe.</w:t>
      </w:r>
    </w:p>
    <w:p w14:paraId="4C9C4C5F" w14:textId="77777777" w:rsidR="006E6A56" w:rsidRPr="00CF1B34" w:rsidRDefault="006E6A56"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Este ratio se ha extendido en los últimos años, ya que es una forma muy sencilla de evaluar el rendimiento de los fondos de inversión. Cuanto más arriesgada sea una inversión, mayor rentabilidad se espera. Con este ratio podemos comprar carteras de diferentes riesgos y saber cuál ha sido más exitosa y ha obtenido una rentabilidad adicional por invertir en activos más arriesgados.</w:t>
      </w:r>
    </w:p>
    <w:p w14:paraId="232AC1CA" w14:textId="77777777" w:rsidR="006E6A56" w:rsidRPr="00CF1B34" w:rsidRDefault="006E6A56"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se calcula?</w:t>
      </w:r>
    </w:p>
    <w:p w14:paraId="3A591DBA" w14:textId="77777777" w:rsidR="006E6A56" w:rsidRPr="00CF1B34" w:rsidRDefault="006E6A56"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Se calcula una vez descontada la rentabilidad de un activo libre de riesgo que suele ser la Letra del Tesoro o un índice como el Euribor. La forma de calcularlo es dividiendo la rentabilidad de un fondo de inversión menos la tasa de interés sin riesgo entre la volatilidad o lo que llamamos desviación estándar en un determinado periodo de tiempo:</w:t>
      </w:r>
    </w:p>
    <w:p w14:paraId="07D63D05" w14:textId="77777777" w:rsidR="006E6A56" w:rsidRPr="00CF1B34" w:rsidRDefault="006E6A56"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Ratio de Sharpe= Rent. Del fondo - Tasa de interés sin riesgo / Desviación estándar.</w:t>
      </w:r>
    </w:p>
    <w:p w14:paraId="40EF9121" w14:textId="375C32DB" w:rsidR="006E6A56" w:rsidRPr="00CF1B34" w:rsidRDefault="006E6A56"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Cuanto mayor sea el Ratio de Sharpe, mejor es la gestión del riesgo y por tanto la rentabilidad del fondo compensa el riesgo asumido. Ratios de Sharpe superiores a 1 se consideran muy buenos, ya que me ofrecen mayor rentabilidad a medida que el el fondo asume más riesgo. Por tanto, mide de forma numérica la relación que existe entre la Rentabilidad y la volatilidad histórica en un fondo de inversión. A mayor volatilidad, mayor riesgo, ya que aumentan las probabilidades de que ese fondo tenga un retorno negativo. De manera sencilla: cuanto más oscila un fondo, mayor es su volatilidad.</w:t>
      </w:r>
    </w:p>
    <w:p w14:paraId="146BC962" w14:textId="77777777" w:rsidR="006E6A56" w:rsidRPr="00CF1B34" w:rsidRDefault="006E6A5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Cuánto más alto sea este ratio, más deseable será la inversión, ya que el riesgo se verá compensado con la volatilidad. Cuando un Ratio de Sharpe es negativo indica que su rendimiento es menor al de la rentabilidad sin riesgo. Cuanto más alto sea este ratio, mejor.</w:t>
      </w:r>
    </w:p>
    <w:p w14:paraId="1C02F965" w14:textId="4B7656EF" w:rsidR="006E6A56" w:rsidRPr="00CF1B34" w:rsidRDefault="00034BA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Ratio dividendo/precio</w:t>
      </w:r>
    </w:p>
    <w:p w14:paraId="01A51130" w14:textId="77777777" w:rsidR="008C73F1" w:rsidRPr="00CF1B34" w:rsidRDefault="008C73F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Relación existente entre los dividendos percibidos por el tenedor de una acción y el precio de cotización de esta.</w:t>
      </w:r>
    </w:p>
    <w:p w14:paraId="38AD20FD" w14:textId="5DF3AAA0" w:rsidR="00034BAE" w:rsidRPr="00CF1B34" w:rsidRDefault="00034BA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Ratio precio/cash-flow (PCFR)</w:t>
      </w:r>
    </w:p>
    <w:p w14:paraId="3FE1A6AA" w14:textId="77777777" w:rsidR="008C73F1" w:rsidRPr="00CF1B34" w:rsidRDefault="008C73F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Relación entre el precio o cotización de una acción y el beneficio neto después de impuestos mas amortizaciones, cash-flow por acción generado durante el ejercicio por la empresa emisora. Usualmente, se denomina también multiplicador de cah-flow, por ser el numero de veces que este representa respecto del precio d la acción. </w:t>
      </w:r>
    </w:p>
    <w:p w14:paraId="7F764344" w14:textId="0CCF563B" w:rsidR="00034BAE" w:rsidRPr="00CF1B34" w:rsidRDefault="00034BA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Ratio precio/valor contable (P/VC)</w:t>
      </w:r>
    </w:p>
    <w:p w14:paraId="03DAFEC5" w14:textId="1E025A6D" w:rsidR="00A23A19" w:rsidRPr="00CF1B34" w:rsidRDefault="008C73F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Mide el numero de veces que el valor contable de una compaña esta contenido en su valor </w:t>
      </w:r>
      <w:proofErr w:type="gramStart"/>
      <w:r w:rsidRPr="00CF1B34">
        <w:rPr>
          <w:rFonts w:ascii="Arial" w:hAnsi="Arial" w:cs="Arial"/>
          <w:color w:val="000000" w:themeColor="text1"/>
          <w:sz w:val="22"/>
          <w:szCs w:val="22"/>
          <w:lang w:val="es-ES_tradnl"/>
        </w:rPr>
        <w:t>bursátil.</w:t>
      </w:r>
      <w:r w:rsidR="00A23A19" w:rsidRPr="00CF1B34">
        <w:rPr>
          <w:rFonts w:ascii="Arial" w:hAnsi="Arial" w:cs="Arial"/>
          <w:b/>
          <w:bCs/>
          <w:color w:val="004773"/>
          <w:sz w:val="22"/>
          <w:szCs w:val="22"/>
          <w:lang w:val="es-ES_tradnl"/>
        </w:rPr>
        <w:t>Realizar</w:t>
      </w:r>
      <w:proofErr w:type="gramEnd"/>
      <w:r w:rsidR="00A23A19" w:rsidRPr="00CF1B34">
        <w:rPr>
          <w:rFonts w:ascii="Arial" w:hAnsi="Arial" w:cs="Arial"/>
          <w:b/>
          <w:bCs/>
          <w:color w:val="004773"/>
          <w:sz w:val="22"/>
          <w:szCs w:val="22"/>
          <w:lang w:val="es-ES_tradnl"/>
        </w:rPr>
        <w:t xml:space="preserve"> resultados</w:t>
      </w:r>
    </w:p>
    <w:p w14:paraId="036C7DB3"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Hacer efectivas las ganancias o pérdidas acumuladas con una inversión, mediante la venta de los valores. Mientras no se deshaga la inversión las plusvalías o minusvalías permanecen latentes, pero con la venta los resultados (positivos o negativos) se materializan y se convierten en definitivos, desplegando los correspondientes efectos fiscales.</w:t>
      </w:r>
    </w:p>
    <w:p w14:paraId="7D5DADA8" w14:textId="777FE154" w:rsidR="0068280F" w:rsidRPr="00CF1B34" w:rsidRDefault="0068280F"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Reajustabilidad</w:t>
      </w:r>
    </w:p>
    <w:p w14:paraId="65C9C5AD" w14:textId="77777777" w:rsidR="0068280F" w:rsidRPr="00CF1B34" w:rsidRDefault="0068280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Ajuste en el valor de un instrumento financiero para mantenerlo sin cambios reales respecto a una variable (ej: IPC)</w:t>
      </w:r>
    </w:p>
    <w:p w14:paraId="087FC32E" w14:textId="68C6349E" w:rsidR="00774BF7" w:rsidRDefault="00774BF7"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Reaseguros</w:t>
      </w:r>
    </w:p>
    <w:p w14:paraId="5683BABE" w14:textId="4E8F6058" w:rsidR="00493367" w:rsidRPr="00493367" w:rsidRDefault="00493367" w:rsidP="00F62DA1">
      <w:pPr>
        <w:ind w:left="708"/>
        <w:rPr>
          <w:rFonts w:ascii="Arial" w:hAnsi="Arial" w:cs="Arial"/>
          <w:sz w:val="22"/>
          <w:szCs w:val="22"/>
        </w:rPr>
      </w:pPr>
      <w:r w:rsidRPr="00493367">
        <w:rPr>
          <w:rFonts w:ascii="Arial" w:hAnsi="Arial" w:cs="Arial"/>
          <w:color w:val="333333"/>
          <w:sz w:val="22"/>
          <w:szCs w:val="22"/>
        </w:rPr>
        <w:t>Se puede explicar el</w:t>
      </w:r>
      <w:r w:rsidRPr="00493367">
        <w:rPr>
          <w:rFonts w:ascii="Arial" w:hAnsi="Arial" w:cs="Arial"/>
          <w:b/>
          <w:bCs/>
          <w:color w:val="333333"/>
          <w:sz w:val="22"/>
          <w:szCs w:val="22"/>
        </w:rPr>
        <w:t xml:space="preserve"> reaseguro, </w:t>
      </w:r>
      <w:r w:rsidRPr="00493367">
        <w:rPr>
          <w:rFonts w:ascii="Arial" w:hAnsi="Arial" w:cs="Arial"/>
          <w:color w:val="333333"/>
          <w:sz w:val="22"/>
          <w:szCs w:val="22"/>
        </w:rPr>
        <w:t xml:space="preserve">como un </w:t>
      </w:r>
      <w:r w:rsidRPr="00493367">
        <w:rPr>
          <w:rFonts w:ascii="Arial" w:hAnsi="Arial" w:cs="Arial"/>
          <w:b/>
          <w:bCs/>
          <w:color w:val="333333"/>
          <w:sz w:val="22"/>
          <w:szCs w:val="22"/>
        </w:rPr>
        <w:t>seguro del seguro.</w:t>
      </w:r>
      <w:r w:rsidRPr="00493367">
        <w:rPr>
          <w:rFonts w:ascii="Arial" w:hAnsi="Arial" w:cs="Arial"/>
          <w:color w:val="333333"/>
          <w:sz w:val="22"/>
          <w:szCs w:val="22"/>
        </w:rPr>
        <w:t xml:space="preserve"> Es definido como el </w:t>
      </w:r>
      <w:r w:rsidRPr="00493367">
        <w:rPr>
          <w:rFonts w:ascii="Arial" w:hAnsi="Arial" w:cs="Arial"/>
          <w:b/>
          <w:bCs/>
          <w:color w:val="333333"/>
          <w:sz w:val="22"/>
          <w:szCs w:val="22"/>
        </w:rPr>
        <w:t>contrato que suscribe su compañía de seguros (</w:t>
      </w:r>
      <w:r w:rsidRPr="00493367">
        <w:rPr>
          <w:rFonts w:ascii="Arial" w:hAnsi="Arial" w:cs="Arial"/>
          <w:color w:val="333333"/>
          <w:sz w:val="22"/>
          <w:szCs w:val="22"/>
        </w:rPr>
        <w:t>cedente</w:t>
      </w:r>
      <w:r w:rsidRPr="00493367">
        <w:rPr>
          <w:rFonts w:ascii="Arial" w:hAnsi="Arial" w:cs="Arial"/>
          <w:b/>
          <w:bCs/>
          <w:color w:val="333333"/>
          <w:sz w:val="22"/>
          <w:szCs w:val="22"/>
        </w:rPr>
        <w:t xml:space="preserve">) con otra compañía </w:t>
      </w:r>
      <w:r w:rsidRPr="00493367">
        <w:rPr>
          <w:rFonts w:ascii="Arial" w:hAnsi="Arial" w:cs="Arial"/>
          <w:color w:val="333333"/>
          <w:sz w:val="22"/>
          <w:szCs w:val="22"/>
        </w:rPr>
        <w:t>(esta seria la compañía reaseguradora), con la finalidad de que, cubra una parte o la totalidad del coste del siniestro;</w:t>
      </w:r>
      <w:r w:rsidRPr="00493367">
        <w:rPr>
          <w:rFonts w:ascii="Arial" w:hAnsi="Arial" w:cs="Arial"/>
          <w:color w:val="474747"/>
          <w:sz w:val="22"/>
          <w:szCs w:val="22"/>
          <w:shd w:val="clear" w:color="auto" w:fill="FFFFFF"/>
        </w:rPr>
        <w:t xml:space="preserve"> es decir, distribuye los riesgos y limita las responsabilidades que habría que asumir en caso de siniestro, cubriendo parcial o totalmente su coste. </w:t>
      </w:r>
      <w:r w:rsidRPr="00493367">
        <w:rPr>
          <w:rFonts w:ascii="Arial" w:hAnsi="Arial" w:cs="Arial"/>
          <w:color w:val="333333"/>
          <w:sz w:val="22"/>
          <w:szCs w:val="22"/>
        </w:rPr>
        <w:t xml:space="preserve">Esta es la manera con que cuentan las entidades, los aseguradores de </w:t>
      </w:r>
      <w:r w:rsidRPr="00493367">
        <w:rPr>
          <w:rFonts w:ascii="Arial" w:hAnsi="Arial" w:cs="Arial"/>
          <w:b/>
          <w:bCs/>
          <w:color w:val="333333"/>
          <w:sz w:val="22"/>
          <w:szCs w:val="22"/>
        </w:rPr>
        <w:t>asumir riesgos muy altos,</w:t>
      </w:r>
      <w:r w:rsidRPr="00493367">
        <w:rPr>
          <w:rFonts w:ascii="Arial" w:hAnsi="Arial" w:cs="Arial"/>
          <w:color w:val="333333"/>
          <w:sz w:val="22"/>
          <w:szCs w:val="22"/>
        </w:rPr>
        <w:t xml:space="preserve"> ante esto, el reaseguro se superpone a la protección de los riesgos</w:t>
      </w:r>
      <w:r w:rsidRPr="00493367">
        <w:rPr>
          <w:rFonts w:ascii="Arial" w:hAnsi="Arial" w:cs="Arial"/>
          <w:b/>
          <w:bCs/>
          <w:color w:val="333333"/>
          <w:sz w:val="22"/>
          <w:szCs w:val="22"/>
        </w:rPr>
        <w:t xml:space="preserve"> </w:t>
      </w:r>
      <w:r w:rsidRPr="00493367">
        <w:rPr>
          <w:rFonts w:ascii="Arial" w:hAnsi="Arial" w:cs="Arial"/>
          <w:color w:val="333333"/>
          <w:sz w:val="22"/>
          <w:szCs w:val="22"/>
        </w:rPr>
        <w:t>aportando una mayor estabilidad y</w:t>
      </w:r>
      <w:r w:rsidRPr="00493367">
        <w:rPr>
          <w:rFonts w:ascii="Arial" w:hAnsi="Arial" w:cs="Arial"/>
          <w:b/>
          <w:bCs/>
          <w:color w:val="333333"/>
          <w:sz w:val="22"/>
          <w:szCs w:val="22"/>
        </w:rPr>
        <w:t xml:space="preserve"> solvencia al asegurador,</w:t>
      </w:r>
      <w:r w:rsidRPr="00493367">
        <w:rPr>
          <w:rFonts w:ascii="Arial" w:hAnsi="Arial" w:cs="Arial"/>
          <w:color w:val="333333"/>
          <w:sz w:val="22"/>
          <w:szCs w:val="22"/>
        </w:rPr>
        <w:t xml:space="preserve"> ya que este es quien, frente a sus </w:t>
      </w:r>
      <w:r w:rsidRPr="00493367">
        <w:rPr>
          <w:rFonts w:ascii="Arial" w:hAnsi="Arial" w:cs="Arial"/>
          <w:b/>
          <w:bCs/>
          <w:color w:val="333333"/>
          <w:sz w:val="22"/>
          <w:szCs w:val="22"/>
        </w:rPr>
        <w:t>Asegurados</w:t>
      </w:r>
      <w:r w:rsidRPr="00493367">
        <w:rPr>
          <w:rFonts w:ascii="Arial" w:hAnsi="Arial" w:cs="Arial"/>
          <w:color w:val="333333"/>
          <w:sz w:val="22"/>
          <w:szCs w:val="22"/>
        </w:rPr>
        <w:t>, está obligado de asumir el coste de las reclamaciones</w:t>
      </w:r>
      <w:r w:rsidRPr="00493367">
        <w:rPr>
          <w:rFonts w:ascii="Arial" w:hAnsi="Arial" w:cs="Arial"/>
          <w:b/>
          <w:bCs/>
          <w:color w:val="333333"/>
          <w:sz w:val="22"/>
          <w:szCs w:val="22"/>
        </w:rPr>
        <w:t xml:space="preserve"> por siniestros cubiertos por la póliza.</w:t>
      </w:r>
    </w:p>
    <w:p w14:paraId="5BC893C4" w14:textId="77777777" w:rsidR="00DD166B" w:rsidRDefault="00493367" w:rsidP="00F62DA1">
      <w:pPr>
        <w:ind w:left="708"/>
        <w:rPr>
          <w:rFonts w:ascii="Arial" w:hAnsi="Arial" w:cs="Arial"/>
          <w:color w:val="474747"/>
          <w:sz w:val="22"/>
          <w:szCs w:val="22"/>
          <w:shd w:val="clear" w:color="auto" w:fill="FFFFFF"/>
        </w:rPr>
      </w:pPr>
      <w:r w:rsidRPr="00493367">
        <w:rPr>
          <w:rFonts w:ascii="Arial" w:hAnsi="Arial" w:cs="Arial"/>
          <w:color w:val="474747"/>
          <w:sz w:val="22"/>
          <w:szCs w:val="22"/>
          <w:shd w:val="clear" w:color="auto" w:fill="FFFFFF"/>
        </w:rPr>
        <w:t>El reaseguro “se divide en tres grandes sistemas por medio de los cuales el reasegurador llega a proporcionar las coberturas adecuadas a sus usuarios:”</w:t>
      </w:r>
    </w:p>
    <w:p w14:paraId="4EED4340" w14:textId="23879793" w:rsidR="00774BF7" w:rsidRPr="00DD166B" w:rsidRDefault="00DD166B" w:rsidP="004F7A62">
      <w:pPr>
        <w:pStyle w:val="Prrafodelista"/>
        <w:numPr>
          <w:ilvl w:val="0"/>
          <w:numId w:val="266"/>
        </w:numPr>
        <w:jc w:val="both"/>
        <w:outlineLvl w:val="1"/>
        <w:rPr>
          <w:rFonts w:ascii="Arial" w:hAnsi="Arial" w:cs="Arial"/>
          <w:b/>
          <w:bCs/>
          <w:color w:val="2F5496" w:themeColor="accent1" w:themeShade="BF"/>
          <w:sz w:val="22"/>
          <w:szCs w:val="22"/>
          <w:lang w:val="es-ES_tradnl"/>
        </w:rPr>
      </w:pPr>
      <w:r w:rsidRPr="00DD166B">
        <w:rPr>
          <w:rFonts w:ascii="Arial" w:hAnsi="Arial" w:cs="Arial"/>
          <w:color w:val="474747"/>
          <w:sz w:val="22"/>
          <w:szCs w:val="22"/>
          <w:shd w:val="clear" w:color="auto" w:fill="FFFFFF"/>
        </w:rPr>
        <w:t>Reaseguro proporcional o de riesgo</w:t>
      </w:r>
    </w:p>
    <w:p w14:paraId="23CEB20E" w14:textId="41D4EE18" w:rsidR="00DD166B" w:rsidRPr="00DD166B" w:rsidRDefault="00DD166B" w:rsidP="004F7A62">
      <w:pPr>
        <w:pStyle w:val="Prrafodelista"/>
        <w:numPr>
          <w:ilvl w:val="0"/>
          <w:numId w:val="266"/>
        </w:numPr>
        <w:jc w:val="both"/>
        <w:outlineLvl w:val="1"/>
        <w:rPr>
          <w:rFonts w:ascii="Arial" w:hAnsi="Arial" w:cs="Arial"/>
          <w:b/>
          <w:bCs/>
          <w:color w:val="2F5496" w:themeColor="accent1" w:themeShade="BF"/>
          <w:sz w:val="22"/>
          <w:szCs w:val="22"/>
          <w:lang w:val="es-ES_tradnl"/>
        </w:rPr>
      </w:pPr>
      <w:r>
        <w:rPr>
          <w:rFonts w:ascii="Arial" w:hAnsi="Arial" w:cs="Arial"/>
          <w:color w:val="474747"/>
          <w:sz w:val="22"/>
          <w:szCs w:val="22"/>
          <w:shd w:val="clear" w:color="auto" w:fill="FFFFFF"/>
        </w:rPr>
        <w:t>Reaseguro Financiero</w:t>
      </w:r>
    </w:p>
    <w:p w14:paraId="20BEE5B6" w14:textId="5BE1DB52" w:rsidR="00DD166B" w:rsidRPr="00DD166B" w:rsidRDefault="00DD166B" w:rsidP="004F7A62">
      <w:pPr>
        <w:pStyle w:val="Prrafodelista"/>
        <w:numPr>
          <w:ilvl w:val="0"/>
          <w:numId w:val="266"/>
        </w:numPr>
        <w:jc w:val="both"/>
        <w:outlineLvl w:val="1"/>
        <w:rPr>
          <w:rFonts w:ascii="Arial" w:hAnsi="Arial" w:cs="Arial"/>
          <w:b/>
          <w:bCs/>
          <w:color w:val="2F5496" w:themeColor="accent1" w:themeShade="BF"/>
          <w:sz w:val="22"/>
          <w:szCs w:val="22"/>
          <w:lang w:val="es-ES_tradnl"/>
        </w:rPr>
      </w:pPr>
      <w:r>
        <w:rPr>
          <w:rFonts w:ascii="Arial" w:hAnsi="Arial" w:cs="Arial"/>
          <w:color w:val="474747"/>
          <w:sz w:val="22"/>
          <w:szCs w:val="22"/>
          <w:shd w:val="clear" w:color="auto" w:fill="FFFFFF"/>
        </w:rPr>
        <w:t>Reaseguro no proporcional o de siniestro</w:t>
      </w:r>
    </w:p>
    <w:p w14:paraId="4CD80829" w14:textId="77777777" w:rsidR="00F62DA1" w:rsidRPr="00CF1B34" w:rsidRDefault="00F62DA1" w:rsidP="00F62DA1">
      <w:pPr>
        <w:pBdr>
          <w:bottom w:val="dotted" w:sz="12" w:space="12" w:color="666666"/>
        </w:pBdr>
        <w:spacing w:after="240"/>
        <w:ind w:left="720"/>
        <w:jc w:val="both"/>
        <w:rPr>
          <w:rFonts w:ascii="Arial" w:hAnsi="Arial" w:cs="Arial"/>
          <w:color w:val="212529"/>
          <w:sz w:val="22"/>
          <w:szCs w:val="22"/>
          <w:lang w:val="es-ES_tradnl"/>
        </w:rPr>
      </w:pPr>
      <w:r>
        <w:rPr>
          <w:rStyle w:val="hgkelc"/>
          <w:rFonts w:ascii="Arial" w:hAnsi="Arial" w:cs="Arial"/>
          <w:shd w:val="clear" w:color="auto" w:fill="FFFFFF"/>
        </w:rPr>
        <w:t>E</w:t>
      </w:r>
      <w:r w:rsidR="00DD166B" w:rsidRPr="00F62DA1">
        <w:rPr>
          <w:rStyle w:val="hgkelc"/>
          <w:rFonts w:ascii="Arial" w:hAnsi="Arial" w:cs="Arial"/>
          <w:shd w:val="clear" w:color="auto" w:fill="FFFFFF"/>
        </w:rPr>
        <w:t>l contrato de reaseguro tiene como objeto</w:t>
      </w:r>
      <w:r>
        <w:rPr>
          <w:rStyle w:val="hgkelc"/>
          <w:rFonts w:ascii="Arial" w:hAnsi="Arial" w:cs="Arial"/>
          <w:shd w:val="clear" w:color="auto" w:fill="FFFFFF"/>
        </w:rPr>
        <w:t xml:space="preserve"> </w:t>
      </w:r>
      <w:r w:rsidR="00DD166B" w:rsidRPr="00F62DA1">
        <w:rPr>
          <w:rStyle w:val="hgkelc"/>
          <w:rFonts w:ascii="Arial" w:hAnsi="Arial" w:cs="Arial"/>
          <w:color w:val="040C28"/>
          <w:shd w:val="clear" w:color="auto" w:fill="D3E3FD"/>
        </w:rPr>
        <w:t>cubrir el patrimonio del asegurador en los términos pactados y de acuerdo con el riesgo asegurado</w:t>
      </w:r>
      <w:r w:rsidR="00DD166B" w:rsidRPr="00F62DA1">
        <w:rPr>
          <w:rStyle w:val="hgkelc"/>
          <w:rFonts w:ascii="Arial" w:hAnsi="Arial" w:cs="Arial"/>
          <w:shd w:val="clear" w:color="auto" w:fill="FFFFFF"/>
        </w:rPr>
        <w:t>.</w:t>
      </w:r>
    </w:p>
    <w:p w14:paraId="28CDF583" w14:textId="428A7DC6" w:rsidR="00CE5590" w:rsidRDefault="00CE5590"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Rebajas</w:t>
      </w:r>
    </w:p>
    <w:p w14:paraId="549E4810" w14:textId="77777777" w:rsidR="006D786B" w:rsidRPr="00CF1B34" w:rsidRDefault="00CE5590" w:rsidP="006D786B">
      <w:pPr>
        <w:pBdr>
          <w:bottom w:val="dotted" w:sz="12" w:space="12" w:color="666666"/>
        </w:pBdr>
        <w:spacing w:after="240"/>
        <w:ind w:left="720"/>
        <w:jc w:val="both"/>
        <w:rPr>
          <w:rFonts w:ascii="Arial" w:hAnsi="Arial" w:cs="Arial"/>
          <w:color w:val="212529"/>
          <w:sz w:val="22"/>
          <w:szCs w:val="22"/>
          <w:lang w:val="es-ES_tradnl"/>
        </w:rPr>
      </w:pPr>
      <w:r>
        <w:rPr>
          <w:rFonts w:ascii="Arial" w:hAnsi="Arial" w:cs="Arial"/>
          <w:b/>
          <w:bCs/>
          <w:color w:val="2F5496" w:themeColor="accent1" w:themeShade="BF"/>
          <w:sz w:val="22"/>
          <w:szCs w:val="22"/>
          <w:lang w:val="es-ES_tradnl"/>
        </w:rPr>
        <w:t>Ver Promociones</w:t>
      </w:r>
    </w:p>
    <w:p w14:paraId="59BC78E1" w14:textId="2493C0E9" w:rsidR="00485998" w:rsidRPr="00CF1B34" w:rsidRDefault="00485998"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Recibo bancario</w:t>
      </w:r>
    </w:p>
    <w:p w14:paraId="2E762AED" w14:textId="77777777" w:rsidR="00485998" w:rsidRPr="00CF1B34" w:rsidRDefault="0048599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 recibo bancario es el documento que una empresa (también conocido como ordenante, beneficiario o emisor) emite cuando un pagador (también designado receptor o deudor) realiza un cobro a su favor. Cuando esta transacción se realiza a través del banco, el recibo es emitido por la propia entidad, que abona el importe en la cuenta y después se lo carga al pagador.</w:t>
      </w:r>
    </w:p>
    <w:p w14:paraId="0659A21D" w14:textId="77777777" w:rsidR="00485998" w:rsidRPr="00CF1B34" w:rsidRDefault="0048599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El recibo es un medio de pago muy utilizado hoy día, y se usa para hacer pagos de manera periódica o puntual, sobre todo entre empresas, o para abonar grandes sumas.</w:t>
      </w:r>
    </w:p>
    <w:p w14:paraId="6D55F12A" w14:textId="77777777" w:rsidR="00485998" w:rsidRPr="00CF1B34" w:rsidRDefault="00485998"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Ventajas de los recibos</w:t>
      </w:r>
    </w:p>
    <w:p w14:paraId="1511D76A" w14:textId="77777777" w:rsidR="00485998" w:rsidRPr="00CF1B34" w:rsidRDefault="0048599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primer lugar, permiten planificar el flujo de caja, ya que nos muestran el día en que se realizará el pago. Además, posibilitan el cobrar sin contratiempos: no caducan, ni están sujetos a ninguna incidencia. Es un medio de pago seguro, tanto para el emisor, como para le receptor. Y es universal, admitido por la totalidad de los clientes: el 45% de las operaciones de nuestro país se realizan a través de recibos.</w:t>
      </w:r>
    </w:p>
    <w:p w14:paraId="6881BA6C" w14:textId="77777777" w:rsidR="00485998" w:rsidRPr="00CF1B34" w:rsidRDefault="00485998"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emitir un recibo bancario</w:t>
      </w:r>
    </w:p>
    <w:p w14:paraId="53D9B4EC" w14:textId="77777777" w:rsidR="00485998" w:rsidRPr="00CF1B34" w:rsidRDefault="0048599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primer lugar, tendremos que pedir al pagador que firme un mandato SEPA, que es una orden que regula las transferencias y los recibos, y que autoriza a la entidad bancaria a cargar los abonos en la cuenta del pagador. Este deberá contener los detalles bancarios del emisor y del receptor; la fecha, el tipo de pago y la referencia.</w:t>
      </w:r>
    </w:p>
    <w:p w14:paraId="61FEACF4" w14:textId="77777777" w:rsidR="00485998" w:rsidRPr="00CF1B34" w:rsidRDefault="0048599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Este mandato será válido hasta que se revoque por alguna de las partes, o hasta que transcurran 36 meses sin que el cobrador presente el recibo. Por eso es importante conservar este documento para protegernos ante cualquier ampliación de plazo de devolución indeseada.</w:t>
      </w:r>
    </w:p>
    <w:p w14:paraId="023E0A13" w14:textId="77777777" w:rsidR="00485998" w:rsidRPr="00CF1B34" w:rsidRDefault="00485998"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Domiciliación de recibos</w:t>
      </w:r>
    </w:p>
    <w:p w14:paraId="211530EE" w14:textId="77777777" w:rsidR="00485998" w:rsidRPr="00CF1B34" w:rsidRDefault="0048599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 la hora de abonar gastos fijos (la luz, el teléfono, el agua), el recibo bancario es una solución muy cómoda, que nos simplificará muchas gestiones. En este caso, se realizará mediante domiciliación bancaria, de manera que el banco los abone automáticamente.</w:t>
      </w:r>
    </w:p>
    <w:p w14:paraId="4502CC84" w14:textId="77777777" w:rsidR="00485998" w:rsidRPr="00CF1B34" w:rsidRDefault="0048599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anular esta domiciliación tendremos que comunicárselo a nuestra entidad bancaria antes de que transcurra el último día hábil anterior al que se pasará le cargo. Además, hay que saber que tendremos el derecho a rechazar un recibo en cualquier momento, esté domiciliado o no, en 8 semanas o 13 meses.</w:t>
      </w:r>
    </w:p>
    <w:p w14:paraId="176CBB53" w14:textId="77777777" w:rsidR="00485998" w:rsidRPr="00CF1B34" w:rsidRDefault="00485998"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Diferencia entre recibo y factura</w:t>
      </w:r>
    </w:p>
    <w:p w14:paraId="415B0AB0" w14:textId="77777777" w:rsidR="00485998" w:rsidRPr="00CF1B34" w:rsidRDefault="00485998"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Hay veces en que usamos ambos términos indistintamente, pero conviene establecer la diferencia. La factura es el documento que el cobrador obtiene con todos los datos de la transacción cuando esta se ha producido. Tiene valor legal y es obligatoria cuando se recibe el pago.</w:t>
      </w:r>
    </w:p>
    <w:p w14:paraId="1E341E07" w14:textId="77777777" w:rsidR="00485998" w:rsidRPr="00CF1B34" w:rsidRDefault="0048599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cambio, el recibo es el documento que la entidad bancaria emite como prueba del pago. Para entendernos, en una venta cotidiana, sería el ticket de compra.</w:t>
      </w:r>
    </w:p>
    <w:p w14:paraId="1580145B" w14:textId="77777777" w:rsidR="00485998" w:rsidRPr="00CF1B34" w:rsidRDefault="00485998"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Recibo domiciliado</w:t>
      </w:r>
    </w:p>
    <w:p w14:paraId="6D99A6D2" w14:textId="77777777" w:rsidR="00485998" w:rsidRPr="00CF1B34" w:rsidRDefault="00485998" w:rsidP="0005621A">
      <w:pPr>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Los </w:t>
      </w:r>
      <w:r w:rsidRPr="00CF1B34">
        <w:rPr>
          <w:rFonts w:ascii="Arial" w:hAnsi="Arial" w:cs="Arial"/>
          <w:b/>
          <w:bCs/>
          <w:color w:val="000000" w:themeColor="text1"/>
          <w:sz w:val="22"/>
          <w:szCs w:val="22"/>
          <w:lang w:val="es-ES_tradnl"/>
        </w:rPr>
        <w:t>recibos domiciliados</w:t>
      </w:r>
      <w:r w:rsidRPr="00CF1B34">
        <w:rPr>
          <w:rFonts w:ascii="Arial" w:hAnsi="Arial" w:cs="Arial"/>
          <w:color w:val="000000" w:themeColor="text1"/>
          <w:sz w:val="22"/>
          <w:szCs w:val="22"/>
          <w:lang w:val="es-ES_tradnl"/>
        </w:rPr>
        <w:t> (también conocidos como adeudos domiciliados) son aquellos que remite un emisor (ordenante o beneficiario; es decir, un proveedor de impuestos, o de servicios como la luz, el teléfono o el agua) a un receptor (o pagador) a través del banco. Este pagador habrá dado la orden expresa a la entidad para que esta realice el abono directamente de su cuenta.</w:t>
      </w:r>
    </w:p>
    <w:p w14:paraId="62BC6945" w14:textId="77777777" w:rsidR="00485998" w:rsidRPr="00CF1B34" w:rsidRDefault="00485998"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 xml:space="preserve">Debido a que se trata de un medio seguro, rápido y cómodo, es la manera de pago y cobro más usada por empresas y autónomos; </w:t>
      </w:r>
      <w:proofErr w:type="gramStart"/>
      <w:r w:rsidRPr="00CF1B34">
        <w:rPr>
          <w:rFonts w:ascii="Arial" w:hAnsi="Arial" w:cs="Arial"/>
          <w:color w:val="000000" w:themeColor="text1"/>
          <w:sz w:val="22"/>
          <w:szCs w:val="22"/>
          <w:lang w:val="es-ES_tradnl"/>
        </w:rPr>
        <w:t>y</w:t>
      </w:r>
      <w:proofErr w:type="gramEnd"/>
      <w:r w:rsidRPr="00CF1B34">
        <w:rPr>
          <w:rFonts w:ascii="Arial" w:hAnsi="Arial" w:cs="Arial"/>
          <w:color w:val="000000" w:themeColor="text1"/>
          <w:sz w:val="22"/>
          <w:szCs w:val="22"/>
          <w:lang w:val="es-ES_tradnl"/>
        </w:rPr>
        <w:t xml:space="preserve"> de hecho, muchas de ellas la exigen </w:t>
      </w:r>
      <w:r w:rsidRPr="00CF1B34">
        <w:rPr>
          <w:rFonts w:ascii="Arial" w:hAnsi="Arial" w:cs="Arial"/>
          <w:color w:val="000000" w:themeColor="text1"/>
          <w:sz w:val="22"/>
          <w:szCs w:val="22"/>
          <w:lang w:val="es-ES_tradnl"/>
        </w:rPr>
        <w:lastRenderedPageBreak/>
        <w:t>como única forma de pago a sus clientes. Así, cuando se produce una transacción comercial entre dos empresas, la deudora le pida a la acreedora que lo cobre a través de esta fórmula. Y en ese punto el banco del acreedor emitirá un giro de cobro que irá directamente a la cuenta del deudor.</w:t>
      </w:r>
    </w:p>
    <w:p w14:paraId="711F63D7" w14:textId="77777777" w:rsidR="00485998" w:rsidRPr="00CF1B34" w:rsidRDefault="00485998" w:rsidP="0005621A">
      <w:pPr>
        <w:spacing w:before="100" w:beforeAutospacing="1" w:after="100" w:afterAutospacing="1"/>
        <w:ind w:firstLine="708"/>
        <w:jc w:val="both"/>
        <w:outlineLvl w:val="1"/>
        <w:rPr>
          <w:rFonts w:ascii="Arial" w:hAnsi="Arial" w:cs="Arial"/>
          <w:color w:val="000000" w:themeColor="text1"/>
          <w:sz w:val="22"/>
          <w:szCs w:val="22"/>
          <w:lang w:val="es-ES_tradnl"/>
        </w:rPr>
      </w:pPr>
      <w:r w:rsidRPr="00CF1B34">
        <w:rPr>
          <w:rFonts w:ascii="Arial" w:hAnsi="Arial" w:cs="Arial"/>
          <w:b/>
          <w:bCs/>
          <w:color w:val="000000" w:themeColor="text1"/>
          <w:sz w:val="22"/>
          <w:szCs w:val="22"/>
          <w:lang w:val="es-ES_tradnl"/>
        </w:rPr>
        <w:t>Características de la domiciliación de recibos</w:t>
      </w:r>
    </w:p>
    <w:p w14:paraId="5C461EE6" w14:textId="77777777" w:rsidR="00485998" w:rsidRPr="00CF1B34" w:rsidRDefault="00485998"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 xml:space="preserve">Como particulares, en primer </w:t>
      </w:r>
      <w:proofErr w:type="gramStart"/>
      <w:r w:rsidRPr="00CF1B34">
        <w:rPr>
          <w:rFonts w:ascii="Arial" w:hAnsi="Arial" w:cs="Arial"/>
          <w:color w:val="000000" w:themeColor="text1"/>
          <w:sz w:val="22"/>
          <w:szCs w:val="22"/>
          <w:lang w:val="es-ES_tradnl"/>
        </w:rPr>
        <w:t>lugar</w:t>
      </w:r>
      <w:proofErr w:type="gramEnd"/>
      <w:r w:rsidRPr="00CF1B34">
        <w:rPr>
          <w:rFonts w:ascii="Arial" w:hAnsi="Arial" w:cs="Arial"/>
          <w:color w:val="000000" w:themeColor="text1"/>
          <w:sz w:val="22"/>
          <w:szCs w:val="22"/>
          <w:lang w:val="es-ES_tradnl"/>
        </w:rPr>
        <w:t xml:space="preserve"> los recibos domiciliados nos harán ahorrar tiempo y nos aportarán muchísima comodidad, ya que no será necesario estar recordando, ni tampoco tramitando nuestros distintos pagos mes a mes. Además, será una forma de evitar aquellas penalizaciones ocasionadas por cualquier posible retraso, ya que los pagos se efectuarán de manera automática. Aunque la domiciliación pueda darnos un poco de pereza, sin duda será algo que agradeceremos después, </w:t>
      </w:r>
      <w:proofErr w:type="gramStart"/>
      <w:r w:rsidRPr="00CF1B34">
        <w:rPr>
          <w:rFonts w:ascii="Arial" w:hAnsi="Arial" w:cs="Arial"/>
          <w:color w:val="000000" w:themeColor="text1"/>
          <w:sz w:val="22"/>
          <w:szCs w:val="22"/>
          <w:lang w:val="es-ES_tradnl"/>
        </w:rPr>
        <w:t>ya que</w:t>
      </w:r>
      <w:proofErr w:type="gramEnd"/>
      <w:r w:rsidRPr="00CF1B34">
        <w:rPr>
          <w:rFonts w:ascii="Arial" w:hAnsi="Arial" w:cs="Arial"/>
          <w:color w:val="000000" w:themeColor="text1"/>
          <w:sz w:val="22"/>
          <w:szCs w:val="22"/>
          <w:lang w:val="es-ES_tradnl"/>
        </w:rPr>
        <w:t xml:space="preserve"> una vez hecha, nos olvidaremos de los abonos.</w:t>
      </w:r>
    </w:p>
    <w:p w14:paraId="091C37B2" w14:textId="77777777" w:rsidR="00485998" w:rsidRPr="00CF1B34" w:rsidRDefault="00485998" w:rsidP="0005621A">
      <w:pPr>
        <w:spacing w:before="100" w:beforeAutospacing="1" w:after="100" w:afterAutospacing="1"/>
        <w:ind w:firstLine="708"/>
        <w:jc w:val="both"/>
        <w:outlineLvl w:val="1"/>
        <w:rPr>
          <w:rFonts w:ascii="Arial" w:hAnsi="Arial" w:cs="Arial"/>
          <w:color w:val="000000" w:themeColor="text1"/>
          <w:sz w:val="22"/>
          <w:szCs w:val="22"/>
          <w:lang w:val="es-ES_tradnl"/>
        </w:rPr>
      </w:pPr>
      <w:r w:rsidRPr="00CF1B34">
        <w:rPr>
          <w:rFonts w:ascii="Arial" w:hAnsi="Arial" w:cs="Arial"/>
          <w:b/>
          <w:bCs/>
          <w:color w:val="000000" w:themeColor="text1"/>
          <w:sz w:val="22"/>
          <w:szCs w:val="22"/>
          <w:lang w:val="es-ES_tradnl"/>
        </w:rPr>
        <w:t>¿Cómo se domicilia un recibo en el banco?</w:t>
      </w:r>
    </w:p>
    <w:p w14:paraId="1A916ED9" w14:textId="77777777" w:rsidR="00485998" w:rsidRPr="00CF1B34" w:rsidRDefault="00485998"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En primer lugar, tendremos que dar los siguientes datos a nuestro banco: nombre y cuenta del cliente, concepto de cobro e importe. Con estos datos nuestro banco pasará el recibo a la entidad de nuestro cliente. Este realizará el cobro en la cuenta dada y realizará el abono. Por último, nuestra entidad bancaria ingresará el dinero en nuestra </w:t>
      </w:r>
      <w:hyperlink r:id="rId322" w:tooltip="cuenta bancaria particular" w:history="1">
        <w:r w:rsidRPr="00CF1B34">
          <w:rPr>
            <w:rFonts w:ascii="Arial" w:hAnsi="Arial" w:cs="Arial"/>
            <w:color w:val="000000" w:themeColor="text1"/>
            <w:sz w:val="22"/>
            <w:szCs w:val="22"/>
            <w:u w:val="single"/>
            <w:lang w:val="es-ES_tradnl"/>
          </w:rPr>
          <w:t>cuenta bancaria particular</w:t>
        </w:r>
      </w:hyperlink>
      <w:r w:rsidRPr="00CF1B34">
        <w:rPr>
          <w:rFonts w:ascii="Arial" w:hAnsi="Arial" w:cs="Arial"/>
          <w:color w:val="000000" w:themeColor="text1"/>
          <w:sz w:val="22"/>
          <w:szCs w:val="22"/>
          <w:lang w:val="es-ES_tradnl"/>
        </w:rPr>
        <w:t>.</w:t>
      </w:r>
    </w:p>
    <w:p w14:paraId="585643BC" w14:textId="77777777" w:rsidR="00485998" w:rsidRPr="00CF1B34" w:rsidRDefault="00485998" w:rsidP="0005621A">
      <w:pPr>
        <w:spacing w:before="100" w:beforeAutospacing="1" w:after="100" w:afterAutospacing="1"/>
        <w:ind w:firstLine="708"/>
        <w:jc w:val="both"/>
        <w:outlineLvl w:val="1"/>
        <w:rPr>
          <w:rFonts w:ascii="Arial" w:hAnsi="Arial" w:cs="Arial"/>
          <w:color w:val="000000" w:themeColor="text1"/>
          <w:sz w:val="22"/>
          <w:szCs w:val="22"/>
          <w:lang w:val="es-ES_tradnl"/>
        </w:rPr>
      </w:pPr>
      <w:r w:rsidRPr="00CF1B34">
        <w:rPr>
          <w:rFonts w:ascii="Arial" w:hAnsi="Arial" w:cs="Arial"/>
          <w:b/>
          <w:bCs/>
          <w:color w:val="000000" w:themeColor="text1"/>
          <w:sz w:val="22"/>
          <w:szCs w:val="22"/>
          <w:lang w:val="es-ES_tradnl"/>
        </w:rPr>
        <w:t>Las remesas bancarias</w:t>
      </w:r>
    </w:p>
    <w:p w14:paraId="00717963" w14:textId="77777777" w:rsidR="00485998" w:rsidRPr="00CF1B34" w:rsidRDefault="00485998"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Son una agrupación de </w:t>
      </w:r>
      <w:r w:rsidRPr="00CF1B34">
        <w:rPr>
          <w:rFonts w:ascii="Arial" w:hAnsi="Arial" w:cs="Arial"/>
          <w:b/>
          <w:bCs/>
          <w:color w:val="000000" w:themeColor="text1"/>
          <w:sz w:val="22"/>
          <w:szCs w:val="22"/>
          <w:lang w:val="es-ES_tradnl"/>
        </w:rPr>
        <w:t>recibos domiciliados</w:t>
      </w:r>
      <w:r w:rsidRPr="00CF1B34">
        <w:rPr>
          <w:rFonts w:ascii="Arial" w:hAnsi="Arial" w:cs="Arial"/>
          <w:color w:val="000000" w:themeColor="text1"/>
          <w:sz w:val="22"/>
          <w:szCs w:val="22"/>
          <w:lang w:val="es-ES_tradnl"/>
        </w:rPr>
        <w:t> pendientes de cobro. Se aúnan en un mismo archivo y se envían al banco, proporcionándonos aún más facilidad y comodidad.</w:t>
      </w:r>
    </w:p>
    <w:p w14:paraId="1C4A88A2" w14:textId="77777777" w:rsidR="00485998" w:rsidRPr="00CF1B34" w:rsidRDefault="00485998" w:rsidP="0005621A">
      <w:pPr>
        <w:spacing w:before="100" w:beforeAutospacing="1" w:after="100" w:afterAutospacing="1"/>
        <w:ind w:firstLine="708"/>
        <w:jc w:val="both"/>
        <w:outlineLvl w:val="1"/>
        <w:rPr>
          <w:rFonts w:ascii="Arial" w:hAnsi="Arial" w:cs="Arial"/>
          <w:color w:val="000000" w:themeColor="text1"/>
          <w:sz w:val="22"/>
          <w:szCs w:val="22"/>
          <w:lang w:val="es-ES_tradnl"/>
        </w:rPr>
      </w:pPr>
      <w:r w:rsidRPr="00CF1B34">
        <w:rPr>
          <w:rFonts w:ascii="Arial" w:hAnsi="Arial" w:cs="Arial"/>
          <w:b/>
          <w:bCs/>
          <w:color w:val="000000" w:themeColor="text1"/>
          <w:sz w:val="22"/>
          <w:szCs w:val="22"/>
          <w:lang w:val="es-ES_tradnl"/>
        </w:rPr>
        <w:t>El mandato SEPA</w:t>
      </w:r>
    </w:p>
    <w:p w14:paraId="72687522" w14:textId="77777777" w:rsidR="00485998" w:rsidRPr="00CF1B34" w:rsidRDefault="00485998" w:rsidP="0005621A">
      <w:pPr>
        <w:spacing w:after="100" w:afterAutospacing="1"/>
        <w:ind w:left="708"/>
        <w:jc w:val="both"/>
        <w:rPr>
          <w:rFonts w:ascii="Arial" w:hAnsi="Arial" w:cs="Arial"/>
          <w:color w:val="000000" w:themeColor="text1"/>
          <w:sz w:val="22"/>
          <w:szCs w:val="22"/>
          <w:lang w:val="es-ES_tradnl"/>
        </w:rPr>
      </w:pPr>
      <w:r w:rsidRPr="00CF1B34">
        <w:rPr>
          <w:rFonts w:ascii="Arial" w:hAnsi="Arial" w:cs="Arial"/>
          <w:color w:val="000000" w:themeColor="text1"/>
          <w:sz w:val="22"/>
          <w:szCs w:val="22"/>
          <w:lang w:val="es-ES_tradnl"/>
        </w:rPr>
        <w:t>A la hora de efectuar y recibir los pagos, se ha establecido una manera estándar y sujeta a los mismas obligaciones y derechos entre todos los miembros de la zona SEPA (en inglés Single European Payments Área, o Zona Única de Pagos en Euros). Este mandato establece el área en la que cualquier agente económico (particulares, empresas y autónomos) tendrá que efectuar los pagos, sujeto a unas condiciones comunes. Como formas de pago que son, los recibos también se domiciliarán conforme a este estándar europeo.</w:t>
      </w:r>
    </w:p>
    <w:p w14:paraId="693E5668" w14:textId="77777777" w:rsidR="00295107" w:rsidRPr="00CF1B34" w:rsidRDefault="0048599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 través de la orden SEPA, nuestro cliente nos autorizará a realizar los cobros en su cuenta, y autorizará a su banco a cargar los pagos pendientes. Será muy importante conservar este mandato SEPA tanto como dure la relación con nuestro cliente, y sobre todo en el plazo de reembolso pactado y durante los plazos legales establecidos para conservar los documentos; así podremos evitar posibles sorpresas.</w:t>
      </w:r>
    </w:p>
    <w:p w14:paraId="604C9FC0" w14:textId="199FCC28" w:rsidR="006E6A56" w:rsidRPr="00CF1B34" w:rsidRDefault="00034BA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Recogida</w:t>
      </w:r>
    </w:p>
    <w:p w14:paraId="62F6A76A" w14:textId="77777777" w:rsidR="00C41AC8" w:rsidRPr="00CF1B34" w:rsidRDefault="008C73F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Compras </w:t>
      </w:r>
      <w:r w:rsidR="00C41AC8" w:rsidRPr="00CF1B34">
        <w:rPr>
          <w:rFonts w:ascii="Arial" w:hAnsi="Arial" w:cs="Arial"/>
          <w:color w:val="000000" w:themeColor="text1"/>
          <w:sz w:val="22"/>
          <w:szCs w:val="22"/>
          <w:lang w:val="es-ES_tradnl"/>
        </w:rPr>
        <w:t>sistemáticas</w:t>
      </w:r>
      <w:r w:rsidRPr="00CF1B34">
        <w:rPr>
          <w:rFonts w:ascii="Arial" w:hAnsi="Arial" w:cs="Arial"/>
          <w:color w:val="000000" w:themeColor="text1"/>
          <w:sz w:val="22"/>
          <w:szCs w:val="22"/>
          <w:lang w:val="es-ES_tradnl"/>
        </w:rPr>
        <w:t xml:space="preserve"> en bolsa de títulos de una sociedad, sin que</w:t>
      </w:r>
      <w:r w:rsidR="00C41AC8" w:rsidRPr="00CF1B34">
        <w:rPr>
          <w:rFonts w:ascii="Arial" w:hAnsi="Arial" w:cs="Arial"/>
          <w:color w:val="000000" w:themeColor="text1"/>
          <w:sz w:val="22"/>
          <w:szCs w:val="22"/>
          <w:lang w:val="es-ES_tradnl"/>
        </w:rPr>
        <w:t xml:space="preserve"> haya desequilibrio de mercado, con el fin de detener una participación o de tomar el control</w:t>
      </w:r>
    </w:p>
    <w:p w14:paraId="09AA99AF" w14:textId="3736B138" w:rsidR="00034BAE" w:rsidRPr="00CF1B34" w:rsidRDefault="00034BA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Rectángulos</w:t>
      </w:r>
    </w:p>
    <w:p w14:paraId="42E68DDB" w14:textId="77777777" w:rsidR="00C41AC8" w:rsidRPr="00CF1B34" w:rsidRDefault="00C41AC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Formacion chartista de equilibrio temporal que explica que un mercado se encuentra en equilibrio entre oferta y demanda formándose un movimiento de una banda determinada. Generalmente son formaciones de consolidación de tendencias.</w:t>
      </w:r>
    </w:p>
    <w:p w14:paraId="0F8D978E" w14:textId="05526CAD" w:rsidR="00034BAE" w:rsidRPr="00CF1B34" w:rsidRDefault="00034BA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Rectoras de bolsas</w:t>
      </w:r>
    </w:p>
    <w:p w14:paraId="5418559E" w14:textId="77777777" w:rsidR="00C41AC8" w:rsidRPr="00CF1B34" w:rsidRDefault="00C41AC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las sociedades que se encargan del buen funcionamiento de sus respectivas plazas.</w:t>
      </w:r>
    </w:p>
    <w:p w14:paraId="78FD47B3" w14:textId="0AD91AAA" w:rsidR="00034BAE" w:rsidRPr="00CF1B34" w:rsidRDefault="00034BA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Recurso del Tesoro al Banco de España</w:t>
      </w:r>
    </w:p>
    <w:p w14:paraId="0463DF52" w14:textId="43DC0B18" w:rsidR="006F63D6" w:rsidRPr="00CF1B34" w:rsidRDefault="006F63D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Financiaci</w:t>
      </w:r>
      <w:r w:rsidR="006D786B">
        <w:rPr>
          <w:rFonts w:ascii="Arial" w:hAnsi="Arial" w:cs="Arial"/>
          <w:color w:val="000000" w:themeColor="text1"/>
          <w:sz w:val="22"/>
          <w:szCs w:val="22"/>
          <w:lang w:val="es-ES_tradnl"/>
        </w:rPr>
        <w:t>ó</w:t>
      </w:r>
      <w:r w:rsidRPr="00CF1B34">
        <w:rPr>
          <w:rFonts w:ascii="Arial" w:hAnsi="Arial" w:cs="Arial"/>
          <w:color w:val="000000" w:themeColor="text1"/>
          <w:sz w:val="22"/>
          <w:szCs w:val="22"/>
          <w:lang w:val="es-ES_tradnl"/>
        </w:rPr>
        <w:t>n gratuita que, en determinadas ocasiones, puede obtener el tesoro de forma automática en el banco de España. Su regulación tiene por objeto limitar uno de l</w:t>
      </w:r>
      <w:r w:rsidR="00E94FAF" w:rsidRPr="00CF1B34">
        <w:rPr>
          <w:rFonts w:ascii="Arial" w:hAnsi="Arial" w:cs="Arial"/>
          <w:color w:val="000000" w:themeColor="text1"/>
          <w:sz w:val="22"/>
          <w:szCs w:val="22"/>
          <w:lang w:val="es-ES_tradnl"/>
        </w:rPr>
        <w:t>os</w:t>
      </w:r>
      <w:r w:rsidRPr="00CF1B34">
        <w:rPr>
          <w:rFonts w:ascii="Arial" w:hAnsi="Arial" w:cs="Arial"/>
          <w:color w:val="000000" w:themeColor="text1"/>
          <w:sz w:val="22"/>
          <w:szCs w:val="22"/>
          <w:lang w:val="es-ES_tradnl"/>
        </w:rPr>
        <w:t xml:space="preserve"> factores autónomo s creadores de liquidez</w:t>
      </w:r>
    </w:p>
    <w:p w14:paraId="741EDCFE" w14:textId="24D37C19"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Recursos ajenos</w:t>
      </w:r>
    </w:p>
    <w:p w14:paraId="5F10F97A"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Financiación de una empresa recibida de terceros. Según el plazo de exigibilidad, se clasifican en deudas a corto plazo (las que deberán ser atendidas en menos de un año) y deudas a medio y largo plazo (más de doce meses).</w:t>
      </w:r>
    </w:p>
    <w:p w14:paraId="293FAB3E"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Recursos propios</w:t>
      </w:r>
    </w:p>
    <w:p w14:paraId="0A992EE9"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los aportados por los propietarios o accionistas, los generados por la actividad de la empresa que no han sido repartidos y los aportados por terceros sin exigencia de devolución. En términos contables, comprenden el capital social, las reservas, los resultados pendientes de aplicación y las subvenciones en capital no reintegrables.</w:t>
      </w:r>
    </w:p>
    <w:p w14:paraId="18E82340" w14:textId="05DA8FE5" w:rsidR="006D786B" w:rsidRDefault="006D786B"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Redondeo de hipotecas</w:t>
      </w:r>
    </w:p>
    <w:p w14:paraId="0473E090" w14:textId="77777777" w:rsidR="006D786B" w:rsidRPr="00CF1B34" w:rsidRDefault="006D786B" w:rsidP="006D786B">
      <w:pPr>
        <w:pBdr>
          <w:bottom w:val="dotted" w:sz="12" w:space="12" w:color="666666"/>
        </w:pBdr>
        <w:spacing w:after="240"/>
        <w:ind w:left="720"/>
        <w:jc w:val="both"/>
        <w:rPr>
          <w:rFonts w:ascii="Arial" w:hAnsi="Arial" w:cs="Arial"/>
          <w:color w:val="212529"/>
          <w:sz w:val="22"/>
          <w:szCs w:val="22"/>
          <w:lang w:val="es-ES_tradnl"/>
        </w:rPr>
      </w:pPr>
      <w:r w:rsidRPr="006D786B">
        <w:rPr>
          <w:rFonts w:ascii="Arial" w:hAnsi="Arial" w:cs="Arial"/>
          <w:color w:val="474747"/>
          <w:sz w:val="22"/>
          <w:szCs w:val="22"/>
          <w:shd w:val="clear" w:color="auto" w:fill="FFFFFF"/>
        </w:rPr>
        <w:t>Una forma de reducir significativamente el plazo de su hipoteca es redondear hacia arriba. Cuando elabore un presupuesto para el pago de su hipoteca, </w:t>
      </w:r>
      <w:r w:rsidRPr="006D786B">
        <w:rPr>
          <w:rFonts w:ascii="Arial" w:hAnsi="Arial" w:cs="Arial"/>
          <w:color w:val="040C28"/>
          <w:sz w:val="22"/>
          <w:szCs w:val="22"/>
          <w:shd w:val="clear" w:color="auto" w:fill="D3E3FD"/>
        </w:rPr>
        <w:t>redondee hacia arriba hasta el siguiente monto más alto de $100</w:t>
      </w:r>
      <w:r w:rsidRPr="006D786B">
        <w:rPr>
          <w:rFonts w:ascii="Arial" w:hAnsi="Arial" w:cs="Arial"/>
          <w:color w:val="474747"/>
          <w:sz w:val="22"/>
          <w:szCs w:val="22"/>
          <w:shd w:val="clear" w:color="auto" w:fill="FFFFFF"/>
        </w:rPr>
        <w:t>. Pague $800 en lugar de $743. O $900 en lugar de $860.</w:t>
      </w:r>
    </w:p>
    <w:p w14:paraId="31A95BC4" w14:textId="6DEBECC6"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Reducción de capital</w:t>
      </w:r>
    </w:p>
    <w:p w14:paraId="49322DBE" w14:textId="4FB2263A"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societaria que consiste en la disminución del capital de la sociedad, bien porque exceda las necesidad</w:t>
      </w:r>
      <w:r w:rsidR="006D786B">
        <w:rPr>
          <w:rFonts w:ascii="Arial" w:hAnsi="Arial" w:cs="Arial"/>
          <w:color w:val="212529"/>
          <w:sz w:val="22"/>
          <w:szCs w:val="22"/>
          <w:lang w:val="es-ES_tradnl"/>
        </w:rPr>
        <w:t>es</w:t>
      </w:r>
      <w:r w:rsidRPr="00CF1B34">
        <w:rPr>
          <w:rFonts w:ascii="Arial" w:hAnsi="Arial" w:cs="Arial"/>
          <w:color w:val="212529"/>
          <w:sz w:val="22"/>
          <w:szCs w:val="22"/>
          <w:lang w:val="es-ES_tradnl"/>
        </w:rPr>
        <w:t xml:space="preserve"> de la empresa, o porque la sociedad deba ajustar la cifra de capital a su patrimonio para absorber las pérdidas. </w:t>
      </w:r>
    </w:p>
    <w:p w14:paraId="2511AD10"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Reembolso</w:t>
      </w:r>
    </w:p>
    <w:p w14:paraId="32290CE4" w14:textId="35309411"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por la que el partícipe recupera todo o parte del capital invertido en un fondo de inversión, mediante la venta de sus participaciones a la sociedad gestora (al valor liquidativo que resulte aplicable según el folleto). La gestora está obligada a hacer efectivos los reembolsos en un máximo de tres días hábiles desde la solicitud, excepto para reembolsos de más de 300.000 euros, que requieren un preaviso de diez días. Ver</w:t>
      </w:r>
      <w:r w:rsidR="0068280F" w:rsidRPr="00CF1B34">
        <w:rPr>
          <w:rFonts w:ascii="Arial" w:hAnsi="Arial" w:cs="Arial"/>
          <w:color w:val="212529"/>
          <w:sz w:val="22"/>
          <w:szCs w:val="22"/>
          <w:lang w:val="es-ES_tradnl"/>
        </w:rPr>
        <w:t xml:space="preserve"> </w:t>
      </w:r>
      <w:hyperlink r:id="rId323" w:tgtFrame="_self" w:history="1">
        <w:r w:rsidRPr="00CF1B34">
          <w:rPr>
            <w:rFonts w:ascii="Arial" w:hAnsi="Arial" w:cs="Arial"/>
            <w:b/>
            <w:bCs/>
            <w:color w:val="2F5496" w:themeColor="accent1" w:themeShade="BF"/>
            <w:sz w:val="22"/>
            <w:szCs w:val="22"/>
            <w:u w:val="single"/>
            <w:lang w:val="es-ES_tradnl"/>
          </w:rPr>
          <w:t>Fondo de inversión</w:t>
        </w:r>
      </w:hyperlink>
      <w:r w:rsidRPr="00CF1B34">
        <w:rPr>
          <w:rFonts w:ascii="Arial" w:hAnsi="Arial" w:cs="Arial"/>
          <w:color w:val="2F5496" w:themeColor="accent1" w:themeShade="BF"/>
          <w:sz w:val="22"/>
          <w:szCs w:val="22"/>
          <w:lang w:val="es-ES_tradnl"/>
        </w:rPr>
        <w:t>.</w:t>
      </w:r>
    </w:p>
    <w:p w14:paraId="6BE044A4"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Referencia de registro (RR)</w:t>
      </w:r>
    </w:p>
    <w:p w14:paraId="15B6422A" w14:textId="0E2B3CF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Código identificativo de un valor en el sistema de representación por anotaciones en cuenta. Ver</w:t>
      </w:r>
      <w:r w:rsidR="005F57EB" w:rsidRPr="00CF1B34">
        <w:rPr>
          <w:rFonts w:ascii="Arial" w:hAnsi="Arial" w:cs="Arial"/>
          <w:color w:val="212529"/>
          <w:sz w:val="22"/>
          <w:szCs w:val="22"/>
          <w:lang w:val="es-ES_tradnl"/>
        </w:rPr>
        <w:t xml:space="preserve"> </w:t>
      </w:r>
      <w:hyperlink r:id="rId324" w:tgtFrame="_self" w:history="1">
        <w:r w:rsidRPr="00CF1B34">
          <w:rPr>
            <w:rFonts w:ascii="Arial" w:hAnsi="Arial" w:cs="Arial"/>
            <w:b/>
            <w:bCs/>
            <w:color w:val="2F5496" w:themeColor="accent1" w:themeShade="BF"/>
            <w:sz w:val="22"/>
            <w:szCs w:val="22"/>
            <w:u w:val="single"/>
            <w:lang w:val="es-ES_tradnl"/>
          </w:rPr>
          <w:t>Anotaciones en cuenta</w:t>
        </w:r>
      </w:hyperlink>
      <w:r w:rsidRPr="00CF1B34">
        <w:rPr>
          <w:rFonts w:ascii="Arial" w:hAnsi="Arial" w:cs="Arial"/>
          <w:color w:val="2F5496" w:themeColor="accent1" w:themeShade="BF"/>
          <w:sz w:val="22"/>
          <w:szCs w:val="22"/>
          <w:lang w:val="es-ES_tradnl"/>
        </w:rPr>
        <w:t>.</w:t>
      </w:r>
    </w:p>
    <w:p w14:paraId="0470AF05" w14:textId="77777777" w:rsidR="00295107" w:rsidRPr="00CF1B34" w:rsidRDefault="00295107"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lastRenderedPageBreak/>
        <w:t>Refinanciación hipoteca</w:t>
      </w:r>
    </w:p>
    <w:p w14:paraId="71F71679"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w:t>
      </w:r>
      <w:r w:rsidRPr="00CF1B34">
        <w:rPr>
          <w:rFonts w:ascii="Arial" w:hAnsi="Arial" w:cs="Arial"/>
          <w:b/>
          <w:bCs/>
          <w:sz w:val="22"/>
          <w:szCs w:val="22"/>
          <w:lang w:val="es-ES_tradnl"/>
        </w:rPr>
        <w:t>refinanciación de un préstamo hipotecario</w:t>
      </w:r>
      <w:r w:rsidRPr="00CF1B34">
        <w:rPr>
          <w:rFonts w:ascii="Arial" w:hAnsi="Arial" w:cs="Arial"/>
          <w:sz w:val="22"/>
          <w:szCs w:val="22"/>
          <w:lang w:val="es-ES_tradnl"/>
        </w:rPr>
        <w:t> consiste en modificar las condiciones de nuestra hipoteca y adaptarlas a unas que sean más convenientes para nosotros.</w:t>
      </w:r>
    </w:p>
    <w:p w14:paraId="2F2620FC" w14:textId="77777777" w:rsidR="00295107" w:rsidRPr="00CF1B34" w:rsidRDefault="00295107" w:rsidP="0005621A">
      <w:pPr>
        <w:spacing w:after="100" w:afterAutospacing="1"/>
        <w:ind w:firstLine="708"/>
        <w:jc w:val="both"/>
        <w:rPr>
          <w:rFonts w:ascii="Arial" w:hAnsi="Arial" w:cs="Arial"/>
          <w:sz w:val="22"/>
          <w:szCs w:val="22"/>
          <w:lang w:val="es-ES_tradnl"/>
        </w:rPr>
      </w:pPr>
      <w:r w:rsidRPr="00CF1B34">
        <w:rPr>
          <w:rFonts w:ascii="Arial" w:hAnsi="Arial" w:cs="Arial"/>
          <w:sz w:val="22"/>
          <w:szCs w:val="22"/>
          <w:lang w:val="es-ES_tradnl"/>
        </w:rPr>
        <w:t>Esto se consigue mediante tres procedimientos:</w:t>
      </w:r>
    </w:p>
    <w:p w14:paraId="64CC354B" w14:textId="77777777" w:rsidR="00295107" w:rsidRPr="00CF1B34" w:rsidRDefault="00295107"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Novación</w:t>
      </w:r>
    </w:p>
    <w:p w14:paraId="09255E9C"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primer lugar, podemos renegociarlo con nuestro banco actual. Este caso se llama novación, y consiste en refinanciar nuestra hipoteca y llegar a un acuerdo con nuestra propia entidad bancaria. Así lograremos modificar casi cualquier cláusula, siempre que nuestro banco esté de acuerdo con nuestras propuestas. Si elegimos esta opción es posible que tengamos que pagar una comisión que va entre el 0,1 y el 1% del capital pendiente, si nuestra entidad así lo estipula en las condiciones que hayamos firmado con ella.</w:t>
      </w:r>
    </w:p>
    <w:p w14:paraId="71CA65AB" w14:textId="77777777" w:rsidR="00295107" w:rsidRPr="00CF1B34" w:rsidRDefault="00295107"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Subrogación</w:t>
      </w:r>
    </w:p>
    <w:p w14:paraId="7CAB43C2"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O podremos subrogarlo, es decir: contratar un </w:t>
      </w:r>
      <w:r w:rsidRPr="00CF1B34">
        <w:rPr>
          <w:rFonts w:ascii="Arial" w:hAnsi="Arial" w:cs="Arial"/>
          <w:b/>
          <w:bCs/>
          <w:sz w:val="22"/>
          <w:szCs w:val="22"/>
          <w:lang w:val="es-ES_tradnl"/>
        </w:rPr>
        <w:t>nuevo préstamo hipotecario con otra entidad</w:t>
      </w:r>
      <w:r w:rsidRPr="00CF1B34">
        <w:rPr>
          <w:rFonts w:ascii="Arial" w:hAnsi="Arial" w:cs="Arial"/>
          <w:sz w:val="22"/>
          <w:szCs w:val="22"/>
          <w:lang w:val="es-ES_tradnl"/>
        </w:rPr>
        <w:t> para obtener unas mejores condiciones. Así, podremos cambiar las comisiones, la vinculación, el tipo de interés o los plazos, aunque no nos permitirá ampliar el capital o cambiar a los titulares, por ejemplo. Para llevar a cabo este proceso necesitaremos un buen perfil financiero para que nos acepten, y una buena solvencia, para hacer frente a ciertos costes que se producirán con el cambio; quizá una posible comisión por subrogación o desistimiento, en función de las condiciones del préstamo que hayamos contratado.</w:t>
      </w:r>
    </w:p>
    <w:p w14:paraId="51536662" w14:textId="77777777" w:rsidR="00295107" w:rsidRPr="00CF1B34" w:rsidRDefault="00295107"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Nuevo préstamo hipotecario</w:t>
      </w:r>
    </w:p>
    <w:p w14:paraId="078B8FA7"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último, podremos firmar un </w:t>
      </w:r>
      <w:r w:rsidRPr="00CF1B34">
        <w:rPr>
          <w:rFonts w:ascii="Arial" w:hAnsi="Arial" w:cs="Arial"/>
          <w:b/>
          <w:bCs/>
          <w:sz w:val="22"/>
          <w:szCs w:val="22"/>
          <w:lang w:val="es-ES_tradnl"/>
        </w:rPr>
        <w:t>nuevo préstamo hipotecario</w:t>
      </w:r>
      <w:r w:rsidRPr="00CF1B34">
        <w:rPr>
          <w:rFonts w:ascii="Arial" w:hAnsi="Arial" w:cs="Arial"/>
          <w:sz w:val="22"/>
          <w:szCs w:val="22"/>
          <w:lang w:val="es-ES_tradnl"/>
        </w:rPr>
        <w:t xml:space="preserve"> con unas condiciones más ventajosas. En este caso también tendremos que hacer frente a los gastos de liquidación de una, y a los de apertura de la otra. Sin duda, es la opción más cara ya que cancelar la hipoteca implicará un gasto. Antes de decidirnos por esta opción sería aconsejable intentar renegociar nuestra actual </w:t>
      </w:r>
      <w:proofErr w:type="gramStart"/>
      <w:r w:rsidRPr="00CF1B34">
        <w:rPr>
          <w:rFonts w:ascii="Arial" w:hAnsi="Arial" w:cs="Arial"/>
          <w:sz w:val="22"/>
          <w:szCs w:val="22"/>
          <w:lang w:val="es-ES_tradnl"/>
        </w:rPr>
        <w:t>hipoteca  (</w:t>
      </w:r>
      <w:proofErr w:type="gramEnd"/>
      <w:r w:rsidRPr="00CF1B34">
        <w:rPr>
          <w:rFonts w:ascii="Arial" w:hAnsi="Arial" w:cs="Arial"/>
          <w:sz w:val="22"/>
          <w:szCs w:val="22"/>
          <w:lang w:val="es-ES_tradnl"/>
        </w:rPr>
        <w:t xml:space="preserve">es decir, novarla) o subrogarla en otro banco. Si queremos realizar un nuevo préstamo hipotecario tendremos que </w:t>
      </w:r>
      <w:proofErr w:type="gramStart"/>
      <w:r w:rsidRPr="00CF1B34">
        <w:rPr>
          <w:rFonts w:ascii="Arial" w:hAnsi="Arial" w:cs="Arial"/>
          <w:sz w:val="22"/>
          <w:szCs w:val="22"/>
          <w:lang w:val="es-ES_tradnl"/>
        </w:rPr>
        <w:t>revisar</w:t>
      </w:r>
      <w:proofErr w:type="gramEnd"/>
      <w:r w:rsidRPr="00CF1B34">
        <w:rPr>
          <w:rFonts w:ascii="Arial" w:hAnsi="Arial" w:cs="Arial"/>
          <w:sz w:val="22"/>
          <w:szCs w:val="22"/>
          <w:lang w:val="es-ES_tradnl"/>
        </w:rPr>
        <w:t xml:space="preserve"> además, las condiciones de nuestro actual préstamo y sus posibles penalizaciones. </w:t>
      </w:r>
    </w:p>
    <w:p w14:paraId="1012A92D"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definitiva, tendremos que escoger la opción que más encaje con nuestra situación teniendo en cuenta que refinanciar siempre tiene un coste, ya que tendremos que formalizar cada cambio ante notario y escriturar en el Registro de la propiedad. Con esto incurriremos en gastos de notaría, gestoría y registro, además de tener que pagar la tasación en el caso de ampliar la hipoteca o irnos a otro banco. A la hora de hacerlo, siempre deberemos realizar una estimación de nuestros ingresos para asegurarnos de poder hacer frente a los cambios.</w:t>
      </w:r>
    </w:p>
    <w:p w14:paraId="36F0DCF8" w14:textId="77777777" w:rsidR="00295107" w:rsidRPr="00CF1B34" w:rsidRDefault="00295107"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condiciones podremos cambiar al refinanciar nuestra hipoteca?</w:t>
      </w:r>
    </w:p>
    <w:p w14:paraId="0CC79239" w14:textId="37C061D8" w:rsidR="00295107" w:rsidRPr="00CF1B34" w:rsidRDefault="0029510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Podremos </w:t>
      </w:r>
      <w:r w:rsidRPr="00CF1B34">
        <w:rPr>
          <w:rFonts w:ascii="Arial" w:hAnsi="Arial" w:cs="Arial"/>
          <w:b/>
          <w:bCs/>
          <w:sz w:val="22"/>
          <w:szCs w:val="22"/>
          <w:lang w:val="es-ES_tradnl"/>
        </w:rPr>
        <w:t>aumentar el capital</w:t>
      </w:r>
      <w:r w:rsidRPr="00CF1B34">
        <w:rPr>
          <w:rFonts w:ascii="Arial" w:hAnsi="Arial" w:cs="Arial"/>
          <w:sz w:val="22"/>
          <w:szCs w:val="22"/>
          <w:lang w:val="es-ES_tradnl"/>
        </w:rPr>
        <w:t> (por ejemplo, para conseguir financiación extra para otro proyecto: hacer una reforma en casa, comprar un coche…), o para saldar otras deudas de tarjetas u otros créditos; podremos </w:t>
      </w:r>
      <w:r w:rsidRPr="00CF1B34">
        <w:rPr>
          <w:rFonts w:ascii="Arial" w:hAnsi="Arial" w:cs="Arial"/>
          <w:b/>
          <w:bCs/>
          <w:sz w:val="22"/>
          <w:szCs w:val="22"/>
          <w:lang w:val="es-ES_tradnl"/>
        </w:rPr>
        <w:t>ampliar o reducir el periodo de amortización</w:t>
      </w:r>
      <w:r w:rsidRPr="00CF1B34">
        <w:rPr>
          <w:rFonts w:ascii="Arial" w:hAnsi="Arial" w:cs="Arial"/>
          <w:sz w:val="22"/>
          <w:szCs w:val="22"/>
          <w:lang w:val="es-ES_tradnl"/>
        </w:rPr>
        <w:t xml:space="preserve">, bien aumentándolo y reduciendo las cuotas; o bien disminuyéndolo y pagar menos cada vez. Este caso es aconsejable si queremos ahorrar o tenemos dificultades a la hora de cumplir con los pagos, pero tendremos que tener cuidado, ya que acabaremos pagando más dinero al final, debido a los intereses generados; o modificar el tipo de interés, por </w:t>
      </w:r>
      <w:r w:rsidRPr="00CF1B34">
        <w:rPr>
          <w:rFonts w:ascii="Arial" w:hAnsi="Arial" w:cs="Arial"/>
          <w:sz w:val="22"/>
          <w:szCs w:val="22"/>
          <w:lang w:val="es-ES_tradnl"/>
        </w:rPr>
        <w:lastRenderedPageBreak/>
        <w:t>ejemplo</w:t>
      </w:r>
      <w:r w:rsidR="006D786B">
        <w:rPr>
          <w:rFonts w:ascii="Arial" w:hAnsi="Arial" w:cs="Arial"/>
          <w:sz w:val="22"/>
          <w:szCs w:val="22"/>
          <w:lang w:val="es-ES_tradnl"/>
        </w:rPr>
        <w:t>:</w:t>
      </w:r>
      <w:r w:rsidRPr="00CF1B34">
        <w:rPr>
          <w:rFonts w:ascii="Arial" w:hAnsi="Arial" w:cs="Arial"/>
          <w:sz w:val="22"/>
          <w:szCs w:val="22"/>
          <w:lang w:val="es-ES_tradnl"/>
        </w:rPr>
        <w:t xml:space="preserve"> reduciéndolo, o pasando de fijo a variable y viceversa. Este caso podría favorecernos si contratamos un préstamo a tipo fijo hace tiempo y queremos actualizarlo al precio del mercado; o reunificar deudas, aunándolas bajo una misma cuota para obtener un interés más favorable.</w:t>
      </w:r>
    </w:p>
    <w:p w14:paraId="0B77AA4C" w14:textId="38855213" w:rsidR="006D786B" w:rsidRDefault="006D786B"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Reflación</w:t>
      </w:r>
    </w:p>
    <w:p w14:paraId="480ED707" w14:textId="77777777" w:rsidR="00C92189" w:rsidRPr="00CF1B34" w:rsidRDefault="00C92189" w:rsidP="00C92189">
      <w:pPr>
        <w:pBdr>
          <w:bottom w:val="dotted" w:sz="12" w:space="12" w:color="666666"/>
        </w:pBdr>
        <w:spacing w:after="240"/>
        <w:ind w:left="720"/>
        <w:jc w:val="both"/>
        <w:rPr>
          <w:rFonts w:ascii="Arial" w:hAnsi="Arial" w:cs="Arial"/>
          <w:color w:val="212529"/>
          <w:sz w:val="22"/>
          <w:szCs w:val="22"/>
          <w:lang w:val="es-ES_tradnl"/>
        </w:rPr>
      </w:pPr>
      <w:r w:rsidRPr="00C92189">
        <w:rPr>
          <w:rFonts w:ascii="Arial" w:hAnsi="Arial" w:cs="Arial"/>
          <w:color w:val="333333"/>
          <w:sz w:val="22"/>
          <w:szCs w:val="22"/>
          <w:shd w:val="clear" w:color="auto" w:fill="FFFFFF"/>
        </w:rPr>
        <w:t>La reflación puede definirse como la estimulación de la masa monetaria mediante el incremento de la masa monetaria o la reducción de impuestos. Una política monetaria y fiscal para hacer aumentar el PIB</w:t>
      </w:r>
      <w:r>
        <w:rPr>
          <w:rFonts w:ascii="Open Sans" w:hAnsi="Open Sans" w:cs="Open Sans"/>
          <w:color w:val="333333"/>
          <w:shd w:val="clear" w:color="auto" w:fill="FFFFFF"/>
        </w:rPr>
        <w:t>.</w:t>
      </w:r>
    </w:p>
    <w:p w14:paraId="7709D31C" w14:textId="71114277" w:rsidR="00295107" w:rsidRPr="00CF1B34" w:rsidRDefault="00295107"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Registro de la propiedad</w:t>
      </w:r>
    </w:p>
    <w:p w14:paraId="4EF4D8C6" w14:textId="056AB3D4" w:rsidR="00295107" w:rsidRPr="00CF1B34" w:rsidRDefault="00295107" w:rsidP="0005621A">
      <w:pPr>
        <w:ind w:left="708"/>
        <w:jc w:val="both"/>
        <w:rPr>
          <w:rFonts w:ascii="Arial" w:hAnsi="Arial" w:cs="Arial"/>
          <w:sz w:val="22"/>
          <w:szCs w:val="22"/>
          <w:lang w:val="es-ES_tradnl"/>
        </w:rPr>
      </w:pPr>
      <w:r w:rsidRPr="00CF1B34">
        <w:rPr>
          <w:rFonts w:ascii="Arial" w:hAnsi="Arial" w:cs="Arial"/>
          <w:sz w:val="22"/>
          <w:szCs w:val="22"/>
          <w:lang w:val="es-ES_tradnl"/>
        </w:rPr>
        <w:t>El</w:t>
      </w:r>
      <w:r w:rsidR="00C92189">
        <w:rPr>
          <w:rFonts w:ascii="Arial" w:hAnsi="Arial" w:cs="Arial"/>
          <w:sz w:val="22"/>
          <w:szCs w:val="22"/>
          <w:lang w:val="es-ES_tradnl"/>
        </w:rPr>
        <w:t xml:space="preserve"> </w:t>
      </w:r>
      <w:r w:rsidRPr="00CF1B34">
        <w:rPr>
          <w:rFonts w:ascii="Arial" w:hAnsi="Arial" w:cs="Arial"/>
          <w:b/>
          <w:bCs/>
          <w:sz w:val="22"/>
          <w:szCs w:val="22"/>
          <w:lang w:val="es-ES_tradnl"/>
        </w:rPr>
        <w:t>Registro de la Propiedad</w:t>
      </w:r>
      <w:r w:rsidR="00C92189">
        <w:rPr>
          <w:rFonts w:ascii="Arial" w:hAnsi="Arial" w:cs="Arial"/>
          <w:sz w:val="22"/>
          <w:szCs w:val="22"/>
          <w:lang w:val="es-ES_tradnl"/>
        </w:rPr>
        <w:t xml:space="preserve"> </w:t>
      </w:r>
      <w:r w:rsidRPr="00CF1B34">
        <w:rPr>
          <w:rFonts w:ascii="Arial" w:hAnsi="Arial" w:cs="Arial"/>
          <w:sz w:val="22"/>
          <w:szCs w:val="22"/>
          <w:lang w:val="es-ES_tradnl"/>
        </w:rPr>
        <w:t>es la institución pública donde constan los inmuebles y la información de estos: su propietario, sus derechos (dominio, usufructo, censos…), y también sus posibles cargas (hipotecas, servidumbres, resoluciones judiciales o administrativas, embargos…). En él quedan inscritas las escrituras de compraventa de las viviendas, inmuebles e incluso los documentos privados.</w:t>
      </w:r>
    </w:p>
    <w:p w14:paraId="28CC62BF"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certificar aún más estos datos, a raíz de la ley 13/2015 la descripción se viene complementando con una representación gráfica georreferenciada y cruzada con los datos del catastro; así puede certificarse la ubicación, delimitación y superficie de la finca o inmueble.</w:t>
      </w:r>
    </w:p>
    <w:p w14:paraId="43F4FB53" w14:textId="77777777" w:rsidR="00295107" w:rsidRPr="00CF1B34" w:rsidRDefault="00295107"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¿Quién tiene acceso a esta información?</w:t>
      </w:r>
    </w:p>
    <w:p w14:paraId="285A7300"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Solo quien tenga un interés legítimo alegado. O, dicho de otra manera: cualquier persona que desee conocer la situación de un determinado inmueble podrá acceder a la información del Registro de la Propiedad. Pero deberá expresar el interés de esta consulta al registrador, quien lo analizará y estimará si este es legítimo; solo entonces emitirá el documento.</w:t>
      </w:r>
    </w:p>
    <w:p w14:paraId="30FA844B"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este caso, el solicitante obtendrá los datos, bien mediante una nota simple (que es solo informativa), o de una certificación (firmada por el registrador).</w:t>
      </w:r>
    </w:p>
    <w:p w14:paraId="15B1FB0E" w14:textId="77777777" w:rsidR="00295107" w:rsidRPr="00CF1B34" w:rsidRDefault="00295107"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se registra la propiedad?</w:t>
      </w:r>
    </w:p>
    <w:p w14:paraId="67F8F856"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Registro tiene distintas demarcaciones por todo el territorio nacional, y deberás buscar el que corresponda a la zona donde se emplaza tu vivienda. Puedes consultarlo la página web del Colegio de Registradores, seleccionando la opción Localice su registro. Además, tendrás que cumplir diferentes trámites (o asientos) en función de lo que quieras registrar (titularidad, derechos, cargas…). Las inscripciones que figuran en el registro no tienen caducidad, no necesitan ser actualizadas y tienen un coste en función del valor, las características y la ubicación del inmueble.</w:t>
      </w:r>
    </w:p>
    <w:p w14:paraId="555BFA8B" w14:textId="77777777" w:rsidR="00295107" w:rsidRPr="00CF1B34" w:rsidRDefault="00295107"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quieres conocer el procedimiento completo de registro, accede a la web del Ministerio de Justicia.</w:t>
      </w:r>
    </w:p>
    <w:p w14:paraId="44A797A3" w14:textId="77777777" w:rsidR="00295107" w:rsidRPr="00CF1B34" w:rsidRDefault="00295107"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¿Registrar o no registrar?</w:t>
      </w:r>
    </w:p>
    <w:p w14:paraId="7B554E21" w14:textId="77777777" w:rsidR="00295107" w:rsidRPr="00CF1B34" w:rsidRDefault="0029510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Inscribir o no un inmueble en el Registro de la Propiedad es algo voluntario, pero siempre es conveniente, ya que reconoce la titularidad,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por tanto, te dará la seguridad de saber quién es el propietario. Al registrar se concede más transparencia y garantía jurídica a las operaciones del mercado inmobiliario: al estar registradas y ser públicas, lo registrado se da por verdadero. En la práctica, esto significa que, aunque no sea obligatorio registrar, </w:t>
      </w:r>
      <w:r w:rsidRPr="00CF1B34">
        <w:rPr>
          <w:rFonts w:ascii="Arial" w:hAnsi="Arial" w:cs="Arial"/>
          <w:sz w:val="22"/>
          <w:szCs w:val="22"/>
          <w:lang w:val="es-ES_tradnl"/>
        </w:rPr>
        <w:lastRenderedPageBreak/>
        <w:t>es muy útil porque ahorra tiempo y trámites a la hora de comprar o vender una finca o inmueble.</w:t>
      </w:r>
    </w:p>
    <w:p w14:paraId="0C14FF08" w14:textId="21A380FD"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Registro de operaciones</w:t>
      </w:r>
    </w:p>
    <w:p w14:paraId="1C888B1C"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Mecanismo de control que deben mantener los intermediarios que actúan en los mercados de valores (entidades de crédito y sociedades y agencias de valores), para conservar la información sobre las órdenes recibidas de los clientes y las actuaciones dirigidas a su ejecución. El contenido de este registro debe coincidir con la información suministrada a los clientes.</w:t>
      </w:r>
    </w:p>
    <w:p w14:paraId="3D4D634D"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Reglamento de Divulgación</w:t>
      </w:r>
    </w:p>
    <w:p w14:paraId="5CE7484E"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Regulación que obliga a determinados participantes de los mercados financieros a divulgar información sobre su política de integración de riesgos de sostenibilidad en su proceso de toma de decisiones de inversión o en el asesoramiento, así como información acerca de las políticas de diligencia debida en relación con las principales PIAS sobre los factores de sostenibilidad en su sitio web y cuando ofrecen productos financieros con características u objetivos de sostenibilidad. </w:t>
      </w:r>
    </w:p>
    <w:p w14:paraId="2FCDAF2E"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Reglamento de gestión</w:t>
      </w:r>
    </w:p>
    <w:p w14:paraId="00C63F32" w14:textId="55418A85"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normas que rigen y regulan las características de un fondo de inversión, su funcionamiento y las relaciones entre gestora, depositario y partícipes. Ver</w:t>
      </w:r>
      <w:r w:rsidR="008E62EC" w:rsidRPr="00CF1B34">
        <w:rPr>
          <w:rFonts w:ascii="Arial" w:hAnsi="Arial" w:cs="Arial"/>
          <w:color w:val="212529"/>
          <w:sz w:val="22"/>
          <w:szCs w:val="22"/>
          <w:lang w:val="es-ES_tradnl"/>
        </w:rPr>
        <w:t xml:space="preserve"> </w:t>
      </w:r>
      <w:hyperlink r:id="rId325" w:tgtFrame="_self" w:history="1">
        <w:r w:rsidRPr="00CF1B34">
          <w:rPr>
            <w:rFonts w:ascii="Arial" w:hAnsi="Arial" w:cs="Arial"/>
            <w:b/>
            <w:bCs/>
            <w:color w:val="2F5496" w:themeColor="accent1" w:themeShade="BF"/>
            <w:sz w:val="22"/>
            <w:szCs w:val="22"/>
            <w:u w:val="single"/>
            <w:lang w:val="es-ES_tradnl"/>
          </w:rPr>
          <w:t>Fondo de inversión</w:t>
        </w:r>
      </w:hyperlink>
      <w:r w:rsidRPr="00CF1B34">
        <w:rPr>
          <w:rFonts w:ascii="Arial" w:hAnsi="Arial" w:cs="Arial"/>
          <w:color w:val="2F5496" w:themeColor="accent1" w:themeShade="BF"/>
          <w:sz w:val="22"/>
          <w:szCs w:val="22"/>
          <w:lang w:val="es-ES_tradnl"/>
        </w:rPr>
        <w:t>.</w:t>
      </w:r>
    </w:p>
    <w:p w14:paraId="50731F94"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Reglamento de Taxonomía </w:t>
      </w:r>
    </w:p>
    <w:p w14:paraId="6B8F565E"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una clasificación científica que determina qué actividades económicas y bajo qué criterios pueden considerarse sostenibles. La Taxonomía tiene como finalidad establecer un marco de referencia  para las inversiones sostenibles y evitar el ecoblanqueo. La Taxonomía es el instrumento de medición del grado de sostenibilidad de una inversión y de un fondo. Todos los productos financieros que declaren contribuir a la sostenibilidad a través de un objetivo de inversión sostenible o de características ASG debe informar de la proporción del producto que cumple con los criterios de la Taxonomía. Actualmente, no existe una Taxonomía social, únicamente existe Taxonomía medioambiental. </w:t>
      </w:r>
    </w:p>
    <w:p w14:paraId="74F14523"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Reglamento del Consejo de Administración</w:t>
      </w:r>
    </w:p>
    <w:p w14:paraId="66F64C9E" w14:textId="214CE0CE"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normas que establecen los principios de actuación del Consejo de Administración y las reglas básicas de su organización y funcionamiento, recogiendo en todo o en parte las recomendaciones del Código de Buen Gobierno. En las sociedades cotizadas es obligatoria su existencia. El reglamento debe ser comunicado a la CNMV y posteriormente inscrito en el Registro Mercantil. Ver</w:t>
      </w:r>
      <w:r w:rsidR="008E62EC" w:rsidRPr="00CF1B34">
        <w:rPr>
          <w:rFonts w:ascii="Arial" w:hAnsi="Arial" w:cs="Arial"/>
          <w:color w:val="212529"/>
          <w:sz w:val="22"/>
          <w:szCs w:val="22"/>
          <w:lang w:val="es-ES_tradnl"/>
        </w:rPr>
        <w:t xml:space="preserve"> </w:t>
      </w:r>
      <w:hyperlink r:id="rId326" w:tgtFrame="_self" w:history="1">
        <w:r w:rsidRPr="00CF1B34">
          <w:rPr>
            <w:rFonts w:ascii="Arial" w:hAnsi="Arial" w:cs="Arial"/>
            <w:b/>
            <w:bCs/>
            <w:color w:val="2F5496" w:themeColor="accent1" w:themeShade="BF"/>
            <w:sz w:val="22"/>
            <w:szCs w:val="22"/>
            <w:u w:val="single"/>
            <w:lang w:val="es-ES_tradnl"/>
          </w:rPr>
          <w:t>Código de Buen Gobierno</w:t>
        </w:r>
      </w:hyperlink>
      <w:r w:rsidRPr="00CF1B34">
        <w:rPr>
          <w:rFonts w:ascii="Arial" w:hAnsi="Arial" w:cs="Arial"/>
          <w:color w:val="2F5496" w:themeColor="accent1" w:themeShade="BF"/>
          <w:sz w:val="22"/>
          <w:szCs w:val="22"/>
          <w:lang w:val="es-ES_tradnl"/>
        </w:rPr>
        <w:t>.</w:t>
      </w:r>
    </w:p>
    <w:p w14:paraId="11E641D0"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Reglamento Interno de Conducta de sociedades cotizadas</w:t>
      </w:r>
    </w:p>
    <w:p w14:paraId="49777811"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Documento que regula la actuación de los consejeros, la alta dirección y los empleados en relación con los valores de la sociedad que se negocian en los mercados. Es obligatorio que cada sociedad cotizada disponga de su propio reglamento interno de conducta.</w:t>
      </w:r>
    </w:p>
    <w:p w14:paraId="2A618774" w14:textId="77777777" w:rsidR="005C5CA2" w:rsidRPr="00CF1B34" w:rsidRDefault="005C5CA2" w:rsidP="0005621A">
      <w:pPr>
        <w:jc w:val="both"/>
        <w:outlineLvl w:val="1"/>
        <w:rPr>
          <w:rFonts w:ascii="Arial" w:hAnsi="Arial" w:cs="Arial"/>
          <w:b/>
          <w:bCs/>
          <w:color w:val="191B1C"/>
          <w:sz w:val="22"/>
          <w:szCs w:val="22"/>
          <w:lang w:val="es-ES_tradnl"/>
        </w:rPr>
      </w:pPr>
      <w:r w:rsidRPr="00CF1B34">
        <w:rPr>
          <w:rFonts w:ascii="Arial" w:hAnsi="Arial" w:cs="Arial"/>
          <w:b/>
          <w:bCs/>
          <w:color w:val="2F5496" w:themeColor="accent1" w:themeShade="BF"/>
          <w:sz w:val="22"/>
          <w:szCs w:val="22"/>
          <w:lang w:val="es-ES_tradnl"/>
        </w:rPr>
        <w:t>Remuneración</w:t>
      </w:r>
    </w:p>
    <w:p w14:paraId="7A963BF6" w14:textId="77777777" w:rsidR="005C5CA2" w:rsidRPr="00CF1B34" w:rsidRDefault="005C5CA2" w:rsidP="0005621A">
      <w:pPr>
        <w:ind w:left="708"/>
        <w:jc w:val="both"/>
        <w:rPr>
          <w:rFonts w:ascii="Arial" w:hAnsi="Arial" w:cs="Arial"/>
          <w:sz w:val="22"/>
          <w:szCs w:val="22"/>
          <w:lang w:val="es-ES_tradnl"/>
        </w:rPr>
      </w:pPr>
      <w:r w:rsidRPr="00CF1B34">
        <w:rPr>
          <w:rFonts w:ascii="Arial" w:hAnsi="Arial" w:cs="Arial"/>
          <w:sz w:val="22"/>
          <w:szCs w:val="22"/>
          <w:lang w:val="es-ES_tradnl"/>
        </w:rPr>
        <w:lastRenderedPageBreak/>
        <w:t>En general, </w:t>
      </w:r>
      <w:r w:rsidRPr="00CF1B34">
        <w:rPr>
          <w:rFonts w:ascii="Arial" w:hAnsi="Arial" w:cs="Arial"/>
          <w:b/>
          <w:bCs/>
          <w:sz w:val="22"/>
          <w:szCs w:val="22"/>
          <w:lang w:val="es-ES_tradnl"/>
        </w:rPr>
        <w:t>la remuneración</w:t>
      </w:r>
      <w:r w:rsidRPr="00CF1B34">
        <w:rPr>
          <w:rFonts w:ascii="Arial" w:hAnsi="Arial" w:cs="Arial"/>
          <w:sz w:val="22"/>
          <w:szCs w:val="22"/>
          <w:lang w:val="es-ES_tradnl"/>
        </w:rPr>
        <w:t> (también llamada </w:t>
      </w:r>
      <w:r w:rsidRPr="00CF1B34">
        <w:rPr>
          <w:rFonts w:ascii="Arial" w:hAnsi="Arial" w:cs="Arial"/>
          <w:b/>
          <w:bCs/>
          <w:sz w:val="22"/>
          <w:szCs w:val="22"/>
          <w:lang w:val="es-ES_tradnl"/>
        </w:rPr>
        <w:t>retribución</w:t>
      </w:r>
      <w:r w:rsidRPr="00CF1B34">
        <w:rPr>
          <w:rFonts w:ascii="Arial" w:hAnsi="Arial" w:cs="Arial"/>
          <w:sz w:val="22"/>
          <w:szCs w:val="22"/>
          <w:lang w:val="es-ES_tradnl"/>
        </w:rPr>
        <w:t>) se considera a cualquier pago o beneficio obtenido a cambio de la cesión de competencias profesionales, intelectuales, dinero que se invierte a largo plazo, ahorros, etc.</w:t>
      </w:r>
    </w:p>
    <w:p w14:paraId="02A288A5" w14:textId="77777777" w:rsidR="005C5CA2" w:rsidRPr="00CF1B34" w:rsidRDefault="005C5CA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el mundo laboral, este término remite a todo aquel tipo de retribución o contrapartida que intercambian dos o más participantes por la prestación de un servicio. </w:t>
      </w:r>
    </w:p>
    <w:p w14:paraId="3060DD23" w14:textId="77777777" w:rsidR="005C5CA2" w:rsidRPr="00CF1B34" w:rsidRDefault="005C5CA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lo general, esta recompensa va </w:t>
      </w:r>
      <w:r w:rsidRPr="00CF1B34">
        <w:rPr>
          <w:rFonts w:ascii="Arial" w:hAnsi="Arial" w:cs="Arial"/>
          <w:b/>
          <w:bCs/>
          <w:sz w:val="22"/>
          <w:szCs w:val="22"/>
          <w:lang w:val="es-ES_tradnl"/>
        </w:rPr>
        <w:t>asociada a un salario</w:t>
      </w:r>
      <w:r w:rsidRPr="00CF1B34">
        <w:rPr>
          <w:rFonts w:ascii="Arial" w:hAnsi="Arial" w:cs="Arial"/>
          <w:sz w:val="22"/>
          <w:szCs w:val="22"/>
          <w:lang w:val="es-ES_tradnl"/>
        </w:rPr>
        <w:t>; al pago de una nómina que una empresa entrega a sus empleados por el hecho de desempeñar un puesto de trabajo. Así, el trabajador ofrece sus conocimientos o su mano de obra para el bien o beneficio de la empresa, y el empresario le compensa económicamente.</w:t>
      </w:r>
    </w:p>
    <w:p w14:paraId="0F104E3A" w14:textId="77777777" w:rsidR="005C5CA2" w:rsidRPr="00CF1B34" w:rsidRDefault="005C5CA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Puede ser en bruto (que será lo que el trabajador perciba sin retenciones ni comisiones aplicadas por el estado), o en neto, con esas cotizaciones ya descontadas.</w:t>
      </w:r>
    </w:p>
    <w:p w14:paraId="7F95CEA0" w14:textId="77777777" w:rsidR="005C5CA2" w:rsidRPr="00CF1B34" w:rsidRDefault="005C5CA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Ahora bien: </w:t>
      </w:r>
      <w:r w:rsidRPr="00CF1B34">
        <w:rPr>
          <w:rFonts w:ascii="Arial" w:hAnsi="Arial" w:cs="Arial"/>
          <w:b/>
          <w:bCs/>
          <w:sz w:val="22"/>
          <w:szCs w:val="22"/>
          <w:lang w:val="es-ES_tradnl"/>
        </w:rPr>
        <w:t>desde el punto de vista de un producto financiero o bancario</w:t>
      </w:r>
      <w:r w:rsidRPr="00CF1B34">
        <w:rPr>
          <w:rFonts w:ascii="Arial" w:hAnsi="Arial" w:cs="Arial"/>
          <w:sz w:val="22"/>
          <w:szCs w:val="22"/>
          <w:lang w:val="es-ES_tradnl"/>
        </w:rPr>
        <w:t>, esta gratificación hace referencia a todos los beneficios o ganancias que ofrece un activo -ya sea un </w:t>
      </w:r>
      <w:hyperlink r:id="rId327" w:history="1">
        <w:r w:rsidRPr="00CF1B34">
          <w:rPr>
            <w:rFonts w:ascii="Arial" w:hAnsi="Arial" w:cs="Arial"/>
            <w:color w:val="BD4313"/>
            <w:sz w:val="22"/>
            <w:szCs w:val="22"/>
            <w:lang w:val="es-ES_tradnl"/>
          </w:rPr>
          <w:t>fondo de inversión</w:t>
        </w:r>
      </w:hyperlink>
      <w:r w:rsidRPr="00CF1B34">
        <w:rPr>
          <w:rFonts w:ascii="Arial" w:hAnsi="Arial" w:cs="Arial"/>
          <w:sz w:val="22"/>
          <w:szCs w:val="22"/>
          <w:lang w:val="es-ES_tradnl"/>
        </w:rPr>
        <w:t>, un depósito, una cuenta de ahorros, un ahorro a largo plazo, etc.- por el hecho de haberlo contratado. Con otras palabras, el beneficio o la ganancia que reporta al inversor.</w:t>
      </w:r>
    </w:p>
    <w:p w14:paraId="3124BBE0" w14:textId="77777777" w:rsidR="005C5CA2" w:rsidRPr="00CF1B34" w:rsidRDefault="005C5CA2"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sz w:val="22"/>
          <w:szCs w:val="22"/>
          <w:lang w:val="es-ES_tradnl"/>
        </w:rPr>
        <w:t>Tipos de remuneración </w:t>
      </w:r>
    </w:p>
    <w:p w14:paraId="69483BA4" w14:textId="77777777" w:rsidR="005C5CA2" w:rsidRPr="00CF1B34" w:rsidRDefault="005C5CA2" w:rsidP="0005621A">
      <w:pPr>
        <w:spacing w:before="100" w:beforeAutospacing="1" w:after="100" w:afterAutospacing="1"/>
        <w:ind w:firstLine="708"/>
        <w:jc w:val="both"/>
        <w:outlineLvl w:val="2"/>
        <w:rPr>
          <w:rFonts w:ascii="Arial" w:hAnsi="Arial" w:cs="Arial"/>
          <w:sz w:val="22"/>
          <w:szCs w:val="22"/>
          <w:lang w:val="es-ES_tradnl"/>
        </w:rPr>
      </w:pPr>
      <w:r w:rsidRPr="00CF1B34">
        <w:rPr>
          <w:rFonts w:ascii="Arial" w:hAnsi="Arial" w:cs="Arial"/>
          <w:b/>
          <w:bCs/>
          <w:sz w:val="22"/>
          <w:szCs w:val="22"/>
          <w:lang w:val="es-ES_tradnl"/>
        </w:rPr>
        <w:t>Remuneración salarial </w:t>
      </w:r>
    </w:p>
    <w:p w14:paraId="1324F66C" w14:textId="77777777" w:rsidR="005C5CA2" w:rsidRPr="00CF1B34" w:rsidRDefault="005C5CA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Este tipo de ganancia engloba todos aquellos beneficios que recibe una persona (en este caso, el empleado) que ha sido contratada por una empresa, bien sea de forma directa o bien indirecta (trabajador por cuenta propia, autónomo o freelance), a cambio de proporcionar conocimientos, experiencias intelectuales o profesionales, y con el objetivo de hacer cumplir las expectativas y objetivos del negocio (empleador).  </w:t>
      </w:r>
    </w:p>
    <w:p w14:paraId="0C0E39AC" w14:textId="77777777" w:rsidR="005C5CA2" w:rsidRPr="00CF1B34" w:rsidRDefault="005C5CA2" w:rsidP="0005621A">
      <w:pPr>
        <w:spacing w:before="100" w:beforeAutospacing="1" w:after="100" w:afterAutospacing="1"/>
        <w:ind w:firstLine="708"/>
        <w:jc w:val="both"/>
        <w:outlineLvl w:val="2"/>
        <w:rPr>
          <w:rFonts w:ascii="Arial" w:hAnsi="Arial" w:cs="Arial"/>
          <w:sz w:val="22"/>
          <w:szCs w:val="22"/>
          <w:lang w:val="es-ES_tradnl"/>
        </w:rPr>
      </w:pPr>
      <w:r w:rsidRPr="00CF1B34">
        <w:rPr>
          <w:rFonts w:ascii="Arial" w:hAnsi="Arial" w:cs="Arial"/>
          <w:b/>
          <w:bCs/>
          <w:sz w:val="22"/>
          <w:szCs w:val="22"/>
          <w:lang w:val="es-ES_tradnl"/>
        </w:rPr>
        <w:t>Remuneración en especie </w:t>
      </w:r>
    </w:p>
    <w:p w14:paraId="18C723F3" w14:textId="77777777" w:rsidR="005C5CA2" w:rsidRPr="00CF1B34" w:rsidRDefault="005C5CA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Esta categoría incluye todos los beneficios sociales que un trabajador o empleado recibe por parte de la empresa. Así, además de recibir su nómina o retribución salarial, el empleado percibirá otros beneficios como bonos de transporte, cheques restaurante, formación, o bien un seguro de vida o de salud, o un plan de pensiones para él y su familia, a unas condiciones preferentes.</w:t>
      </w:r>
    </w:p>
    <w:p w14:paraId="2ABAD80D" w14:textId="77777777" w:rsidR="005C5CA2" w:rsidRPr="00CF1B34" w:rsidRDefault="005C5CA2"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 de este tipo de remuneración, el empleado podrá negociar con su empresa otros beneficios, como un aumento de salario cada cierto tiempo, un bonus anual, o días de vacaciones, entre otros. </w:t>
      </w:r>
    </w:p>
    <w:p w14:paraId="5CFF3C18" w14:textId="77777777" w:rsidR="005C5CA2" w:rsidRPr="00CF1B34" w:rsidRDefault="005C5CA2" w:rsidP="0005621A">
      <w:pPr>
        <w:spacing w:before="100" w:beforeAutospacing="1" w:after="100" w:afterAutospacing="1"/>
        <w:ind w:firstLine="708"/>
        <w:jc w:val="both"/>
        <w:outlineLvl w:val="2"/>
        <w:rPr>
          <w:rFonts w:ascii="Arial" w:hAnsi="Arial" w:cs="Arial"/>
          <w:sz w:val="22"/>
          <w:szCs w:val="22"/>
          <w:lang w:val="es-ES_tradnl"/>
        </w:rPr>
      </w:pPr>
      <w:r w:rsidRPr="00CF1B34">
        <w:rPr>
          <w:rFonts w:ascii="Arial" w:hAnsi="Arial" w:cs="Arial"/>
          <w:b/>
          <w:bCs/>
          <w:sz w:val="22"/>
          <w:szCs w:val="22"/>
          <w:lang w:val="es-ES_tradnl"/>
        </w:rPr>
        <w:t>Remuneración proporcional</w:t>
      </w:r>
    </w:p>
    <w:p w14:paraId="386589D8" w14:textId="77777777" w:rsidR="005C5CA2" w:rsidRPr="00CF1B34" w:rsidRDefault="005C5CA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También llamado salario a comisión, este tipo es un porcentaje que depende del beneficio que la empresa obtenga, y que se reparte de manera proporcional entre los empleados en función de su cargo, antigüedad, etc.</w:t>
      </w:r>
    </w:p>
    <w:p w14:paraId="0746042A" w14:textId="523BF4A5"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Rendimiento</w:t>
      </w:r>
    </w:p>
    <w:p w14:paraId="241A6686"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Resultado de una inversión, que comprende la suma de los intereses o dividendos obtenidos más la revalorización o depreciación experimentada por su precio en mercado. Si la depreciación es significativa puede registrarse un rendimiento negativo.</w:t>
      </w:r>
    </w:p>
    <w:p w14:paraId="121956D1" w14:textId="690BD3F9" w:rsidR="00034BAE" w:rsidRPr="00CF1B34" w:rsidRDefault="00034BA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Rendimiento explicito</w:t>
      </w:r>
    </w:p>
    <w:p w14:paraId="45773B2B" w14:textId="77777777" w:rsidR="00E94FAF" w:rsidRPr="00CF1B34" w:rsidRDefault="00E94FA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calificación que recibe la rentabilidad que ofrecen los bonos, las cedulas, o las obligaciones. Esto se hace cuando se fija un interés anual ya sea fijo o variable.</w:t>
      </w:r>
    </w:p>
    <w:p w14:paraId="219C1381" w14:textId="26F08FDB" w:rsidR="00034BAE" w:rsidRPr="00CF1B34" w:rsidRDefault="00034BAE"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Rendimiento implícito</w:t>
      </w:r>
    </w:p>
    <w:p w14:paraId="4529ECA4" w14:textId="77777777" w:rsidR="00E94FAF" w:rsidRPr="00CF1B34" w:rsidRDefault="00E94FA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aquel que se calcula por la diferencia entre el precio de compra de activo y el que se compromete a pagarme el emisor en el momento de vencimiento de ese activo. Las Letras del Tesoro y los Pagarés de Empresas tienen rendimientos implícitos.</w:t>
      </w:r>
    </w:p>
    <w:p w14:paraId="23DBDD0D" w14:textId="6532932D"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 fija</w:t>
      </w:r>
    </w:p>
    <w:p w14:paraId="647852C3" w14:textId="77777777" w:rsidR="005C5CA2" w:rsidRPr="00CF1B34" w:rsidRDefault="00A23A19" w:rsidP="0005621A">
      <w:pPr>
        <w:pStyle w:val="NormalWeb"/>
        <w:shd w:val="clear" w:color="auto" w:fill="FFFFFF"/>
        <w:spacing w:before="0" w:beforeAutospacing="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Instrumento financiero emitido por una empresa o institución pública, que representan un préstamos que la entidad recibe de los inversores. La renta fija confiere derechos </w:t>
      </w:r>
      <w:proofErr w:type="gramStart"/>
      <w:r w:rsidRPr="00CF1B34">
        <w:rPr>
          <w:rFonts w:ascii="Arial" w:hAnsi="Arial" w:cs="Arial"/>
          <w:color w:val="212529"/>
          <w:sz w:val="22"/>
          <w:szCs w:val="22"/>
          <w:lang w:val="es-ES_tradnl"/>
        </w:rPr>
        <w:t>económicos</w:t>
      </w:r>
      <w:proofErr w:type="gramEnd"/>
      <w:r w:rsidRPr="00CF1B34">
        <w:rPr>
          <w:rFonts w:ascii="Arial" w:hAnsi="Arial" w:cs="Arial"/>
          <w:color w:val="212529"/>
          <w:sz w:val="22"/>
          <w:szCs w:val="22"/>
          <w:lang w:val="es-ES_tradnl"/>
        </w:rPr>
        <w:t xml:space="preserve"> pero no políticos; el principal es el derecho a percibir los intereses pactados. Aunque tradicionalmente en la renta fija los intereses estaban establecidos de forma precisa desde la fecha de emisión hasta el vencimiento, hoy existen otras posibilidades. Es frecuente que los intereses sean variables y se encuentren referenciados a tipos de interés, como por ejemplo el Euribor, índices bursátiles o incluso la evolución de una acción o cesta de acciones. </w:t>
      </w:r>
    </w:p>
    <w:p w14:paraId="74351DC8" w14:textId="57BF6451" w:rsidR="005C5CA2" w:rsidRPr="00CF1B34" w:rsidRDefault="005C5CA2"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En comparación a otras inversiones, el riesgo asociado es bajo, ya que desde el momento en el que compramos renta fija sabemos la rentabilidad que nos va a dar.</w:t>
      </w:r>
    </w:p>
    <w:p w14:paraId="34C481EF" w14:textId="77777777" w:rsidR="005C5CA2" w:rsidRPr="00CF1B34" w:rsidRDefault="005C5CA2" w:rsidP="0005621A">
      <w:pPr>
        <w:shd w:val="clear" w:color="auto" w:fill="FFFFFF"/>
        <w:spacing w:after="100" w:afterAutospacing="1"/>
        <w:ind w:firstLine="708"/>
        <w:jc w:val="both"/>
        <w:outlineLvl w:val="1"/>
        <w:rPr>
          <w:rFonts w:ascii="Arial" w:hAnsi="Arial" w:cs="Arial"/>
          <w:color w:val="191B1C"/>
          <w:sz w:val="22"/>
          <w:szCs w:val="22"/>
          <w:lang w:val="es-ES_tradnl"/>
        </w:rPr>
      </w:pPr>
      <w:r w:rsidRPr="00CF1B34">
        <w:rPr>
          <w:rFonts w:ascii="Arial" w:hAnsi="Arial" w:cs="Arial"/>
          <w:b/>
          <w:bCs/>
          <w:color w:val="191B1C"/>
          <w:sz w:val="22"/>
          <w:szCs w:val="22"/>
          <w:lang w:val="es-ES_tradnl"/>
        </w:rPr>
        <w:t>Rentabilidad de la Renta Fija</w:t>
      </w:r>
    </w:p>
    <w:p w14:paraId="71B98676" w14:textId="77777777" w:rsidR="005C5CA2" w:rsidRPr="00CF1B34" w:rsidRDefault="005C5CA2"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Aquí debemos diferenciar entre rentabilidad de manera explícita vs rentabilidad implícito o cupón cero.</w:t>
      </w:r>
    </w:p>
    <w:p w14:paraId="7568587F" w14:textId="77777777" w:rsidR="005C5CA2" w:rsidRPr="00CF1B34" w:rsidRDefault="005C5CA2" w:rsidP="0005621A">
      <w:pPr>
        <w:shd w:val="clear" w:color="auto" w:fill="FFFFFF"/>
        <w:spacing w:after="100" w:afterAutospacing="1"/>
        <w:ind w:firstLine="708"/>
        <w:jc w:val="both"/>
        <w:outlineLvl w:val="2"/>
        <w:rPr>
          <w:rFonts w:ascii="Arial" w:hAnsi="Arial" w:cs="Arial"/>
          <w:color w:val="191B1C"/>
          <w:sz w:val="22"/>
          <w:szCs w:val="22"/>
          <w:lang w:val="es-ES_tradnl"/>
        </w:rPr>
      </w:pPr>
      <w:r w:rsidRPr="00CF1B34">
        <w:rPr>
          <w:rFonts w:ascii="Arial" w:hAnsi="Arial" w:cs="Arial"/>
          <w:b/>
          <w:bCs/>
          <w:color w:val="191B1C"/>
          <w:sz w:val="22"/>
          <w:szCs w:val="22"/>
          <w:lang w:val="es-ES_tradnl"/>
        </w:rPr>
        <w:t>Rentabilidad de la renta fija explícita</w:t>
      </w:r>
    </w:p>
    <w:p w14:paraId="3F17F540" w14:textId="77777777" w:rsidR="005C5CA2" w:rsidRPr="00CF1B34" w:rsidRDefault="005C5CA2" w:rsidP="0005621A">
      <w:pPr>
        <w:shd w:val="clear" w:color="auto" w:fill="FFFFFF"/>
        <w:spacing w:after="100" w:afterAutospacing="1"/>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Es el pago de los intereses o cupones que se realizar de manera periódica al inversor. Esta periodicidad puede ser semestral anual.</w:t>
      </w:r>
    </w:p>
    <w:p w14:paraId="15286E7F" w14:textId="77777777" w:rsidR="005C5CA2" w:rsidRPr="00CF1B34" w:rsidRDefault="005C5CA2" w:rsidP="0005621A">
      <w:pPr>
        <w:shd w:val="clear" w:color="auto" w:fill="FFFFFF"/>
        <w:spacing w:after="100" w:afterAutospacing="1"/>
        <w:ind w:firstLine="708"/>
        <w:jc w:val="both"/>
        <w:outlineLvl w:val="2"/>
        <w:rPr>
          <w:rFonts w:ascii="Arial" w:hAnsi="Arial" w:cs="Arial"/>
          <w:color w:val="191B1C"/>
          <w:sz w:val="22"/>
          <w:szCs w:val="22"/>
          <w:lang w:val="es-ES_tradnl"/>
        </w:rPr>
      </w:pPr>
      <w:r w:rsidRPr="00CF1B34">
        <w:rPr>
          <w:rFonts w:ascii="Arial" w:hAnsi="Arial" w:cs="Arial"/>
          <w:b/>
          <w:bCs/>
          <w:color w:val="191B1C"/>
          <w:sz w:val="22"/>
          <w:szCs w:val="22"/>
          <w:lang w:val="es-ES_tradnl"/>
        </w:rPr>
        <w:t>Rentabilidad de la renta fija implícita o cupón cero</w:t>
      </w:r>
    </w:p>
    <w:p w14:paraId="3E54B677" w14:textId="77777777" w:rsidR="005C5CA2" w:rsidRPr="00CF1B34" w:rsidRDefault="005C5CA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Es el pago que se realiza sacando la diferencia entre el precio que paga el inversor por un producto financiero, y el precio asignado en el momento de amortización. Por lo general, este tipo de productos tiene un pago único de intereses en el momento de la amortización.</w:t>
      </w:r>
    </w:p>
    <w:p w14:paraId="7BB14838"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 Variable</w:t>
      </w:r>
    </w:p>
    <w:p w14:paraId="5B2C7D09" w14:textId="55869BFF"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Instrumento financiero cuya rentabilidad no está definida de antemano, sino que depende de distintos factores entre los que destacan los beneficios obtenidos y las expectativas de negocio de la sociedad emisora. En general no tienen plazo de vencimiento predeterminado. Los valores de renta variable más representativos son las acciones. Ver el apartado de</w:t>
      </w:r>
      <w:r w:rsidR="008E62EC" w:rsidRPr="00CF1B34">
        <w:rPr>
          <w:rFonts w:ascii="Arial" w:hAnsi="Arial" w:cs="Arial"/>
          <w:color w:val="212529"/>
          <w:sz w:val="22"/>
          <w:szCs w:val="22"/>
          <w:lang w:val="es-ES_tradnl"/>
        </w:rPr>
        <w:t xml:space="preserve"> </w:t>
      </w:r>
      <w:hyperlink r:id="rId328" w:tgtFrame="_self" w:history="1">
        <w:r w:rsidRPr="00CF1B34">
          <w:rPr>
            <w:rFonts w:ascii="Arial" w:hAnsi="Arial" w:cs="Arial"/>
            <w:b/>
            <w:bCs/>
            <w:color w:val="2F5496" w:themeColor="accent1" w:themeShade="BF"/>
            <w:sz w:val="22"/>
            <w:szCs w:val="22"/>
            <w:lang w:val="es-ES_tradnl"/>
          </w:rPr>
          <w:t>Renta Variable</w:t>
        </w:r>
        <w:r w:rsidR="008E62EC" w:rsidRPr="00CF1B34">
          <w:rPr>
            <w:rFonts w:ascii="Arial" w:hAnsi="Arial" w:cs="Arial"/>
            <w:b/>
            <w:bCs/>
            <w:color w:val="2F5496" w:themeColor="accent1" w:themeShade="BF"/>
            <w:sz w:val="22"/>
            <w:szCs w:val="22"/>
            <w:lang w:val="es-ES_tradnl"/>
          </w:rPr>
          <w:t xml:space="preserve"> </w:t>
        </w:r>
        <w:r w:rsidRPr="00CF1B34">
          <w:rPr>
            <w:rFonts w:ascii="Arial" w:hAnsi="Arial" w:cs="Arial"/>
            <w:b/>
            <w:bCs/>
            <w:color w:val="2F5496" w:themeColor="accent1" w:themeShade="BF"/>
            <w:sz w:val="22"/>
            <w:szCs w:val="22"/>
            <w:lang w:val="es-ES_tradnl"/>
          </w:rPr>
          <w:t> </w:t>
        </w:r>
      </w:hyperlink>
      <w:r w:rsidR="008E62EC" w:rsidRPr="00CF1B34">
        <w:rPr>
          <w:rFonts w:ascii="Arial" w:hAnsi="Arial" w:cs="Arial"/>
          <w:b/>
          <w:bCs/>
          <w:color w:val="2F5496" w:themeColor="accent1" w:themeShade="BF"/>
          <w:sz w:val="22"/>
          <w:szCs w:val="22"/>
          <w:lang w:val="es-ES_tradnl"/>
        </w:rPr>
        <w:t xml:space="preserve"> </w:t>
      </w:r>
      <w:r w:rsidRPr="00CF1B34">
        <w:rPr>
          <w:rFonts w:ascii="Arial" w:hAnsi="Arial" w:cs="Arial"/>
          <w:color w:val="212529"/>
          <w:sz w:val="22"/>
          <w:szCs w:val="22"/>
          <w:lang w:val="es-ES_tradnl"/>
        </w:rPr>
        <w:t>de la Sección del Inversor.</w:t>
      </w:r>
    </w:p>
    <w:p w14:paraId="09AF3CCF" w14:textId="25398555"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Rentabilidad</w:t>
      </w:r>
    </w:p>
    <w:p w14:paraId="0BBBF43B" w14:textId="77777777" w:rsidR="00616C8F" w:rsidRPr="00CF1B34" w:rsidRDefault="00616C8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La rentabilidad expresa en porcentaje la ganancia que obtengo por la compra de un activo financiero.</w:t>
      </w:r>
    </w:p>
    <w:p w14:paraId="6480C57C" w14:textId="4E80E24A"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Rentabilidad activo totales</w:t>
      </w:r>
    </w:p>
    <w:p w14:paraId="42E27180" w14:textId="77777777" w:rsidR="0078016B" w:rsidRPr="00CF1B34" w:rsidRDefault="0078016B"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Beneficio neto respecto del activo total medio.</w:t>
      </w:r>
    </w:p>
    <w:p w14:paraId="54C5A34D" w14:textId="3B250DF9"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Rentabilidad anualizada</w:t>
      </w:r>
    </w:p>
    <w:p w14:paraId="3D16A36E"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Indica el porcentaje de beneficio o pérdida que se obtendría si el plazo de inversión de los activos fuera de un año. La anualización permite comparar el rendimiento de instrumentos financieros con distintos horizontes temporales y plazos de vencimiento. Por ejemplo, es posible expresar la revalorización o desvalorización experimentada por un fondo de inversión a lo largo de varios años en términos de rentabilidad anual, mediante la correspondiente fórmula matemática. </w:t>
      </w:r>
    </w:p>
    <w:p w14:paraId="07B8C73D" w14:textId="1DA56BD6"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Rentabilidad de los recursos propios</w:t>
      </w:r>
    </w:p>
    <w:p w14:paraId="58599E03" w14:textId="77777777" w:rsidR="00616C8F" w:rsidRPr="00CF1B34" w:rsidRDefault="00616C8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Beneficio neto respecto del activo total medio.</w:t>
      </w:r>
    </w:p>
    <w:p w14:paraId="226B2AFF" w14:textId="0CFAAD87"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Rentabilidad financiero fiscal</w:t>
      </w:r>
    </w:p>
    <w:p w14:paraId="20583061" w14:textId="77777777" w:rsidR="00616C8F" w:rsidRPr="00CF1B34" w:rsidRDefault="00616C8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Esta rentabilidad suma a la ganancia que o obtengo por invertir en su activo financiero, la repercusión que estas nuevas rentas provoca en mi situación fiscal</w:t>
      </w:r>
    </w:p>
    <w:p w14:paraId="2888805D" w14:textId="5410C48A"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Rentabilidad por dividendo</w:t>
      </w:r>
    </w:p>
    <w:p w14:paraId="17B13B9E"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Ratio que sirve para indicar la mayor o menor remuneración que recibe el inversor a través del pago de dividendos. Se calcula como el cociente entre el importe de los dividendos devengados por acción durante el año y el precio de la acción en una determinada fecha. Suele utilizarse la última cotización del año o el cambio medio del último trimestre, pero caben otras posibilidades. Es importante conocer la fecha de referencia para realizar comparaciones entre distintas compañías o en distintos ejercicios.</w:t>
      </w:r>
    </w:p>
    <w:p w14:paraId="3020FD8A" w14:textId="309C3369"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Rentabilidad real</w:t>
      </w:r>
    </w:p>
    <w:p w14:paraId="570B9E49" w14:textId="0DB513C8" w:rsidR="008127C6" w:rsidRPr="00CF1B34" w:rsidRDefault="0022275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Esta rentabilidad se halla restando la inflación restando la inflación a la rentabilidad que te ofrece el emisor</w:t>
      </w:r>
    </w:p>
    <w:p w14:paraId="7768D70C" w14:textId="48C5E0D0"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Rentas de capital</w:t>
      </w:r>
    </w:p>
    <w:p w14:paraId="484F480C" w14:textId="77777777" w:rsidR="00222759" w:rsidRPr="00CF1B34" w:rsidRDefault="0022275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 efectos fiscales son aquellas obtenidas con el capital, bien sea invertido en activos financieros o en bienes tangibles que produzcan una ganancia, de los que se obtenga una renta.</w:t>
      </w:r>
    </w:p>
    <w:p w14:paraId="0BF1A4B7" w14:textId="7EF66127"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Rentas del trabajo</w:t>
      </w:r>
    </w:p>
    <w:p w14:paraId="0862E112" w14:textId="77777777" w:rsidR="00222759" w:rsidRPr="00CF1B34" w:rsidRDefault="0022275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aquellas que se obtienen por  el trabajo del sujeto que es objeto del impuesto.</w:t>
      </w:r>
    </w:p>
    <w:p w14:paraId="009604F8" w14:textId="77BF78DB"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Rentas irregulares</w:t>
      </w:r>
    </w:p>
    <w:p w14:paraId="334543D7" w14:textId="77777777" w:rsidR="00067718" w:rsidRPr="00CF1B34" w:rsidRDefault="0006771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Son aquellas que se generan en un año, y por tanto se pagan al tipo marginal, en vez de al tipo medio.</w:t>
      </w:r>
    </w:p>
    <w:p w14:paraId="739B6EC6" w14:textId="77888F0B" w:rsidR="00C92189" w:rsidRDefault="00C92189"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Renting</w:t>
      </w:r>
    </w:p>
    <w:p w14:paraId="410EA02D" w14:textId="08346134" w:rsidR="00C92189" w:rsidRPr="00C92189" w:rsidRDefault="00C92189" w:rsidP="005621BC">
      <w:pPr>
        <w:ind w:left="708"/>
        <w:rPr>
          <w:rFonts w:ascii="Arial" w:hAnsi="Arial" w:cs="Arial"/>
          <w:sz w:val="22"/>
          <w:szCs w:val="22"/>
        </w:rPr>
      </w:pPr>
      <w:r w:rsidRPr="00C92189">
        <w:rPr>
          <w:rFonts w:ascii="Arial" w:hAnsi="Arial" w:cs="Arial"/>
          <w:color w:val="333333"/>
          <w:sz w:val="22"/>
          <w:szCs w:val="22"/>
          <w:shd w:val="clear" w:color="auto" w:fill="FFFFFF"/>
        </w:rPr>
        <w:t>El</w:t>
      </w:r>
      <w:r w:rsidRPr="005621BC">
        <w:rPr>
          <w:rFonts w:ascii="Arial" w:hAnsi="Arial" w:cs="Arial"/>
          <w:color w:val="333333"/>
          <w:sz w:val="22"/>
          <w:szCs w:val="22"/>
          <w:shd w:val="clear" w:color="auto" w:fill="FFFFFF"/>
        </w:rPr>
        <w:t xml:space="preserve"> </w:t>
      </w:r>
      <w:r w:rsidRPr="00C92189">
        <w:rPr>
          <w:rFonts w:ascii="Arial" w:hAnsi="Arial" w:cs="Arial"/>
          <w:b/>
          <w:bCs/>
          <w:color w:val="333333"/>
          <w:sz w:val="22"/>
          <w:szCs w:val="22"/>
          <w:shd w:val="clear" w:color="auto" w:fill="FFFFFF"/>
        </w:rPr>
        <w:t>renting</w:t>
      </w:r>
      <w:r w:rsidRPr="005621BC">
        <w:rPr>
          <w:rFonts w:ascii="Arial" w:hAnsi="Arial" w:cs="Arial"/>
          <w:color w:val="333333"/>
          <w:sz w:val="22"/>
          <w:szCs w:val="22"/>
          <w:shd w:val="clear" w:color="auto" w:fill="FFFFFF"/>
        </w:rPr>
        <w:t xml:space="preserve"> </w:t>
      </w:r>
      <w:r w:rsidRPr="00C92189">
        <w:rPr>
          <w:rFonts w:ascii="Arial" w:hAnsi="Arial" w:cs="Arial"/>
          <w:color w:val="333333"/>
          <w:sz w:val="22"/>
          <w:szCs w:val="22"/>
          <w:shd w:val="clear" w:color="auto" w:fill="FFFFFF"/>
        </w:rPr>
        <w:t>es un</w:t>
      </w:r>
      <w:r w:rsidRPr="005621BC">
        <w:rPr>
          <w:rFonts w:ascii="Arial" w:hAnsi="Arial" w:cs="Arial"/>
          <w:color w:val="333333"/>
          <w:sz w:val="22"/>
          <w:szCs w:val="22"/>
          <w:shd w:val="clear" w:color="auto" w:fill="FFFFFF"/>
        </w:rPr>
        <w:t xml:space="preserve"> </w:t>
      </w:r>
      <w:r w:rsidRPr="00C92189">
        <w:rPr>
          <w:rFonts w:ascii="Arial" w:hAnsi="Arial" w:cs="Arial"/>
          <w:b/>
          <w:bCs/>
          <w:color w:val="333333"/>
          <w:sz w:val="22"/>
          <w:szCs w:val="22"/>
          <w:shd w:val="clear" w:color="auto" w:fill="FFFFFF"/>
        </w:rPr>
        <w:t>contrato de alquiler de</w:t>
      </w:r>
      <w:r w:rsidRPr="005621BC">
        <w:rPr>
          <w:rFonts w:ascii="Arial" w:hAnsi="Arial" w:cs="Arial"/>
          <w:b/>
          <w:bCs/>
          <w:color w:val="333333"/>
          <w:sz w:val="22"/>
          <w:szCs w:val="22"/>
          <w:shd w:val="clear" w:color="auto" w:fill="FFFFFF"/>
        </w:rPr>
        <w:t xml:space="preserve"> bienes muebles</w:t>
      </w:r>
      <w:r w:rsidRPr="00C92189">
        <w:rPr>
          <w:rFonts w:ascii="Arial" w:hAnsi="Arial" w:cs="Arial"/>
          <w:b/>
          <w:bCs/>
          <w:color w:val="333333"/>
          <w:sz w:val="22"/>
          <w:szCs w:val="22"/>
          <w:shd w:val="clear" w:color="auto" w:fill="FFFFFF"/>
        </w:rPr>
        <w:t>,</w:t>
      </w:r>
      <w:r w:rsidRPr="005621BC">
        <w:rPr>
          <w:rFonts w:ascii="Arial" w:hAnsi="Arial" w:cs="Arial"/>
          <w:color w:val="333333"/>
          <w:sz w:val="22"/>
          <w:szCs w:val="22"/>
          <w:shd w:val="clear" w:color="auto" w:fill="FFFFFF"/>
        </w:rPr>
        <w:t xml:space="preserve"> </w:t>
      </w:r>
      <w:r w:rsidRPr="00C92189">
        <w:rPr>
          <w:rFonts w:ascii="Arial" w:hAnsi="Arial" w:cs="Arial"/>
          <w:color w:val="333333"/>
          <w:sz w:val="22"/>
          <w:szCs w:val="22"/>
          <w:shd w:val="clear" w:color="auto" w:fill="FFFFFF"/>
        </w:rPr>
        <w:t>el cual posee una</w:t>
      </w:r>
      <w:r w:rsidRPr="005621BC">
        <w:rPr>
          <w:rFonts w:ascii="Arial" w:hAnsi="Arial" w:cs="Arial"/>
          <w:color w:val="333333"/>
          <w:sz w:val="22"/>
          <w:szCs w:val="22"/>
          <w:shd w:val="clear" w:color="auto" w:fill="FFFFFF"/>
        </w:rPr>
        <w:t xml:space="preserve"> </w:t>
      </w:r>
      <w:r w:rsidRPr="00C92189">
        <w:rPr>
          <w:rFonts w:ascii="Arial" w:hAnsi="Arial" w:cs="Arial"/>
          <w:b/>
          <w:bCs/>
          <w:color w:val="333333"/>
          <w:sz w:val="22"/>
          <w:szCs w:val="22"/>
          <w:shd w:val="clear" w:color="auto" w:fill="FFFFFF"/>
        </w:rPr>
        <w:t>duración superior al año.</w:t>
      </w:r>
      <w:r w:rsidRPr="005621BC">
        <w:rPr>
          <w:rFonts w:ascii="Arial" w:hAnsi="Arial" w:cs="Arial"/>
          <w:color w:val="333333"/>
          <w:sz w:val="22"/>
          <w:szCs w:val="22"/>
          <w:shd w:val="clear" w:color="auto" w:fill="FFFFFF"/>
        </w:rPr>
        <w:t xml:space="preserve"> </w:t>
      </w:r>
      <w:r w:rsidRPr="00C92189">
        <w:rPr>
          <w:rFonts w:ascii="Arial" w:hAnsi="Arial" w:cs="Arial"/>
          <w:color w:val="333333"/>
          <w:sz w:val="22"/>
          <w:szCs w:val="22"/>
          <w:shd w:val="clear" w:color="auto" w:fill="FFFFFF"/>
        </w:rPr>
        <w:t>Se caracteriza de poseer una</w:t>
      </w:r>
      <w:r w:rsidRPr="005621BC">
        <w:rPr>
          <w:rFonts w:ascii="Arial" w:hAnsi="Arial" w:cs="Arial"/>
          <w:color w:val="333333"/>
          <w:sz w:val="22"/>
          <w:szCs w:val="22"/>
          <w:shd w:val="clear" w:color="auto" w:fill="FFFFFF"/>
        </w:rPr>
        <w:t xml:space="preserve"> </w:t>
      </w:r>
      <w:r w:rsidRPr="00C92189">
        <w:rPr>
          <w:rFonts w:ascii="Arial" w:hAnsi="Arial" w:cs="Arial"/>
          <w:b/>
          <w:bCs/>
          <w:color w:val="333333"/>
          <w:sz w:val="22"/>
          <w:szCs w:val="22"/>
          <w:shd w:val="clear" w:color="auto" w:fill="FFFFFF"/>
        </w:rPr>
        <w:t>cuota mensual, trimestral o anual fija</w:t>
      </w:r>
      <w:r w:rsidRPr="005621BC">
        <w:rPr>
          <w:rFonts w:ascii="Arial" w:hAnsi="Arial" w:cs="Arial"/>
          <w:color w:val="333333"/>
          <w:sz w:val="22"/>
          <w:szCs w:val="22"/>
          <w:shd w:val="clear" w:color="auto" w:fill="FFFFFF"/>
        </w:rPr>
        <w:t xml:space="preserve"> </w:t>
      </w:r>
      <w:r w:rsidRPr="00C92189">
        <w:rPr>
          <w:rFonts w:ascii="Arial" w:hAnsi="Arial" w:cs="Arial"/>
          <w:color w:val="333333"/>
          <w:sz w:val="22"/>
          <w:szCs w:val="22"/>
          <w:shd w:val="clear" w:color="auto" w:fill="FFFFFF"/>
        </w:rPr>
        <w:t>durante toda la duración del contrato.</w:t>
      </w:r>
    </w:p>
    <w:p w14:paraId="3BFE4214" w14:textId="77777777" w:rsidR="005621BC" w:rsidRPr="005621BC" w:rsidRDefault="005621BC" w:rsidP="005621BC">
      <w:pPr>
        <w:ind w:firstLine="708"/>
        <w:rPr>
          <w:rFonts w:ascii="Arial" w:hAnsi="Arial" w:cs="Arial"/>
          <w:color w:val="333333"/>
          <w:sz w:val="22"/>
          <w:szCs w:val="22"/>
          <w:shd w:val="clear" w:color="auto" w:fill="FFFFFF"/>
        </w:rPr>
      </w:pPr>
      <w:r w:rsidRPr="005621BC">
        <w:rPr>
          <w:rFonts w:ascii="Arial" w:hAnsi="Arial" w:cs="Arial"/>
          <w:color w:val="333333"/>
          <w:sz w:val="22"/>
          <w:szCs w:val="22"/>
          <w:shd w:val="clear" w:color="auto" w:fill="FFFFFF"/>
        </w:rPr>
        <w:t xml:space="preserve">• </w:t>
      </w:r>
      <w:r w:rsidRPr="005621BC">
        <w:rPr>
          <w:rStyle w:val="Textoennegrita"/>
          <w:rFonts w:ascii="Arial" w:hAnsi="Arial" w:cs="Arial"/>
          <w:color w:val="333333"/>
          <w:sz w:val="22"/>
          <w:szCs w:val="22"/>
          <w:shd w:val="clear" w:color="auto" w:fill="FFFFFF"/>
        </w:rPr>
        <w:t>No está restringido a empresas</w:t>
      </w:r>
      <w:r w:rsidRPr="005621BC">
        <w:rPr>
          <w:rFonts w:ascii="Arial" w:hAnsi="Arial" w:cs="Arial"/>
          <w:color w:val="333333"/>
          <w:sz w:val="22"/>
          <w:szCs w:val="22"/>
          <w:shd w:val="clear" w:color="auto" w:fill="FFFFFF"/>
        </w:rPr>
        <w:t>. Puede ser efectuado por particulares.</w:t>
      </w:r>
    </w:p>
    <w:p w14:paraId="5CCD89CE" w14:textId="77777777" w:rsidR="005621BC" w:rsidRPr="005621BC" w:rsidRDefault="005621BC" w:rsidP="005621BC">
      <w:pPr>
        <w:ind w:left="708"/>
        <w:rPr>
          <w:rFonts w:ascii="Arial" w:hAnsi="Arial" w:cs="Arial"/>
          <w:color w:val="333333"/>
          <w:sz w:val="22"/>
          <w:szCs w:val="22"/>
          <w:shd w:val="clear" w:color="auto" w:fill="FFFFFF"/>
        </w:rPr>
      </w:pPr>
      <w:r w:rsidRPr="005621BC">
        <w:rPr>
          <w:rFonts w:ascii="Arial" w:hAnsi="Arial" w:cs="Arial"/>
          <w:color w:val="333333"/>
          <w:sz w:val="22"/>
          <w:szCs w:val="22"/>
          <w:shd w:val="clear" w:color="auto" w:fill="FFFFFF"/>
        </w:rPr>
        <w:t xml:space="preserve">• La sociedad de renting –que alquila el bien mueble- lo pone a nuestra disposición, comprándolo si es necesario. Cabe aclarar que </w:t>
      </w:r>
      <w:r w:rsidRPr="005621BC">
        <w:rPr>
          <w:rStyle w:val="Textoennegrita"/>
          <w:rFonts w:ascii="Arial" w:hAnsi="Arial" w:cs="Arial"/>
          <w:color w:val="333333"/>
          <w:sz w:val="22"/>
          <w:szCs w:val="22"/>
          <w:shd w:val="clear" w:color="auto" w:fill="FFFFFF"/>
        </w:rPr>
        <w:t>la propiedad del bien es del arrendador</w:t>
      </w:r>
      <w:r w:rsidRPr="005621BC">
        <w:rPr>
          <w:rFonts w:ascii="Arial" w:hAnsi="Arial" w:cs="Arial"/>
          <w:color w:val="333333"/>
          <w:sz w:val="22"/>
          <w:szCs w:val="22"/>
          <w:shd w:val="clear" w:color="auto" w:fill="FFFFFF"/>
        </w:rPr>
        <w:t xml:space="preserve"> y no el arrendatario.</w:t>
      </w:r>
    </w:p>
    <w:p w14:paraId="4AA18C68" w14:textId="77777777" w:rsidR="005621BC" w:rsidRPr="005621BC" w:rsidRDefault="005621BC" w:rsidP="005621BC">
      <w:pPr>
        <w:ind w:firstLine="708"/>
        <w:rPr>
          <w:rFonts w:ascii="Arial" w:hAnsi="Arial" w:cs="Arial"/>
          <w:color w:val="333333"/>
          <w:sz w:val="22"/>
          <w:szCs w:val="22"/>
          <w:shd w:val="clear" w:color="auto" w:fill="FFFFFF"/>
        </w:rPr>
      </w:pPr>
      <w:r w:rsidRPr="005621BC">
        <w:rPr>
          <w:rFonts w:ascii="Arial" w:hAnsi="Arial" w:cs="Arial"/>
          <w:color w:val="333333"/>
          <w:sz w:val="22"/>
          <w:szCs w:val="22"/>
          <w:shd w:val="clear" w:color="auto" w:fill="FFFFFF"/>
        </w:rPr>
        <w:t xml:space="preserve">• Son </w:t>
      </w:r>
      <w:r w:rsidRPr="005621BC">
        <w:rPr>
          <w:rStyle w:val="Textoennegrita"/>
          <w:rFonts w:ascii="Arial" w:hAnsi="Arial" w:cs="Arial"/>
          <w:color w:val="333333"/>
          <w:sz w:val="22"/>
          <w:szCs w:val="22"/>
          <w:shd w:val="clear" w:color="auto" w:fill="FFFFFF"/>
        </w:rPr>
        <w:t>contratos libres</w:t>
      </w:r>
      <w:r w:rsidRPr="005621BC">
        <w:rPr>
          <w:rFonts w:ascii="Arial" w:hAnsi="Arial" w:cs="Arial"/>
          <w:color w:val="333333"/>
          <w:sz w:val="22"/>
          <w:szCs w:val="22"/>
          <w:shd w:val="clear" w:color="auto" w:fill="FFFFFF"/>
        </w:rPr>
        <w:t>, siempre que respeten las normas principales de la nación.</w:t>
      </w:r>
    </w:p>
    <w:p w14:paraId="23B1F193" w14:textId="53D1206F" w:rsidR="005621BC" w:rsidRPr="005621BC" w:rsidRDefault="005621BC" w:rsidP="005621BC">
      <w:pPr>
        <w:ind w:left="708"/>
        <w:rPr>
          <w:rFonts w:ascii="Arial" w:hAnsi="Arial" w:cs="Arial"/>
          <w:sz w:val="22"/>
          <w:szCs w:val="22"/>
        </w:rPr>
      </w:pPr>
      <w:r w:rsidRPr="005621BC">
        <w:rPr>
          <w:rFonts w:ascii="Arial" w:hAnsi="Arial" w:cs="Arial"/>
          <w:color w:val="333333"/>
          <w:sz w:val="22"/>
          <w:szCs w:val="22"/>
          <w:shd w:val="clear" w:color="auto" w:fill="FFFFFF"/>
        </w:rPr>
        <w:t xml:space="preserve">• A diferencia del leasing (alquiler con opción de compra), </w:t>
      </w:r>
      <w:r w:rsidRPr="005621BC">
        <w:rPr>
          <w:rStyle w:val="Textoennegrita"/>
          <w:rFonts w:ascii="Arial" w:hAnsi="Arial" w:cs="Arial"/>
          <w:color w:val="333333"/>
          <w:sz w:val="22"/>
          <w:szCs w:val="22"/>
          <w:shd w:val="clear" w:color="auto" w:fill="FFFFFF"/>
        </w:rPr>
        <w:t>no se contempla la opción de compra</w:t>
      </w:r>
    </w:p>
    <w:p w14:paraId="0710CA00" w14:textId="77777777" w:rsidR="005621BC" w:rsidRPr="00CF1B34" w:rsidRDefault="005621BC" w:rsidP="005621BC">
      <w:pPr>
        <w:pBdr>
          <w:bottom w:val="dotted" w:sz="12" w:space="12" w:color="666666"/>
        </w:pBdr>
        <w:spacing w:after="240"/>
        <w:ind w:left="720"/>
        <w:jc w:val="both"/>
        <w:rPr>
          <w:rFonts w:ascii="Arial" w:hAnsi="Arial" w:cs="Arial"/>
          <w:color w:val="212529"/>
          <w:sz w:val="22"/>
          <w:szCs w:val="22"/>
          <w:lang w:val="es-ES_tradnl"/>
        </w:rPr>
      </w:pPr>
      <w:r w:rsidRPr="005621BC">
        <w:rPr>
          <w:rFonts w:ascii="Arial" w:hAnsi="Arial" w:cs="Arial"/>
          <w:color w:val="333333"/>
          <w:sz w:val="22"/>
          <w:szCs w:val="22"/>
          <w:shd w:val="clear" w:color="auto" w:fill="FFFFFF"/>
        </w:rPr>
        <w:t>Los contratos de renting son llevados a cabo principalmente sobre vehículos</w:t>
      </w:r>
      <w:r w:rsidRPr="005621BC">
        <w:rPr>
          <w:rStyle w:val="Textoennegrita"/>
          <w:rFonts w:ascii="Arial" w:hAnsi="Arial" w:cs="Arial"/>
          <w:color w:val="333333"/>
          <w:sz w:val="22"/>
          <w:szCs w:val="22"/>
          <w:shd w:val="clear" w:color="auto" w:fill="FFFFFF"/>
        </w:rPr>
        <w:t>,</w:t>
      </w:r>
      <w:r w:rsidRPr="005621BC">
        <w:rPr>
          <w:rFonts w:ascii="Arial" w:hAnsi="Arial" w:cs="Arial"/>
          <w:color w:val="333333"/>
          <w:sz w:val="22"/>
          <w:szCs w:val="22"/>
          <w:shd w:val="clear" w:color="auto" w:fill="FFFFFF"/>
        </w:rPr>
        <w:t xml:space="preserve"> equipos informáticos y maquinaria.</w:t>
      </w:r>
    </w:p>
    <w:p w14:paraId="0548C8FC" w14:textId="0D739DE1"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REPO</w:t>
      </w:r>
    </w:p>
    <w:p w14:paraId="545321F2" w14:textId="2A1B7E64"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con pacto de recompra que se realiza en general sobre valores de Deuda pública. Consiste en una venta en la que ambas partes (comprador y vendedor) se comprometen a deshacer la operación en una fecha futura y a un precio fijado de antemano. Todo el proceso se formaliza en un único contrato.</w:t>
      </w:r>
      <w:r w:rsidR="003E6CC0" w:rsidRPr="00CF1B34">
        <w:rPr>
          <w:rFonts w:ascii="Arial" w:hAnsi="Arial" w:cs="Arial"/>
          <w:color w:val="212529"/>
          <w:sz w:val="22"/>
          <w:szCs w:val="22"/>
          <w:lang w:val="es-ES_tradnl"/>
        </w:rPr>
        <w:t xml:space="preserve"> </w:t>
      </w:r>
      <w:proofErr w:type="gramStart"/>
      <w:r w:rsidR="003E6CC0" w:rsidRPr="00CF1B34">
        <w:rPr>
          <w:rFonts w:ascii="Arial" w:hAnsi="Arial" w:cs="Arial"/>
          <w:color w:val="212529"/>
          <w:sz w:val="22"/>
          <w:szCs w:val="22"/>
          <w:lang w:val="es-ES_tradnl"/>
        </w:rPr>
        <w:t xml:space="preserve">En </w:t>
      </w:r>
      <w:r w:rsidR="00C92189">
        <w:rPr>
          <w:rFonts w:ascii="Arial" w:hAnsi="Arial" w:cs="Arial"/>
          <w:color w:val="212529"/>
          <w:sz w:val="22"/>
          <w:szCs w:val="22"/>
          <w:lang w:val="es-ES_tradnl"/>
        </w:rPr>
        <w:t>,</w:t>
      </w:r>
      <w:proofErr w:type="gramEnd"/>
      <w:r w:rsidR="003E6CC0" w:rsidRPr="00CF1B34">
        <w:rPr>
          <w:rFonts w:ascii="Arial" w:hAnsi="Arial" w:cs="Arial"/>
          <w:color w:val="212529"/>
          <w:sz w:val="22"/>
          <w:szCs w:val="22"/>
          <w:lang w:val="es-ES_tradnl"/>
        </w:rPr>
        <w:t xml:space="preserve"> son activos a corto plazo con pacto de recompra.</w:t>
      </w:r>
    </w:p>
    <w:p w14:paraId="4E93770D" w14:textId="1D77A6B1" w:rsidR="005C5CA2"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Report</w:t>
      </w:r>
    </w:p>
    <w:p w14:paraId="4E314780" w14:textId="77777777" w:rsidR="003E6CC0" w:rsidRPr="00CF1B34" w:rsidRDefault="003E6CC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Suma que debe pagar el comprador en un mercado a plazo para “doblar” su posición en el siguiente mes bursátil.</w:t>
      </w:r>
    </w:p>
    <w:p w14:paraId="5797F99F" w14:textId="30255AD6" w:rsidR="009A02A7" w:rsidRPr="00CF1B34" w:rsidRDefault="009A02A7"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Reserva</w:t>
      </w:r>
    </w:p>
    <w:p w14:paraId="6AE3B869" w14:textId="77777777" w:rsidR="00502A54" w:rsidRPr="00CF1B34" w:rsidRDefault="009A02A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Parte del patrimonio de una empresa que con carácter legal estatutario o voluntario, se constituye mediante la detracción de utilidades </w:t>
      </w:r>
      <w:r w:rsidR="00502A54" w:rsidRPr="00CF1B34">
        <w:rPr>
          <w:rFonts w:ascii="Arial" w:hAnsi="Arial" w:cs="Arial"/>
          <w:color w:val="000000" w:themeColor="text1"/>
          <w:sz w:val="22"/>
          <w:szCs w:val="22"/>
          <w:lang w:val="es-ES_tradnl"/>
        </w:rPr>
        <w:t xml:space="preserve"> no distribuidas.</w:t>
      </w:r>
    </w:p>
    <w:p w14:paraId="3D267E3E" w14:textId="43A94356" w:rsidR="00502A54" w:rsidRPr="00CF1B34" w:rsidRDefault="00502A5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Reservas Bancarias Excedentes</w:t>
      </w:r>
    </w:p>
    <w:p w14:paraId="49724381" w14:textId="77777777" w:rsidR="00502A54" w:rsidRPr="00CF1B34" w:rsidRDefault="00502A5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Diferencia entre las reservas mantenidas por los bancos y las reservas requeridas por la Ley (encaje legal)</w:t>
      </w:r>
    </w:p>
    <w:p w14:paraId="3F94863A" w14:textId="1EAFB3A8" w:rsidR="00502A54" w:rsidRPr="00CF1B34" w:rsidRDefault="00502A5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Reservas internacionales</w:t>
      </w:r>
    </w:p>
    <w:p w14:paraId="3287BF70" w14:textId="77777777" w:rsidR="00357026" w:rsidRPr="00CF1B34" w:rsidRDefault="00502A5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sz w:val="22"/>
          <w:szCs w:val="22"/>
          <w:shd w:val="clear" w:color="auto" w:fill="FFFFFF"/>
          <w:lang w:val="es-ES_tradnl"/>
        </w:rPr>
        <w:t>Conjunto de activos financieros sobre el exterior en poder o bajo el control de las autoridades monetarias, las cuales están a su disposición para atender desequilibrios de la balanza de pagos. Estos activos constituidos principalmente por oro, divisas, derechos especiales de giro, depósitos en bancos extranjeros y posición ante el Fondo Monetario Internacional, están a disposición de dichas autoridades para servir como medios de pago de las transacciones corrientes y financieras que realiza el país con el resto del mundo, y a la vez para respaldar el valor interno y externo de la moneda nacional.</w:t>
      </w:r>
      <w:r w:rsidRPr="00CF1B34">
        <w:rPr>
          <w:rFonts w:ascii="Arial" w:hAnsi="Arial" w:cs="Arial"/>
          <w:color w:val="000000"/>
          <w:sz w:val="26"/>
          <w:szCs w:val="26"/>
          <w:shd w:val="clear" w:color="auto" w:fill="FFFFFF"/>
          <w:lang w:val="es-ES_tradnl"/>
        </w:rPr>
        <w:t xml:space="preserve"> </w:t>
      </w:r>
    </w:p>
    <w:p w14:paraId="19114F25" w14:textId="1FF2036B" w:rsidR="009A630A" w:rsidRDefault="009A630A" w:rsidP="0005621A">
      <w:pPr>
        <w:jc w:val="both"/>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Resistencia</w:t>
      </w:r>
    </w:p>
    <w:p w14:paraId="339D9189" w14:textId="313F576C" w:rsidR="009A630A" w:rsidRPr="007F52A8" w:rsidRDefault="009A630A" w:rsidP="004F7A62">
      <w:pPr>
        <w:pStyle w:val="Prrafodelista"/>
        <w:numPr>
          <w:ilvl w:val="0"/>
          <w:numId w:val="20"/>
        </w:numPr>
        <w:rPr>
          <w:rFonts w:ascii="Arial" w:hAnsi="Arial" w:cs="Arial"/>
          <w:color w:val="000000" w:themeColor="text1"/>
          <w:sz w:val="22"/>
          <w:szCs w:val="22"/>
        </w:rPr>
      </w:pPr>
      <w:r w:rsidRPr="007F52A8">
        <w:rPr>
          <w:rFonts w:ascii="Arial" w:hAnsi="Arial" w:cs="Arial"/>
          <w:color w:val="000000" w:themeColor="text1"/>
          <w:sz w:val="22"/>
          <w:szCs w:val="22"/>
          <w:shd w:val="clear" w:color="auto" w:fill="FFFFFF"/>
        </w:rPr>
        <w:lastRenderedPageBreak/>
        <w:t>En el contexto del trading y los mercados financieros, la resistencia se refiere a un</w:t>
      </w:r>
      <w:r w:rsidR="007F52A8" w:rsidRPr="007F52A8">
        <w:rPr>
          <w:rFonts w:ascii="Arial" w:hAnsi="Arial" w:cs="Arial"/>
          <w:color w:val="000000" w:themeColor="text1"/>
          <w:sz w:val="22"/>
          <w:szCs w:val="22"/>
          <w:shd w:val="clear" w:color="auto" w:fill="FFFFFF"/>
        </w:rPr>
        <w:t xml:space="preserve"> </w:t>
      </w:r>
      <w:r w:rsidRPr="007F52A8">
        <w:rPr>
          <w:rFonts w:ascii="Arial" w:hAnsi="Arial" w:cs="Arial"/>
          <w:color w:val="000000" w:themeColor="text1"/>
          <w:sz w:val="22"/>
          <w:szCs w:val="22"/>
        </w:rPr>
        <w:t>nivel de precio en el que se espera que la oferta de un activo sea lo suficientemente fuerte como para evitar o dificultar su aumento adicional</w:t>
      </w:r>
      <w:r w:rsidR="007F52A8" w:rsidRPr="007F52A8">
        <w:rPr>
          <w:rFonts w:ascii="Arial" w:hAnsi="Arial" w:cs="Arial"/>
          <w:color w:val="000000" w:themeColor="text1"/>
          <w:sz w:val="22"/>
          <w:szCs w:val="22"/>
        </w:rPr>
        <w:t>.</w:t>
      </w:r>
    </w:p>
    <w:p w14:paraId="2BB2EE84" w14:textId="6B941972" w:rsidR="007F52A8" w:rsidRPr="007F52A8" w:rsidRDefault="007F52A8" w:rsidP="004F7A62">
      <w:pPr>
        <w:pStyle w:val="Prrafodelista"/>
        <w:numPr>
          <w:ilvl w:val="0"/>
          <w:numId w:val="20"/>
        </w:numPr>
        <w:rPr>
          <w:rFonts w:ascii="Arial" w:hAnsi="Arial" w:cs="Arial"/>
          <w:color w:val="000000" w:themeColor="text1"/>
          <w:sz w:val="22"/>
          <w:szCs w:val="22"/>
        </w:rPr>
      </w:pPr>
      <w:r w:rsidRPr="007F52A8">
        <w:rPr>
          <w:rFonts w:ascii="Arial" w:hAnsi="Arial" w:cs="Arial"/>
          <w:color w:val="000000" w:themeColor="text1"/>
          <w:sz w:val="22"/>
          <w:szCs w:val="22"/>
        </w:rPr>
        <w:t>La supervisión bancaria europea utiliza las pruebas de resistencia para evaluar la capacidad de resistencia de las entidades de crédito frente a las perturbaciones financieras y económicas. Los resultados de estas pruebas ayudan a los supervisores a identificar vulnerabilidades y abordarlas en una fase temprana en el marco del diálogo con las entidades de crédito.</w:t>
      </w:r>
    </w:p>
    <w:p w14:paraId="1AF51A08" w14:textId="77777777" w:rsidR="007F52A8" w:rsidRPr="007F52A8" w:rsidRDefault="007F52A8" w:rsidP="007F52A8">
      <w:pPr>
        <w:ind w:firstLine="708"/>
        <w:rPr>
          <w:rFonts w:ascii="Arial" w:hAnsi="Arial" w:cs="Arial"/>
          <w:sz w:val="22"/>
          <w:szCs w:val="22"/>
        </w:rPr>
      </w:pPr>
      <w:r w:rsidRPr="007F52A8">
        <w:rPr>
          <w:rFonts w:ascii="Arial" w:hAnsi="Arial" w:cs="Arial"/>
          <w:sz w:val="22"/>
          <w:szCs w:val="22"/>
        </w:rPr>
        <w:t>El BCE lleva a cabo varios tipos de pruebas de resistencia:</w:t>
      </w:r>
    </w:p>
    <w:p w14:paraId="47F46BDD" w14:textId="77777777" w:rsidR="007F52A8" w:rsidRPr="007F52A8" w:rsidRDefault="007F52A8" w:rsidP="004F7A62">
      <w:pPr>
        <w:numPr>
          <w:ilvl w:val="0"/>
          <w:numId w:val="267"/>
        </w:numPr>
        <w:spacing w:line="450" w:lineRule="atLeast"/>
        <w:textAlignment w:val="baseline"/>
        <w:rPr>
          <w:rFonts w:ascii="Arial" w:hAnsi="Arial" w:cs="Arial"/>
          <w:color w:val="000000" w:themeColor="text1"/>
          <w:sz w:val="22"/>
          <w:szCs w:val="22"/>
        </w:rPr>
      </w:pPr>
      <w:r w:rsidRPr="007F52A8">
        <w:rPr>
          <w:rFonts w:ascii="Arial" w:hAnsi="Arial" w:cs="Arial"/>
          <w:color w:val="000000" w:themeColor="text1"/>
          <w:sz w:val="22"/>
          <w:szCs w:val="22"/>
        </w:rPr>
        <w:t>Pruebas de resistencia anuales</w:t>
      </w:r>
    </w:p>
    <w:p w14:paraId="06DAD7A7" w14:textId="0E093560" w:rsidR="007F52A8" w:rsidRPr="007F52A8" w:rsidRDefault="007F52A8" w:rsidP="004F7A62">
      <w:pPr>
        <w:numPr>
          <w:ilvl w:val="1"/>
          <w:numId w:val="267"/>
        </w:numPr>
        <w:spacing w:line="450" w:lineRule="atLeast"/>
        <w:textAlignment w:val="baseline"/>
        <w:rPr>
          <w:rFonts w:ascii="Arial" w:hAnsi="Arial" w:cs="Arial"/>
          <w:color w:val="000000" w:themeColor="text1"/>
          <w:sz w:val="22"/>
          <w:szCs w:val="22"/>
        </w:rPr>
      </w:pPr>
      <w:r w:rsidRPr="007F52A8">
        <w:rPr>
          <w:rFonts w:ascii="Arial" w:hAnsi="Arial" w:cs="Arial"/>
          <w:color w:val="000000" w:themeColor="text1"/>
          <w:sz w:val="22"/>
          <w:szCs w:val="22"/>
        </w:rPr>
        <w:t>Pruebas de resistencia a escala de la UE coordinadas por la Autoridad Bancaria Europea (ABE), complementadas por las pruebas de resistencia del BCE en el contexto del</w:t>
      </w:r>
      <w:r>
        <w:rPr>
          <w:rFonts w:ascii="Arial" w:hAnsi="Arial" w:cs="Arial"/>
          <w:color w:val="000000" w:themeColor="text1"/>
          <w:sz w:val="22"/>
          <w:szCs w:val="22"/>
        </w:rPr>
        <w:t xml:space="preserve"> proceso de revisión y evaluación supervisora </w:t>
      </w:r>
      <w:r w:rsidRPr="007F52A8">
        <w:rPr>
          <w:rFonts w:ascii="Arial" w:hAnsi="Arial" w:cs="Arial"/>
          <w:color w:val="000000" w:themeColor="text1"/>
          <w:sz w:val="22"/>
          <w:szCs w:val="22"/>
        </w:rPr>
        <w:t>(PRES)</w:t>
      </w:r>
    </w:p>
    <w:p w14:paraId="148FD765" w14:textId="77777777" w:rsidR="007F52A8" w:rsidRPr="007F52A8" w:rsidRDefault="007F52A8" w:rsidP="004F7A62">
      <w:pPr>
        <w:numPr>
          <w:ilvl w:val="1"/>
          <w:numId w:val="267"/>
        </w:numPr>
        <w:spacing w:line="450" w:lineRule="atLeast"/>
        <w:textAlignment w:val="baseline"/>
        <w:rPr>
          <w:rFonts w:ascii="Arial" w:hAnsi="Arial" w:cs="Arial"/>
          <w:color w:val="000000" w:themeColor="text1"/>
          <w:sz w:val="22"/>
          <w:szCs w:val="22"/>
        </w:rPr>
      </w:pPr>
      <w:r w:rsidRPr="007F52A8">
        <w:rPr>
          <w:rFonts w:ascii="Arial" w:hAnsi="Arial" w:cs="Arial"/>
          <w:color w:val="000000" w:themeColor="text1"/>
          <w:sz w:val="22"/>
          <w:szCs w:val="22"/>
        </w:rPr>
        <w:t>Pruebas de resistencia temáticas</w:t>
      </w:r>
    </w:p>
    <w:p w14:paraId="6D46FA3B" w14:textId="77777777" w:rsidR="007F52A8" w:rsidRPr="007F52A8" w:rsidRDefault="007F52A8" w:rsidP="004F7A62">
      <w:pPr>
        <w:numPr>
          <w:ilvl w:val="1"/>
          <w:numId w:val="267"/>
        </w:numPr>
        <w:spacing w:line="450" w:lineRule="atLeast"/>
        <w:textAlignment w:val="baseline"/>
        <w:rPr>
          <w:rFonts w:ascii="Arial" w:hAnsi="Arial" w:cs="Arial"/>
          <w:color w:val="000000" w:themeColor="text1"/>
          <w:sz w:val="22"/>
          <w:szCs w:val="22"/>
        </w:rPr>
      </w:pPr>
      <w:r w:rsidRPr="007F52A8">
        <w:rPr>
          <w:rFonts w:ascii="Arial" w:hAnsi="Arial" w:cs="Arial"/>
          <w:color w:val="000000" w:themeColor="text1"/>
          <w:sz w:val="22"/>
          <w:szCs w:val="22"/>
        </w:rPr>
        <w:t>Análisis prospectivos de la vulnerabilidad</w:t>
      </w:r>
    </w:p>
    <w:p w14:paraId="56FAA0A5" w14:textId="5D8E02F7" w:rsidR="007F52A8" w:rsidRDefault="007F52A8" w:rsidP="004F7A62">
      <w:pPr>
        <w:numPr>
          <w:ilvl w:val="0"/>
          <w:numId w:val="267"/>
        </w:numPr>
        <w:spacing w:line="450" w:lineRule="atLeast"/>
        <w:textAlignment w:val="baseline"/>
        <w:rPr>
          <w:rFonts w:ascii="Arial" w:hAnsi="Arial" w:cs="Arial"/>
          <w:color w:val="000000" w:themeColor="text1"/>
          <w:sz w:val="22"/>
          <w:szCs w:val="22"/>
        </w:rPr>
      </w:pPr>
      <w:r w:rsidRPr="007F52A8">
        <w:rPr>
          <w:rFonts w:ascii="Arial" w:hAnsi="Arial" w:cs="Arial"/>
          <w:color w:val="000000" w:themeColor="text1"/>
          <w:sz w:val="22"/>
          <w:szCs w:val="22"/>
        </w:rPr>
        <w:t>Pruebas de resistencia en el marco de las</w:t>
      </w:r>
      <w:r>
        <w:rPr>
          <w:rFonts w:ascii="Arial" w:hAnsi="Arial" w:cs="Arial"/>
          <w:color w:val="000000" w:themeColor="text1"/>
          <w:sz w:val="22"/>
          <w:szCs w:val="22"/>
        </w:rPr>
        <w:t xml:space="preserve"> evaluaciones globales</w:t>
      </w:r>
      <w:r w:rsidRPr="007F52A8">
        <w:rPr>
          <w:rFonts w:ascii="Arial" w:hAnsi="Arial" w:cs="Arial"/>
          <w:color w:val="000000" w:themeColor="text1"/>
          <w:sz w:val="22"/>
          <w:szCs w:val="22"/>
        </w:rPr>
        <w:t xml:space="preserve"> </w:t>
      </w:r>
    </w:p>
    <w:p w14:paraId="2C14B757" w14:textId="0C37D6E5" w:rsidR="007F52A8" w:rsidRPr="007F52A8" w:rsidRDefault="007F52A8" w:rsidP="004F7A62">
      <w:pPr>
        <w:numPr>
          <w:ilvl w:val="0"/>
          <w:numId w:val="267"/>
        </w:numPr>
        <w:spacing w:line="450" w:lineRule="atLeast"/>
        <w:textAlignment w:val="baseline"/>
        <w:rPr>
          <w:rFonts w:ascii="Arial" w:hAnsi="Arial" w:cs="Arial"/>
          <w:color w:val="000000" w:themeColor="text1"/>
          <w:sz w:val="22"/>
          <w:szCs w:val="22"/>
        </w:rPr>
      </w:pPr>
      <w:r w:rsidRPr="007F52A8">
        <w:t>Pruebas de resistencia con fines macroprudenciales (centradas en la estabilidad financiera y en los efectos sistémicos en lugar de en entidades de crédito individuales</w:t>
      </w:r>
      <w:r>
        <w:t>)</w:t>
      </w:r>
    </w:p>
    <w:p w14:paraId="0463E1C2" w14:textId="77777777" w:rsidR="007F52A8" w:rsidRPr="00CF1B34" w:rsidRDefault="007F52A8" w:rsidP="007F52A8">
      <w:pPr>
        <w:pBdr>
          <w:bottom w:val="dotted" w:sz="12" w:space="12" w:color="666666"/>
        </w:pBdr>
        <w:spacing w:after="240"/>
        <w:ind w:left="720"/>
        <w:jc w:val="both"/>
        <w:rPr>
          <w:rFonts w:ascii="Arial" w:hAnsi="Arial" w:cs="Arial"/>
          <w:color w:val="212529"/>
          <w:sz w:val="22"/>
          <w:szCs w:val="22"/>
          <w:lang w:val="es-ES_tradnl"/>
        </w:rPr>
      </w:pPr>
      <w:r w:rsidRPr="007F52A8">
        <w:rPr>
          <w:rFonts w:ascii="Arial" w:hAnsi="Arial" w:cs="Arial"/>
          <w:color w:val="000000" w:themeColor="text1"/>
          <w:sz w:val="22"/>
          <w:szCs w:val="22"/>
        </w:rPr>
        <w:t>También pueden realizarse pruebas de resistencia específicas de entidades o grupos bancarios concretos.</w:t>
      </w:r>
    </w:p>
    <w:p w14:paraId="745848FF" w14:textId="5F9F4C59" w:rsidR="00952D89" w:rsidRPr="00CF1B34" w:rsidRDefault="00952D89" w:rsidP="0005621A">
      <w:pPr>
        <w:jc w:val="both"/>
        <w:rPr>
          <w:rFonts w:ascii="Arial" w:hAnsi="Arial" w:cs="Arial"/>
          <w:b/>
          <w:bCs/>
          <w:color w:val="004773"/>
          <w:sz w:val="22"/>
          <w:szCs w:val="22"/>
          <w:lang w:val="es-ES_tradnl"/>
        </w:rPr>
      </w:pPr>
      <w:r w:rsidRPr="00CF1B34">
        <w:rPr>
          <w:rFonts w:ascii="Arial" w:hAnsi="Arial" w:cs="Arial"/>
          <w:b/>
          <w:bCs/>
          <w:color w:val="2F5496" w:themeColor="accent1" w:themeShade="BF"/>
          <w:sz w:val="22"/>
          <w:szCs w:val="22"/>
          <w:lang w:val="es-ES_tradnl"/>
        </w:rPr>
        <w:t>Responsabilidad hipotecaria</w:t>
      </w:r>
    </w:p>
    <w:p w14:paraId="79F55180" w14:textId="77777777"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w:t>
      </w:r>
      <w:r w:rsidRPr="00CF1B34">
        <w:rPr>
          <w:rFonts w:ascii="Arial" w:hAnsi="Arial" w:cs="Arial"/>
          <w:b/>
          <w:bCs/>
          <w:sz w:val="22"/>
          <w:szCs w:val="22"/>
          <w:lang w:val="es-ES_tradnl"/>
        </w:rPr>
        <w:t>responsabilidad hipotecaria</w:t>
      </w:r>
      <w:r w:rsidRPr="00CF1B34">
        <w:rPr>
          <w:rFonts w:ascii="Arial" w:hAnsi="Arial" w:cs="Arial"/>
          <w:sz w:val="22"/>
          <w:szCs w:val="22"/>
          <w:lang w:val="es-ES_tradnl"/>
        </w:rPr>
        <w:t> es la cantidad máxima a la que debe hacer frente quien contrae una hipoteca. Esta cantidad se obtiene sumando todos los conceptos dinerarios que implica el préstamo: el capital (es decir, la cantidad o importe del préstamo); el total de intereses ordinarios y de demora; y las costas y gastos de ejecución (no más de un 5% del capital).</w:t>
      </w:r>
    </w:p>
    <w:p w14:paraId="4C7E9378" w14:textId="74F30972"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responsabilidad hipotecaria es en</w:t>
      </w:r>
      <w:r w:rsidR="007F52A8">
        <w:rPr>
          <w:rFonts w:ascii="Arial" w:hAnsi="Arial" w:cs="Arial"/>
          <w:sz w:val="22"/>
          <w:szCs w:val="22"/>
          <w:lang w:val="es-ES_tradnl"/>
        </w:rPr>
        <w:t xml:space="preserve"> </w:t>
      </w:r>
      <w:r w:rsidRPr="00CF1B34">
        <w:rPr>
          <w:rFonts w:ascii="Arial" w:hAnsi="Arial" w:cs="Arial"/>
          <w:sz w:val="22"/>
          <w:szCs w:val="22"/>
          <w:lang w:val="es-ES_tradnl"/>
        </w:rPr>
        <w:t>realidad un término bastante desconocido, pese a ser un elemento importante a la hora de</w:t>
      </w:r>
      <w:r w:rsidR="008A6622" w:rsidRPr="00CF1B34">
        <w:rPr>
          <w:rFonts w:ascii="Arial" w:hAnsi="Arial" w:cs="Arial"/>
          <w:sz w:val="22"/>
          <w:szCs w:val="22"/>
          <w:lang w:val="es-ES_tradnl"/>
        </w:rPr>
        <w:t xml:space="preserve"> </w:t>
      </w:r>
      <w:hyperlink r:id="rId329" w:history="1">
        <w:r w:rsidRPr="00CF1B34">
          <w:rPr>
            <w:rFonts w:ascii="Arial" w:hAnsi="Arial" w:cs="Arial"/>
            <w:color w:val="BD4313"/>
            <w:sz w:val="22"/>
            <w:szCs w:val="22"/>
            <w:u w:val="single"/>
            <w:lang w:val="es-ES_tradnl"/>
          </w:rPr>
          <w:t>solicitar una hipoteca</w:t>
        </w:r>
      </w:hyperlink>
      <w:r w:rsidRPr="00CF1B34">
        <w:rPr>
          <w:rFonts w:ascii="Arial" w:hAnsi="Arial" w:cs="Arial"/>
          <w:sz w:val="22"/>
          <w:szCs w:val="22"/>
          <w:lang w:val="es-ES_tradnl"/>
        </w:rPr>
        <w:t>: básicamente se utiliza como fuente de información a acreedores, a bancos y entidades de crédito, que podrán conocer la cantidad a exigir al deudor. También supone la cantidad a la que debería hacer frente un tercero (en caso de existir un avalista, por ejemplo) en caso de que el deudor no saldase la deuda. También es útil si por ejemplo tenemos un deudor y estamos valorando si embargarle el inmueble o no.</w:t>
      </w:r>
    </w:p>
    <w:p w14:paraId="2EEC37A4" w14:textId="77777777"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 es una cantidad que se tiene en cuenta por ejemplo a la hora de calcular el Impuesto de Actos Jurídicos Documentados (IAJD), y los costes del notario y el registro: cuanto menor sea la responsabilidad hipotecaria, menores serán estos costes.</w:t>
      </w:r>
    </w:p>
    <w:p w14:paraId="371F4846" w14:textId="77777777"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En definitiva,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pese a ser un concepto que en general nunca tenemos en cuenta cuando leemos las condiciones de una hipoteca, es un elemento bastante importante, de hecho regulado bajo el título de principio de responsabilidad personal e ilimitada del artículo 1911 de nuestro Código Civil.</w:t>
      </w:r>
    </w:p>
    <w:p w14:paraId="46247A06" w14:textId="77777777" w:rsidR="00952D89" w:rsidRPr="00CF1B34" w:rsidRDefault="00952D89"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La responsabilidad hipotecaria, ¿limita las responsabilidades?</w:t>
      </w:r>
    </w:p>
    <w:p w14:paraId="006A14CC" w14:textId="77777777"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La responsabilidad hipotecaria no limita las responsabilidades del deudor. Simplemente establece el máximo de deuda que el cliente ha contraído, pero su responsabilidad para saldarla es total e ilimitada. Esto quiere decir que tendrá que responder con sus propios bienes presentes y futuros, independientemente del importe.</w:t>
      </w:r>
    </w:p>
    <w:p w14:paraId="00AC76B5" w14:textId="77777777"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responsabilidad hipotecaria limita la responsabilidad de un posible tercero que no estaba presente en el momento en que se constituyó la hipoteca. Esto es, si por ejemplo existe un impago de una hipoteca, el deudor tendría que abonar el capital pendiente, más los intereses, más gastos de demora y otras comisiones. Pero si la vivienda hipotecada pasa a ser de un tercero, este podría pagar el máximo de responsabilidad hipotecaria y liberarla; o permitir una posible ejecución, respondiendo hasta el máximo de la responsabilidad. Y si aún así no salda la deuda en cualquiera de los casos anteriores, la diferencia correría a cargo del deudor, nunca de ese tercero.</w:t>
      </w:r>
    </w:p>
    <w:p w14:paraId="7352B1C1" w14:textId="77777777" w:rsidR="00952D89" w:rsidRPr="00CF1B34" w:rsidRDefault="00952D89"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¿Y si tenemos varias hipotecas?</w:t>
      </w:r>
    </w:p>
    <w:p w14:paraId="663527AC" w14:textId="77777777" w:rsidR="00952D89" w:rsidRPr="00CF1B34" w:rsidRDefault="00952D8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 xml:space="preserve">En ese caso, conviene redistribuir la responsabilidad entre todos ellos. Para ello, tendremos que negociar con el banco, ya </w:t>
      </w:r>
      <w:proofErr w:type="gramStart"/>
      <w:r w:rsidRPr="00CF1B34">
        <w:rPr>
          <w:rFonts w:ascii="Arial" w:hAnsi="Arial" w:cs="Arial"/>
          <w:sz w:val="22"/>
          <w:szCs w:val="22"/>
          <w:lang w:val="es-ES_tradnl"/>
        </w:rPr>
        <w:t>que</w:t>
      </w:r>
      <w:proofErr w:type="gramEnd"/>
      <w:r w:rsidRPr="00CF1B34">
        <w:rPr>
          <w:rFonts w:ascii="Arial" w:hAnsi="Arial" w:cs="Arial"/>
          <w:sz w:val="22"/>
          <w:szCs w:val="22"/>
          <w:lang w:val="es-ES_tradnl"/>
        </w:rPr>
        <w:t xml:space="preserve"> por ejemplo, si vamos a vender uno de los inmuebles hipotecados, podrá ayudarnos a subrogar, o por el contrario podrá perjudicarnos, al establecer un precio mínimo de venta.</w:t>
      </w:r>
    </w:p>
    <w:p w14:paraId="505F4D03" w14:textId="00844C2D" w:rsidR="005C5CA2"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Resistencia</w:t>
      </w:r>
    </w:p>
    <w:p w14:paraId="0512DEFC" w14:textId="77777777" w:rsidR="00213D5F" w:rsidRPr="00CF1B34" w:rsidRDefault="004F3D6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Nivel de precios que dentro de una tendencia alcista concentra la suficiente oferta de títulos </w:t>
      </w:r>
      <w:r w:rsidR="00213D5F" w:rsidRPr="00CF1B34">
        <w:rPr>
          <w:rFonts w:ascii="Arial" w:hAnsi="Arial" w:cs="Arial"/>
          <w:color w:val="000000" w:themeColor="text1"/>
          <w:sz w:val="22"/>
          <w:szCs w:val="22"/>
          <w:lang w:val="es-ES_tradnl"/>
        </w:rPr>
        <w:t>como para frenar la subida de estos e incluso inducir a un desplazamiento bajista. Cuando se rompen resistencias las ofertas a ese nivel de precios desaparecen y se inicia una nueva subida de los minimos.</w:t>
      </w:r>
    </w:p>
    <w:p w14:paraId="346F21EE" w14:textId="159DA4E1"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Resultado bruto de explotación</w:t>
      </w:r>
    </w:p>
    <w:p w14:paraId="54320C46" w14:textId="77777777" w:rsidR="00213D5F" w:rsidRPr="00CF1B34" w:rsidRDefault="00213D5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Margen operacional mas resultado neto de operaciones financieras menos gastos de explotación.</w:t>
      </w:r>
    </w:p>
    <w:p w14:paraId="144A15D0" w14:textId="318EDA73"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Resumen del folleto</w:t>
      </w:r>
    </w:p>
    <w:p w14:paraId="79337851" w14:textId="3E7DCDBB" w:rsidR="00A23A19" w:rsidRPr="00CF1B34" w:rsidRDefault="00A23A19"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Documento que acompaña al folleto de una oferta pública, en el que se reflejan de manera breve las características y riesgos esenciales del emisor y los valores. Su contenido no está tasado, por lo que los emisores tienen cierto margen para decidir la información que ofrece, aunque en todo caso debe cumplir lo previsto en la Ley del Mercado de Valores y en la normativa específica. Este documento se registra en la CNMV y debe ser difundido por el emisor. Ver</w:t>
      </w:r>
      <w:r w:rsidR="008E62EC" w:rsidRPr="00CF1B34">
        <w:rPr>
          <w:rFonts w:ascii="Arial" w:hAnsi="Arial" w:cs="Arial"/>
          <w:color w:val="212529"/>
          <w:sz w:val="22"/>
          <w:szCs w:val="22"/>
          <w:lang w:val="es-ES_tradnl"/>
        </w:rPr>
        <w:t xml:space="preserve"> </w:t>
      </w:r>
      <w:hyperlink r:id="rId330" w:tgtFrame="_self" w:history="1">
        <w:r w:rsidRPr="00CF1B34">
          <w:rPr>
            <w:rFonts w:ascii="Arial" w:hAnsi="Arial" w:cs="Arial"/>
            <w:b/>
            <w:bCs/>
            <w:color w:val="2F5496" w:themeColor="accent1" w:themeShade="BF"/>
            <w:sz w:val="22"/>
            <w:szCs w:val="22"/>
            <w:u w:val="single"/>
            <w:lang w:val="es-ES_tradnl"/>
          </w:rPr>
          <w:t>Folleto informativo</w:t>
        </w:r>
      </w:hyperlink>
      <w:r w:rsidRPr="00CF1B34">
        <w:rPr>
          <w:rFonts w:ascii="Arial" w:hAnsi="Arial" w:cs="Arial"/>
          <w:color w:val="2F5496" w:themeColor="accent1" w:themeShade="BF"/>
          <w:sz w:val="22"/>
          <w:szCs w:val="22"/>
          <w:lang w:val="es-ES_tradnl"/>
        </w:rPr>
        <w:t>.</w:t>
      </w:r>
    </w:p>
    <w:p w14:paraId="14FB7AAC" w14:textId="5089514E"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Retención fiscal</w:t>
      </w:r>
    </w:p>
    <w:p w14:paraId="7A961E0E" w14:textId="3D65690F" w:rsidR="00AD646A" w:rsidRPr="00CF1B34" w:rsidRDefault="00213D5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parte de los intereses que el banco o el intermediario</w:t>
      </w:r>
      <w:r w:rsidR="000E201E" w:rsidRPr="00CF1B34">
        <w:rPr>
          <w:rFonts w:ascii="Arial" w:hAnsi="Arial" w:cs="Arial"/>
          <w:color w:val="000000" w:themeColor="text1"/>
          <w:sz w:val="22"/>
          <w:szCs w:val="22"/>
          <w:lang w:val="es-ES_tradnl"/>
        </w:rPr>
        <w:t xml:space="preserve"> me detrae de las ganancias</w:t>
      </w:r>
      <w:r w:rsidR="00AD646A" w:rsidRPr="00CF1B34">
        <w:rPr>
          <w:rFonts w:ascii="Arial" w:hAnsi="Arial" w:cs="Arial"/>
          <w:color w:val="000000" w:themeColor="text1"/>
          <w:sz w:val="22"/>
          <w:szCs w:val="22"/>
          <w:lang w:val="es-ES_tradnl"/>
        </w:rPr>
        <w:t xml:space="preserve"> obtenidas para dársela a Hacienda a cuenta de mis impuestos</w:t>
      </w:r>
      <w:r w:rsidR="0030664C">
        <w:rPr>
          <w:rFonts w:ascii="Arial" w:hAnsi="Arial" w:cs="Arial"/>
          <w:color w:val="000000" w:themeColor="text1"/>
          <w:sz w:val="22"/>
          <w:szCs w:val="22"/>
          <w:lang w:val="es-ES_tradnl"/>
        </w:rPr>
        <w:t>.</w:t>
      </w:r>
    </w:p>
    <w:p w14:paraId="0BB68E0E" w14:textId="35B45352" w:rsidR="0030664C" w:rsidRDefault="0030664C"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Retención IRPF autónomos</w:t>
      </w:r>
    </w:p>
    <w:p w14:paraId="540DF088" w14:textId="77777777" w:rsidR="0030664C" w:rsidRPr="00CF1B34" w:rsidRDefault="0030664C" w:rsidP="0030664C">
      <w:pPr>
        <w:pBdr>
          <w:bottom w:val="dotted" w:sz="12" w:space="12" w:color="666666"/>
        </w:pBdr>
        <w:spacing w:after="240"/>
        <w:ind w:left="720"/>
        <w:jc w:val="both"/>
        <w:rPr>
          <w:rFonts w:ascii="Arial" w:hAnsi="Arial" w:cs="Arial"/>
          <w:color w:val="212529"/>
          <w:sz w:val="22"/>
          <w:szCs w:val="22"/>
          <w:lang w:val="es-ES_tradnl"/>
        </w:rPr>
      </w:pPr>
      <w:r w:rsidRPr="0030664C">
        <w:rPr>
          <w:rFonts w:ascii="Arial" w:hAnsi="Arial" w:cs="Arial"/>
          <w:color w:val="040C28"/>
          <w:sz w:val="22"/>
          <w:szCs w:val="22"/>
          <w:shd w:val="clear" w:color="auto" w:fill="D3E3FD"/>
        </w:rPr>
        <w:t>Desde 0 hasta 12.450 euros: retención del 19%</w:t>
      </w:r>
      <w:r w:rsidRPr="0030664C">
        <w:rPr>
          <w:rFonts w:ascii="Arial" w:hAnsi="Arial" w:cs="Arial"/>
          <w:color w:val="474747"/>
          <w:sz w:val="22"/>
          <w:szCs w:val="22"/>
          <w:shd w:val="clear" w:color="auto" w:fill="FFFFFF"/>
        </w:rPr>
        <w:t>. Desde 12.450 hasta 20.199 euros: retención del 24%. Desde 20.200 hasta 35.199 euros: retención del 30%. Desde 35.200 hasta 59.999 euros: retención del 37%.</w:t>
      </w:r>
    </w:p>
    <w:p w14:paraId="05C79436" w14:textId="3B47028F" w:rsidR="0030664C" w:rsidRPr="0030664C" w:rsidRDefault="0030664C" w:rsidP="0030664C">
      <w:pPr>
        <w:rPr>
          <w:rFonts w:ascii="Arial" w:hAnsi="Arial" w:cs="Arial"/>
          <w:b/>
          <w:bCs/>
          <w:color w:val="2F5496" w:themeColor="accent1" w:themeShade="BF"/>
          <w:sz w:val="22"/>
          <w:szCs w:val="22"/>
        </w:rPr>
      </w:pPr>
      <w:r w:rsidRPr="0030664C">
        <w:rPr>
          <w:rFonts w:ascii="Arial" w:hAnsi="Arial" w:cs="Arial"/>
          <w:b/>
          <w:bCs/>
          <w:color w:val="2F5496" w:themeColor="accent1" w:themeShade="BF"/>
          <w:sz w:val="22"/>
          <w:szCs w:val="22"/>
        </w:rPr>
        <w:lastRenderedPageBreak/>
        <w:t>Retencion</w:t>
      </w:r>
      <w:r>
        <w:rPr>
          <w:rFonts w:ascii="Arial" w:hAnsi="Arial" w:cs="Arial"/>
          <w:b/>
          <w:bCs/>
          <w:color w:val="2F5496" w:themeColor="accent1" w:themeShade="BF"/>
          <w:sz w:val="22"/>
          <w:szCs w:val="22"/>
        </w:rPr>
        <w:t>es</w:t>
      </w:r>
      <w:r w:rsidRPr="0030664C">
        <w:rPr>
          <w:rFonts w:ascii="Arial" w:hAnsi="Arial" w:cs="Arial"/>
          <w:b/>
          <w:bCs/>
          <w:color w:val="2F5496" w:themeColor="accent1" w:themeShade="BF"/>
          <w:sz w:val="22"/>
          <w:szCs w:val="22"/>
        </w:rPr>
        <w:t xml:space="preserve"> IRPF</w:t>
      </w:r>
    </w:p>
    <w:p w14:paraId="40BA3ECE" w14:textId="76A20AE1" w:rsidR="0030664C" w:rsidRPr="00445B65" w:rsidRDefault="0030664C" w:rsidP="00806FC5">
      <w:pPr>
        <w:ind w:left="708"/>
        <w:rPr>
          <w:rFonts w:ascii="Arial" w:hAnsi="Arial" w:cs="Arial"/>
          <w:color w:val="474747"/>
          <w:sz w:val="22"/>
          <w:szCs w:val="22"/>
          <w:shd w:val="clear" w:color="auto" w:fill="FFFFFF"/>
        </w:rPr>
      </w:pPr>
      <w:r w:rsidRPr="00445B65">
        <w:rPr>
          <w:rFonts w:ascii="Arial" w:hAnsi="Arial" w:cs="Arial"/>
          <w:color w:val="474747"/>
          <w:sz w:val="22"/>
          <w:szCs w:val="22"/>
          <w:shd w:val="clear" w:color="auto" w:fill="FFFFFF"/>
        </w:rPr>
        <w:t>Hasta 12.450 €, el tipo impositivo es de 19%. De 12.450 € a 20.200 €, el tipo impositivo es de 24%. De 20.200 € a 35.200 €, el tipo impositivo es de 30%. De 35.200 € a 60.000 €, el tipo impositivo es de 37%.</w:t>
      </w:r>
    </w:p>
    <w:p w14:paraId="76645B9F" w14:textId="2B7CC6D8" w:rsidR="00445B65" w:rsidRPr="00445B65" w:rsidRDefault="00445B65" w:rsidP="00806FC5">
      <w:pPr>
        <w:rPr>
          <w:rFonts w:ascii="Arial" w:hAnsi="Arial" w:cs="Arial"/>
          <w:b/>
          <w:bCs/>
          <w:color w:val="ED7D31" w:themeColor="accent2"/>
          <w:sz w:val="22"/>
          <w:szCs w:val="22"/>
        </w:rPr>
      </w:pPr>
      <w:r w:rsidRPr="00445B65">
        <w:rPr>
          <w:rFonts w:ascii="Arial" w:hAnsi="Arial" w:cs="Arial"/>
          <w:b/>
          <w:bCs/>
          <w:color w:val="ED7D31" w:themeColor="accent2"/>
          <w:sz w:val="22"/>
          <w:szCs w:val="22"/>
          <w:shd w:val="clear" w:color="auto" w:fill="FFFFFF"/>
        </w:rPr>
        <w:t>Tramos 202</w:t>
      </w:r>
      <w:r w:rsidR="00806FC5">
        <w:rPr>
          <w:rFonts w:ascii="Arial" w:hAnsi="Arial" w:cs="Arial"/>
          <w:b/>
          <w:bCs/>
          <w:color w:val="ED7D31" w:themeColor="accent2"/>
          <w:sz w:val="22"/>
          <w:szCs w:val="22"/>
          <w:shd w:val="clear" w:color="auto" w:fill="FFFFFF"/>
        </w:rPr>
        <w:t>3</w:t>
      </w:r>
      <w:r w:rsidRPr="00445B65">
        <w:rPr>
          <w:rFonts w:ascii="Arial" w:hAnsi="Arial" w:cs="Arial"/>
          <w:b/>
          <w:bCs/>
          <w:color w:val="ED7D31" w:themeColor="accent2"/>
          <w:sz w:val="22"/>
          <w:szCs w:val="22"/>
          <w:shd w:val="clear" w:color="auto" w:fill="FFFFFF"/>
        </w:rPr>
        <w:t xml:space="preserve"> Estatal </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4449"/>
        <w:gridCol w:w="1918"/>
        <w:gridCol w:w="847"/>
        <w:gridCol w:w="847"/>
        <w:gridCol w:w="1719"/>
      </w:tblGrid>
      <w:tr w:rsidR="00445B65" w:rsidRPr="00445B65" w14:paraId="7C14EA16" w14:textId="77777777" w:rsidTr="00445B65">
        <w:trPr>
          <w:trHeight w:val="390"/>
        </w:trPr>
        <w:tc>
          <w:tcPr>
            <w:tcW w:w="0" w:type="auto"/>
            <w:gridSpan w:val="3"/>
            <w:shd w:val="clear" w:color="auto" w:fill="FFFFFF"/>
            <w:tcMar>
              <w:top w:w="120" w:type="dxa"/>
              <w:left w:w="0" w:type="dxa"/>
              <w:bottom w:w="120" w:type="dxa"/>
              <w:right w:w="150" w:type="dxa"/>
            </w:tcMar>
            <w:hideMark/>
          </w:tcPr>
          <w:p w14:paraId="73552348"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Base aplicable</w:t>
            </w:r>
          </w:p>
        </w:tc>
        <w:tc>
          <w:tcPr>
            <w:tcW w:w="0" w:type="auto"/>
            <w:gridSpan w:val="2"/>
            <w:shd w:val="clear" w:color="auto" w:fill="FFFFFF"/>
            <w:tcMar>
              <w:top w:w="120" w:type="dxa"/>
              <w:left w:w="150" w:type="dxa"/>
              <w:bottom w:w="120" w:type="dxa"/>
              <w:right w:w="150" w:type="dxa"/>
            </w:tcMar>
            <w:hideMark/>
          </w:tcPr>
          <w:p w14:paraId="24376470"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Tipo Estatal</w:t>
            </w:r>
          </w:p>
        </w:tc>
      </w:tr>
      <w:tr w:rsidR="00445B65" w:rsidRPr="00445B65" w14:paraId="04F88295" w14:textId="77777777" w:rsidTr="00445B65">
        <w:trPr>
          <w:trHeight w:val="390"/>
        </w:trPr>
        <w:tc>
          <w:tcPr>
            <w:tcW w:w="0" w:type="auto"/>
            <w:gridSpan w:val="3"/>
            <w:shd w:val="clear" w:color="auto" w:fill="FFFFFF"/>
            <w:tcMar>
              <w:top w:w="120" w:type="dxa"/>
              <w:left w:w="0" w:type="dxa"/>
              <w:bottom w:w="120" w:type="dxa"/>
              <w:right w:w="150" w:type="dxa"/>
            </w:tcMar>
            <w:vAlign w:val="center"/>
            <w:hideMark/>
          </w:tcPr>
          <w:p w14:paraId="4965402F"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Base aplicable Desde 12.451 € a 20.200 €</w:t>
            </w:r>
          </w:p>
        </w:tc>
        <w:tc>
          <w:tcPr>
            <w:tcW w:w="0" w:type="auto"/>
            <w:gridSpan w:val="2"/>
            <w:shd w:val="clear" w:color="auto" w:fill="FFFFFF"/>
            <w:tcMar>
              <w:top w:w="120" w:type="dxa"/>
              <w:left w:w="150" w:type="dxa"/>
              <w:bottom w:w="120" w:type="dxa"/>
              <w:right w:w="150" w:type="dxa"/>
            </w:tcMar>
            <w:vAlign w:val="center"/>
            <w:hideMark/>
          </w:tcPr>
          <w:p w14:paraId="4C5C1E05"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Estatal 12 %</w:t>
            </w:r>
          </w:p>
        </w:tc>
      </w:tr>
      <w:tr w:rsidR="00445B65" w:rsidRPr="00445B65" w14:paraId="2ADB31CA" w14:textId="77777777" w:rsidTr="00445B65">
        <w:trPr>
          <w:trHeight w:val="390"/>
        </w:trPr>
        <w:tc>
          <w:tcPr>
            <w:tcW w:w="0" w:type="auto"/>
            <w:gridSpan w:val="3"/>
            <w:shd w:val="clear" w:color="auto" w:fill="FFFFFF"/>
            <w:tcMar>
              <w:top w:w="120" w:type="dxa"/>
              <w:left w:w="0" w:type="dxa"/>
              <w:bottom w:w="120" w:type="dxa"/>
              <w:right w:w="150" w:type="dxa"/>
            </w:tcMar>
            <w:vAlign w:val="center"/>
            <w:hideMark/>
          </w:tcPr>
          <w:p w14:paraId="4CB63CA9"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Base aplicable Desde 20.201 € a 35.200 €</w:t>
            </w:r>
          </w:p>
        </w:tc>
        <w:tc>
          <w:tcPr>
            <w:tcW w:w="0" w:type="auto"/>
            <w:gridSpan w:val="2"/>
            <w:shd w:val="clear" w:color="auto" w:fill="FFFFFF"/>
            <w:tcMar>
              <w:top w:w="120" w:type="dxa"/>
              <w:left w:w="150" w:type="dxa"/>
              <w:bottom w:w="120" w:type="dxa"/>
              <w:right w:w="150" w:type="dxa"/>
            </w:tcMar>
            <w:vAlign w:val="center"/>
            <w:hideMark/>
          </w:tcPr>
          <w:p w14:paraId="0641F185"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Estatal 15 %</w:t>
            </w:r>
          </w:p>
        </w:tc>
      </w:tr>
      <w:tr w:rsidR="00445B65" w:rsidRPr="00445B65" w14:paraId="024145AE" w14:textId="77777777" w:rsidTr="00445B65">
        <w:trPr>
          <w:trHeight w:val="390"/>
        </w:trPr>
        <w:tc>
          <w:tcPr>
            <w:tcW w:w="0" w:type="auto"/>
            <w:gridSpan w:val="3"/>
            <w:shd w:val="clear" w:color="auto" w:fill="FFFFFF"/>
            <w:tcMar>
              <w:top w:w="120" w:type="dxa"/>
              <w:left w:w="0" w:type="dxa"/>
              <w:bottom w:w="120" w:type="dxa"/>
              <w:right w:w="150" w:type="dxa"/>
            </w:tcMar>
            <w:vAlign w:val="center"/>
            <w:hideMark/>
          </w:tcPr>
          <w:p w14:paraId="3611EE3F"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Base aplicable Desde 35.201 € a 60.000 €</w:t>
            </w:r>
          </w:p>
        </w:tc>
        <w:tc>
          <w:tcPr>
            <w:tcW w:w="0" w:type="auto"/>
            <w:gridSpan w:val="2"/>
            <w:shd w:val="clear" w:color="auto" w:fill="FFFFFF"/>
            <w:tcMar>
              <w:top w:w="120" w:type="dxa"/>
              <w:left w:w="150" w:type="dxa"/>
              <w:bottom w:w="120" w:type="dxa"/>
              <w:right w:w="150" w:type="dxa"/>
            </w:tcMar>
            <w:vAlign w:val="center"/>
            <w:hideMark/>
          </w:tcPr>
          <w:p w14:paraId="68EDB4E3"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Estatal 18,5 %</w:t>
            </w:r>
          </w:p>
        </w:tc>
      </w:tr>
      <w:tr w:rsidR="00445B65" w:rsidRPr="00445B65" w14:paraId="3FF4A740" w14:textId="77777777" w:rsidTr="00445B65">
        <w:trPr>
          <w:trHeight w:val="390"/>
        </w:trPr>
        <w:tc>
          <w:tcPr>
            <w:tcW w:w="0" w:type="auto"/>
            <w:gridSpan w:val="3"/>
            <w:shd w:val="clear" w:color="auto" w:fill="FFFFFF"/>
            <w:tcMar>
              <w:top w:w="120" w:type="dxa"/>
              <w:left w:w="0" w:type="dxa"/>
              <w:bottom w:w="120" w:type="dxa"/>
              <w:right w:w="150" w:type="dxa"/>
            </w:tcMar>
            <w:vAlign w:val="center"/>
            <w:hideMark/>
          </w:tcPr>
          <w:p w14:paraId="1D1AD631"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Base aplicable Desde 60.001 € a 300.000 €</w:t>
            </w:r>
          </w:p>
        </w:tc>
        <w:tc>
          <w:tcPr>
            <w:tcW w:w="0" w:type="auto"/>
            <w:gridSpan w:val="2"/>
            <w:shd w:val="clear" w:color="auto" w:fill="FFFFFF"/>
            <w:tcMar>
              <w:top w:w="120" w:type="dxa"/>
              <w:left w:w="150" w:type="dxa"/>
              <w:bottom w:w="120" w:type="dxa"/>
              <w:right w:w="150" w:type="dxa"/>
            </w:tcMar>
            <w:vAlign w:val="center"/>
            <w:hideMark/>
          </w:tcPr>
          <w:p w14:paraId="2997CF33" w14:textId="77777777" w:rsidR="00445B65" w:rsidRPr="00445B65" w:rsidRDefault="00445B65" w:rsidP="00445B65">
            <w:pPr>
              <w:pStyle w:val="Sinespaciado"/>
              <w:rPr>
                <w:rFonts w:ascii="Arial" w:hAnsi="Arial" w:cs="Arial"/>
                <w:sz w:val="22"/>
                <w:szCs w:val="22"/>
              </w:rPr>
            </w:pPr>
            <w:r w:rsidRPr="00445B65">
              <w:rPr>
                <w:rFonts w:ascii="Arial" w:hAnsi="Arial" w:cs="Arial"/>
                <w:sz w:val="22"/>
                <w:szCs w:val="22"/>
              </w:rPr>
              <w:t>Estatal 22.5 %</w:t>
            </w:r>
          </w:p>
        </w:tc>
      </w:tr>
      <w:tr w:rsidR="00445B65" w:rsidRPr="00445B65" w14:paraId="14E82B23" w14:textId="77777777" w:rsidTr="00445B65">
        <w:tblPrEx>
          <w:tblCellSpacing w:w="0" w:type="dxa"/>
          <w:tblCellMar>
            <w:top w:w="0" w:type="dxa"/>
            <w:left w:w="0" w:type="dxa"/>
            <w:bottom w:w="0" w:type="dxa"/>
            <w:right w:w="0" w:type="dxa"/>
          </w:tblCellMar>
        </w:tblPrEx>
        <w:trPr>
          <w:tblCellSpacing w:w="0" w:type="dxa"/>
        </w:trPr>
        <w:tc>
          <w:tcPr>
            <w:tcW w:w="0" w:type="auto"/>
            <w:tcBorders>
              <w:bottom w:val="single" w:sz="12" w:space="0" w:color="FF7300"/>
            </w:tcBorders>
            <w:shd w:val="clear" w:color="auto" w:fill="FFFFFF"/>
            <w:vAlign w:val="center"/>
            <w:hideMark/>
          </w:tcPr>
          <w:p w14:paraId="782008CA" w14:textId="77777777" w:rsidR="00445B65" w:rsidRPr="00445B65" w:rsidRDefault="00445B65" w:rsidP="00445B65">
            <w:pPr>
              <w:spacing w:after="100" w:afterAutospacing="1"/>
              <w:rPr>
                <w:rFonts w:ascii="BK-Sans" w:hAnsi="BK-Sans"/>
                <w:color w:val="5C6780"/>
              </w:rPr>
            </w:pPr>
            <w:r w:rsidRPr="00445B65">
              <w:rPr>
                <w:rFonts w:ascii="BK-Sans" w:hAnsi="BK-Sans"/>
                <w:b/>
                <w:bCs/>
                <w:color w:val="FF821C"/>
              </w:rPr>
              <w:t>Tramos IRPF 2023</w:t>
            </w:r>
          </w:p>
        </w:tc>
        <w:tc>
          <w:tcPr>
            <w:tcW w:w="0" w:type="auto"/>
            <w:tcBorders>
              <w:bottom w:val="single" w:sz="12" w:space="0" w:color="FF7300"/>
            </w:tcBorders>
            <w:shd w:val="clear" w:color="auto" w:fill="FFFFFF"/>
            <w:vAlign w:val="center"/>
            <w:hideMark/>
          </w:tcPr>
          <w:p w14:paraId="7FFE342D" w14:textId="77777777" w:rsidR="00445B65" w:rsidRPr="00445B65" w:rsidRDefault="00445B65" w:rsidP="00445B65">
            <w:pPr>
              <w:spacing w:after="100" w:afterAutospacing="1"/>
              <w:rPr>
                <w:rFonts w:ascii="BK-Sans" w:hAnsi="BK-Sans"/>
                <w:color w:val="5C6780"/>
              </w:rPr>
            </w:pPr>
            <w:r w:rsidRPr="00445B65">
              <w:rPr>
                <w:rFonts w:ascii="BK-Sans" w:hAnsi="BK-Sans"/>
                <w:b/>
                <w:bCs/>
                <w:color w:val="FF821C"/>
              </w:rPr>
              <w:t>Tipo estatal</w:t>
            </w:r>
          </w:p>
        </w:tc>
        <w:tc>
          <w:tcPr>
            <w:tcW w:w="0" w:type="auto"/>
            <w:gridSpan w:val="2"/>
            <w:tcBorders>
              <w:bottom w:val="single" w:sz="12" w:space="0" w:color="FF7300"/>
            </w:tcBorders>
            <w:shd w:val="clear" w:color="auto" w:fill="FFFFFF"/>
            <w:vAlign w:val="center"/>
            <w:hideMark/>
          </w:tcPr>
          <w:p w14:paraId="562499DB" w14:textId="77777777" w:rsidR="00445B65" w:rsidRPr="00445B65" w:rsidRDefault="00445B65" w:rsidP="00445B65">
            <w:pPr>
              <w:spacing w:after="100" w:afterAutospacing="1"/>
              <w:rPr>
                <w:rFonts w:ascii="BK-Sans" w:hAnsi="BK-Sans"/>
                <w:color w:val="5C6780"/>
              </w:rPr>
            </w:pPr>
            <w:r w:rsidRPr="00445B65">
              <w:rPr>
                <w:rFonts w:ascii="BK-Sans" w:hAnsi="BK-Sans"/>
                <w:b/>
                <w:bCs/>
                <w:color w:val="FF821C"/>
              </w:rPr>
              <w:t>Tipo autonómico *</w:t>
            </w:r>
          </w:p>
        </w:tc>
        <w:tc>
          <w:tcPr>
            <w:tcW w:w="0" w:type="auto"/>
            <w:tcBorders>
              <w:bottom w:val="single" w:sz="12" w:space="0" w:color="FF7300"/>
            </w:tcBorders>
            <w:shd w:val="clear" w:color="auto" w:fill="FFFFFF"/>
            <w:vAlign w:val="center"/>
            <w:hideMark/>
          </w:tcPr>
          <w:p w14:paraId="552F5BF8" w14:textId="77777777" w:rsidR="00445B65" w:rsidRPr="00445B65" w:rsidRDefault="00445B65" w:rsidP="00445B65">
            <w:pPr>
              <w:spacing w:after="100" w:afterAutospacing="1"/>
              <w:rPr>
                <w:rFonts w:ascii="BK-Sans" w:hAnsi="BK-Sans"/>
                <w:color w:val="5C6780"/>
              </w:rPr>
            </w:pPr>
            <w:r w:rsidRPr="00445B65">
              <w:rPr>
                <w:rFonts w:ascii="BK-Sans" w:hAnsi="BK-Sans"/>
                <w:b/>
                <w:bCs/>
                <w:color w:val="FF821C"/>
              </w:rPr>
              <w:t>Tipo total</w:t>
            </w:r>
          </w:p>
        </w:tc>
      </w:tr>
      <w:tr w:rsidR="00445B65" w:rsidRPr="00445B65" w14:paraId="0C956B0D" w14:textId="77777777" w:rsidTr="00445B65">
        <w:tblPrEx>
          <w:tblCellSpacing w:w="0" w:type="dxa"/>
          <w:tblCellMar>
            <w:top w:w="0" w:type="dxa"/>
            <w:left w:w="0" w:type="dxa"/>
            <w:bottom w:w="0" w:type="dxa"/>
            <w:right w:w="0" w:type="dxa"/>
          </w:tblCellMar>
        </w:tblPrEx>
        <w:trPr>
          <w:trHeight w:val="465"/>
          <w:tblCellSpacing w:w="0" w:type="dxa"/>
        </w:trPr>
        <w:tc>
          <w:tcPr>
            <w:tcW w:w="4449" w:type="dxa"/>
            <w:shd w:val="clear" w:color="auto" w:fill="FFFFFF"/>
            <w:vAlign w:val="center"/>
            <w:hideMark/>
          </w:tcPr>
          <w:p w14:paraId="29CBA2BA" w14:textId="30C2E843"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Hasta 12.450</w:t>
            </w:r>
            <w:r w:rsidR="00806FC5">
              <w:rPr>
                <w:rFonts w:ascii="BK-Sans" w:hAnsi="BK-Sans"/>
                <w:color w:val="000000" w:themeColor="text1"/>
              </w:rPr>
              <w:t xml:space="preserve"> </w:t>
            </w:r>
            <w:r w:rsidRPr="00445B65">
              <w:rPr>
                <w:rFonts w:ascii="BK-Sans" w:hAnsi="BK-Sans"/>
                <w:color w:val="000000" w:themeColor="text1"/>
              </w:rPr>
              <w:t>euros</w:t>
            </w:r>
          </w:p>
        </w:tc>
        <w:tc>
          <w:tcPr>
            <w:tcW w:w="1918" w:type="dxa"/>
            <w:shd w:val="clear" w:color="auto" w:fill="FFFFFF"/>
            <w:vAlign w:val="center"/>
            <w:hideMark/>
          </w:tcPr>
          <w:p w14:paraId="042E7837"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9,5%</w:t>
            </w:r>
          </w:p>
        </w:tc>
        <w:tc>
          <w:tcPr>
            <w:tcW w:w="1694" w:type="dxa"/>
            <w:gridSpan w:val="2"/>
            <w:shd w:val="clear" w:color="auto" w:fill="FFFFFF"/>
            <w:vAlign w:val="center"/>
            <w:hideMark/>
          </w:tcPr>
          <w:p w14:paraId="05C683C4"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9,5%</w:t>
            </w:r>
          </w:p>
        </w:tc>
        <w:tc>
          <w:tcPr>
            <w:tcW w:w="1719" w:type="dxa"/>
            <w:shd w:val="clear" w:color="auto" w:fill="FFFFFF"/>
            <w:vAlign w:val="center"/>
            <w:hideMark/>
          </w:tcPr>
          <w:p w14:paraId="2BB9A902"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19,0%</w:t>
            </w:r>
          </w:p>
        </w:tc>
      </w:tr>
      <w:tr w:rsidR="00445B65" w:rsidRPr="00445B65" w14:paraId="467D38D9" w14:textId="77777777" w:rsidTr="00445B65">
        <w:tblPrEx>
          <w:tblCellSpacing w:w="0" w:type="dxa"/>
          <w:tblCellMar>
            <w:top w:w="0" w:type="dxa"/>
            <w:left w:w="0" w:type="dxa"/>
            <w:bottom w:w="0" w:type="dxa"/>
            <w:right w:w="0" w:type="dxa"/>
          </w:tblCellMar>
        </w:tblPrEx>
        <w:trPr>
          <w:trHeight w:val="465"/>
          <w:tblCellSpacing w:w="0" w:type="dxa"/>
        </w:trPr>
        <w:tc>
          <w:tcPr>
            <w:tcW w:w="4449" w:type="dxa"/>
            <w:shd w:val="clear" w:color="auto" w:fill="FFFFFF"/>
            <w:vAlign w:val="center"/>
            <w:hideMark/>
          </w:tcPr>
          <w:p w14:paraId="5B388379" w14:textId="62F5FA9D"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De 12.450 euros a</w:t>
            </w:r>
            <w:r w:rsidR="00806FC5">
              <w:rPr>
                <w:rFonts w:ascii="BK-Sans" w:hAnsi="BK-Sans"/>
                <w:color w:val="000000" w:themeColor="text1"/>
              </w:rPr>
              <w:t xml:space="preserve"> </w:t>
            </w:r>
            <w:r w:rsidRPr="00445B65">
              <w:rPr>
                <w:rFonts w:ascii="BK-Sans" w:hAnsi="BK-Sans"/>
                <w:color w:val="000000" w:themeColor="text1"/>
              </w:rPr>
              <w:t>20.199 euros</w:t>
            </w:r>
          </w:p>
        </w:tc>
        <w:tc>
          <w:tcPr>
            <w:tcW w:w="1918" w:type="dxa"/>
            <w:shd w:val="clear" w:color="auto" w:fill="FFFFFF"/>
            <w:vAlign w:val="center"/>
            <w:hideMark/>
          </w:tcPr>
          <w:p w14:paraId="2218AA2D"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12,0%</w:t>
            </w:r>
          </w:p>
        </w:tc>
        <w:tc>
          <w:tcPr>
            <w:tcW w:w="1694" w:type="dxa"/>
            <w:gridSpan w:val="2"/>
            <w:shd w:val="clear" w:color="auto" w:fill="FFFFFF"/>
            <w:vAlign w:val="center"/>
            <w:hideMark/>
          </w:tcPr>
          <w:p w14:paraId="2745456F"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12,0%</w:t>
            </w:r>
          </w:p>
        </w:tc>
        <w:tc>
          <w:tcPr>
            <w:tcW w:w="1719" w:type="dxa"/>
            <w:shd w:val="clear" w:color="auto" w:fill="FFFFFF"/>
            <w:vAlign w:val="center"/>
            <w:hideMark/>
          </w:tcPr>
          <w:p w14:paraId="278578EF"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24,0%</w:t>
            </w:r>
          </w:p>
        </w:tc>
      </w:tr>
      <w:tr w:rsidR="00445B65" w:rsidRPr="00445B65" w14:paraId="097F47A6" w14:textId="77777777" w:rsidTr="00445B65">
        <w:tblPrEx>
          <w:tblCellSpacing w:w="0" w:type="dxa"/>
          <w:tblCellMar>
            <w:top w:w="0" w:type="dxa"/>
            <w:left w:w="0" w:type="dxa"/>
            <w:bottom w:w="0" w:type="dxa"/>
            <w:right w:w="0" w:type="dxa"/>
          </w:tblCellMar>
        </w:tblPrEx>
        <w:trPr>
          <w:trHeight w:val="435"/>
          <w:tblCellSpacing w:w="0" w:type="dxa"/>
        </w:trPr>
        <w:tc>
          <w:tcPr>
            <w:tcW w:w="4449" w:type="dxa"/>
            <w:shd w:val="clear" w:color="auto" w:fill="FFFFFF"/>
            <w:vAlign w:val="center"/>
            <w:hideMark/>
          </w:tcPr>
          <w:p w14:paraId="4CFAB65F" w14:textId="10FB6E9F"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De</w:t>
            </w:r>
            <w:r w:rsidR="00806FC5">
              <w:rPr>
                <w:rFonts w:ascii="BK-Sans" w:hAnsi="BK-Sans"/>
                <w:color w:val="000000" w:themeColor="text1"/>
              </w:rPr>
              <w:t xml:space="preserve"> </w:t>
            </w:r>
            <w:r w:rsidRPr="00445B65">
              <w:rPr>
                <w:rFonts w:ascii="BK-Sans" w:hAnsi="BK-Sans"/>
                <w:color w:val="000000" w:themeColor="text1"/>
              </w:rPr>
              <w:t>20.200 euros a 35.199 euros</w:t>
            </w:r>
          </w:p>
        </w:tc>
        <w:tc>
          <w:tcPr>
            <w:tcW w:w="1918" w:type="dxa"/>
            <w:shd w:val="clear" w:color="auto" w:fill="FFFFFF"/>
            <w:vAlign w:val="center"/>
            <w:hideMark/>
          </w:tcPr>
          <w:p w14:paraId="493336AC"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15,0%</w:t>
            </w:r>
          </w:p>
        </w:tc>
        <w:tc>
          <w:tcPr>
            <w:tcW w:w="1694" w:type="dxa"/>
            <w:gridSpan w:val="2"/>
            <w:shd w:val="clear" w:color="auto" w:fill="FFFFFF"/>
            <w:vAlign w:val="center"/>
            <w:hideMark/>
          </w:tcPr>
          <w:p w14:paraId="4CC54E5C"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15,0%</w:t>
            </w:r>
          </w:p>
        </w:tc>
        <w:tc>
          <w:tcPr>
            <w:tcW w:w="1719" w:type="dxa"/>
            <w:shd w:val="clear" w:color="auto" w:fill="FFFFFF"/>
            <w:vAlign w:val="center"/>
            <w:hideMark/>
          </w:tcPr>
          <w:p w14:paraId="485BEC26"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30,0%</w:t>
            </w:r>
          </w:p>
        </w:tc>
      </w:tr>
      <w:tr w:rsidR="00445B65" w:rsidRPr="00445B65" w14:paraId="263DBE86" w14:textId="77777777" w:rsidTr="00445B65">
        <w:tblPrEx>
          <w:tblCellSpacing w:w="0" w:type="dxa"/>
          <w:tblCellMar>
            <w:top w:w="0" w:type="dxa"/>
            <w:left w:w="0" w:type="dxa"/>
            <w:bottom w:w="0" w:type="dxa"/>
            <w:right w:w="0" w:type="dxa"/>
          </w:tblCellMar>
        </w:tblPrEx>
        <w:trPr>
          <w:trHeight w:val="405"/>
          <w:tblCellSpacing w:w="0" w:type="dxa"/>
        </w:trPr>
        <w:tc>
          <w:tcPr>
            <w:tcW w:w="4449" w:type="dxa"/>
            <w:shd w:val="clear" w:color="auto" w:fill="FFFFFF"/>
            <w:vAlign w:val="center"/>
            <w:hideMark/>
          </w:tcPr>
          <w:p w14:paraId="72EC569C" w14:textId="6D8561FD"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De 35.200</w:t>
            </w:r>
            <w:r w:rsidR="00806FC5">
              <w:rPr>
                <w:rFonts w:ascii="BK-Sans" w:hAnsi="BK-Sans"/>
                <w:color w:val="000000" w:themeColor="text1"/>
              </w:rPr>
              <w:t xml:space="preserve"> </w:t>
            </w:r>
            <w:r w:rsidRPr="00445B65">
              <w:rPr>
                <w:rFonts w:ascii="BK-Sans" w:hAnsi="BK-Sans"/>
                <w:color w:val="000000" w:themeColor="text1"/>
              </w:rPr>
              <w:t>euros a 59.999 euros</w:t>
            </w:r>
          </w:p>
        </w:tc>
        <w:tc>
          <w:tcPr>
            <w:tcW w:w="1918" w:type="dxa"/>
            <w:shd w:val="clear" w:color="auto" w:fill="FFFFFF"/>
            <w:vAlign w:val="center"/>
            <w:hideMark/>
          </w:tcPr>
          <w:p w14:paraId="6FC39E6C"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18,5%</w:t>
            </w:r>
          </w:p>
        </w:tc>
        <w:tc>
          <w:tcPr>
            <w:tcW w:w="1694" w:type="dxa"/>
            <w:gridSpan w:val="2"/>
            <w:shd w:val="clear" w:color="auto" w:fill="FFFFFF"/>
            <w:vAlign w:val="center"/>
            <w:hideMark/>
          </w:tcPr>
          <w:p w14:paraId="3EA189E6"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18,5%</w:t>
            </w:r>
          </w:p>
        </w:tc>
        <w:tc>
          <w:tcPr>
            <w:tcW w:w="1719" w:type="dxa"/>
            <w:shd w:val="clear" w:color="auto" w:fill="FFFFFF"/>
            <w:vAlign w:val="center"/>
            <w:hideMark/>
          </w:tcPr>
          <w:p w14:paraId="56340F59"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37,0%</w:t>
            </w:r>
          </w:p>
        </w:tc>
      </w:tr>
      <w:tr w:rsidR="00445B65" w:rsidRPr="00445B65" w14:paraId="55F5B997" w14:textId="77777777" w:rsidTr="00445B65">
        <w:tblPrEx>
          <w:tblCellSpacing w:w="0" w:type="dxa"/>
          <w:tblCellMar>
            <w:top w:w="0" w:type="dxa"/>
            <w:left w:w="0" w:type="dxa"/>
            <w:bottom w:w="0" w:type="dxa"/>
            <w:right w:w="0" w:type="dxa"/>
          </w:tblCellMar>
        </w:tblPrEx>
        <w:trPr>
          <w:trHeight w:val="420"/>
          <w:tblCellSpacing w:w="0" w:type="dxa"/>
        </w:trPr>
        <w:tc>
          <w:tcPr>
            <w:tcW w:w="4449" w:type="dxa"/>
            <w:shd w:val="clear" w:color="auto" w:fill="FFFFFF"/>
            <w:vAlign w:val="center"/>
            <w:hideMark/>
          </w:tcPr>
          <w:p w14:paraId="29C2D174" w14:textId="60D33302"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De</w:t>
            </w:r>
            <w:r w:rsidR="00806FC5">
              <w:rPr>
                <w:rFonts w:ascii="BK-Sans" w:hAnsi="BK-Sans"/>
                <w:color w:val="000000" w:themeColor="text1"/>
              </w:rPr>
              <w:t xml:space="preserve"> </w:t>
            </w:r>
            <w:r w:rsidRPr="00445B65">
              <w:rPr>
                <w:rFonts w:ascii="BK-Sans" w:hAnsi="BK-Sans"/>
                <w:color w:val="000000" w:themeColor="text1"/>
              </w:rPr>
              <w:t>60.000 euros a 299.999 euros</w:t>
            </w:r>
          </w:p>
        </w:tc>
        <w:tc>
          <w:tcPr>
            <w:tcW w:w="1918" w:type="dxa"/>
            <w:shd w:val="clear" w:color="auto" w:fill="FFFFFF"/>
            <w:vAlign w:val="center"/>
            <w:hideMark/>
          </w:tcPr>
          <w:p w14:paraId="31EA2084"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22,5%</w:t>
            </w:r>
          </w:p>
        </w:tc>
        <w:tc>
          <w:tcPr>
            <w:tcW w:w="1694" w:type="dxa"/>
            <w:gridSpan w:val="2"/>
            <w:shd w:val="clear" w:color="auto" w:fill="FFFFFF"/>
            <w:vAlign w:val="center"/>
            <w:hideMark/>
          </w:tcPr>
          <w:p w14:paraId="7DEE2577"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22,5%</w:t>
            </w:r>
          </w:p>
        </w:tc>
        <w:tc>
          <w:tcPr>
            <w:tcW w:w="1719" w:type="dxa"/>
            <w:shd w:val="clear" w:color="auto" w:fill="FFFFFF"/>
            <w:vAlign w:val="center"/>
            <w:hideMark/>
          </w:tcPr>
          <w:p w14:paraId="34204B4E"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45,0%</w:t>
            </w:r>
          </w:p>
        </w:tc>
      </w:tr>
      <w:tr w:rsidR="00445B65" w:rsidRPr="00445B65" w14:paraId="4823E320" w14:textId="77777777" w:rsidTr="00445B65">
        <w:tblPrEx>
          <w:tblCellSpacing w:w="0" w:type="dxa"/>
          <w:tblCellMar>
            <w:top w:w="0" w:type="dxa"/>
            <w:left w:w="0" w:type="dxa"/>
            <w:bottom w:w="0" w:type="dxa"/>
            <w:right w:w="0" w:type="dxa"/>
          </w:tblCellMar>
        </w:tblPrEx>
        <w:trPr>
          <w:trHeight w:val="560"/>
          <w:tblCellSpacing w:w="0" w:type="dxa"/>
        </w:trPr>
        <w:tc>
          <w:tcPr>
            <w:tcW w:w="0" w:type="auto"/>
            <w:shd w:val="clear" w:color="auto" w:fill="FFFFFF"/>
            <w:vAlign w:val="center"/>
            <w:hideMark/>
          </w:tcPr>
          <w:p w14:paraId="4EDDAFEB"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A partir de 300.000 euros</w:t>
            </w:r>
          </w:p>
        </w:tc>
        <w:tc>
          <w:tcPr>
            <w:tcW w:w="0" w:type="auto"/>
            <w:shd w:val="clear" w:color="auto" w:fill="FFFFFF"/>
            <w:vAlign w:val="center"/>
            <w:hideMark/>
          </w:tcPr>
          <w:p w14:paraId="29B2B0F3"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24,50%</w:t>
            </w:r>
          </w:p>
        </w:tc>
        <w:tc>
          <w:tcPr>
            <w:tcW w:w="0" w:type="auto"/>
            <w:gridSpan w:val="2"/>
            <w:shd w:val="clear" w:color="auto" w:fill="FFFFFF"/>
            <w:vAlign w:val="center"/>
            <w:hideMark/>
          </w:tcPr>
          <w:p w14:paraId="473B274E"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22,5%</w:t>
            </w:r>
          </w:p>
        </w:tc>
        <w:tc>
          <w:tcPr>
            <w:tcW w:w="1719" w:type="dxa"/>
            <w:shd w:val="clear" w:color="auto" w:fill="FFFFFF"/>
            <w:vAlign w:val="center"/>
            <w:hideMark/>
          </w:tcPr>
          <w:p w14:paraId="435FAAAF" w14:textId="77777777" w:rsidR="00445B65" w:rsidRPr="00445B65" w:rsidRDefault="00445B65" w:rsidP="00445B65">
            <w:pPr>
              <w:spacing w:after="100" w:afterAutospacing="1"/>
              <w:rPr>
                <w:rFonts w:ascii="BK-Sans" w:hAnsi="BK-Sans"/>
                <w:color w:val="000000" w:themeColor="text1"/>
              </w:rPr>
            </w:pPr>
            <w:r w:rsidRPr="00445B65">
              <w:rPr>
                <w:rFonts w:ascii="BK-Sans" w:hAnsi="BK-Sans"/>
                <w:color w:val="000000" w:themeColor="text1"/>
              </w:rPr>
              <w:t>47,0%</w:t>
            </w:r>
          </w:p>
        </w:tc>
      </w:tr>
    </w:tbl>
    <w:p w14:paraId="0B546F20" w14:textId="0D24F3D8" w:rsidR="00806FC5" w:rsidRDefault="00806FC5" w:rsidP="00806FC5">
      <w:pPr>
        <w:pStyle w:val="Ttulo3"/>
        <w:shd w:val="clear" w:color="auto" w:fill="FFFFFF"/>
        <w:spacing w:before="240" w:after="240"/>
        <w:rPr>
          <w:rFonts w:ascii="BK-Text" w:hAnsi="BK-Text"/>
          <w:color w:val="191B1C"/>
        </w:rPr>
      </w:pPr>
      <w:r>
        <w:rPr>
          <w:rStyle w:val="Textoennegrita"/>
          <w:rFonts w:ascii="BK-Text" w:hAnsi="BK-Text"/>
          <w:color w:val="F76900"/>
        </w:rPr>
        <w:t>Tramos IRPF Galicia 2024</w:t>
      </w:r>
    </w:p>
    <w:p w14:paraId="4137DB8B" w14:textId="77777777" w:rsidR="00806FC5" w:rsidRDefault="00806FC5" w:rsidP="00806FC5">
      <w:pPr>
        <w:pStyle w:val="NormalWeb"/>
        <w:shd w:val="clear" w:color="auto" w:fill="FFFFFF"/>
        <w:spacing w:before="0" w:beforeAutospacing="0"/>
        <w:rPr>
          <w:rFonts w:ascii="BK-Sans" w:hAnsi="BK-Sans"/>
          <w:color w:val="5C6780"/>
        </w:rPr>
      </w:pPr>
      <w:r>
        <w:rPr>
          <w:rFonts w:ascii="BK-Sans" w:hAnsi="BK-Sans"/>
          <w:color w:val="5C6780"/>
        </w:rPr>
        <w:t>Galicia mantiene el tipo mínimo, en el 9 por 100, y deflactó ya en 2022 los 3 primeros tramos -hasta 35.200 €- al 4,3%.</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31"/>
        <w:gridCol w:w="2316"/>
        <w:gridCol w:w="4702"/>
      </w:tblGrid>
      <w:tr w:rsidR="00806FC5" w14:paraId="3B661FA8" w14:textId="77777777" w:rsidTr="00806FC5">
        <w:trPr>
          <w:tblCellSpacing w:w="15" w:type="dxa"/>
        </w:trPr>
        <w:tc>
          <w:tcPr>
            <w:tcW w:w="4602" w:type="dxa"/>
            <w:gridSpan w:val="2"/>
            <w:shd w:val="clear" w:color="auto" w:fill="EEEEEE"/>
            <w:vAlign w:val="center"/>
            <w:hideMark/>
          </w:tcPr>
          <w:p w14:paraId="16EE30D3" w14:textId="77777777" w:rsidR="00806FC5" w:rsidRDefault="00806FC5">
            <w:pPr>
              <w:pStyle w:val="NormalWeb"/>
              <w:spacing w:before="0" w:beforeAutospacing="0"/>
              <w:rPr>
                <w:rFonts w:ascii="BK-Sans" w:hAnsi="BK-Sans"/>
                <w:color w:val="5C6780"/>
              </w:rPr>
            </w:pPr>
            <w:r>
              <w:rPr>
                <w:rStyle w:val="Textoennegrita"/>
                <w:rFonts w:ascii="BK-Sans" w:hAnsi="BK-Sans"/>
                <w:color w:val="191B1C"/>
              </w:rPr>
              <w:t>Tramos IRPF 2024</w:t>
            </w:r>
          </w:p>
        </w:tc>
        <w:tc>
          <w:tcPr>
            <w:tcW w:w="4657" w:type="dxa"/>
            <w:vMerge w:val="restart"/>
            <w:shd w:val="clear" w:color="auto" w:fill="EEEEEE"/>
            <w:vAlign w:val="center"/>
            <w:hideMark/>
          </w:tcPr>
          <w:p w14:paraId="4AD3D383" w14:textId="77777777" w:rsidR="00806FC5" w:rsidRDefault="00806FC5">
            <w:pPr>
              <w:pStyle w:val="NormalWeb"/>
              <w:spacing w:before="0" w:beforeAutospacing="0"/>
              <w:rPr>
                <w:rFonts w:ascii="BK-Sans" w:hAnsi="BK-Sans"/>
                <w:color w:val="5C6780"/>
              </w:rPr>
            </w:pPr>
            <w:r>
              <w:rPr>
                <w:rStyle w:val="Textoennegrita"/>
                <w:rFonts w:ascii="BK-Sans" w:hAnsi="BK-Sans"/>
                <w:color w:val="191B1C"/>
              </w:rPr>
              <w:t>Tipos Galicia</w:t>
            </w:r>
          </w:p>
        </w:tc>
      </w:tr>
      <w:tr w:rsidR="00806FC5" w14:paraId="16118BDA" w14:textId="77777777" w:rsidTr="00806FC5">
        <w:trPr>
          <w:tblCellSpacing w:w="15" w:type="dxa"/>
        </w:trPr>
        <w:tc>
          <w:tcPr>
            <w:tcW w:w="2286" w:type="dxa"/>
            <w:shd w:val="clear" w:color="auto" w:fill="EEEEEE"/>
            <w:vAlign w:val="center"/>
            <w:hideMark/>
          </w:tcPr>
          <w:p w14:paraId="57D94C6B" w14:textId="77777777" w:rsidR="00806FC5" w:rsidRDefault="00806FC5">
            <w:pPr>
              <w:pStyle w:val="NormalWeb"/>
              <w:spacing w:before="0" w:beforeAutospacing="0"/>
              <w:rPr>
                <w:rFonts w:ascii="BK-Sans" w:hAnsi="BK-Sans"/>
                <w:color w:val="5C6780"/>
              </w:rPr>
            </w:pPr>
            <w:r>
              <w:rPr>
                <w:rStyle w:val="Textoennegrita"/>
                <w:rFonts w:ascii="BK-Sans" w:hAnsi="BK-Sans"/>
                <w:color w:val="191B1C"/>
              </w:rPr>
              <w:t>Desde</w:t>
            </w:r>
          </w:p>
        </w:tc>
        <w:tc>
          <w:tcPr>
            <w:tcW w:w="2286" w:type="dxa"/>
            <w:shd w:val="clear" w:color="auto" w:fill="EEEEEE"/>
            <w:vAlign w:val="center"/>
            <w:hideMark/>
          </w:tcPr>
          <w:p w14:paraId="46557D49" w14:textId="77777777" w:rsidR="00806FC5" w:rsidRDefault="00806FC5">
            <w:pPr>
              <w:pStyle w:val="NormalWeb"/>
              <w:spacing w:before="0" w:beforeAutospacing="0"/>
              <w:rPr>
                <w:rFonts w:ascii="BK-Sans" w:hAnsi="BK-Sans"/>
                <w:color w:val="5C6780"/>
              </w:rPr>
            </w:pPr>
            <w:r>
              <w:rPr>
                <w:rStyle w:val="Textoennegrita"/>
                <w:rFonts w:ascii="BK-Sans" w:hAnsi="BK-Sans"/>
                <w:color w:val="191B1C"/>
              </w:rPr>
              <w:t>Hasta</w:t>
            </w:r>
          </w:p>
        </w:tc>
        <w:tc>
          <w:tcPr>
            <w:tcW w:w="0" w:type="auto"/>
            <w:vMerge/>
            <w:shd w:val="clear" w:color="auto" w:fill="FFFFFF"/>
            <w:vAlign w:val="center"/>
            <w:hideMark/>
          </w:tcPr>
          <w:p w14:paraId="58B4403F" w14:textId="77777777" w:rsidR="00806FC5" w:rsidRDefault="00806FC5">
            <w:pPr>
              <w:rPr>
                <w:rFonts w:ascii="BK-Sans" w:hAnsi="BK-Sans"/>
                <w:color w:val="5C6780"/>
              </w:rPr>
            </w:pPr>
          </w:p>
        </w:tc>
      </w:tr>
      <w:tr w:rsidR="00806FC5" w14:paraId="3B240516" w14:textId="77777777" w:rsidTr="00806FC5">
        <w:trPr>
          <w:tblCellSpacing w:w="15" w:type="dxa"/>
        </w:trPr>
        <w:tc>
          <w:tcPr>
            <w:tcW w:w="2286" w:type="dxa"/>
            <w:shd w:val="clear" w:color="auto" w:fill="FFFFFF"/>
            <w:vAlign w:val="center"/>
            <w:hideMark/>
          </w:tcPr>
          <w:p w14:paraId="3A2EF14E" w14:textId="77777777" w:rsidR="00806FC5" w:rsidRDefault="00806FC5">
            <w:pPr>
              <w:pStyle w:val="NormalWeb"/>
              <w:spacing w:before="0" w:beforeAutospacing="0"/>
              <w:rPr>
                <w:rFonts w:ascii="BK-Sans" w:hAnsi="BK-Sans"/>
                <w:color w:val="5C6780"/>
              </w:rPr>
            </w:pPr>
            <w:r>
              <w:rPr>
                <w:rFonts w:ascii="BK-Sans" w:hAnsi="BK-Sans"/>
                <w:color w:val="5C6780"/>
              </w:rPr>
              <w:t>0 €</w:t>
            </w:r>
          </w:p>
        </w:tc>
        <w:tc>
          <w:tcPr>
            <w:tcW w:w="2286" w:type="dxa"/>
            <w:shd w:val="clear" w:color="auto" w:fill="FFFFFF"/>
            <w:vAlign w:val="center"/>
            <w:hideMark/>
          </w:tcPr>
          <w:p w14:paraId="35EBFF46" w14:textId="77777777" w:rsidR="00806FC5" w:rsidRDefault="00806FC5">
            <w:pPr>
              <w:pStyle w:val="NormalWeb"/>
              <w:spacing w:before="0" w:beforeAutospacing="0"/>
              <w:rPr>
                <w:rFonts w:ascii="BK-Sans" w:hAnsi="BK-Sans"/>
                <w:color w:val="5C6780"/>
              </w:rPr>
            </w:pPr>
            <w:r>
              <w:rPr>
                <w:rFonts w:ascii="BK-Sans" w:hAnsi="BK-Sans"/>
                <w:color w:val="5C6780"/>
              </w:rPr>
              <w:t>12.985 €</w:t>
            </w:r>
          </w:p>
        </w:tc>
        <w:tc>
          <w:tcPr>
            <w:tcW w:w="0" w:type="auto"/>
            <w:shd w:val="clear" w:color="auto" w:fill="FFFFFF"/>
            <w:vAlign w:val="center"/>
            <w:hideMark/>
          </w:tcPr>
          <w:p w14:paraId="39ACF446" w14:textId="77777777" w:rsidR="00806FC5" w:rsidRDefault="00806FC5">
            <w:pPr>
              <w:pStyle w:val="NormalWeb"/>
              <w:spacing w:before="0" w:beforeAutospacing="0"/>
              <w:rPr>
                <w:rFonts w:ascii="BK-Sans" w:hAnsi="BK-Sans"/>
                <w:color w:val="5C6780"/>
              </w:rPr>
            </w:pPr>
            <w:r>
              <w:rPr>
                <w:rFonts w:ascii="BK-Sans" w:hAnsi="BK-Sans"/>
                <w:color w:val="5C6780"/>
              </w:rPr>
              <w:t>9,00%</w:t>
            </w:r>
          </w:p>
        </w:tc>
      </w:tr>
      <w:tr w:rsidR="00806FC5" w14:paraId="4A3B6A5E" w14:textId="77777777" w:rsidTr="00806FC5">
        <w:trPr>
          <w:tblCellSpacing w:w="15" w:type="dxa"/>
        </w:trPr>
        <w:tc>
          <w:tcPr>
            <w:tcW w:w="2286" w:type="dxa"/>
            <w:shd w:val="clear" w:color="auto" w:fill="FFFFFF"/>
            <w:vAlign w:val="center"/>
            <w:hideMark/>
          </w:tcPr>
          <w:p w14:paraId="6FE3E6CB" w14:textId="77777777" w:rsidR="00806FC5" w:rsidRDefault="00806FC5">
            <w:pPr>
              <w:pStyle w:val="NormalWeb"/>
              <w:spacing w:before="0" w:beforeAutospacing="0"/>
              <w:rPr>
                <w:rFonts w:ascii="BK-Sans" w:hAnsi="BK-Sans"/>
                <w:color w:val="5C6780"/>
              </w:rPr>
            </w:pPr>
            <w:r>
              <w:rPr>
                <w:rFonts w:ascii="BK-Sans" w:hAnsi="BK-Sans"/>
                <w:color w:val="5C6780"/>
              </w:rPr>
              <w:t>12.985 €</w:t>
            </w:r>
          </w:p>
        </w:tc>
        <w:tc>
          <w:tcPr>
            <w:tcW w:w="2286" w:type="dxa"/>
            <w:shd w:val="clear" w:color="auto" w:fill="FFFFFF"/>
            <w:vAlign w:val="center"/>
            <w:hideMark/>
          </w:tcPr>
          <w:p w14:paraId="1519F6BB" w14:textId="77777777" w:rsidR="00806FC5" w:rsidRDefault="00806FC5">
            <w:pPr>
              <w:pStyle w:val="NormalWeb"/>
              <w:spacing w:before="0" w:beforeAutospacing="0"/>
              <w:rPr>
                <w:rFonts w:ascii="BK-Sans" w:hAnsi="BK-Sans"/>
                <w:color w:val="5C6780"/>
              </w:rPr>
            </w:pPr>
            <w:r>
              <w:rPr>
                <w:rFonts w:ascii="BK-Sans" w:hAnsi="BK-Sans"/>
                <w:color w:val="5C6780"/>
              </w:rPr>
              <w:t>21.068 €</w:t>
            </w:r>
          </w:p>
        </w:tc>
        <w:tc>
          <w:tcPr>
            <w:tcW w:w="0" w:type="auto"/>
            <w:shd w:val="clear" w:color="auto" w:fill="FFFFFF"/>
            <w:vAlign w:val="center"/>
            <w:hideMark/>
          </w:tcPr>
          <w:p w14:paraId="201B1683" w14:textId="77777777" w:rsidR="00806FC5" w:rsidRDefault="00806FC5">
            <w:pPr>
              <w:pStyle w:val="NormalWeb"/>
              <w:spacing w:before="0" w:beforeAutospacing="0"/>
              <w:rPr>
                <w:rFonts w:ascii="BK-Sans" w:hAnsi="BK-Sans"/>
                <w:color w:val="5C6780"/>
              </w:rPr>
            </w:pPr>
            <w:r>
              <w:rPr>
                <w:rFonts w:ascii="BK-Sans" w:hAnsi="BK-Sans"/>
                <w:color w:val="5C6780"/>
              </w:rPr>
              <w:t>11,65%</w:t>
            </w:r>
          </w:p>
        </w:tc>
      </w:tr>
      <w:tr w:rsidR="00806FC5" w14:paraId="29349A56" w14:textId="77777777" w:rsidTr="00806FC5">
        <w:trPr>
          <w:tblCellSpacing w:w="15" w:type="dxa"/>
        </w:trPr>
        <w:tc>
          <w:tcPr>
            <w:tcW w:w="2286" w:type="dxa"/>
            <w:shd w:val="clear" w:color="auto" w:fill="FFFFFF"/>
            <w:vAlign w:val="center"/>
            <w:hideMark/>
          </w:tcPr>
          <w:p w14:paraId="646C7CA0" w14:textId="77777777" w:rsidR="00806FC5" w:rsidRDefault="00806FC5">
            <w:pPr>
              <w:pStyle w:val="NormalWeb"/>
              <w:spacing w:before="0" w:beforeAutospacing="0"/>
              <w:rPr>
                <w:rFonts w:ascii="BK-Sans" w:hAnsi="BK-Sans"/>
                <w:color w:val="5C6780"/>
              </w:rPr>
            </w:pPr>
            <w:r>
              <w:rPr>
                <w:rFonts w:ascii="BK-Sans" w:hAnsi="BK-Sans"/>
                <w:color w:val="5C6780"/>
              </w:rPr>
              <w:t>21.068 €</w:t>
            </w:r>
          </w:p>
        </w:tc>
        <w:tc>
          <w:tcPr>
            <w:tcW w:w="2286" w:type="dxa"/>
            <w:shd w:val="clear" w:color="auto" w:fill="FFFFFF"/>
            <w:vAlign w:val="center"/>
            <w:hideMark/>
          </w:tcPr>
          <w:p w14:paraId="30F5F638" w14:textId="77777777" w:rsidR="00806FC5" w:rsidRDefault="00806FC5">
            <w:pPr>
              <w:pStyle w:val="NormalWeb"/>
              <w:spacing w:before="0" w:beforeAutospacing="0"/>
              <w:rPr>
                <w:rFonts w:ascii="BK-Sans" w:hAnsi="BK-Sans"/>
                <w:color w:val="5C6780"/>
              </w:rPr>
            </w:pPr>
            <w:r>
              <w:rPr>
                <w:rFonts w:ascii="BK-Sans" w:hAnsi="BK-Sans"/>
                <w:color w:val="5C6780"/>
              </w:rPr>
              <w:t>35.200 €</w:t>
            </w:r>
          </w:p>
        </w:tc>
        <w:tc>
          <w:tcPr>
            <w:tcW w:w="0" w:type="auto"/>
            <w:shd w:val="clear" w:color="auto" w:fill="FFFFFF"/>
            <w:vAlign w:val="center"/>
            <w:hideMark/>
          </w:tcPr>
          <w:p w14:paraId="66F391FE" w14:textId="77777777" w:rsidR="00806FC5" w:rsidRDefault="00806FC5">
            <w:pPr>
              <w:pStyle w:val="NormalWeb"/>
              <w:spacing w:before="0" w:beforeAutospacing="0"/>
              <w:rPr>
                <w:rFonts w:ascii="BK-Sans" w:hAnsi="BK-Sans"/>
                <w:color w:val="5C6780"/>
              </w:rPr>
            </w:pPr>
            <w:r>
              <w:rPr>
                <w:rFonts w:ascii="BK-Sans" w:hAnsi="BK-Sans"/>
                <w:color w:val="5C6780"/>
              </w:rPr>
              <w:t>14,90%</w:t>
            </w:r>
          </w:p>
        </w:tc>
      </w:tr>
      <w:tr w:rsidR="00806FC5" w14:paraId="3434853E" w14:textId="77777777" w:rsidTr="00806FC5">
        <w:trPr>
          <w:tblCellSpacing w:w="15" w:type="dxa"/>
        </w:trPr>
        <w:tc>
          <w:tcPr>
            <w:tcW w:w="2286" w:type="dxa"/>
            <w:shd w:val="clear" w:color="auto" w:fill="FFFFFF"/>
            <w:vAlign w:val="center"/>
            <w:hideMark/>
          </w:tcPr>
          <w:p w14:paraId="62119FA5" w14:textId="77777777" w:rsidR="00806FC5" w:rsidRDefault="00806FC5">
            <w:pPr>
              <w:pStyle w:val="NormalWeb"/>
              <w:spacing w:before="0" w:beforeAutospacing="0"/>
              <w:rPr>
                <w:rFonts w:ascii="BK-Sans" w:hAnsi="BK-Sans"/>
                <w:color w:val="5C6780"/>
              </w:rPr>
            </w:pPr>
            <w:r>
              <w:rPr>
                <w:rFonts w:ascii="BK-Sans" w:hAnsi="BK-Sans"/>
                <w:color w:val="5C6780"/>
              </w:rPr>
              <w:t>35.200 €</w:t>
            </w:r>
          </w:p>
        </w:tc>
        <w:tc>
          <w:tcPr>
            <w:tcW w:w="2286" w:type="dxa"/>
            <w:shd w:val="clear" w:color="auto" w:fill="FFFFFF"/>
            <w:vAlign w:val="center"/>
            <w:hideMark/>
          </w:tcPr>
          <w:p w14:paraId="592664F1" w14:textId="77777777" w:rsidR="00806FC5" w:rsidRDefault="00806FC5">
            <w:pPr>
              <w:pStyle w:val="NormalWeb"/>
              <w:spacing w:before="0" w:beforeAutospacing="0"/>
              <w:rPr>
                <w:rFonts w:ascii="BK-Sans" w:hAnsi="BK-Sans"/>
                <w:color w:val="5C6780"/>
              </w:rPr>
            </w:pPr>
            <w:r>
              <w:rPr>
                <w:rFonts w:ascii="BK-Sans" w:hAnsi="BK-Sans"/>
                <w:color w:val="5C6780"/>
              </w:rPr>
              <w:t>47.600 €</w:t>
            </w:r>
          </w:p>
        </w:tc>
        <w:tc>
          <w:tcPr>
            <w:tcW w:w="0" w:type="auto"/>
            <w:shd w:val="clear" w:color="auto" w:fill="FFFFFF"/>
            <w:vAlign w:val="center"/>
            <w:hideMark/>
          </w:tcPr>
          <w:p w14:paraId="30FB4FE3" w14:textId="77777777" w:rsidR="00806FC5" w:rsidRDefault="00806FC5">
            <w:pPr>
              <w:pStyle w:val="NormalWeb"/>
              <w:spacing w:before="0" w:beforeAutospacing="0"/>
              <w:rPr>
                <w:rFonts w:ascii="BK-Sans" w:hAnsi="BK-Sans"/>
                <w:color w:val="5C6780"/>
              </w:rPr>
            </w:pPr>
            <w:r>
              <w:rPr>
                <w:rFonts w:ascii="BK-Sans" w:hAnsi="BK-Sans"/>
                <w:color w:val="5C6780"/>
              </w:rPr>
              <w:t>18,40%</w:t>
            </w:r>
          </w:p>
        </w:tc>
      </w:tr>
      <w:tr w:rsidR="00806FC5" w14:paraId="5B4DDEF8" w14:textId="77777777" w:rsidTr="00806FC5">
        <w:trPr>
          <w:tblCellSpacing w:w="15" w:type="dxa"/>
        </w:trPr>
        <w:tc>
          <w:tcPr>
            <w:tcW w:w="2286" w:type="dxa"/>
            <w:shd w:val="clear" w:color="auto" w:fill="FFFFFF"/>
            <w:vAlign w:val="center"/>
            <w:hideMark/>
          </w:tcPr>
          <w:p w14:paraId="5DE863D4" w14:textId="77777777" w:rsidR="00806FC5" w:rsidRDefault="00806FC5">
            <w:pPr>
              <w:pStyle w:val="NormalWeb"/>
              <w:spacing w:before="0" w:beforeAutospacing="0"/>
              <w:rPr>
                <w:rFonts w:ascii="BK-Sans" w:hAnsi="BK-Sans"/>
                <w:color w:val="5C6780"/>
              </w:rPr>
            </w:pPr>
            <w:r>
              <w:rPr>
                <w:rFonts w:ascii="BK-Sans" w:hAnsi="BK-Sans"/>
                <w:color w:val="5C6780"/>
              </w:rPr>
              <w:t>60.000 €</w:t>
            </w:r>
          </w:p>
        </w:tc>
        <w:tc>
          <w:tcPr>
            <w:tcW w:w="2286" w:type="dxa"/>
            <w:shd w:val="clear" w:color="auto" w:fill="FFFFFF"/>
            <w:vAlign w:val="center"/>
            <w:hideMark/>
          </w:tcPr>
          <w:p w14:paraId="374AA0B8" w14:textId="77777777" w:rsidR="00806FC5" w:rsidRDefault="00806FC5">
            <w:pPr>
              <w:pStyle w:val="NormalWeb"/>
              <w:spacing w:before="0" w:beforeAutospacing="0"/>
              <w:rPr>
                <w:rFonts w:ascii="BK-Sans" w:hAnsi="BK-Sans"/>
                <w:color w:val="5C6780"/>
              </w:rPr>
            </w:pPr>
            <w:r>
              <w:rPr>
                <w:rFonts w:ascii="BK-Sans" w:hAnsi="BK-Sans"/>
                <w:color w:val="5C6780"/>
              </w:rPr>
              <w:t>En adelante</w:t>
            </w:r>
          </w:p>
        </w:tc>
        <w:tc>
          <w:tcPr>
            <w:tcW w:w="0" w:type="auto"/>
            <w:shd w:val="clear" w:color="auto" w:fill="FFFFFF"/>
            <w:vAlign w:val="center"/>
            <w:hideMark/>
          </w:tcPr>
          <w:p w14:paraId="4504917A" w14:textId="77777777" w:rsidR="00806FC5" w:rsidRDefault="00806FC5">
            <w:pPr>
              <w:pStyle w:val="NormalWeb"/>
              <w:spacing w:before="0" w:beforeAutospacing="0"/>
              <w:rPr>
                <w:rFonts w:ascii="BK-Sans" w:hAnsi="BK-Sans"/>
                <w:color w:val="5C6780"/>
              </w:rPr>
            </w:pPr>
            <w:r>
              <w:rPr>
                <w:rFonts w:ascii="BK-Sans" w:hAnsi="BK-Sans"/>
                <w:color w:val="5C6780"/>
              </w:rPr>
              <w:t>22,50%</w:t>
            </w:r>
          </w:p>
        </w:tc>
      </w:tr>
    </w:tbl>
    <w:p w14:paraId="2C3B0A8C" w14:textId="77777777" w:rsidR="00806FC5" w:rsidRPr="00CF1B34" w:rsidRDefault="00806FC5" w:rsidP="00806FC5">
      <w:pPr>
        <w:pBdr>
          <w:bottom w:val="dotted" w:sz="12" w:space="12" w:color="666666"/>
        </w:pBdr>
        <w:spacing w:after="240"/>
        <w:ind w:left="720"/>
        <w:jc w:val="both"/>
        <w:rPr>
          <w:rFonts w:ascii="Arial" w:hAnsi="Arial" w:cs="Arial"/>
          <w:color w:val="212529"/>
          <w:sz w:val="22"/>
          <w:szCs w:val="22"/>
          <w:lang w:val="es-ES_tradnl"/>
        </w:rPr>
      </w:pPr>
    </w:p>
    <w:p w14:paraId="0CABCF3E" w14:textId="0945A291" w:rsidR="00357026" w:rsidRPr="00CF1B34" w:rsidRDefault="0035702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Retorno</w:t>
      </w:r>
    </w:p>
    <w:p w14:paraId="77CC0464" w14:textId="77777777" w:rsidR="00357026" w:rsidRPr="00CF1B34" w:rsidRDefault="0035702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Nivel de beneficios que reporta una inversión. Se usa como referencia. Es el concepto opuesto de la devaluación</w:t>
      </w:r>
      <w:r w:rsidRPr="00CF1B34">
        <w:rPr>
          <w:rFonts w:ascii="Arial" w:hAnsi="Arial" w:cs="Arial"/>
          <w:b/>
          <w:bCs/>
          <w:color w:val="004773"/>
          <w:sz w:val="22"/>
          <w:szCs w:val="22"/>
          <w:lang w:val="es-ES_tradnl"/>
        </w:rPr>
        <w:t>.</w:t>
      </w:r>
    </w:p>
    <w:p w14:paraId="68D160A5" w14:textId="1B857658" w:rsidR="00357026" w:rsidRPr="00CF1B34" w:rsidRDefault="0035702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Revaluación</w:t>
      </w:r>
    </w:p>
    <w:p w14:paraId="11BAFA01" w14:textId="77777777" w:rsidR="00357026" w:rsidRPr="00CF1B34" w:rsidRDefault="0035702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apreciación de la moneda de un país frente a otra moneda de referencia. Es el concepto opuesto a la devaluación</w:t>
      </w:r>
      <w:r w:rsidRPr="00CF1B34">
        <w:rPr>
          <w:rFonts w:ascii="Arial" w:hAnsi="Arial" w:cs="Arial"/>
          <w:b/>
          <w:bCs/>
          <w:color w:val="004773"/>
          <w:sz w:val="22"/>
          <w:szCs w:val="22"/>
          <w:lang w:val="es-ES_tradnl"/>
        </w:rPr>
        <w:t>.</w:t>
      </w:r>
    </w:p>
    <w:p w14:paraId="27E6792D" w14:textId="6A642252" w:rsidR="00806FC5" w:rsidRDefault="00806FC5"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Revisión hipotecaria</w:t>
      </w:r>
    </w:p>
    <w:p w14:paraId="6952867C" w14:textId="77777777" w:rsidR="00B56B0A" w:rsidRPr="00CF1B34" w:rsidRDefault="00B56B0A" w:rsidP="00B56B0A">
      <w:pPr>
        <w:pBdr>
          <w:bottom w:val="dotted" w:sz="12" w:space="12" w:color="666666"/>
        </w:pBdr>
        <w:spacing w:after="240"/>
        <w:ind w:left="720"/>
        <w:jc w:val="both"/>
        <w:rPr>
          <w:rFonts w:ascii="Arial" w:hAnsi="Arial" w:cs="Arial"/>
          <w:color w:val="212529"/>
          <w:sz w:val="22"/>
          <w:szCs w:val="22"/>
          <w:lang w:val="es-ES_tradnl"/>
        </w:rPr>
      </w:pPr>
      <w:r w:rsidRPr="00B56B0A">
        <w:rPr>
          <w:rFonts w:ascii="Arial" w:hAnsi="Arial" w:cs="Arial"/>
          <w:sz w:val="22"/>
          <w:szCs w:val="22"/>
        </w:rPr>
        <w:t>La revisión de la hipoteca es el momento en el que el banco actualiza el índice de referencia en la</w:t>
      </w:r>
      <w:r>
        <w:rPr>
          <w:rFonts w:ascii="Arial" w:hAnsi="Arial" w:cs="Arial"/>
          <w:sz w:val="22"/>
          <w:szCs w:val="22"/>
        </w:rPr>
        <w:t>s</w:t>
      </w:r>
      <w:r w:rsidRPr="00B56B0A">
        <w:rPr>
          <w:rFonts w:ascii="Arial" w:hAnsi="Arial" w:cs="Arial"/>
          <w:sz w:val="22"/>
          <w:szCs w:val="22"/>
        </w:rPr>
        <w:t xml:space="preserve"> hipotecas a tipo variable para adaptarlo a la nueva realidad del mercado. Esta revisión puede ser semestral o anual y debe de estar estipulada en la escritura hipotecaria</w:t>
      </w:r>
    </w:p>
    <w:p w14:paraId="469BBEA0" w14:textId="08CA5D64"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w:t>
      </w:r>
    </w:p>
    <w:p w14:paraId="5FECDC0F" w14:textId="700860E8"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Desde un punto de vista financiero, el riesgo significa incertidumbre sobre la evolución de un activo, e indica la posibilidad de que una inversión ofrezca un rendimiento distinto del esperado (tanto a favor como en contra del inversor, aunque lógicamente a éste sólo le preocupa el riesgo de registrar pérdidas). Los distintos tipos de riesgos relacionados con los valores negociables se detallan en las secciones</w:t>
      </w:r>
      <w:r w:rsidR="008E62EC" w:rsidRPr="00CF1B34">
        <w:rPr>
          <w:rFonts w:ascii="Arial" w:hAnsi="Arial" w:cs="Arial"/>
          <w:color w:val="212529"/>
          <w:sz w:val="22"/>
          <w:szCs w:val="22"/>
          <w:lang w:val="es-ES_tradnl"/>
        </w:rPr>
        <w:t xml:space="preserve"> </w:t>
      </w:r>
      <w:hyperlink r:id="rId331" w:tgtFrame="_self" w:history="1">
        <w:r w:rsidRPr="00CF1B34">
          <w:rPr>
            <w:rFonts w:ascii="Arial" w:hAnsi="Arial" w:cs="Arial"/>
            <w:b/>
            <w:bCs/>
            <w:color w:val="2F5496" w:themeColor="accent1" w:themeShade="BF"/>
            <w:sz w:val="22"/>
            <w:szCs w:val="22"/>
            <w:u w:val="single"/>
            <w:lang w:val="es-ES_tradnl"/>
          </w:rPr>
          <w:t>Renta fija</w:t>
        </w:r>
      </w:hyperlink>
      <w:r w:rsidRPr="00CF1B34">
        <w:rPr>
          <w:rFonts w:ascii="Arial" w:hAnsi="Arial" w:cs="Arial"/>
          <w:color w:val="2F5496" w:themeColor="accent1" w:themeShade="BF"/>
          <w:sz w:val="22"/>
          <w:szCs w:val="22"/>
          <w:lang w:val="es-ES_tradnl"/>
        </w:rPr>
        <w:t xml:space="preserve">. </w:t>
      </w:r>
      <w:r w:rsidRPr="00CF1B34">
        <w:rPr>
          <w:rFonts w:ascii="Arial" w:hAnsi="Arial" w:cs="Arial"/>
          <w:color w:val="212529"/>
          <w:sz w:val="22"/>
          <w:szCs w:val="22"/>
          <w:lang w:val="es-ES_tradnl"/>
        </w:rPr>
        <w:t>Factores de riesgo y Riesgos de la inversión en renta variable.</w:t>
      </w:r>
    </w:p>
    <w:p w14:paraId="5EDEA9C8" w14:textId="0A4D1DAC" w:rsidR="008127C6" w:rsidRPr="00CF1B34" w:rsidRDefault="008127C6"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de cambio</w:t>
      </w:r>
    </w:p>
    <w:p w14:paraId="4D23A474" w14:textId="77777777" w:rsidR="00AD646A" w:rsidRPr="00CF1B34" w:rsidRDefault="00AD646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refiere a la posible generación de perdidas en el valor de los activos, pasivos o compromisos reflejados en cuentas de orden, como resultado de fluctuaciones en la cotización de las divisas en que aquellos se denominen.</w:t>
      </w:r>
    </w:p>
    <w:p w14:paraId="1CC326C9" w14:textId="1EFCD40C"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de crédito o contraparte</w:t>
      </w:r>
    </w:p>
    <w:p w14:paraId="05B39FC0" w14:textId="22A01F85"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Riesgo de que el emisor de un valor no atienda sus obligaciones de pago en la fecha de vencimiento. Este riesgo es prácticamente nulo cuando se trata del Estado. Existen empresas independientes que califican las emisiones de renta fija según el riesgo de crédito del emisor (entidades de rating). Ver</w:t>
      </w:r>
      <w:r w:rsidR="009A02A7" w:rsidRPr="00CF1B34">
        <w:rPr>
          <w:rFonts w:ascii="Arial" w:hAnsi="Arial" w:cs="Arial"/>
          <w:color w:val="212529"/>
          <w:sz w:val="22"/>
          <w:szCs w:val="22"/>
          <w:lang w:val="es-ES_tradnl"/>
        </w:rPr>
        <w:t xml:space="preserve"> </w:t>
      </w:r>
      <w:hyperlink r:id="rId332" w:tgtFrame="_self" w:history="1">
        <w:r w:rsidRPr="00CF1B34">
          <w:rPr>
            <w:rFonts w:ascii="Arial" w:hAnsi="Arial" w:cs="Arial"/>
            <w:b/>
            <w:bCs/>
            <w:color w:val="2F5496" w:themeColor="accent1" w:themeShade="BF"/>
            <w:sz w:val="22"/>
            <w:szCs w:val="22"/>
            <w:u w:val="single"/>
            <w:lang w:val="es-ES_tradnl"/>
          </w:rPr>
          <w:t>Rating</w:t>
        </w:r>
      </w:hyperlink>
      <w:r w:rsidR="009A02A7"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y</w:t>
      </w:r>
      <w:r w:rsidR="009A02A7" w:rsidRPr="00CF1B34">
        <w:rPr>
          <w:rFonts w:ascii="Arial" w:hAnsi="Arial" w:cs="Arial"/>
          <w:color w:val="212529"/>
          <w:sz w:val="22"/>
          <w:szCs w:val="22"/>
          <w:lang w:val="es-ES_tradnl"/>
        </w:rPr>
        <w:t xml:space="preserve"> </w:t>
      </w:r>
      <w:hyperlink r:id="rId333" w:tgtFrame="_self" w:history="1">
        <w:r w:rsidRPr="00CF1B34">
          <w:rPr>
            <w:rFonts w:ascii="Arial" w:hAnsi="Arial" w:cs="Arial"/>
            <w:b/>
            <w:bCs/>
            <w:color w:val="2F5496" w:themeColor="accent1" w:themeShade="BF"/>
            <w:sz w:val="22"/>
            <w:szCs w:val="22"/>
            <w:u w:val="single"/>
            <w:lang w:val="es-ES_tradnl"/>
          </w:rPr>
          <w:t>Agencias de calificación creditic</w:t>
        </w:r>
        <w:r w:rsidR="009A02A7" w:rsidRPr="00CF1B34">
          <w:rPr>
            <w:rFonts w:ascii="Arial" w:hAnsi="Arial" w:cs="Arial"/>
            <w:b/>
            <w:bCs/>
            <w:color w:val="2F5496" w:themeColor="accent1" w:themeShade="BF"/>
            <w:sz w:val="22"/>
            <w:szCs w:val="22"/>
            <w:u w:val="single"/>
            <w:lang w:val="es-ES_tradnl"/>
          </w:rPr>
          <w:t>i</w:t>
        </w:r>
        <w:r w:rsidRPr="00CF1B34">
          <w:rPr>
            <w:rFonts w:ascii="Arial" w:hAnsi="Arial" w:cs="Arial"/>
            <w:b/>
            <w:bCs/>
            <w:color w:val="2F5496" w:themeColor="accent1" w:themeShade="BF"/>
            <w:sz w:val="22"/>
            <w:szCs w:val="22"/>
            <w:u w:val="single"/>
            <w:lang w:val="es-ES_tradnl"/>
          </w:rPr>
          <w:t>a</w:t>
        </w:r>
      </w:hyperlink>
      <w:r w:rsidRPr="00CF1B34">
        <w:rPr>
          <w:rFonts w:ascii="Arial" w:hAnsi="Arial" w:cs="Arial"/>
          <w:color w:val="2F5496" w:themeColor="accent1" w:themeShade="BF"/>
          <w:sz w:val="22"/>
          <w:szCs w:val="22"/>
          <w:lang w:val="es-ES_tradnl"/>
        </w:rPr>
        <w:t>.</w:t>
      </w:r>
    </w:p>
    <w:p w14:paraId="57043B1A"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de divisa o de tipo de cambio</w:t>
      </w:r>
    </w:p>
    <w:p w14:paraId="585C30AE"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Posibilidad de que el valor de las inversiones se vea afectado por las variaciones en los tipos de cambio. Por ejemplo, si un inversor adquiere valores expresados en dólares, la depreciación (pérdida de valor) del dólar frente al euro incidiría de forma negativa en el precio.</w:t>
      </w:r>
    </w:p>
    <w:p w14:paraId="63C4740D"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de liquidez</w:t>
      </w:r>
    </w:p>
    <w:p w14:paraId="02A505B2"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Posible penalización en el precio de un valor, en caso de que se necesite deshacer la inversión para recuperar el capital con rapidez. Con carácter general, puede decirse que los valores cotizados son más líquidos que los que no cotizan, ya que hay más posibilidades de encontrar contrapartidas a un precio razonable (en ocasiones los no cotizados incorporan algún tipo de cláusula o garantía de liquidez por parte del emisor o un tercero, aunque no existe transparencia en cuanto al precio). Cuanto menos líquido es un valor, mayor es la disminución en el precio que debe aceptar el inversor para vender sus valores. En casos de iliquidez extrema, puede llegar a resultar imposible recuperar la inversión en el momento deseado.</w:t>
      </w:r>
    </w:p>
    <w:p w14:paraId="0FD83185"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de mercado</w:t>
      </w:r>
    </w:p>
    <w:p w14:paraId="73F0631A" w14:textId="6451A7CD" w:rsidR="00A23A19" w:rsidRPr="00CF1B34" w:rsidRDefault="00A23A19"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lastRenderedPageBreak/>
        <w:t>Es la pérdida potencial debida a alteraciones en los factores que determinan el precio de un valor: tipos de interés, tipos de cambio, etc. Ver</w:t>
      </w:r>
      <w:r w:rsidR="00E12F67" w:rsidRPr="00CF1B34">
        <w:rPr>
          <w:rFonts w:ascii="Arial" w:hAnsi="Arial" w:cs="Arial"/>
          <w:color w:val="212529"/>
          <w:sz w:val="22"/>
          <w:szCs w:val="22"/>
          <w:lang w:val="es-ES_tradnl"/>
        </w:rPr>
        <w:t xml:space="preserve"> </w:t>
      </w:r>
      <w:hyperlink r:id="rId334" w:tgtFrame="_self" w:history="1">
        <w:r w:rsidRPr="00CF1B34">
          <w:rPr>
            <w:rFonts w:ascii="Arial" w:hAnsi="Arial" w:cs="Arial"/>
            <w:b/>
            <w:bCs/>
            <w:color w:val="2F5496" w:themeColor="accent1" w:themeShade="BF"/>
            <w:sz w:val="22"/>
            <w:szCs w:val="22"/>
            <w:u w:val="single"/>
            <w:lang w:val="es-ES_tradnl"/>
          </w:rPr>
          <w:t>Riesgo sistemático</w:t>
        </w:r>
      </w:hyperlink>
      <w:r w:rsidRPr="00CF1B34">
        <w:rPr>
          <w:rFonts w:ascii="Arial" w:hAnsi="Arial" w:cs="Arial"/>
          <w:color w:val="2F5496" w:themeColor="accent1" w:themeShade="BF"/>
          <w:sz w:val="22"/>
          <w:szCs w:val="22"/>
          <w:lang w:val="es-ES_tradnl"/>
        </w:rPr>
        <w:t>.</w:t>
      </w:r>
    </w:p>
    <w:p w14:paraId="6816DE98"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de reinversión</w:t>
      </w:r>
    </w:p>
    <w:p w14:paraId="50665AB0"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que asume el tenedor de un valor de renta fija, como consecuencia del efecto que pueda tener la evolución de los tipos de interés al volver a invertir los flujos derivados de su inversión. Se produce siempre por los flujos de caja generados, y también por el reembolso del principal o por el precio de mercado del activo, en caso de que el horizonte temporal de la inversión no coincida con la fecha de vencimiento de éste. Las variaciones de los tipos de interés producirán una mayor o menor rentabilidad en la reinversión de los flujos de caja, respecto de la inicialmente prevista; por otro lado, al vencimiento del activo, si es necesario reinvertir el capital, el nivel de los tipos de interés determinará una mayor o menor rentabilidad de la inversión en el último periodo. En los bonos cupón cero no existe riesgo de reinversión porque se percibe un único flujo al vencimiento.</w:t>
      </w:r>
    </w:p>
    <w:p w14:paraId="01B1FA3E"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de sostenibilidad</w:t>
      </w:r>
    </w:p>
    <w:p w14:paraId="23D9CA02"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Todo acontecimiento o estado medioambiental, social o de buen gobierno que, de ocurrir, pudiera tener un efecto material negativo real o posible sobre el valor de la inversión (o sobre el medio ambiente o la sociedad).</w:t>
      </w:r>
    </w:p>
    <w:p w14:paraId="75276C04"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de tipo de interés</w:t>
      </w:r>
    </w:p>
    <w:p w14:paraId="0467DCA1"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Posibles variaciones en el precio de un valor de renta fija como consecuencia de la evolución de los tipos de interés. Cuando los tipos de interés suben, el precio de la renta fija en cartera disminuye (ya que las nuevas emisiones ofrecerán tipos más atractivos que las antiguas que se negocian en los mercados, por lo que el precio de éstas debe descender para una rentabilidad equivalente) y a la inversa. Este riesgo aumenta cuanto mayor sea el plazo de vencimiento de los activos. </w:t>
      </w:r>
    </w:p>
    <w:p w14:paraId="1F87B3AE"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operativo o de procedimiento</w:t>
      </w:r>
    </w:p>
    <w:p w14:paraId="3404CD9D"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Riesgo de errores en la transmisión y ejecución de instrucciones de compra o venta de valores, por parte de las entidades intermediarias. Puede deberse a fallos informáticos, deficiencias en los sistemas de control o errores humanos. Su control exige una verificación estricta de los contenidos de las órdenes y la posterior comprobación de que las ejecuciones se corresponden con las instrucciones recibidas y la situación del mercado.</w:t>
      </w:r>
    </w:p>
    <w:p w14:paraId="3750CABD"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país</w:t>
      </w:r>
    </w:p>
    <w:p w14:paraId="317E922C"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riesgo de crédito de una inversión, que no depende de la solvencia del emisor, sino de la de su país de origen. Por ejemplo, hay riesgo país si existe la posibilidad de que un Estado decida suspender la transferencia de capitales al exterior, bloqueando los pagos, o retirar en su caso el aval público a una entidad; algunos países incluso han suspendido, en un momento u otro, los pagos de intereses y/o principal de la deuda pública. El riesgo país es prácticamente inexistente en los Estados occidentales con monedas estables.</w:t>
      </w:r>
    </w:p>
    <w:p w14:paraId="61D10DDF" w14:textId="7BC73779" w:rsidR="00995A69" w:rsidRPr="00CF1B34" w:rsidRDefault="00995A6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Riesgo no sistem</w:t>
      </w:r>
      <w:r w:rsidR="003C3778" w:rsidRPr="00CF1B34">
        <w:rPr>
          <w:rFonts w:ascii="Arial" w:hAnsi="Arial" w:cs="Arial"/>
          <w:b/>
          <w:bCs/>
          <w:color w:val="004773"/>
          <w:sz w:val="22"/>
          <w:szCs w:val="22"/>
          <w:lang w:val="es-ES_tradnl"/>
        </w:rPr>
        <w:t>á</w:t>
      </w:r>
      <w:r w:rsidRPr="00CF1B34">
        <w:rPr>
          <w:rFonts w:ascii="Arial" w:hAnsi="Arial" w:cs="Arial"/>
          <w:b/>
          <w:bCs/>
          <w:color w:val="004773"/>
          <w:sz w:val="22"/>
          <w:szCs w:val="22"/>
          <w:lang w:val="es-ES_tradnl"/>
        </w:rPr>
        <w:t>tico</w:t>
      </w:r>
      <w:r w:rsidR="003C3778" w:rsidRPr="00CF1B34">
        <w:rPr>
          <w:rFonts w:ascii="Arial" w:hAnsi="Arial" w:cs="Arial"/>
          <w:b/>
          <w:bCs/>
          <w:color w:val="004773"/>
          <w:sz w:val="22"/>
          <w:szCs w:val="22"/>
          <w:lang w:val="es-ES_tradnl"/>
        </w:rPr>
        <w:t xml:space="preserve"> </w:t>
      </w:r>
    </w:p>
    <w:p w14:paraId="2D95C159" w14:textId="77777777" w:rsidR="003C3778" w:rsidRPr="00CF1B34" w:rsidRDefault="003C377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riesgo especifico de una acción que puede eliminarse mediante una adecuada diversificación de la cartera.</w:t>
      </w:r>
    </w:p>
    <w:p w14:paraId="5FBA6FD5" w14:textId="6D1F52E5"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 xml:space="preserve">Riesgo </w:t>
      </w:r>
      <w:r w:rsidR="00B56B0A">
        <w:rPr>
          <w:rFonts w:ascii="Arial" w:hAnsi="Arial" w:cs="Arial"/>
          <w:b/>
          <w:bCs/>
          <w:color w:val="004773"/>
          <w:sz w:val="22"/>
          <w:szCs w:val="22"/>
          <w:lang w:val="es-ES_tradnl"/>
        </w:rPr>
        <w:t>sistemático o sistémico</w:t>
      </w:r>
    </w:p>
    <w:p w14:paraId="0E613405"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También llamado riesgo de mercado, no se debe a las características concretas de un valor, sino que depende de factores genéricos que afectan a la evolución de los precios en los mercados de valores (situación económica general, noticias de índole política, etc). Este riesgo no puede controlarse ni reducirse mediante la diversificación, ya que se debe a factores que repercuten sobre el mercado en su conjunto (en general, se considera que es el mínimo riesgo alcanzable mediante la diversificación de la cartera). Se denomina riesgo de mercado porque constituye el indicador del riesgo agregado de todas las compañías que en él cotizan, referido a un periodo de tiempo determinado. Para estimar con posterioridad el riesgo sistemático de un mercado, se suele realizar una medición del riesgo de sus índices de referencia, a través de la desviación típica de las series históricas de tales indicadores.</w:t>
      </w:r>
    </w:p>
    <w:p w14:paraId="42155E09"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ROA (Return on Assets)</w:t>
      </w:r>
    </w:p>
    <w:p w14:paraId="48C55E47"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Ratio que indica la rentabilidad de una empresa en relación con su activo total; indica el rendimiento que se está obteniendo de los activos. Se calcula dividiendo el beneficio neto entre el activo total.</w:t>
      </w:r>
    </w:p>
    <w:p w14:paraId="56BEAFEB" w14:textId="77777777"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ROE (Return on Equity)</w:t>
      </w:r>
    </w:p>
    <w:p w14:paraId="6C6FBA50"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Ratio que indica la relación entre el beneficio neto obtenido por la sociedad y sus recursos propios, ofreciendo una medida de la rentabilidad que ofrecen los propietarios de la empresa, es decir, sus accionistas.</w:t>
      </w:r>
    </w:p>
    <w:p w14:paraId="4C693D6C" w14:textId="355E4E25" w:rsidR="00995A69" w:rsidRPr="00CF1B34" w:rsidRDefault="00995A6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Roll-over (ó Time Spread)</w:t>
      </w:r>
    </w:p>
    <w:p w14:paraId="78B1474E" w14:textId="77777777" w:rsidR="003C3778" w:rsidRPr="00CF1B34" w:rsidRDefault="003C377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Operativa que consiste en la ejecución simultánea de dos contratos de futuro de distinto vencimiento realizando un contrato de compra en uno de los plazos; mientras </w:t>
      </w:r>
      <w:proofErr w:type="gramStart"/>
      <w:r w:rsidRPr="00CF1B34">
        <w:rPr>
          <w:rFonts w:ascii="Arial" w:hAnsi="Arial" w:cs="Arial"/>
          <w:color w:val="000000" w:themeColor="text1"/>
          <w:sz w:val="22"/>
          <w:szCs w:val="22"/>
          <w:lang w:val="es-ES_tradnl"/>
        </w:rPr>
        <w:t>que</w:t>
      </w:r>
      <w:proofErr w:type="gramEnd"/>
      <w:r w:rsidRPr="00CF1B34">
        <w:rPr>
          <w:rFonts w:ascii="Arial" w:hAnsi="Arial" w:cs="Arial"/>
          <w:color w:val="000000" w:themeColor="text1"/>
          <w:sz w:val="22"/>
          <w:szCs w:val="22"/>
          <w:lang w:val="es-ES_tradnl"/>
        </w:rPr>
        <w:t xml:space="preserve"> en el otro plazo o vencimiento, se realiza una operación de venta.</w:t>
      </w:r>
    </w:p>
    <w:p w14:paraId="3BE73759" w14:textId="04FC215E" w:rsidR="00744F5F" w:rsidRDefault="00744F5F"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RSC (Responsabilidad Social Corporativa)</w:t>
      </w:r>
    </w:p>
    <w:p w14:paraId="16EC064B" w14:textId="4BE9DA57" w:rsidR="00744F5F" w:rsidRPr="00744F5F" w:rsidRDefault="00744F5F" w:rsidP="005139AD">
      <w:pPr>
        <w:ind w:left="708"/>
        <w:rPr>
          <w:rFonts w:ascii="Arial" w:hAnsi="Arial" w:cs="Arial"/>
          <w:sz w:val="22"/>
          <w:szCs w:val="22"/>
        </w:rPr>
      </w:pPr>
      <w:r w:rsidRPr="00744F5F">
        <w:rPr>
          <w:rFonts w:ascii="Arial" w:hAnsi="Arial" w:cs="Arial"/>
          <w:color w:val="333333"/>
          <w:sz w:val="22"/>
          <w:szCs w:val="22"/>
          <w:shd w:val="clear" w:color="auto" w:fill="FFFFFF"/>
        </w:rPr>
        <w:t>La Responsabilidad Social Corporativa (RSC)</w:t>
      </w:r>
      <w:r>
        <w:rPr>
          <w:rFonts w:ascii="Arial" w:hAnsi="Arial" w:cs="Arial"/>
          <w:color w:val="333333"/>
          <w:sz w:val="22"/>
          <w:szCs w:val="22"/>
          <w:shd w:val="clear" w:color="auto" w:fill="FFFFFF"/>
        </w:rPr>
        <w:t xml:space="preserve"> </w:t>
      </w:r>
      <w:r w:rsidRPr="00744F5F">
        <w:rPr>
          <w:rStyle w:val="Textoennegrita"/>
          <w:rFonts w:ascii="Arial" w:hAnsi="Arial" w:cs="Arial"/>
          <w:color w:val="333333"/>
          <w:sz w:val="22"/>
          <w:szCs w:val="22"/>
          <w:shd w:val="clear" w:color="auto" w:fill="FFFFFF"/>
        </w:rPr>
        <w:t>es la forma de conducir los negocios de las empresas que se caracteriza por tener en cuenta los impactos que todos los aspectos de sus actividades generan sobre sus clientes, plantilla, accionariado, comunidades locales, medio ambiente y sobre la sociedad en general.</w:t>
      </w:r>
    </w:p>
    <w:p w14:paraId="4A1D1A1B" w14:textId="77777777" w:rsidR="00744F5F" w:rsidRPr="00744F5F" w:rsidRDefault="00744F5F" w:rsidP="005139AD">
      <w:pPr>
        <w:pStyle w:val="NormalWeb"/>
        <w:shd w:val="clear" w:color="auto" w:fill="FFFFFF"/>
        <w:spacing w:before="0" w:beforeAutospacing="0" w:after="165" w:afterAutospacing="0"/>
        <w:ind w:firstLine="708"/>
        <w:rPr>
          <w:rFonts w:ascii="Arial" w:hAnsi="Arial" w:cs="Arial"/>
          <w:color w:val="333333"/>
          <w:sz w:val="22"/>
          <w:szCs w:val="22"/>
        </w:rPr>
      </w:pPr>
      <w:r w:rsidRPr="00744F5F">
        <w:rPr>
          <w:rFonts w:ascii="Arial" w:hAnsi="Arial" w:cs="Arial"/>
          <w:color w:val="333333"/>
          <w:sz w:val="22"/>
          <w:szCs w:val="22"/>
        </w:rPr>
        <w:t>Según el Observatorio de RSC,</w:t>
      </w:r>
    </w:p>
    <w:p w14:paraId="597F6210" w14:textId="763BB9B8" w:rsidR="00744F5F" w:rsidRPr="00744F5F" w:rsidRDefault="00744F5F" w:rsidP="005139AD">
      <w:pPr>
        <w:pStyle w:val="NormalWeb"/>
        <w:shd w:val="clear" w:color="auto" w:fill="FFFFFF"/>
        <w:spacing w:before="0" w:beforeAutospacing="0" w:after="165" w:afterAutospacing="0"/>
        <w:ind w:left="708"/>
        <w:rPr>
          <w:rFonts w:ascii="Arial" w:hAnsi="Arial" w:cs="Arial"/>
          <w:color w:val="333333"/>
          <w:sz w:val="22"/>
          <w:szCs w:val="22"/>
        </w:rPr>
      </w:pPr>
      <w:r w:rsidRPr="00744F5F">
        <w:rPr>
          <w:rFonts w:ascii="Arial" w:hAnsi="Arial" w:cs="Arial"/>
          <w:color w:val="333333"/>
          <w:sz w:val="22"/>
          <w:szCs w:val="22"/>
        </w:rPr>
        <w:t>-La RSC es de</w:t>
      </w:r>
      <w:r>
        <w:rPr>
          <w:rFonts w:ascii="Arial" w:hAnsi="Arial" w:cs="Arial"/>
          <w:color w:val="333333"/>
          <w:sz w:val="22"/>
          <w:szCs w:val="22"/>
        </w:rPr>
        <w:t xml:space="preserve"> </w:t>
      </w:r>
      <w:r w:rsidRPr="00744F5F">
        <w:rPr>
          <w:rStyle w:val="Textoennegrita"/>
          <w:rFonts w:ascii="Arial" w:hAnsi="Arial" w:cs="Arial"/>
          <w:color w:val="333333"/>
          <w:sz w:val="22"/>
          <w:szCs w:val="22"/>
        </w:rPr>
        <w:t>carácter global</w:t>
      </w:r>
      <w:r w:rsidRPr="00744F5F">
        <w:rPr>
          <w:rFonts w:ascii="Arial" w:hAnsi="Arial" w:cs="Arial"/>
          <w:color w:val="333333"/>
          <w:sz w:val="22"/>
          <w:szCs w:val="22"/>
        </w:rPr>
        <w:t>, es decir afecta a todas las áreas de negocio de la empresa y sus participadas, así como a todas las áreas geográficas en donde desarrollen su actividad. Afecta</w:t>
      </w:r>
      <w:r>
        <w:rPr>
          <w:rFonts w:ascii="Arial" w:hAnsi="Arial" w:cs="Arial"/>
          <w:color w:val="333333"/>
          <w:sz w:val="22"/>
          <w:szCs w:val="22"/>
        </w:rPr>
        <w:t>,</w:t>
      </w:r>
      <w:r w:rsidRPr="00744F5F">
        <w:rPr>
          <w:rFonts w:ascii="Arial" w:hAnsi="Arial" w:cs="Arial"/>
          <w:color w:val="333333"/>
          <w:sz w:val="22"/>
          <w:szCs w:val="22"/>
        </w:rPr>
        <w:t xml:space="preserve"> por tanto, a toda la cadena de valor necesaria para el desarrollo de la actividad, prestación del servicio o producción del bien.</w:t>
      </w:r>
    </w:p>
    <w:p w14:paraId="06E1DB01" w14:textId="67E58299" w:rsidR="00744F5F" w:rsidRPr="00744F5F" w:rsidRDefault="00744F5F" w:rsidP="005139AD">
      <w:pPr>
        <w:pStyle w:val="NormalWeb"/>
        <w:shd w:val="clear" w:color="auto" w:fill="FFFFFF"/>
        <w:spacing w:before="0" w:beforeAutospacing="0" w:after="165" w:afterAutospacing="0"/>
        <w:ind w:left="708"/>
        <w:rPr>
          <w:rFonts w:ascii="Arial" w:hAnsi="Arial" w:cs="Arial"/>
          <w:color w:val="333333"/>
          <w:sz w:val="22"/>
          <w:szCs w:val="22"/>
        </w:rPr>
      </w:pPr>
      <w:r w:rsidRPr="00744F5F">
        <w:rPr>
          <w:rFonts w:ascii="Arial" w:hAnsi="Arial" w:cs="Arial"/>
          <w:color w:val="333333"/>
          <w:sz w:val="22"/>
          <w:szCs w:val="22"/>
        </w:rPr>
        <w:t>-La RSC comporta</w:t>
      </w:r>
      <w:r>
        <w:rPr>
          <w:rFonts w:ascii="Arial" w:hAnsi="Arial" w:cs="Arial"/>
          <w:color w:val="333333"/>
          <w:sz w:val="22"/>
          <w:szCs w:val="22"/>
        </w:rPr>
        <w:t xml:space="preserve"> </w:t>
      </w:r>
      <w:r w:rsidRPr="00744F5F">
        <w:rPr>
          <w:rStyle w:val="Textoennegrita"/>
          <w:rFonts w:ascii="Arial" w:hAnsi="Arial" w:cs="Arial"/>
          <w:color w:val="333333"/>
          <w:sz w:val="22"/>
          <w:szCs w:val="22"/>
        </w:rPr>
        <w:t>compromisos éticos objetivos</w:t>
      </w:r>
      <w:r>
        <w:rPr>
          <w:rFonts w:ascii="Arial" w:hAnsi="Arial" w:cs="Arial"/>
          <w:color w:val="333333"/>
          <w:sz w:val="22"/>
          <w:szCs w:val="22"/>
        </w:rPr>
        <w:t xml:space="preserve"> </w:t>
      </w:r>
      <w:r w:rsidRPr="00744F5F">
        <w:rPr>
          <w:rFonts w:ascii="Arial" w:hAnsi="Arial" w:cs="Arial"/>
          <w:color w:val="333333"/>
          <w:sz w:val="22"/>
          <w:szCs w:val="22"/>
        </w:rPr>
        <w:t>que se convierten de esta manera en obligación para quien los contrae.</w:t>
      </w:r>
    </w:p>
    <w:p w14:paraId="219B6B04" w14:textId="77777777" w:rsidR="00744F5F" w:rsidRPr="00744F5F" w:rsidRDefault="00744F5F" w:rsidP="005139AD">
      <w:pPr>
        <w:pStyle w:val="NormalWeb"/>
        <w:shd w:val="clear" w:color="auto" w:fill="FFFFFF"/>
        <w:spacing w:before="0" w:beforeAutospacing="0" w:after="165" w:afterAutospacing="0"/>
        <w:ind w:left="708"/>
        <w:rPr>
          <w:rFonts w:ascii="Arial" w:hAnsi="Arial" w:cs="Arial"/>
          <w:color w:val="333333"/>
          <w:sz w:val="22"/>
          <w:szCs w:val="22"/>
        </w:rPr>
      </w:pPr>
      <w:r w:rsidRPr="00744F5F">
        <w:rPr>
          <w:rFonts w:ascii="Arial" w:hAnsi="Arial" w:cs="Arial"/>
          <w:color w:val="333333"/>
          <w:sz w:val="22"/>
          <w:szCs w:val="22"/>
        </w:rPr>
        <w:t>-La RSC se manifiesta en los impactos que genera la actividad empresarial en el ámbito social, medioambiental y económico.</w:t>
      </w:r>
    </w:p>
    <w:p w14:paraId="62652E06" w14:textId="678C4D0A" w:rsidR="00744F5F" w:rsidRPr="00744F5F" w:rsidRDefault="00744F5F" w:rsidP="005139AD">
      <w:pPr>
        <w:pStyle w:val="NormalWeb"/>
        <w:shd w:val="clear" w:color="auto" w:fill="FFFFFF"/>
        <w:spacing w:before="0" w:beforeAutospacing="0" w:after="165" w:afterAutospacing="0"/>
        <w:ind w:left="708"/>
        <w:rPr>
          <w:rFonts w:ascii="Arial" w:hAnsi="Arial" w:cs="Arial"/>
          <w:color w:val="333333"/>
          <w:sz w:val="22"/>
          <w:szCs w:val="22"/>
        </w:rPr>
      </w:pPr>
      <w:r w:rsidRPr="00744F5F">
        <w:rPr>
          <w:rFonts w:ascii="Arial" w:hAnsi="Arial" w:cs="Arial"/>
          <w:color w:val="333333"/>
          <w:sz w:val="22"/>
          <w:szCs w:val="22"/>
        </w:rPr>
        <w:t>-La RSC se orienta a la</w:t>
      </w:r>
      <w:r>
        <w:rPr>
          <w:rFonts w:ascii="Arial" w:hAnsi="Arial" w:cs="Arial"/>
          <w:color w:val="333333"/>
          <w:sz w:val="22"/>
          <w:szCs w:val="22"/>
        </w:rPr>
        <w:t xml:space="preserve"> </w:t>
      </w:r>
      <w:r w:rsidRPr="00744F5F">
        <w:rPr>
          <w:rStyle w:val="Textoennegrita"/>
          <w:rFonts w:ascii="Arial" w:hAnsi="Arial" w:cs="Arial"/>
          <w:color w:val="333333"/>
          <w:sz w:val="22"/>
          <w:szCs w:val="22"/>
        </w:rPr>
        <w:t>satisfacción e información de las expectativas</w:t>
      </w:r>
      <w:r>
        <w:rPr>
          <w:rFonts w:ascii="Arial" w:hAnsi="Arial" w:cs="Arial"/>
          <w:color w:val="333333"/>
          <w:sz w:val="22"/>
          <w:szCs w:val="22"/>
        </w:rPr>
        <w:t xml:space="preserve"> </w:t>
      </w:r>
      <w:r w:rsidRPr="00744F5F">
        <w:rPr>
          <w:rFonts w:ascii="Arial" w:hAnsi="Arial" w:cs="Arial"/>
          <w:color w:val="333333"/>
          <w:sz w:val="22"/>
          <w:szCs w:val="22"/>
        </w:rPr>
        <w:t>y necesidades de los grupos de interés.</w:t>
      </w:r>
    </w:p>
    <w:p w14:paraId="4D961D80" w14:textId="77777777" w:rsidR="005139AD" w:rsidRPr="00CF1B34" w:rsidRDefault="005139AD" w:rsidP="005139AD">
      <w:pPr>
        <w:pBdr>
          <w:bottom w:val="dotted" w:sz="12" w:space="12" w:color="666666"/>
        </w:pBdr>
        <w:spacing w:after="240"/>
        <w:ind w:left="720"/>
        <w:jc w:val="both"/>
        <w:rPr>
          <w:rFonts w:ascii="Arial" w:hAnsi="Arial" w:cs="Arial"/>
          <w:color w:val="212529"/>
          <w:sz w:val="22"/>
          <w:szCs w:val="22"/>
          <w:lang w:val="es-ES_tradnl"/>
        </w:rPr>
      </w:pPr>
      <w:r w:rsidRPr="005139AD">
        <w:rPr>
          <w:rFonts w:ascii="Arial" w:hAnsi="Arial" w:cs="Arial"/>
          <w:color w:val="333333"/>
          <w:sz w:val="22"/>
          <w:szCs w:val="22"/>
          <w:shd w:val="clear" w:color="auto" w:fill="FFFFFF"/>
        </w:rPr>
        <w:t xml:space="preserve">Todas las empresas pueden aplicar una política de RSC, aunque normalmente son las grandes corporaciones quienes destinan mayores recursos y esfuerzos, contando, </w:t>
      </w:r>
      <w:r w:rsidRPr="005139AD">
        <w:rPr>
          <w:rFonts w:ascii="Arial" w:hAnsi="Arial" w:cs="Arial"/>
          <w:color w:val="333333"/>
          <w:sz w:val="22"/>
          <w:szCs w:val="22"/>
          <w:shd w:val="clear" w:color="auto" w:fill="FFFFFF"/>
        </w:rPr>
        <w:lastRenderedPageBreak/>
        <w:t>muchas veces, con un departamento específico para ello. En</w:t>
      </w:r>
      <w:r>
        <w:rPr>
          <w:rFonts w:ascii="Arial" w:hAnsi="Arial" w:cs="Arial"/>
          <w:color w:val="333333"/>
          <w:sz w:val="22"/>
          <w:szCs w:val="22"/>
          <w:shd w:val="clear" w:color="auto" w:fill="FFFFFF"/>
        </w:rPr>
        <w:t xml:space="preserve"> las pymes</w:t>
      </w:r>
      <w:r w:rsidRPr="005139AD">
        <w:rPr>
          <w:rFonts w:ascii="Arial" w:hAnsi="Arial" w:cs="Arial"/>
          <w:color w:val="333333"/>
          <w:sz w:val="22"/>
          <w:szCs w:val="22"/>
          <w:shd w:val="clear" w:color="auto" w:fill="FFFFFF"/>
        </w:rPr>
        <w:t>, sucede en menor escala, a través de ahorro de energía o incentivos para los trabajadores.</w:t>
      </w:r>
    </w:p>
    <w:p w14:paraId="3EC3EB9F" w14:textId="5F19CEF8" w:rsidR="00995A69" w:rsidRPr="00CF1B34" w:rsidRDefault="00995A6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RSI</w:t>
      </w:r>
    </w:p>
    <w:p w14:paraId="081011F6" w14:textId="7BB26E1F" w:rsidR="00FF1D19" w:rsidRPr="00CF1B34" w:rsidRDefault="005139AD" w:rsidP="0005621A">
      <w:pPr>
        <w:pBdr>
          <w:bottom w:val="dotted" w:sz="12" w:space="12" w:color="666666"/>
        </w:pBdr>
        <w:spacing w:after="240"/>
        <w:ind w:left="720"/>
        <w:jc w:val="both"/>
        <w:rPr>
          <w:rFonts w:ascii="Arial" w:hAnsi="Arial" w:cs="Arial"/>
          <w:color w:val="212529"/>
          <w:sz w:val="22"/>
          <w:szCs w:val="22"/>
          <w:lang w:val="es-ES_tradnl"/>
        </w:rPr>
      </w:pPr>
      <w:r>
        <w:rPr>
          <w:rFonts w:ascii="Arial" w:hAnsi="Arial" w:cs="Arial"/>
          <w:color w:val="000000" w:themeColor="text1"/>
          <w:sz w:val="22"/>
          <w:szCs w:val="22"/>
          <w:lang w:val="es-ES_tradnl"/>
        </w:rPr>
        <w:t>Í</w:t>
      </w:r>
      <w:r w:rsidR="003C3778" w:rsidRPr="00CF1B34">
        <w:rPr>
          <w:rFonts w:ascii="Arial" w:hAnsi="Arial" w:cs="Arial"/>
          <w:color w:val="000000" w:themeColor="text1"/>
          <w:sz w:val="22"/>
          <w:szCs w:val="22"/>
          <w:lang w:val="es-ES_tradnl"/>
        </w:rPr>
        <w:t xml:space="preserve">ndice de Fuerza Relativa. Oscilador de Wilder que ayuda a medir los cambios momentáneos o relativos de las curvas de precios. Varia de 0 </w:t>
      </w:r>
      <w:r w:rsidR="00FF1D19" w:rsidRPr="00CF1B34">
        <w:rPr>
          <w:rFonts w:ascii="Arial" w:hAnsi="Arial" w:cs="Arial"/>
          <w:color w:val="000000" w:themeColor="text1"/>
          <w:sz w:val="22"/>
          <w:szCs w:val="22"/>
          <w:lang w:val="es-ES_tradnl"/>
        </w:rPr>
        <w:t>y 100. Mas de 70 indica sobrecomprado y menos de 30 indica sobrevenido.</w:t>
      </w:r>
    </w:p>
    <w:p w14:paraId="154B7724" w14:textId="0A606016" w:rsidR="00A23A19" w:rsidRPr="00CF1B34" w:rsidRDefault="00A23A1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Routing</w:t>
      </w:r>
    </w:p>
    <w:p w14:paraId="0B265F19" w14:textId="77777777" w:rsidR="00A23A19" w:rsidRPr="00CF1B34" w:rsidRDefault="00A23A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Sistema electrónico de canalización de órdenes bursátiles, desde las terminales de ordenador de los intermediarios financieros hasta el sistema informático de las Bolsas, en el que se centraliza la operativa de contratación.</w:t>
      </w:r>
    </w:p>
    <w:p w14:paraId="51B8D138" w14:textId="72367518" w:rsidR="00A23A19" w:rsidRPr="00CF1B34" w:rsidRDefault="00A23A19" w:rsidP="0005621A">
      <w:pPr>
        <w:jc w:val="both"/>
        <w:rPr>
          <w:rFonts w:ascii="Arial" w:hAnsi="Arial" w:cs="Arial"/>
          <w:sz w:val="22"/>
          <w:szCs w:val="22"/>
          <w:lang w:val="es-ES_tradnl"/>
        </w:rPr>
      </w:pPr>
    </w:p>
    <w:p w14:paraId="2E36FCC6" w14:textId="77777777" w:rsidR="00995A69" w:rsidRPr="00CF1B34" w:rsidRDefault="00995A69" w:rsidP="0005621A">
      <w:pPr>
        <w:jc w:val="both"/>
        <w:rPr>
          <w:rFonts w:ascii="Arial" w:hAnsi="Arial" w:cs="Arial"/>
          <w:sz w:val="22"/>
          <w:szCs w:val="22"/>
          <w:lang w:val="es-ES_tradnl"/>
        </w:rPr>
      </w:pPr>
    </w:p>
    <w:p w14:paraId="55E9B087" w14:textId="46051C66" w:rsidR="00A23A19" w:rsidRPr="00CF1B34" w:rsidRDefault="00A23A19"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S</w:t>
      </w:r>
    </w:p>
    <w:p w14:paraId="2BBE3674" w14:textId="0E8C16DE" w:rsidR="00A23A19" w:rsidRPr="00CF1B34" w:rsidRDefault="00A23A19" w:rsidP="0005621A">
      <w:pPr>
        <w:jc w:val="both"/>
        <w:rPr>
          <w:rFonts w:ascii="Arial" w:hAnsi="Arial" w:cs="Arial"/>
          <w:sz w:val="22"/>
          <w:szCs w:val="22"/>
          <w:lang w:val="es-ES_tradnl"/>
        </w:rPr>
      </w:pPr>
    </w:p>
    <w:p w14:paraId="2F55FB72" w14:textId="07378344" w:rsidR="00995A69" w:rsidRDefault="00995A69" w:rsidP="0005621A">
      <w:pPr>
        <w:jc w:val="both"/>
        <w:rPr>
          <w:rFonts w:ascii="Arial" w:hAnsi="Arial" w:cs="Arial"/>
          <w:b/>
          <w:bCs/>
          <w:color w:val="2F5496" w:themeColor="accent1" w:themeShade="BF"/>
          <w:sz w:val="22"/>
          <w:szCs w:val="22"/>
          <w:lang w:val="es-ES_tradnl"/>
        </w:rPr>
      </w:pPr>
    </w:p>
    <w:p w14:paraId="77B37FAC" w14:textId="30C32A8C" w:rsidR="005139AD" w:rsidRDefault="005139AD" w:rsidP="0005621A">
      <w:pPr>
        <w:jc w:val="both"/>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Salario Medio Europeo</w:t>
      </w:r>
    </w:p>
    <w:p w14:paraId="776D38A7" w14:textId="04DBEB66" w:rsidR="005139AD" w:rsidRPr="005139AD" w:rsidRDefault="005139AD" w:rsidP="00330AC2">
      <w:pPr>
        <w:ind w:left="708"/>
        <w:rPr>
          <w:rFonts w:ascii="Arial" w:hAnsi="Arial" w:cs="Arial"/>
          <w:color w:val="000000" w:themeColor="text1"/>
          <w:sz w:val="22"/>
          <w:szCs w:val="22"/>
        </w:rPr>
      </w:pPr>
      <w:r w:rsidRPr="005139AD">
        <w:rPr>
          <w:rFonts w:ascii="Arial" w:hAnsi="Arial" w:cs="Arial"/>
          <w:color w:val="000000" w:themeColor="text1"/>
          <w:sz w:val="22"/>
          <w:szCs w:val="22"/>
          <w:shd w:val="clear" w:color="auto" w:fill="FFFFFF"/>
        </w:rPr>
        <w:t>Cuando se habla de</w:t>
      </w:r>
      <w:r>
        <w:rPr>
          <w:rStyle w:val="Textoennegrita"/>
          <w:rFonts w:ascii="Arial" w:hAnsi="Arial" w:cs="Arial"/>
          <w:color w:val="000000" w:themeColor="text1"/>
          <w:sz w:val="22"/>
          <w:szCs w:val="22"/>
          <w:shd w:val="clear" w:color="auto" w:fill="FFFFFF"/>
        </w:rPr>
        <w:t xml:space="preserve"> </w:t>
      </w:r>
      <w:r w:rsidRPr="005139AD">
        <w:rPr>
          <w:rStyle w:val="Textoennegrita"/>
          <w:rFonts w:ascii="Arial" w:hAnsi="Arial" w:cs="Arial"/>
          <w:color w:val="000000" w:themeColor="text1"/>
          <w:sz w:val="22"/>
          <w:szCs w:val="22"/>
          <w:shd w:val="clear" w:color="auto" w:fill="FFFFFF"/>
        </w:rPr>
        <w:t>salario medio europeo</w:t>
      </w:r>
      <w:r w:rsidR="00330AC2">
        <w:rPr>
          <w:rFonts w:ascii="Arial" w:hAnsi="Arial" w:cs="Arial"/>
          <w:color w:val="000000" w:themeColor="text1"/>
          <w:sz w:val="22"/>
          <w:szCs w:val="22"/>
          <w:shd w:val="clear" w:color="auto" w:fill="FFFFFF"/>
        </w:rPr>
        <w:t xml:space="preserve"> </w:t>
      </w:r>
      <w:r w:rsidRPr="005139AD">
        <w:rPr>
          <w:rFonts w:ascii="Arial" w:hAnsi="Arial" w:cs="Arial"/>
          <w:color w:val="000000" w:themeColor="text1"/>
          <w:sz w:val="22"/>
          <w:szCs w:val="22"/>
          <w:shd w:val="clear" w:color="auto" w:fill="FFFFFF"/>
        </w:rPr>
        <w:t>se deja un poco de lado lo que sufren cada conjunto de empleados de cada país solo por comparar el</w:t>
      </w:r>
      <w:r>
        <w:rPr>
          <w:rStyle w:val="Textoennegrita"/>
          <w:rFonts w:ascii="Arial" w:hAnsi="Arial" w:cs="Arial"/>
          <w:color w:val="000000" w:themeColor="text1"/>
          <w:sz w:val="22"/>
          <w:szCs w:val="22"/>
          <w:shd w:val="clear" w:color="auto" w:fill="FFFFFF"/>
        </w:rPr>
        <w:t xml:space="preserve"> </w:t>
      </w:r>
      <w:r w:rsidRPr="005139AD">
        <w:rPr>
          <w:rStyle w:val="Textoennegrita"/>
          <w:rFonts w:ascii="Arial" w:hAnsi="Arial" w:cs="Arial"/>
          <w:color w:val="000000" w:themeColor="text1"/>
          <w:sz w:val="22"/>
          <w:szCs w:val="22"/>
          <w:shd w:val="clear" w:color="auto" w:fill="FFFFFF"/>
        </w:rPr>
        <w:t>salario medio</w:t>
      </w:r>
      <w:r>
        <w:rPr>
          <w:rStyle w:val="Textoennegrita"/>
          <w:rFonts w:ascii="Arial" w:hAnsi="Arial" w:cs="Arial"/>
          <w:color w:val="000000" w:themeColor="text1"/>
          <w:sz w:val="22"/>
          <w:szCs w:val="22"/>
          <w:shd w:val="clear" w:color="auto" w:fill="FFFFFF"/>
        </w:rPr>
        <w:t xml:space="preserve"> </w:t>
      </w:r>
      <w:r w:rsidRPr="005139AD">
        <w:rPr>
          <w:rFonts w:ascii="Arial" w:hAnsi="Arial" w:cs="Arial"/>
          <w:color w:val="000000" w:themeColor="text1"/>
          <w:sz w:val="22"/>
          <w:szCs w:val="22"/>
          <w:shd w:val="clear" w:color="auto" w:fill="FFFFFF"/>
        </w:rPr>
        <w:t>que tienen, siendo que a cada ámbito y mercado laboral lo rodean diferentes circunstancias.</w:t>
      </w:r>
    </w:p>
    <w:p w14:paraId="276CD39F" w14:textId="41714A40" w:rsidR="005139AD" w:rsidRPr="005139AD" w:rsidRDefault="005139AD" w:rsidP="00330AC2">
      <w:pPr>
        <w:ind w:left="708"/>
        <w:rPr>
          <w:rFonts w:ascii="Arial" w:hAnsi="Arial" w:cs="Arial"/>
          <w:color w:val="000000" w:themeColor="text1"/>
          <w:sz w:val="22"/>
          <w:szCs w:val="22"/>
        </w:rPr>
      </w:pPr>
      <w:r w:rsidRPr="005139AD">
        <w:rPr>
          <w:rFonts w:ascii="Arial" w:hAnsi="Arial" w:cs="Arial"/>
          <w:color w:val="000000" w:themeColor="text1"/>
          <w:sz w:val="22"/>
          <w:szCs w:val="22"/>
          <w:shd w:val="clear" w:color="auto" w:fill="FFFFFF"/>
        </w:rPr>
        <w:t>Según Eurostat, el coste laboral medio por hora en la UE fue de 30,5 euros.</w:t>
      </w:r>
      <w:r>
        <w:rPr>
          <w:rFonts w:ascii="Arial" w:hAnsi="Arial" w:cs="Arial"/>
          <w:color w:val="000000" w:themeColor="text1"/>
          <w:sz w:val="22"/>
          <w:szCs w:val="22"/>
          <w:shd w:val="clear" w:color="auto" w:fill="FFFFFF"/>
        </w:rPr>
        <w:t xml:space="preserve"> </w:t>
      </w:r>
      <w:r w:rsidRPr="005139AD">
        <w:rPr>
          <w:rFonts w:ascii="Arial" w:hAnsi="Arial" w:cs="Arial"/>
          <w:color w:val="000000" w:themeColor="text1"/>
          <w:sz w:val="22"/>
          <w:szCs w:val="22"/>
        </w:rPr>
        <w:t>El salario medio anual de los trabajadores solteros sin hijos era de 26.136 euros.</w:t>
      </w:r>
      <w:r>
        <w:rPr>
          <w:rFonts w:ascii="Arial" w:hAnsi="Arial" w:cs="Arial"/>
          <w:color w:val="000000" w:themeColor="text1"/>
          <w:sz w:val="22"/>
          <w:szCs w:val="22"/>
          <w:shd w:val="clear" w:color="auto" w:fill="FFFFFF"/>
        </w:rPr>
        <w:t xml:space="preserve"> </w:t>
      </w:r>
      <w:r w:rsidRPr="005139AD">
        <w:rPr>
          <w:rFonts w:ascii="Arial" w:hAnsi="Arial" w:cs="Arial"/>
          <w:color w:val="000000" w:themeColor="text1"/>
          <w:sz w:val="22"/>
          <w:szCs w:val="22"/>
        </w:rPr>
        <w:t>Las parejas trabajadoras con dos hijos cobraron una media de 55.573 euros anuales</w:t>
      </w:r>
      <w:r w:rsidRPr="005139AD">
        <w:rPr>
          <w:rFonts w:ascii="Arial" w:hAnsi="Arial" w:cs="Arial"/>
          <w:color w:val="000000" w:themeColor="text1"/>
          <w:sz w:val="22"/>
          <w:szCs w:val="22"/>
          <w:shd w:val="clear" w:color="auto" w:fill="FFFFFF"/>
        </w:rPr>
        <w:t>.</w:t>
      </w:r>
    </w:p>
    <w:p w14:paraId="20006982" w14:textId="77777777" w:rsidR="00330AC2" w:rsidRPr="00CF1B34" w:rsidRDefault="00330AC2" w:rsidP="00330AC2">
      <w:pPr>
        <w:pBdr>
          <w:bottom w:val="dotted" w:sz="12" w:space="12" w:color="666666"/>
        </w:pBdr>
        <w:spacing w:after="240"/>
        <w:ind w:left="720"/>
        <w:jc w:val="both"/>
        <w:rPr>
          <w:rFonts w:ascii="Arial" w:hAnsi="Arial" w:cs="Arial"/>
          <w:color w:val="212529"/>
          <w:sz w:val="22"/>
          <w:szCs w:val="22"/>
          <w:lang w:val="es-ES_tradnl"/>
        </w:rPr>
      </w:pPr>
      <w:r w:rsidRPr="00330AC2">
        <w:rPr>
          <w:rFonts w:ascii="Arial" w:hAnsi="Arial" w:cs="Arial"/>
          <w:color w:val="474747"/>
          <w:sz w:val="22"/>
          <w:szCs w:val="22"/>
          <w:shd w:val="clear" w:color="auto" w:fill="FFFFFF"/>
        </w:rPr>
        <w:t xml:space="preserve">La ganancia media anual por trabajador español en 2022 fue de </w:t>
      </w:r>
      <w:r w:rsidRPr="00330AC2">
        <w:rPr>
          <w:rFonts w:ascii="Arial" w:hAnsi="Arial" w:cs="Arial"/>
          <w:color w:val="040C28"/>
          <w:sz w:val="22"/>
          <w:szCs w:val="22"/>
          <w:shd w:val="clear" w:color="auto" w:fill="D3E3FD"/>
        </w:rPr>
        <w:t>26.948,87 euros</w:t>
      </w:r>
      <w:r w:rsidRPr="00330AC2">
        <w:rPr>
          <w:rFonts w:ascii="Arial" w:hAnsi="Arial" w:cs="Arial"/>
          <w:color w:val="474747"/>
          <w:sz w:val="22"/>
          <w:szCs w:val="22"/>
          <w:shd w:val="clear" w:color="auto" w:fill="FFFFFF"/>
        </w:rPr>
        <w:t>, un 4% superior a la del año anterior, según los datos del INE. En el caso de los hombres, el salario medio anual fue de 29.381,84 euros y en el de las mujeres, de 24.359,82 euros.</w:t>
      </w:r>
    </w:p>
    <w:p w14:paraId="1B5585D1" w14:textId="586E36CF" w:rsidR="00E12F67" w:rsidRPr="00CF1B34" w:rsidRDefault="00E12F67"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Saldo</w:t>
      </w:r>
    </w:p>
    <w:p w14:paraId="4AF224FA" w14:textId="77777777" w:rsidR="00E12F67" w:rsidRPr="00CF1B34" w:rsidRDefault="00E12F6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 trata de la cantidad que resulta de compensar el debe con el haber de una cuenta. Puede ser positivo o negativo.</w:t>
      </w:r>
    </w:p>
    <w:p w14:paraId="575F59F4" w14:textId="6F46953C" w:rsidR="00E12F67" w:rsidRPr="00CF1B34" w:rsidRDefault="00E12F67"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Saldo acreedor</w:t>
      </w:r>
    </w:p>
    <w:p w14:paraId="6F21EDFF" w14:textId="77777777" w:rsidR="00E12F67" w:rsidRPr="00CF1B34" w:rsidRDefault="00E12F6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saldo que figura en el haber de una cuenta o crédito. Es un saldo positivo.</w:t>
      </w:r>
    </w:p>
    <w:p w14:paraId="67824108" w14:textId="6AA15F6C" w:rsidR="00E12F67" w:rsidRPr="00CF1B34" w:rsidRDefault="00E12F67"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Saldo deudor</w:t>
      </w:r>
    </w:p>
    <w:p w14:paraId="363F1D7A" w14:textId="77777777" w:rsidR="00E12F67" w:rsidRPr="00CF1B34" w:rsidRDefault="00E12F6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saldo que figura en el debe de una cuenta o crédito. Es un saldo negativo.</w:t>
      </w:r>
    </w:p>
    <w:p w14:paraId="4E6FCA3C" w14:textId="55A7B523" w:rsidR="00995A69" w:rsidRPr="00CF1B34" w:rsidRDefault="00995A69"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Salidas a bolsa</w:t>
      </w:r>
    </w:p>
    <w:p w14:paraId="60400285" w14:textId="77777777" w:rsidR="00FF1D19" w:rsidRPr="00CF1B34" w:rsidRDefault="00FF1D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Los propietarios o accionistas de una sociedad deciden sacar su empresa a la bolsa con el fin de conseguir dinero por sus acciones y lograr una barata financiación en el mercado.</w:t>
      </w:r>
    </w:p>
    <w:p w14:paraId="17ACAB22"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SEC (Securities and Exchange Commission)</w:t>
      </w:r>
    </w:p>
    <w:p w14:paraId="562DF82A"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Es el órgano regulador y supervisor de los mercados de valores de los Estados Unidos de América (equivalente a la Comisión Nacional del Mercado de Valores).</w:t>
      </w:r>
    </w:p>
    <w:p w14:paraId="3F5498D7" w14:textId="6016A497" w:rsidR="00330AC2" w:rsidRDefault="00330AC2"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Securitización</w:t>
      </w:r>
    </w:p>
    <w:p w14:paraId="53BD8FA2" w14:textId="1EBDED59" w:rsidR="00330AC2" w:rsidRPr="00330AC2" w:rsidRDefault="00330AC2" w:rsidP="0005621A">
      <w:pPr>
        <w:jc w:val="both"/>
        <w:rPr>
          <w:rFonts w:ascii="Arial" w:hAnsi="Arial" w:cs="Arial"/>
          <w:color w:val="000000" w:themeColor="text1"/>
          <w:sz w:val="22"/>
          <w:szCs w:val="22"/>
          <w:lang w:val="es-ES_tradnl"/>
        </w:rPr>
      </w:pPr>
      <w:r w:rsidRPr="00330AC2">
        <w:rPr>
          <w:rFonts w:ascii="Arial" w:hAnsi="Arial" w:cs="Arial"/>
          <w:color w:val="000000" w:themeColor="text1"/>
          <w:sz w:val="22"/>
          <w:szCs w:val="22"/>
          <w:lang w:val="es-ES_tradnl"/>
        </w:rPr>
        <w:t>Conversión de un crédito u otro titulo financiero en un valor negociable.</w:t>
      </w:r>
      <w:r>
        <w:rPr>
          <w:rFonts w:ascii="Arial" w:hAnsi="Arial" w:cs="Arial"/>
          <w:color w:val="000000" w:themeColor="text1"/>
          <w:sz w:val="22"/>
          <w:szCs w:val="22"/>
          <w:lang w:val="es-ES_tradnl"/>
        </w:rPr>
        <w:t xml:space="preserve"> Activos securit</w:t>
      </w:r>
      <w:r w:rsidR="00A764BB">
        <w:rPr>
          <w:rFonts w:ascii="Arial" w:hAnsi="Arial" w:cs="Arial"/>
          <w:color w:val="000000" w:themeColor="text1"/>
          <w:sz w:val="22"/>
          <w:szCs w:val="22"/>
          <w:lang w:val="es-ES_tradnl"/>
        </w:rPr>
        <w:t>izables:</w:t>
      </w:r>
    </w:p>
    <w:p w14:paraId="6CC21A9C" w14:textId="77777777" w:rsidR="00A764BB" w:rsidRPr="00A764BB" w:rsidRDefault="00A764BB" w:rsidP="004F7A62">
      <w:pPr>
        <w:numPr>
          <w:ilvl w:val="0"/>
          <w:numId w:val="268"/>
        </w:numPr>
        <w:shd w:val="clear" w:color="auto" w:fill="FFFFFF"/>
        <w:spacing w:before="100" w:beforeAutospacing="1" w:after="100" w:afterAutospacing="1"/>
        <w:rPr>
          <w:rFonts w:ascii="Arial" w:hAnsi="Arial" w:cs="Arial"/>
          <w:color w:val="333333"/>
          <w:sz w:val="22"/>
          <w:szCs w:val="22"/>
        </w:rPr>
      </w:pPr>
      <w:r w:rsidRPr="00A764BB">
        <w:rPr>
          <w:rFonts w:ascii="Arial" w:hAnsi="Arial" w:cs="Arial"/>
          <w:color w:val="333333"/>
          <w:sz w:val="22"/>
          <w:szCs w:val="22"/>
        </w:rPr>
        <w:t>Letras hipotecarias y mutuos hipotecarios.</w:t>
      </w:r>
    </w:p>
    <w:p w14:paraId="6D83C276" w14:textId="77777777" w:rsidR="00A764BB" w:rsidRPr="00A764BB" w:rsidRDefault="00A764BB" w:rsidP="004F7A62">
      <w:pPr>
        <w:numPr>
          <w:ilvl w:val="0"/>
          <w:numId w:val="268"/>
        </w:numPr>
        <w:shd w:val="clear" w:color="auto" w:fill="FFFFFF"/>
        <w:spacing w:before="100" w:beforeAutospacing="1" w:after="100" w:afterAutospacing="1"/>
        <w:rPr>
          <w:rFonts w:ascii="Arial" w:hAnsi="Arial" w:cs="Arial"/>
          <w:color w:val="333333"/>
          <w:sz w:val="22"/>
          <w:szCs w:val="22"/>
        </w:rPr>
      </w:pPr>
      <w:r w:rsidRPr="00A764BB">
        <w:rPr>
          <w:rFonts w:ascii="Arial" w:hAnsi="Arial" w:cs="Arial"/>
          <w:color w:val="333333"/>
          <w:sz w:val="22"/>
          <w:szCs w:val="22"/>
        </w:rPr>
        <w:t>Contratos de arrendamiento con promesa de compraventa y sus respectivas viviendas.</w:t>
      </w:r>
    </w:p>
    <w:p w14:paraId="72C8295E" w14:textId="77777777" w:rsidR="00A764BB" w:rsidRPr="00A764BB" w:rsidRDefault="00A764BB" w:rsidP="004F7A62">
      <w:pPr>
        <w:numPr>
          <w:ilvl w:val="0"/>
          <w:numId w:val="268"/>
        </w:numPr>
        <w:shd w:val="clear" w:color="auto" w:fill="FFFFFF"/>
        <w:spacing w:before="100" w:beforeAutospacing="1" w:after="100" w:afterAutospacing="1"/>
        <w:rPr>
          <w:rFonts w:ascii="Arial" w:hAnsi="Arial" w:cs="Arial"/>
          <w:color w:val="333333"/>
          <w:sz w:val="22"/>
          <w:szCs w:val="22"/>
        </w:rPr>
      </w:pPr>
      <w:r w:rsidRPr="00A764BB">
        <w:rPr>
          <w:rFonts w:ascii="Arial" w:hAnsi="Arial" w:cs="Arial"/>
          <w:color w:val="333333"/>
          <w:sz w:val="22"/>
          <w:szCs w:val="22"/>
        </w:rPr>
        <w:t>Créditos y derechos sobre flujos de pago emanados de obra pública, de obra de infraestructura de uso público, de bienes nacionales de uso público o de las concesiones de estos bienes u obras.</w:t>
      </w:r>
    </w:p>
    <w:p w14:paraId="03E7E8C6" w14:textId="77777777" w:rsidR="00A764BB" w:rsidRPr="00A764BB" w:rsidRDefault="00A764BB" w:rsidP="004F7A62">
      <w:pPr>
        <w:numPr>
          <w:ilvl w:val="0"/>
          <w:numId w:val="268"/>
        </w:numPr>
        <w:shd w:val="clear" w:color="auto" w:fill="FFFFFF"/>
        <w:spacing w:before="100" w:beforeAutospacing="1" w:after="100" w:afterAutospacing="1"/>
        <w:rPr>
          <w:rFonts w:ascii="Arial" w:hAnsi="Arial" w:cs="Arial"/>
          <w:color w:val="333333"/>
          <w:sz w:val="22"/>
          <w:szCs w:val="22"/>
        </w:rPr>
      </w:pPr>
      <w:r w:rsidRPr="00A764BB">
        <w:rPr>
          <w:rFonts w:ascii="Arial" w:hAnsi="Arial" w:cs="Arial"/>
          <w:color w:val="333333"/>
          <w:sz w:val="22"/>
          <w:szCs w:val="22"/>
        </w:rPr>
        <w:t>Otros créditos y derechos que consten por escrito y que tengan el carácter de transferibles.</w:t>
      </w:r>
    </w:p>
    <w:p w14:paraId="72D99D83" w14:textId="790E2E1D" w:rsidR="00A764BB" w:rsidRDefault="00A764BB" w:rsidP="004F7A62">
      <w:pPr>
        <w:numPr>
          <w:ilvl w:val="0"/>
          <w:numId w:val="268"/>
        </w:numPr>
        <w:shd w:val="clear" w:color="auto" w:fill="FFFFFF"/>
        <w:spacing w:before="100" w:beforeAutospacing="1" w:after="100" w:afterAutospacing="1"/>
        <w:rPr>
          <w:rFonts w:ascii="Open Sans" w:hAnsi="Open Sans" w:cs="Open Sans"/>
          <w:color w:val="333333"/>
        </w:rPr>
      </w:pPr>
      <w:r w:rsidRPr="00A764BB">
        <w:rPr>
          <w:rFonts w:ascii="Arial" w:hAnsi="Arial" w:cs="Arial"/>
          <w:color w:val="333333"/>
          <w:sz w:val="22"/>
          <w:szCs w:val="22"/>
        </w:rPr>
        <w:t>Derechos sobre flujos de pago</w:t>
      </w:r>
      <w:r>
        <w:rPr>
          <w:rFonts w:ascii="Open Sans" w:hAnsi="Open Sans" w:cs="Open Sans"/>
          <w:color w:val="333333"/>
        </w:rPr>
        <w:t>.</w:t>
      </w:r>
    </w:p>
    <w:p w14:paraId="58060CC5" w14:textId="77777777" w:rsidR="00A764BB" w:rsidRPr="00A764BB" w:rsidRDefault="00A764BB" w:rsidP="004F7A62">
      <w:pPr>
        <w:pStyle w:val="Prrafodelista"/>
        <w:numPr>
          <w:ilvl w:val="0"/>
          <w:numId w:val="268"/>
        </w:numPr>
        <w:pBdr>
          <w:bottom w:val="dotted" w:sz="12" w:space="12" w:color="666666"/>
        </w:pBdr>
        <w:spacing w:after="240"/>
        <w:jc w:val="both"/>
        <w:rPr>
          <w:rFonts w:ascii="Arial" w:hAnsi="Arial" w:cs="Arial"/>
          <w:color w:val="212529"/>
          <w:sz w:val="22"/>
          <w:szCs w:val="22"/>
          <w:lang w:val="es-ES_tradnl"/>
        </w:rPr>
      </w:pPr>
    </w:p>
    <w:p w14:paraId="383C9D9F" w14:textId="73F78868" w:rsidR="00952D89" w:rsidRPr="00A764BB" w:rsidRDefault="00995A69" w:rsidP="00A764BB">
      <w:pPr>
        <w:shd w:val="clear" w:color="auto" w:fill="FFFFFF"/>
        <w:spacing w:before="100" w:beforeAutospacing="1" w:after="100" w:afterAutospacing="1"/>
        <w:rPr>
          <w:rFonts w:ascii="Open Sans" w:hAnsi="Open Sans" w:cs="Open Sans"/>
          <w:color w:val="333333"/>
        </w:rPr>
      </w:pPr>
      <w:r w:rsidRPr="00A764BB">
        <w:rPr>
          <w:rFonts w:ascii="Arial" w:hAnsi="Arial" w:cs="Arial"/>
          <w:b/>
          <w:bCs/>
          <w:color w:val="004773"/>
          <w:sz w:val="22"/>
          <w:szCs w:val="22"/>
          <w:lang w:val="es-ES_tradnl"/>
        </w:rPr>
        <w:t>Segmentaci</w:t>
      </w:r>
      <w:r w:rsidR="00FF1D19" w:rsidRPr="00A764BB">
        <w:rPr>
          <w:rFonts w:ascii="Arial" w:hAnsi="Arial" w:cs="Arial"/>
          <w:b/>
          <w:bCs/>
          <w:color w:val="004773"/>
          <w:sz w:val="22"/>
          <w:szCs w:val="22"/>
          <w:lang w:val="es-ES_tradnl"/>
        </w:rPr>
        <w:t>ó</w:t>
      </w:r>
      <w:r w:rsidRPr="00A764BB">
        <w:rPr>
          <w:rFonts w:ascii="Arial" w:hAnsi="Arial" w:cs="Arial"/>
          <w:b/>
          <w:bCs/>
          <w:color w:val="004773"/>
          <w:sz w:val="22"/>
          <w:szCs w:val="22"/>
          <w:lang w:val="es-ES_tradnl"/>
        </w:rPr>
        <w:t>n de mercados financieros</w:t>
      </w:r>
    </w:p>
    <w:p w14:paraId="02F0476B" w14:textId="77777777" w:rsidR="00FF1D19" w:rsidRPr="00CF1B34" w:rsidRDefault="00FF1D1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Proceso de división del mercado potencial de una entidad financiera en subgrupos homogéneos de clientes, al objeto de realizar en cada uno de ellos una estrategia comercial diferencial que atienda a sus peculiares necesidades de productos financieros o de canales de distribución para estos.</w:t>
      </w:r>
    </w:p>
    <w:p w14:paraId="42273FB3" w14:textId="36C8A256" w:rsidR="00790CDE" w:rsidRDefault="00790CDE"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Segundo pagador</w:t>
      </w:r>
    </w:p>
    <w:p w14:paraId="7748AC9C" w14:textId="77777777" w:rsidR="00790CDE" w:rsidRDefault="00790CDE" w:rsidP="00790CDE">
      <w:pPr>
        <w:ind w:left="708"/>
        <w:rPr>
          <w:rFonts w:ascii="Arial" w:hAnsi="Arial" w:cs="Arial"/>
          <w:color w:val="474747"/>
          <w:shd w:val="clear" w:color="auto" w:fill="FFFFFF"/>
        </w:rPr>
      </w:pPr>
      <w:r w:rsidRPr="00790CDE">
        <w:rPr>
          <w:rFonts w:ascii="Arial" w:hAnsi="Arial" w:cs="Arial"/>
          <w:color w:val="1F1F1F"/>
          <w:sz w:val="22"/>
          <w:szCs w:val="22"/>
          <w:shd w:val="clear" w:color="auto" w:fill="FFFFFF"/>
        </w:rPr>
        <w:t xml:space="preserve">Tener dos pagadores significa, en principio, </w:t>
      </w:r>
      <w:r w:rsidRPr="00790CDE">
        <w:rPr>
          <w:rFonts w:ascii="Arial" w:hAnsi="Arial" w:cs="Arial"/>
          <w:color w:val="040C28"/>
          <w:sz w:val="22"/>
          <w:szCs w:val="22"/>
        </w:rPr>
        <w:t>trabajar para dos o más empresas durante un mismo ejercicio fiscal</w:t>
      </w:r>
      <w:r w:rsidRPr="00790CDE">
        <w:rPr>
          <w:rFonts w:ascii="Arial" w:hAnsi="Arial" w:cs="Arial"/>
          <w:color w:val="1F1F1F"/>
          <w:sz w:val="22"/>
          <w:szCs w:val="22"/>
          <w:shd w:val="clear" w:color="auto" w:fill="FFFFFF"/>
        </w:rPr>
        <w:t>. La persona recibe dinero de dos o más códigos de identificación fiscal (CIF), por lo que Hacienda interpreta que se cobra a través de dos pagadores distintos</w:t>
      </w:r>
      <w:r>
        <w:rPr>
          <w:rFonts w:ascii="Arial" w:hAnsi="Arial" w:cs="Arial"/>
          <w:color w:val="1F1F1F"/>
          <w:sz w:val="22"/>
          <w:szCs w:val="22"/>
          <w:shd w:val="clear" w:color="auto" w:fill="FFFFFF"/>
        </w:rPr>
        <w:t>.</w:t>
      </w:r>
      <w:r w:rsidRPr="00790CDE">
        <w:rPr>
          <w:rFonts w:ascii="Arial" w:hAnsi="Arial" w:cs="Arial"/>
          <w:color w:val="474747"/>
          <w:shd w:val="clear" w:color="auto" w:fill="FFFFFF"/>
        </w:rPr>
        <w:t xml:space="preserve"> </w:t>
      </w:r>
    </w:p>
    <w:p w14:paraId="79FDDE64" w14:textId="77777777" w:rsidR="00790CDE" w:rsidRPr="00CF1B34" w:rsidRDefault="00790CDE" w:rsidP="00790CDE">
      <w:pPr>
        <w:pBdr>
          <w:bottom w:val="dotted" w:sz="12" w:space="12" w:color="666666"/>
        </w:pBdr>
        <w:spacing w:after="240"/>
        <w:ind w:left="720"/>
        <w:jc w:val="both"/>
        <w:rPr>
          <w:rFonts w:ascii="Arial" w:hAnsi="Arial" w:cs="Arial"/>
          <w:color w:val="212529"/>
          <w:sz w:val="22"/>
          <w:szCs w:val="22"/>
          <w:lang w:val="es-ES_tradnl"/>
        </w:rPr>
      </w:pPr>
      <w:r w:rsidRPr="00790CDE">
        <w:rPr>
          <w:rFonts w:ascii="Arial" w:hAnsi="Arial" w:cs="Arial"/>
          <w:color w:val="474747"/>
          <w:sz w:val="22"/>
          <w:szCs w:val="22"/>
          <w:shd w:val="clear" w:color="auto" w:fill="FFFFFF"/>
        </w:rPr>
        <w:t xml:space="preserve">Para calcular el pago de la renta con doble pagador </w:t>
      </w:r>
      <w:r w:rsidRPr="00790CDE">
        <w:rPr>
          <w:rFonts w:ascii="Arial" w:hAnsi="Arial" w:cs="Arial"/>
          <w:color w:val="040C28"/>
          <w:sz w:val="22"/>
          <w:szCs w:val="22"/>
          <w:shd w:val="clear" w:color="auto" w:fill="D3E3FD"/>
        </w:rPr>
        <w:t>se deben sumar los ingresos de ambos pagadores.</w:t>
      </w:r>
      <w:r w:rsidRPr="00790CDE">
        <w:rPr>
          <w:rFonts w:ascii="Arial" w:hAnsi="Arial" w:cs="Arial"/>
          <w:color w:val="474747"/>
          <w:sz w:val="22"/>
          <w:szCs w:val="22"/>
          <w:shd w:val="clear" w:color="auto" w:fill="FFFFFF"/>
        </w:rPr>
        <w:t xml:space="preserve"> </w:t>
      </w:r>
      <w:r w:rsidRPr="00790CDE">
        <w:rPr>
          <w:rFonts w:ascii="Arial" w:hAnsi="Arial" w:cs="Arial"/>
          <w:color w:val="040C28"/>
          <w:sz w:val="22"/>
          <w:szCs w:val="22"/>
          <w:shd w:val="clear" w:color="auto" w:fill="D3E3FD"/>
        </w:rPr>
        <w:t>Posteriormente se debe aplicar sobre esa cantidad total el porcentaje correspondiente de IRPF para ese volumen de ingresos</w:t>
      </w:r>
      <w:r>
        <w:rPr>
          <w:rFonts w:ascii="Arial" w:hAnsi="Arial" w:cs="Arial"/>
          <w:color w:val="040C28"/>
          <w:sz w:val="22"/>
          <w:szCs w:val="22"/>
          <w:shd w:val="clear" w:color="auto" w:fill="D3E3FD"/>
        </w:rPr>
        <w:t>.</w:t>
      </w:r>
    </w:p>
    <w:p w14:paraId="07F1C4C0" w14:textId="03D23E75" w:rsidR="00995A69" w:rsidRPr="00CF1B34" w:rsidRDefault="00995A6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Seguridad </w:t>
      </w:r>
    </w:p>
    <w:p w14:paraId="068211BA" w14:textId="501C1F42" w:rsidR="0068373D" w:rsidRPr="00CF1B34" w:rsidRDefault="0068373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una de las claves de la ecuación del ahorro. La seguridad implica siempre menores ganancias</w:t>
      </w:r>
      <w:r w:rsidR="00A764BB">
        <w:rPr>
          <w:rFonts w:ascii="Arial" w:hAnsi="Arial" w:cs="Arial"/>
          <w:color w:val="000000" w:themeColor="text1"/>
          <w:sz w:val="22"/>
          <w:szCs w:val="22"/>
          <w:lang w:val="es-ES_tradnl"/>
        </w:rPr>
        <w:t>,</w:t>
      </w:r>
      <w:r w:rsidRPr="00CF1B34">
        <w:rPr>
          <w:rFonts w:ascii="Arial" w:hAnsi="Arial" w:cs="Arial"/>
          <w:color w:val="000000" w:themeColor="text1"/>
          <w:sz w:val="22"/>
          <w:szCs w:val="22"/>
          <w:lang w:val="es-ES_tradnl"/>
        </w:rPr>
        <w:t xml:space="preserve"> pero más certeza sobre las mismas.</w:t>
      </w:r>
    </w:p>
    <w:p w14:paraId="6566824F" w14:textId="367423DE" w:rsidR="00952D89" w:rsidRPr="00CF1B34" w:rsidRDefault="00952D89"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Seguro de amortización TAR</w:t>
      </w:r>
    </w:p>
    <w:p w14:paraId="28A1EB84" w14:textId="77777777" w:rsidR="00952D89" w:rsidRPr="00CF1B34" w:rsidRDefault="00952D89" w:rsidP="0005621A">
      <w:pPr>
        <w:ind w:left="708"/>
        <w:jc w:val="both"/>
        <w:rPr>
          <w:rFonts w:ascii="Arial" w:hAnsi="Arial" w:cs="Arial"/>
          <w:sz w:val="22"/>
          <w:szCs w:val="22"/>
          <w:lang w:val="es-ES_tradnl"/>
        </w:rPr>
      </w:pPr>
      <w:r w:rsidRPr="00CF1B34">
        <w:rPr>
          <w:rFonts w:ascii="Arial" w:hAnsi="Arial" w:cs="Arial"/>
          <w:sz w:val="22"/>
          <w:szCs w:val="22"/>
          <w:lang w:val="es-ES_tradnl"/>
        </w:rPr>
        <w:t>Cuando contratamos un préstamo hipotecario, el banco puede ofrecernos un </w:t>
      </w:r>
      <w:r w:rsidRPr="00CF1B34">
        <w:rPr>
          <w:rFonts w:ascii="Arial" w:hAnsi="Arial" w:cs="Arial"/>
          <w:b/>
          <w:bCs/>
          <w:sz w:val="22"/>
          <w:szCs w:val="22"/>
          <w:lang w:val="es-ES_tradnl"/>
        </w:rPr>
        <w:t>seguro de amortización</w:t>
      </w:r>
      <w:r w:rsidRPr="00CF1B34">
        <w:rPr>
          <w:rFonts w:ascii="Arial" w:hAnsi="Arial" w:cs="Arial"/>
          <w:sz w:val="22"/>
          <w:szCs w:val="22"/>
          <w:lang w:val="es-ES_tradnl"/>
        </w:rPr>
        <w:t>, que es un aval que liberará a los herederos ante el fallecimiento, incapacidad o desempleo del asegurado. Y aunque comparta algunas semejanzas con un seguro de vida, en realidad ha sido diseñado exclusivamente para personas que estén pagando una hipoteca, por lo que puede resultar más apropiado.</w:t>
      </w:r>
    </w:p>
    <w:p w14:paraId="1330B2EF" w14:textId="61E7F400"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Como este seguro lleva el distintivo TAR (Temporal Anual Renovable), incorpora todas sus ventajas. Por ejemplo, incluye una prima que se renueva año tras año y siempre que el cliente desee. Además</w:t>
      </w:r>
      <w:r w:rsidR="00A764BB">
        <w:rPr>
          <w:rFonts w:ascii="Arial" w:hAnsi="Arial" w:cs="Arial"/>
          <w:sz w:val="22"/>
          <w:szCs w:val="22"/>
          <w:lang w:val="es-ES_tradnl"/>
        </w:rPr>
        <w:t>,</w:t>
      </w:r>
      <w:r w:rsidRPr="00CF1B34">
        <w:rPr>
          <w:rFonts w:ascii="Arial" w:hAnsi="Arial" w:cs="Arial"/>
          <w:sz w:val="22"/>
          <w:szCs w:val="22"/>
          <w:lang w:val="es-ES_tradnl"/>
        </w:rPr>
        <w:t xml:space="preserve"> se puede cancelar sin penalización (siempre que lo comuniquemos en el plazo establecido en las cláusulas); e incluso puede dar opción al tomador de rescatar parte de las primas aportadas, aunque eso también depende de las condiciones establecidas por cada compañía.</w:t>
      </w:r>
    </w:p>
    <w:p w14:paraId="4E4D3F29" w14:textId="77777777"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Aunque contratarlo no es obligatorio (como tampoco lo será hacerlo con la entidad que nos ofrezca la hipoteca), siempre resultará una opción recomendable, ya que nos ayudará a reducir el precio total del préstamo y además nos concederá algunas ventajas.</w:t>
      </w:r>
    </w:p>
    <w:p w14:paraId="047CD48D" w14:textId="77777777"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primer lugar, durará lo mismo que la deuda y cubrirá el capital que corresponde al importe aún por liquidar, siempre en función del porcentaje que aseguremos (irá desde el 50% hasta el 100%), en el supuesto de fallecimiento por cualquier motivo del asegurado, aunque la cobertura podrá extenderse también a otros supuestos, como la invalidez absoluta y permanente.</w:t>
      </w:r>
    </w:p>
    <w:p w14:paraId="43F2D1BB" w14:textId="77777777" w:rsidR="00952D89" w:rsidRPr="00CF1B34" w:rsidRDefault="00952D89"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 nos ofrecerá flexibilidad en los pagos, y diferentes opciones de precios y capitales asegurados. Por ejemplo, podremos contratarlo mediante una única prima, en algunos casos. Y en caso de fallecimiento la deuda se cancelará directamente, sin representar ningún impacto fiscal para los herederos. Y si nos echamos atrás, podremos cancelarlo el mes siguiente a su contratación, o al año, siempre que lo comuniquemos a la aseguradora en el plazo adecuado.</w:t>
      </w:r>
    </w:p>
    <w:p w14:paraId="5564C8BA" w14:textId="77777777" w:rsidR="00952D89" w:rsidRPr="00CF1B34" w:rsidRDefault="00952D89"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Modalidades de un seguro de amortización TAR</w:t>
      </w:r>
    </w:p>
    <w:p w14:paraId="16756097" w14:textId="77777777" w:rsidR="00952D89" w:rsidRPr="00CF1B34" w:rsidRDefault="00952D89" w:rsidP="004F7A62">
      <w:pPr>
        <w:numPr>
          <w:ilvl w:val="0"/>
          <w:numId w:val="50"/>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El capital que pague la aseguradora sea igual a la deuda en el momento de la defunción, por lo que el pago decrecerá según se amortice el préstamo.</w:t>
      </w:r>
    </w:p>
    <w:p w14:paraId="30072C3E" w14:textId="77777777" w:rsidR="00952D89" w:rsidRPr="00CF1B34" w:rsidRDefault="00952D89" w:rsidP="004F7A62">
      <w:pPr>
        <w:numPr>
          <w:ilvl w:val="0"/>
          <w:numId w:val="50"/>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El capital sea el mismo mientras dure el contrato, con lo que la aseguradora abonará la cantidad pendiente al banco, y el sobrante a los beneficiarios de la póliza.</w:t>
      </w:r>
    </w:p>
    <w:p w14:paraId="1E390085" w14:textId="77777777" w:rsidR="00952D89" w:rsidRPr="00CF1B34" w:rsidRDefault="00952D89"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Qué es un seguro PUF (o seguro a Prima Única Financiada).</w:t>
      </w:r>
    </w:p>
    <w:p w14:paraId="1D5EC009" w14:textId="77777777" w:rsidR="00952D89" w:rsidRPr="00CF1B34" w:rsidRDefault="00952D8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 una modalidad donde la prima se suma al importe de la hipoteca. Así, en vez de pagar por un lado la mensualidad del préstamo y por otro la prima del seguro, podremos abonar ambos importes en un único pago. Pero ojo, porque también generará intereses; es importante echar números antes de contratarlo.</w:t>
      </w:r>
    </w:p>
    <w:p w14:paraId="74CFF62A" w14:textId="50B00355" w:rsidR="00952D89" w:rsidRPr="00CF1B34" w:rsidRDefault="00995A69"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Seguro de cambio</w:t>
      </w:r>
    </w:p>
    <w:p w14:paraId="6F0F76C1" w14:textId="77777777" w:rsidR="0068373D" w:rsidRPr="00CF1B34" w:rsidRDefault="0068373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 exactamente lo ismo que un </w:t>
      </w:r>
      <w:proofErr w:type="gramStart"/>
      <w:r w:rsidRPr="00CF1B34">
        <w:rPr>
          <w:rFonts w:ascii="Arial" w:hAnsi="Arial" w:cs="Arial"/>
          <w:color w:val="000000" w:themeColor="text1"/>
          <w:sz w:val="22"/>
          <w:szCs w:val="22"/>
          <w:lang w:val="es-ES_tradnl"/>
        </w:rPr>
        <w:t>Outright</w:t>
      </w:r>
      <w:proofErr w:type="gramEnd"/>
      <w:r w:rsidRPr="00CF1B34">
        <w:rPr>
          <w:rFonts w:ascii="Arial" w:hAnsi="Arial" w:cs="Arial"/>
          <w:color w:val="000000" w:themeColor="text1"/>
          <w:sz w:val="22"/>
          <w:szCs w:val="22"/>
          <w:lang w:val="es-ES_tradnl"/>
        </w:rPr>
        <w:t xml:space="preserve"> pero el que lo realiza es un Importador/Exportador con un Bando delegado.</w:t>
      </w:r>
    </w:p>
    <w:p w14:paraId="559F4402" w14:textId="5B1FDA3E" w:rsidR="00952D89" w:rsidRPr="00CF1B34" w:rsidRDefault="00952D89"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Seguro de vida TAR</w:t>
      </w:r>
    </w:p>
    <w:p w14:paraId="5A00D6D1" w14:textId="4A90F2FD" w:rsidR="00952D89" w:rsidRPr="00CF1B34" w:rsidRDefault="00952D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w:t>
      </w:r>
      <w:r w:rsidR="00790CDE">
        <w:rPr>
          <w:rFonts w:ascii="Arial" w:hAnsi="Arial" w:cs="Arial"/>
          <w:sz w:val="22"/>
          <w:szCs w:val="22"/>
          <w:lang w:val="es-ES_tradnl"/>
        </w:rPr>
        <w:t xml:space="preserve"> </w:t>
      </w:r>
      <w:r w:rsidRPr="00CF1B34">
        <w:rPr>
          <w:rStyle w:val="Textoennegrita"/>
          <w:rFonts w:ascii="Arial" w:hAnsi="Arial" w:cs="Arial"/>
          <w:sz w:val="22"/>
          <w:szCs w:val="22"/>
          <w:lang w:val="es-ES_tradnl"/>
        </w:rPr>
        <w:t>TAR</w:t>
      </w:r>
      <w:r w:rsidR="00790CDE">
        <w:rPr>
          <w:rFonts w:ascii="Arial" w:hAnsi="Arial" w:cs="Arial"/>
          <w:sz w:val="22"/>
          <w:szCs w:val="22"/>
          <w:lang w:val="es-ES_tradnl"/>
        </w:rPr>
        <w:t xml:space="preserve"> </w:t>
      </w:r>
      <w:r w:rsidRPr="00CF1B34">
        <w:rPr>
          <w:rFonts w:ascii="Arial" w:hAnsi="Arial" w:cs="Arial"/>
          <w:sz w:val="22"/>
          <w:szCs w:val="22"/>
          <w:lang w:val="es-ES_tradnl"/>
        </w:rPr>
        <w:t>designa un tipo específico de seguros: el Temporal Anual Renovable. Esto quiere decir que tiene una prima que se renueva año tras año y siempre que el cliente quiera.</w:t>
      </w:r>
    </w:p>
    <w:p w14:paraId="0F8E1E5F" w14:textId="0B7CC2ED" w:rsidR="00952D89" w:rsidRPr="00CF1B34" w:rsidRDefault="00952D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Debido a su versatilidad y adaptabilidad, es una opción muy recomendable: se puede cancelar sin mucho problema y sin penalización (siempre que lo comuniquemos en el plazo que el contrato establece); además, se puede convertir en un seguro permanente en algunos casos; e incluso puede darnos la opción de rescatar parte de las primas aportadas, pudiendo recuperar una buena parte de lo que hayamos aportado, aunque eso también depende de las condiciones establecidas por cada compañía.</w:t>
      </w:r>
    </w:p>
    <w:p w14:paraId="5A2FE592" w14:textId="77777777" w:rsidR="00952D89" w:rsidRPr="00CF1B34" w:rsidRDefault="00952D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 una modalidad que puede asociarse a los seguros de vida, y su contratación suele venir de la mano de la solicitud de una hipoteca. Así, el seguro de vida TAR cubre el fallecimiento del asegurado, y puede complementarse con otras coberturas, como la de invalidez o enfermedad grave.</w:t>
      </w:r>
    </w:p>
    <w:p w14:paraId="7A8701AE" w14:textId="77777777" w:rsidR="00952D89" w:rsidRPr="00CF1B34" w:rsidRDefault="00952D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 xml:space="preserve">La cuantía del capital también la decide el cliente, teniendo en cuenta que la prima subirá en función del capital asegurado. Lo normal es que su precio se vaya incrementando año tras año, sobre todo a mayor edad del asegurado; de hecho, lo normal es que tenga un límite de 65 años, coincidiendo con la edad de jubilación.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por otro lado, no tiene fecha de vencimiento, esto quiere decir que permanecerá en vigor hasta el fallecimiento del tomador.</w:t>
      </w:r>
    </w:p>
    <w:p w14:paraId="285862C7" w14:textId="77777777" w:rsidR="00952D89" w:rsidRPr="00CF1B34" w:rsidRDefault="00952D89"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principal ventaja del TAR es su precio, muy favorable sobre todo a corto plazo. Pero hay que tener cuidado: a diferencia de las primas constantes que ofrecen otros seguros, puede darnos alguna sorpresa. Por ejemplo, una enfermedad grave podría elevar la póliza, y estaríamos obligados a pagar la subida si quisiéramos seguir asegurados, ya que en esa circunstancia sería difícil contratar un nuevo seguro con otra compañía. Normalmente, el precio de un seguro de este tipo puede incrementarse de un 8 a un 10% al año, aunque a cierta edad y según las circunstancias, podría ascender incluso a un 50%. Y aunque es cierto que estos incrementos tan fuertes podrían reducirse negociando con nuestro banco, seguramente no podríamos realizar más ajustes a partir de cierto punto.</w:t>
      </w:r>
    </w:p>
    <w:p w14:paraId="61D23BCA" w14:textId="77777777" w:rsidR="00952D89" w:rsidRPr="00CF1B34" w:rsidRDefault="00952D89" w:rsidP="0005621A">
      <w:pPr>
        <w:pStyle w:val="Ttulo2"/>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¿Qué tipos de seguros existen?</w:t>
      </w:r>
    </w:p>
    <w:p w14:paraId="594CA9DF" w14:textId="77777777" w:rsidR="00952D89" w:rsidRPr="00CF1B34" w:rsidRDefault="00952D89" w:rsidP="0005621A">
      <w:pPr>
        <w:pStyle w:val="listitem"/>
        <w:spacing w:after="240" w:afterAutospacing="0"/>
        <w:ind w:left="720"/>
        <w:jc w:val="both"/>
        <w:rPr>
          <w:rFonts w:ascii="Arial" w:hAnsi="Arial" w:cs="Arial"/>
          <w:sz w:val="22"/>
          <w:szCs w:val="22"/>
          <w:lang w:val="es-ES_tradnl"/>
        </w:rPr>
      </w:pPr>
      <w:r w:rsidRPr="00CF1B34">
        <w:rPr>
          <w:rFonts w:ascii="Arial" w:hAnsi="Arial" w:cs="Arial"/>
          <w:sz w:val="22"/>
          <w:szCs w:val="22"/>
          <w:lang w:val="es-ES_tradnl"/>
        </w:rPr>
        <w:t>Los personales, que se contratan a título individual y avalan la estabilidad económica de los allegados al asegurado.</w:t>
      </w:r>
    </w:p>
    <w:p w14:paraId="124C434D" w14:textId="77777777" w:rsidR="00961FB5" w:rsidRPr="00CF1B34" w:rsidRDefault="00952D8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Los colectivos, contratados por empresas, cooperativas, etc. En este caso, el seguro cubre la plantilla con independencia de que cambie, y además tienen interesantes ventajas fiscales en la Declaración de la Renta.</w:t>
      </w:r>
    </w:p>
    <w:p w14:paraId="00FFB1A4" w14:textId="77777777" w:rsidR="00961FB5" w:rsidRPr="00CF1B34" w:rsidRDefault="00961FB5"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Seguros combinados con la hipoteca</w:t>
      </w:r>
    </w:p>
    <w:p w14:paraId="6C4E82D1" w14:textId="7DDD923D" w:rsidR="00961FB5" w:rsidRPr="00CF1B34" w:rsidRDefault="00961FB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Los</w:t>
      </w:r>
      <w:r w:rsidR="00A764BB">
        <w:rPr>
          <w:rFonts w:ascii="Arial" w:hAnsi="Arial" w:cs="Arial"/>
          <w:sz w:val="22"/>
          <w:szCs w:val="22"/>
          <w:lang w:val="es-ES_tradnl"/>
        </w:rPr>
        <w:t xml:space="preserve"> </w:t>
      </w:r>
      <w:r w:rsidRPr="00CF1B34">
        <w:rPr>
          <w:rFonts w:ascii="Arial" w:hAnsi="Arial" w:cs="Arial"/>
          <w:b/>
          <w:bCs/>
          <w:sz w:val="22"/>
          <w:szCs w:val="22"/>
          <w:lang w:val="es-ES_tradnl"/>
        </w:rPr>
        <w:t>seguros</w:t>
      </w:r>
      <w:r w:rsidR="00A764BB">
        <w:rPr>
          <w:rFonts w:ascii="Arial" w:hAnsi="Arial" w:cs="Arial"/>
          <w:b/>
          <w:bCs/>
          <w:sz w:val="22"/>
          <w:szCs w:val="22"/>
          <w:lang w:val="es-ES_tradnl"/>
        </w:rPr>
        <w:t xml:space="preserve"> </w:t>
      </w:r>
      <w:r w:rsidRPr="00CF1B34">
        <w:rPr>
          <w:rFonts w:ascii="Arial" w:hAnsi="Arial" w:cs="Arial"/>
          <w:b/>
          <w:bCs/>
          <w:sz w:val="22"/>
          <w:szCs w:val="22"/>
          <w:lang w:val="es-ES_tradnl"/>
        </w:rPr>
        <w:t>combinados con la hipoteca</w:t>
      </w:r>
      <w:r w:rsidR="00A764BB">
        <w:rPr>
          <w:rFonts w:ascii="Arial" w:hAnsi="Arial" w:cs="Arial"/>
          <w:sz w:val="22"/>
          <w:szCs w:val="22"/>
          <w:lang w:val="es-ES_tradnl"/>
        </w:rPr>
        <w:t xml:space="preserve"> </w:t>
      </w:r>
      <w:r w:rsidRPr="00CF1B34">
        <w:rPr>
          <w:rFonts w:ascii="Arial" w:hAnsi="Arial" w:cs="Arial"/>
          <w:sz w:val="22"/>
          <w:szCs w:val="22"/>
          <w:lang w:val="es-ES_tradnl"/>
        </w:rPr>
        <w:t>son aquellos cuya contratación es, o bien obligatoria, o bien muy recomendable, a la hora de contratar un préstamo hipotecario.</w:t>
      </w:r>
    </w:p>
    <w:p w14:paraId="1AFD8C82" w14:textId="38403BB3" w:rsidR="00961FB5" w:rsidRPr="00CF1B34" w:rsidRDefault="00961FB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tratar este tema, en primer lugar</w:t>
      </w:r>
      <w:r w:rsidR="00A764BB">
        <w:rPr>
          <w:rFonts w:ascii="Arial" w:hAnsi="Arial" w:cs="Arial"/>
          <w:sz w:val="22"/>
          <w:szCs w:val="22"/>
          <w:lang w:val="es-ES_tradnl"/>
        </w:rPr>
        <w:t>,</w:t>
      </w:r>
      <w:r w:rsidRPr="00CF1B34">
        <w:rPr>
          <w:rFonts w:ascii="Arial" w:hAnsi="Arial" w:cs="Arial"/>
          <w:sz w:val="22"/>
          <w:szCs w:val="22"/>
          <w:lang w:val="es-ES_tradnl"/>
        </w:rPr>
        <w:t xml:space="preserve"> vamos a hablar de la Ley Hipotecaria, ya que ha venido a arrojar un poco de luz con respecto a la regulación de estos préstamos. Aunque esta normativa no regula los seguros de manera especifica, sí establece que a la hora de formalizar una </w:t>
      </w:r>
      <w:hyperlink r:id="rId335" w:history="1">
        <w:r w:rsidRPr="00CF1B34">
          <w:rPr>
            <w:rFonts w:ascii="Arial" w:hAnsi="Arial" w:cs="Arial"/>
            <w:b/>
            <w:bCs/>
            <w:color w:val="BD4313"/>
            <w:sz w:val="22"/>
            <w:szCs w:val="22"/>
            <w:lang w:val="es-ES_tradnl"/>
          </w:rPr>
          <w:t>hipoteca</w:t>
        </w:r>
      </w:hyperlink>
      <w:r w:rsidRPr="00CF1B34">
        <w:rPr>
          <w:rFonts w:ascii="Arial" w:hAnsi="Arial" w:cs="Arial"/>
          <w:b/>
          <w:bCs/>
          <w:sz w:val="22"/>
          <w:szCs w:val="22"/>
          <w:lang w:val="es-ES_tradnl"/>
        </w:rPr>
        <w:t> </w:t>
      </w:r>
      <w:r w:rsidRPr="00CF1B34">
        <w:rPr>
          <w:rFonts w:ascii="Arial" w:hAnsi="Arial" w:cs="Arial"/>
          <w:sz w:val="22"/>
          <w:szCs w:val="22"/>
          <w:lang w:val="es-ES_tradnl"/>
        </w:rPr>
        <w:t xml:space="preserve">debemos contratar ciertos productos, aunque no sea obligatoria la mediación del banco y podamos hacerlo con otra compañía. Es decir, que prohíbe la venta de estos seguros como condición para concedernos le </w:t>
      </w:r>
      <w:proofErr w:type="gramStart"/>
      <w:r w:rsidRPr="00CF1B34">
        <w:rPr>
          <w:rFonts w:ascii="Arial" w:hAnsi="Arial" w:cs="Arial"/>
          <w:sz w:val="22"/>
          <w:szCs w:val="22"/>
          <w:lang w:val="es-ES_tradnl"/>
        </w:rPr>
        <w:t>préstamo</w:t>
      </w:r>
      <w:proofErr w:type="gramEnd"/>
      <w:r w:rsidRPr="00CF1B34">
        <w:rPr>
          <w:rFonts w:ascii="Arial" w:hAnsi="Arial" w:cs="Arial"/>
          <w:sz w:val="22"/>
          <w:szCs w:val="22"/>
          <w:lang w:val="es-ES_tradnl"/>
        </w:rPr>
        <w:t xml:space="preserve"> pero si permite la venta combinada de productos complementarios para rebajarnos el interés y mejorar las condiciones del préstamo hipotecario. </w:t>
      </w:r>
    </w:p>
    <w:p w14:paraId="64A7046B" w14:textId="1923B139" w:rsidR="00961FB5" w:rsidRPr="00CF1B34" w:rsidRDefault="00961FB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Dicho esto, hay que resaltar que al firmar un</w:t>
      </w:r>
      <w:r w:rsidR="00A764BB">
        <w:rPr>
          <w:rFonts w:ascii="Arial" w:hAnsi="Arial" w:cs="Arial"/>
          <w:sz w:val="22"/>
          <w:szCs w:val="22"/>
          <w:lang w:val="es-ES_tradnl"/>
        </w:rPr>
        <w:t xml:space="preserve"> </w:t>
      </w:r>
      <w:hyperlink r:id="rId336" w:history="1">
        <w:r w:rsidRPr="00CF1B34">
          <w:rPr>
            <w:rFonts w:ascii="Arial" w:hAnsi="Arial" w:cs="Arial"/>
            <w:b/>
            <w:bCs/>
            <w:color w:val="BD4313"/>
            <w:sz w:val="22"/>
            <w:szCs w:val="22"/>
            <w:lang w:val="es-ES_tradnl"/>
          </w:rPr>
          <w:t>préstamo hipotecario</w:t>
        </w:r>
      </w:hyperlink>
      <w:r w:rsidR="00A764BB">
        <w:rPr>
          <w:rFonts w:ascii="Arial" w:hAnsi="Arial" w:cs="Arial"/>
          <w:sz w:val="22"/>
          <w:szCs w:val="22"/>
          <w:lang w:val="es-ES_tradnl"/>
        </w:rPr>
        <w:t xml:space="preserve"> </w:t>
      </w:r>
      <w:r w:rsidRPr="00CF1B34">
        <w:rPr>
          <w:rFonts w:ascii="Arial" w:hAnsi="Arial" w:cs="Arial"/>
          <w:sz w:val="22"/>
          <w:szCs w:val="22"/>
          <w:lang w:val="es-ES_tradnl"/>
        </w:rPr>
        <w:t>tendremos que cubrir ciertos riesgos que garanticen nuestro pago al banco en caso de que existan algunas incidencias, por ejemplo</w:t>
      </w:r>
      <w:r w:rsidR="00A764BB">
        <w:rPr>
          <w:rFonts w:ascii="Arial" w:hAnsi="Arial" w:cs="Arial"/>
          <w:sz w:val="22"/>
          <w:szCs w:val="22"/>
          <w:lang w:val="es-ES_tradnl"/>
        </w:rPr>
        <w:t>:</w:t>
      </w:r>
      <w:r w:rsidRPr="00CF1B34">
        <w:rPr>
          <w:rFonts w:ascii="Arial" w:hAnsi="Arial" w:cs="Arial"/>
          <w:sz w:val="22"/>
          <w:szCs w:val="22"/>
          <w:lang w:val="es-ES_tradnl"/>
        </w:rPr>
        <w:t xml:space="preserve"> un incendio, o el fallecimiento del titular del préstamo.</w:t>
      </w:r>
    </w:p>
    <w:p w14:paraId="766170B5" w14:textId="77777777" w:rsidR="00961FB5" w:rsidRPr="00CF1B34" w:rsidRDefault="00961FB5" w:rsidP="0005621A">
      <w:pPr>
        <w:spacing w:after="100" w:afterAutospacing="1"/>
        <w:ind w:firstLine="495"/>
        <w:jc w:val="both"/>
        <w:rPr>
          <w:rFonts w:ascii="Arial" w:hAnsi="Arial" w:cs="Arial"/>
          <w:sz w:val="22"/>
          <w:szCs w:val="22"/>
          <w:lang w:val="es-ES_tradnl"/>
        </w:rPr>
      </w:pPr>
      <w:r w:rsidRPr="00CF1B34">
        <w:rPr>
          <w:rFonts w:ascii="Arial" w:hAnsi="Arial" w:cs="Arial"/>
          <w:b/>
          <w:bCs/>
          <w:sz w:val="22"/>
          <w:szCs w:val="22"/>
          <w:lang w:val="es-ES_tradnl"/>
        </w:rPr>
        <w:t>Son obligatorios los siguientes seguros</w:t>
      </w:r>
      <w:r w:rsidRPr="00CF1B34">
        <w:rPr>
          <w:rFonts w:ascii="Arial" w:hAnsi="Arial" w:cs="Arial"/>
          <w:sz w:val="22"/>
          <w:szCs w:val="22"/>
          <w:lang w:val="es-ES_tradnl"/>
        </w:rPr>
        <w:t>:</w:t>
      </w:r>
    </w:p>
    <w:p w14:paraId="132DC8EB" w14:textId="77777777" w:rsidR="00961FB5" w:rsidRPr="00CF1B34" w:rsidRDefault="00961FB5" w:rsidP="004F7A62">
      <w:pPr>
        <w:numPr>
          <w:ilvl w:val="0"/>
          <w:numId w:val="51"/>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El seguro de cobertura mínima por daños sobre el inmueble (por ejemplo, un seguro contra incendios),</w:t>
      </w:r>
    </w:p>
    <w:p w14:paraId="5E8187E8" w14:textId="77777777" w:rsidR="00961FB5" w:rsidRPr="00CF1B34" w:rsidRDefault="00961FB5" w:rsidP="004F7A62">
      <w:pPr>
        <w:numPr>
          <w:ilvl w:val="0"/>
          <w:numId w:val="51"/>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Una póliza como garantía para que se cumplan las obligaciones del contrato de la hipoteca (es decir; un seguro de protección de pagos, o un seguro de vida).</w:t>
      </w:r>
    </w:p>
    <w:p w14:paraId="2A47B363" w14:textId="0952856B" w:rsidR="00961FB5" w:rsidRPr="00CF1B34" w:rsidRDefault="00961FB5"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lastRenderedPageBreak/>
        <w:t>Y</w:t>
      </w:r>
      <w:r w:rsidR="00A764BB">
        <w:rPr>
          <w:rFonts w:ascii="Arial" w:hAnsi="Arial" w:cs="Arial"/>
          <w:sz w:val="22"/>
          <w:szCs w:val="22"/>
          <w:lang w:val="es-ES_tradnl"/>
        </w:rPr>
        <w:t>,</w:t>
      </w:r>
      <w:r w:rsidRPr="00CF1B34">
        <w:rPr>
          <w:rFonts w:ascii="Arial" w:hAnsi="Arial" w:cs="Arial"/>
          <w:sz w:val="22"/>
          <w:szCs w:val="22"/>
          <w:lang w:val="es-ES_tradnl"/>
        </w:rPr>
        <w:t xml:space="preserve"> además, el banco nos puede ofrecer algunos seguros y productos opcionales para rebajarnos el interés de la hipoteca. Es lo que se llama venta combinada (si se nos ofrece cada producto por separado), o vinculada (si los productos se nos ofrecen en un paquete indivisible).</w:t>
      </w:r>
    </w:p>
    <w:p w14:paraId="1BB9AA38" w14:textId="30A3A395" w:rsidR="00961FB5" w:rsidRPr="00CF1B34" w:rsidRDefault="00961FB5"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Aunque los siguientes seguros no sean obligatorios, son los </w:t>
      </w:r>
      <w:r w:rsidRPr="00CF1B34">
        <w:rPr>
          <w:rFonts w:ascii="Arial" w:hAnsi="Arial" w:cs="Arial"/>
          <w:b/>
          <w:bCs/>
          <w:sz w:val="22"/>
          <w:szCs w:val="22"/>
          <w:lang w:val="es-ES_tradnl"/>
        </w:rPr>
        <w:t>seguros que</w:t>
      </w:r>
      <w:r w:rsidR="00A764BB">
        <w:rPr>
          <w:rFonts w:ascii="Arial" w:hAnsi="Arial" w:cs="Arial"/>
          <w:b/>
          <w:bCs/>
          <w:sz w:val="22"/>
          <w:szCs w:val="22"/>
          <w:lang w:val="es-ES_tradnl"/>
        </w:rPr>
        <w:t xml:space="preserve"> </w:t>
      </w:r>
      <w:r w:rsidRPr="00CF1B34">
        <w:rPr>
          <w:rFonts w:ascii="Arial" w:hAnsi="Arial" w:cs="Arial"/>
          <w:b/>
          <w:bCs/>
          <w:sz w:val="22"/>
          <w:szCs w:val="22"/>
          <w:lang w:val="es-ES_tradnl"/>
        </w:rPr>
        <w:t>habitualmente se incluyen en la propuesta del banco para poder ofrecernos mejores condiciones</w:t>
      </w:r>
      <w:r w:rsidRPr="00CF1B34">
        <w:rPr>
          <w:rFonts w:ascii="Arial" w:hAnsi="Arial" w:cs="Arial"/>
          <w:sz w:val="22"/>
          <w:szCs w:val="22"/>
          <w:lang w:val="es-ES_tradnl"/>
        </w:rPr>
        <w:t>:</w:t>
      </w:r>
    </w:p>
    <w:p w14:paraId="3CC3E43C" w14:textId="77777777" w:rsidR="00961FB5" w:rsidRPr="00CF1B34" w:rsidRDefault="00961FB5" w:rsidP="004F7A62">
      <w:pPr>
        <w:numPr>
          <w:ilvl w:val="0"/>
          <w:numId w:val="5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Seguro de hogar: si es de daños cubrirá la estructura o continente del inmueble; y si es multirriesgo, además asegurará lo que haya dentro, en contenido del hogar.</w:t>
      </w:r>
    </w:p>
    <w:p w14:paraId="4217ACFC" w14:textId="77777777" w:rsidR="00961FB5" w:rsidRPr="00CF1B34" w:rsidRDefault="00961FB5" w:rsidP="004F7A62">
      <w:pPr>
        <w:numPr>
          <w:ilvl w:val="0"/>
          <w:numId w:val="5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seguro de vida: cubrirá la deuda en caso de fallecimiento, invalidez profunda o incapacidad permanente del titular;</w:t>
      </w:r>
    </w:p>
    <w:p w14:paraId="21541B90" w14:textId="77777777" w:rsidR="00961FB5" w:rsidRPr="00CF1B34" w:rsidRDefault="00961FB5" w:rsidP="004F7A62">
      <w:pPr>
        <w:numPr>
          <w:ilvl w:val="0"/>
          <w:numId w:val="5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Seguro de protección de pagos: cubrirá el impago de las cuotas en caso de invalidez temporal o desempleo del deudor.</w:t>
      </w:r>
    </w:p>
    <w:p w14:paraId="32B218E3" w14:textId="3048AE32" w:rsidR="00961FB5" w:rsidRPr="00CF1B34" w:rsidRDefault="00961FB5" w:rsidP="004F7A62">
      <w:pPr>
        <w:numPr>
          <w:ilvl w:val="0"/>
          <w:numId w:val="52"/>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Otros</w:t>
      </w:r>
      <w:r w:rsidR="00A764BB">
        <w:rPr>
          <w:rFonts w:ascii="Arial" w:hAnsi="Arial" w:cs="Arial"/>
          <w:sz w:val="22"/>
          <w:szCs w:val="22"/>
          <w:lang w:val="es-ES_tradnl"/>
        </w:rPr>
        <w:t xml:space="preserve"> </w:t>
      </w:r>
      <w:r w:rsidRPr="00CF1B34">
        <w:rPr>
          <w:rFonts w:ascii="Arial" w:hAnsi="Arial" w:cs="Arial"/>
          <w:sz w:val="22"/>
          <w:szCs w:val="22"/>
          <w:lang w:val="es-ES_tradnl"/>
        </w:rPr>
        <w:t>seguros secundarios (como el de salud o el de coche), y otros productos como tarjetas de crédito, planes de pensiones, domiciliaciones de nómina, etc.</w:t>
      </w:r>
    </w:p>
    <w:p w14:paraId="72EC2330" w14:textId="35C6A402" w:rsidR="00961FB5" w:rsidRPr="00CF1B34" w:rsidRDefault="00961FB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Como es lógico, la contratación de estos seguros combinados con</w:t>
      </w:r>
      <w:r w:rsidR="00A764BB">
        <w:rPr>
          <w:rFonts w:ascii="Arial" w:hAnsi="Arial" w:cs="Arial"/>
          <w:sz w:val="22"/>
          <w:szCs w:val="22"/>
          <w:lang w:val="es-ES_tradnl"/>
        </w:rPr>
        <w:t xml:space="preserve"> </w:t>
      </w:r>
      <w:r w:rsidRPr="00CF1B34">
        <w:rPr>
          <w:rFonts w:ascii="Arial" w:hAnsi="Arial" w:cs="Arial"/>
          <w:sz w:val="22"/>
          <w:szCs w:val="22"/>
          <w:lang w:val="es-ES_tradnl"/>
        </w:rPr>
        <w:t>la hipoteca tendrá un coste adicional</w:t>
      </w:r>
      <w:r w:rsidR="00790CDE">
        <w:rPr>
          <w:rFonts w:ascii="Arial" w:hAnsi="Arial" w:cs="Arial"/>
          <w:sz w:val="22"/>
          <w:szCs w:val="22"/>
          <w:lang w:val="es-ES_tradnl"/>
        </w:rPr>
        <w:t>,</w:t>
      </w:r>
      <w:r w:rsidRPr="00CF1B34">
        <w:rPr>
          <w:rFonts w:ascii="Arial" w:hAnsi="Arial" w:cs="Arial"/>
          <w:sz w:val="22"/>
          <w:szCs w:val="22"/>
          <w:lang w:val="es-ES_tradnl"/>
        </w:rPr>
        <w:t xml:space="preserve"> pero tendremos que hacer números para ver si en general compensan la bajada del interés del préstamo.</w:t>
      </w:r>
    </w:p>
    <w:p w14:paraId="3C9641AB" w14:textId="015A930D"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Senaf</w:t>
      </w:r>
    </w:p>
    <w:p w14:paraId="6B6211DD"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Sistema Electrónico de Negociación de Activos Financieros. Es una plataforma electrónica de negociación de deuda pública española. Está sujeta a la supervisión del Banco de España y de la CNMV. Desarrolla el sistema ciego de negociación de bonos, en el que los negociadores no conocen la contrapartida de sus operaciones. </w:t>
      </w:r>
    </w:p>
    <w:p w14:paraId="0318D967" w14:textId="33943B5C" w:rsidR="00995A69" w:rsidRPr="00CF1B34" w:rsidRDefault="00995A6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Serie</w:t>
      </w:r>
    </w:p>
    <w:p w14:paraId="7C6B8C1D" w14:textId="77777777" w:rsidR="006A0B05" w:rsidRPr="00CF1B34" w:rsidRDefault="0068373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Dentro de cada Clase de Contratos, Serie son aquellas </w:t>
      </w:r>
      <w:r w:rsidR="006A0B05" w:rsidRPr="00CF1B34">
        <w:rPr>
          <w:rFonts w:ascii="Arial" w:hAnsi="Arial" w:cs="Arial"/>
          <w:color w:val="000000" w:themeColor="text1"/>
          <w:sz w:val="22"/>
          <w:szCs w:val="22"/>
          <w:lang w:val="es-ES_tradnl"/>
        </w:rPr>
        <w:t>Opciones que tiene el mismo Precio de Ejercicio y la misma Fecha de Vencimiento, y aquellos Futuros que tienen la misma Fecha de Vencimiento.</w:t>
      </w:r>
    </w:p>
    <w:p w14:paraId="2C5435D6" w14:textId="3FD1C510"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Series de acciones</w:t>
      </w:r>
    </w:p>
    <w:p w14:paraId="35A2119C"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acciones emitidas por una sociedad de inversión que tienen el mismo valor nominal y confieren a sus titulares los mismos derechos. Las instituciones de inversión colectiva con forma societaria pueden emitir distintas series de acciones, que se distinguen por las comisiones que se aplican a sus titulares.</w:t>
      </w:r>
    </w:p>
    <w:p w14:paraId="258A505C"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Servicio de atención al cliente</w:t>
      </w:r>
    </w:p>
    <w:p w14:paraId="4639A639"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Departamento que las entidades intermediarias destinan para atender las consultas, quejas y reclamaciones de sus clientes, en el ámbito de los productos y servicios financieros. La normativa obliga a las entidades de crédito, las empresas de servicios de inversión y las sociedades gestoras a disponer de este servicio, del que deben ofrecer información suficiente en sus oficinas y en sus páginas web.</w:t>
      </w:r>
    </w:p>
    <w:p w14:paraId="59FBDC20" w14:textId="0400C04A" w:rsidR="00995A69" w:rsidRPr="00CF1B34" w:rsidRDefault="00995A6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Servicio de compensación y liquidaci</w:t>
      </w:r>
      <w:r w:rsidR="006A0B05"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n</w:t>
      </w:r>
    </w:p>
    <w:p w14:paraId="16C54BDA" w14:textId="77777777" w:rsidR="00B36DF8" w:rsidRPr="00CF1B34" w:rsidRDefault="00977CD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Es el organismo encargado de liquidar y compensar las operaciones que previamente se han contratado en los mercados. Es la trastienda</w:t>
      </w:r>
      <w:r w:rsidR="00B36DF8" w:rsidRPr="00CF1B34">
        <w:rPr>
          <w:rFonts w:ascii="Arial" w:hAnsi="Arial" w:cs="Arial"/>
          <w:color w:val="000000" w:themeColor="text1"/>
          <w:sz w:val="22"/>
          <w:szCs w:val="22"/>
          <w:lang w:val="es-ES_tradnl"/>
        </w:rPr>
        <w:t xml:space="preserve"> donde el emisor percibe su dinero y el inversor adquiere sus títulos.</w:t>
      </w:r>
    </w:p>
    <w:p w14:paraId="2CAAB984" w14:textId="12C2504D"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Servicio de Interconexión Bursátil Español, SIBE</w:t>
      </w:r>
    </w:p>
    <w:p w14:paraId="2C9BCA81"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Plataforma de contratación, gestionada y administrada por la Sociedad de </w:t>
      </w:r>
      <w:proofErr w:type="gramStart"/>
      <w:r w:rsidRPr="00CF1B34">
        <w:rPr>
          <w:rFonts w:ascii="Arial" w:hAnsi="Arial" w:cs="Arial"/>
          <w:color w:val="212529"/>
          <w:sz w:val="22"/>
          <w:szCs w:val="22"/>
          <w:lang w:val="es-ES_tradnl"/>
        </w:rPr>
        <w:t>Bolsas,por</w:t>
      </w:r>
      <w:proofErr w:type="gramEnd"/>
      <w:r w:rsidRPr="00CF1B34">
        <w:rPr>
          <w:rFonts w:ascii="Arial" w:hAnsi="Arial" w:cs="Arial"/>
          <w:color w:val="212529"/>
          <w:sz w:val="22"/>
          <w:szCs w:val="22"/>
          <w:lang w:val="es-ES_tradnl"/>
        </w:rPr>
        <w:t xml:space="preserve"> el cual las cuatro bolsas españolas (Madrid, Barcelona, Bilbao y Valencia) se encuentran conectadas en tiempo real, formando un único mercado de contratación (mercado continuo). Difunde, entre otra información, la evolución de los precios de cada valor e índices de referencia, y está basado en el envío de órdenes, mediante terminales informáticos, a un ordenador central. </w:t>
      </w:r>
    </w:p>
    <w:p w14:paraId="6FB490A0"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SICAV (open-end investment company)</w:t>
      </w:r>
    </w:p>
    <w:p w14:paraId="7D1D3B30"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Institución de inversión colectiva con forma de sociedad anónima y carácter abierto (los inversores pueden entrar y salir en cualquier momento). La gestión puede estar en manos de los administradores de la sociedad o de una gestora. Como en cualquier otra sociedad anónima, los accionistas participan en las juntas generales, en las condiciones que establezcan los estatutos. Al igual que los fondos de inversión mobiliaria, invierten la mayor parte de su patrimonio en valores mobiliarios como acciones, deuda pública, obligaciones, etc.</w:t>
      </w:r>
    </w:p>
    <w:p w14:paraId="05DC60EF" w14:textId="6C688B24" w:rsidR="00995A69" w:rsidRPr="00CF1B34" w:rsidRDefault="00995A6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SIM</w:t>
      </w:r>
    </w:p>
    <w:p w14:paraId="31FB13FB" w14:textId="521181A9" w:rsidR="00B36DF8" w:rsidRPr="00CF1B34" w:rsidRDefault="00B36DF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Sociedades de Inversión Mobiliaria que se dedican a comprar activos financieros. También se las conoce como sociedades de cartera, y forman dentro de la bolsa un sector.</w:t>
      </w:r>
    </w:p>
    <w:p w14:paraId="393B0C2C" w14:textId="77777777" w:rsidR="00961FB5" w:rsidRPr="00CF1B34" w:rsidRDefault="00961FB5"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Simulador Hipoteca</w:t>
      </w:r>
    </w:p>
    <w:p w14:paraId="294EBBD8" w14:textId="766D3A7E" w:rsidR="00961FB5" w:rsidRPr="00CF1B34" w:rsidRDefault="00961FB5" w:rsidP="0005621A">
      <w:pPr>
        <w:ind w:left="708"/>
        <w:jc w:val="both"/>
        <w:rPr>
          <w:rFonts w:ascii="Arial" w:hAnsi="Arial" w:cs="Arial"/>
          <w:sz w:val="22"/>
          <w:szCs w:val="22"/>
          <w:lang w:val="es-ES_tradnl"/>
        </w:rPr>
      </w:pPr>
      <w:r w:rsidRPr="00CF1B34">
        <w:rPr>
          <w:rFonts w:ascii="Arial" w:hAnsi="Arial" w:cs="Arial"/>
          <w:sz w:val="22"/>
          <w:szCs w:val="22"/>
          <w:lang w:val="es-ES_tradnl"/>
        </w:rPr>
        <w:t>Un</w:t>
      </w:r>
      <w:r w:rsidR="00CE75A5" w:rsidRPr="00CF1B34">
        <w:rPr>
          <w:rFonts w:ascii="Arial" w:hAnsi="Arial" w:cs="Arial"/>
          <w:sz w:val="22"/>
          <w:szCs w:val="22"/>
          <w:lang w:val="es-ES_tradnl"/>
        </w:rPr>
        <w:t xml:space="preserve"> </w:t>
      </w:r>
      <w:hyperlink r:id="rId337" w:history="1">
        <w:r w:rsidRPr="00CF1B34">
          <w:rPr>
            <w:rFonts w:ascii="Arial" w:hAnsi="Arial" w:cs="Arial"/>
            <w:b/>
            <w:bCs/>
            <w:color w:val="BD4313"/>
            <w:sz w:val="22"/>
            <w:szCs w:val="22"/>
            <w:u w:val="single"/>
            <w:lang w:val="es-ES_tradnl"/>
          </w:rPr>
          <w:t>simulador de hipotecas</w:t>
        </w:r>
      </w:hyperlink>
      <w:r w:rsidR="00CE75A5" w:rsidRPr="00CF1B34">
        <w:rPr>
          <w:rFonts w:ascii="Arial" w:hAnsi="Arial" w:cs="Arial"/>
          <w:sz w:val="22"/>
          <w:szCs w:val="22"/>
          <w:lang w:val="es-ES_tradnl"/>
        </w:rPr>
        <w:t xml:space="preserve"> </w:t>
      </w:r>
      <w:r w:rsidRPr="00CF1B34">
        <w:rPr>
          <w:rFonts w:ascii="Arial" w:hAnsi="Arial" w:cs="Arial"/>
          <w:sz w:val="22"/>
          <w:szCs w:val="22"/>
          <w:lang w:val="es-ES_tradnl"/>
        </w:rPr>
        <w:t>es una herramienta online que sirve para saber cuánto nos puede costar un préstamo hipotecario, y si seremos capaces de pagarlo. Prácticamente todos los bancos y entidades financieras que venden hipotecas lo ofrecen de manera gratuita, y también algunas entidades que comparan precios de distintos productos financieros.</w:t>
      </w:r>
    </w:p>
    <w:p w14:paraId="26E1E80F" w14:textId="77777777" w:rsidR="00961FB5" w:rsidRPr="00CF1B34" w:rsidRDefault="00961FB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Esta especie de calculadora es útil para saber qué préstamo hipotecario es el más adecuado, en caso de que barajemos varias opciones. Y nos permitirá calcular:</w:t>
      </w:r>
    </w:p>
    <w:p w14:paraId="43905467" w14:textId="77777777" w:rsidR="00961FB5" w:rsidRPr="00CF1B34" w:rsidRDefault="00961FB5" w:rsidP="004F7A62">
      <w:pPr>
        <w:numPr>
          <w:ilvl w:val="0"/>
          <w:numId w:val="53"/>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importe de la hipoteca.</w:t>
      </w:r>
      <w:r w:rsidRPr="00CF1B34">
        <w:rPr>
          <w:rFonts w:ascii="Arial" w:hAnsi="Arial" w:cs="Arial"/>
          <w:sz w:val="22"/>
          <w:szCs w:val="22"/>
          <w:lang w:val="es-ES_tradnl"/>
        </w:rPr>
        <w:t> Es decir, lo que nos prestará el banco, en función de nuestros ingresos y del precio de nuestra vivienda.</w:t>
      </w:r>
    </w:p>
    <w:p w14:paraId="1302BBCD" w14:textId="5E553FDD" w:rsidR="00961FB5" w:rsidRPr="00CF1B34" w:rsidRDefault="00961FB5" w:rsidP="004F7A62">
      <w:pPr>
        <w:numPr>
          <w:ilvl w:val="0"/>
          <w:numId w:val="53"/>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Las </w:t>
      </w:r>
      <w:r w:rsidRPr="00CF1B34">
        <w:rPr>
          <w:rFonts w:ascii="Arial" w:hAnsi="Arial" w:cs="Arial"/>
          <w:b/>
          <w:bCs/>
          <w:sz w:val="22"/>
          <w:szCs w:val="22"/>
          <w:lang w:val="es-ES_tradnl"/>
        </w:rPr>
        <w:t>cuotas</w:t>
      </w:r>
      <w:r w:rsidRPr="00CF1B34">
        <w:rPr>
          <w:rFonts w:ascii="Arial" w:hAnsi="Arial" w:cs="Arial"/>
          <w:sz w:val="22"/>
          <w:szCs w:val="22"/>
          <w:lang w:val="es-ES_tradnl"/>
        </w:rPr>
        <w:t> que tendremos que pagar cada mes, así como su variación en función del índice de referencia (normalmente el euríbor) y de la amortización de nuestro préstamo. Mientras la estemos amortizand</w:t>
      </w:r>
      <w:r w:rsidR="00B74D10" w:rsidRPr="00CF1B34">
        <w:rPr>
          <w:rFonts w:ascii="Arial" w:hAnsi="Arial" w:cs="Arial"/>
          <w:sz w:val="22"/>
          <w:szCs w:val="22"/>
          <w:lang w:val="es-ES_tradnl"/>
        </w:rPr>
        <w:t xml:space="preserve">o </w:t>
      </w:r>
      <w:r w:rsidRPr="00CF1B34">
        <w:rPr>
          <w:rFonts w:ascii="Arial" w:hAnsi="Arial" w:cs="Arial"/>
          <w:sz w:val="22"/>
          <w:szCs w:val="22"/>
          <w:lang w:val="es-ES_tradnl"/>
        </w:rPr>
        <w:t>podremos averiguar qué nos resulta más rentable: si reducir cuota, o plazo, según los intereses que ahorremos en cada caso.</w:t>
      </w:r>
    </w:p>
    <w:p w14:paraId="6AEB6CC7" w14:textId="77777777" w:rsidR="00961FB5" w:rsidRPr="00CF1B34" w:rsidRDefault="00961FB5" w:rsidP="004F7A62">
      <w:pPr>
        <w:numPr>
          <w:ilvl w:val="0"/>
          <w:numId w:val="53"/>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Los</w:t>
      </w:r>
      <w:r w:rsidRPr="00CF1B34">
        <w:rPr>
          <w:rFonts w:ascii="Arial" w:hAnsi="Arial" w:cs="Arial"/>
          <w:b/>
          <w:bCs/>
          <w:sz w:val="22"/>
          <w:szCs w:val="22"/>
          <w:lang w:val="es-ES_tradnl"/>
        </w:rPr>
        <w:t> costes de la hipoteca</w:t>
      </w:r>
      <w:r w:rsidRPr="00CF1B34">
        <w:rPr>
          <w:rFonts w:ascii="Arial" w:hAnsi="Arial" w:cs="Arial"/>
          <w:sz w:val="22"/>
          <w:szCs w:val="22"/>
          <w:lang w:val="es-ES_tradnl"/>
        </w:rPr>
        <w:t>.</w:t>
      </w:r>
    </w:p>
    <w:p w14:paraId="64B90F2B" w14:textId="77777777" w:rsidR="00961FB5" w:rsidRPr="00CF1B34" w:rsidRDefault="00961FB5" w:rsidP="004F7A62">
      <w:pPr>
        <w:numPr>
          <w:ilvl w:val="0"/>
          <w:numId w:val="53"/>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total de intereses</w:t>
      </w:r>
      <w:r w:rsidRPr="00CF1B34">
        <w:rPr>
          <w:rFonts w:ascii="Arial" w:hAnsi="Arial" w:cs="Arial"/>
          <w:sz w:val="22"/>
          <w:szCs w:val="22"/>
          <w:lang w:val="es-ES_tradnl"/>
        </w:rPr>
        <w:t> que pagaremos al final de la hipoteca.</w:t>
      </w:r>
    </w:p>
    <w:p w14:paraId="2A87CEA5" w14:textId="77777777" w:rsidR="00961FB5" w:rsidRPr="00CF1B34" w:rsidRDefault="00961FB5"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simulador de hipotecas</w:t>
      </w:r>
      <w:r w:rsidRPr="00CF1B34">
        <w:rPr>
          <w:rFonts w:ascii="Arial" w:hAnsi="Arial" w:cs="Arial"/>
          <w:sz w:val="22"/>
          <w:szCs w:val="22"/>
          <w:lang w:val="es-ES_tradnl"/>
        </w:rPr>
        <w:t> también nos ayudará a calcular los gastos derivados tanto de la propia hipoteca (tasación), como de la compra de nuestra vivienda (notaría, registro, gestoría, impuestos…). En suma, será una herramienta fundamental a la hora de elegir el préstamo hipotecario que mejor se adapte a nosotros.</w:t>
      </w:r>
    </w:p>
    <w:p w14:paraId="370F6A9B" w14:textId="77777777" w:rsidR="00961FB5" w:rsidRPr="00CF1B34" w:rsidRDefault="00961FB5"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lastRenderedPageBreak/>
        <w:t>¿Cómo funciona un simulador?</w:t>
      </w:r>
    </w:p>
    <w:p w14:paraId="65798DE7" w14:textId="77777777" w:rsidR="00961FB5" w:rsidRPr="00CF1B34" w:rsidRDefault="00961FB5"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funcionamiento de un simulador de hipotecas se basa en cruzar nuestra información personal con algunas variables, como el importe de la hipoteca, el plazo, la cuota y el tipo de interés. Combinando todos estos datos, podrá ofrecernos las condiciones de nuestro préstamo. Por ejemplo, podremos calcular el importe de las cuotas si les damos el importe de la vivienda, el tipo de interés y el plazo que manejemos.</w:t>
      </w:r>
    </w:p>
    <w:p w14:paraId="0345CFB5" w14:textId="77777777" w:rsidR="00961FB5" w:rsidRPr="00CF1B34" w:rsidRDefault="00961FB5" w:rsidP="0005621A">
      <w:pPr>
        <w:spacing w:before="100" w:beforeAutospacing="1"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¿Cuántos simuladores de hipotecas existen?</w:t>
      </w:r>
    </w:p>
    <w:p w14:paraId="348596C6" w14:textId="77777777" w:rsidR="00961FB5" w:rsidRPr="00CF1B34" w:rsidRDefault="00961FB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Aunque hay simuladores más o menos complejos, en general la mayoría emplean las variables citadas anteriormente. Algunos más avanzados nos ofrecerán el volumen total de intereses y el cuadro de amortización de tu hipoteca, con la cuota, el capital, los intereses y el capital vivo mensual. Por otro lado, algunas calculadoras trabajan con todas las hipotecas disponibles en el mercado, aunque la información siempre será más precisa si consultamos cada una de ellas en el simulador del banco correspondiente. Por último, hay calculadoras más complejas que ofrecen información de cómo variaría una hipoteca en caso de realizar amortizaciones parciales.</w:t>
      </w:r>
    </w:p>
    <w:p w14:paraId="18277E34" w14:textId="14272DF5" w:rsidR="00961FB5"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Simultanea</w:t>
      </w:r>
    </w:p>
    <w:p w14:paraId="73CD1F9E" w14:textId="77777777" w:rsidR="0048624B" w:rsidRPr="00CF1B34" w:rsidRDefault="00B36DF8"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operaciones a vencimiento de compra y venta. El comprador de simultaneo compra unos bonos/obligaciones</w:t>
      </w:r>
      <w:r w:rsidR="0048624B" w:rsidRPr="00CF1B34">
        <w:rPr>
          <w:rFonts w:ascii="Arial" w:hAnsi="Arial" w:cs="Arial"/>
          <w:color w:val="000000" w:themeColor="text1"/>
          <w:sz w:val="22"/>
          <w:szCs w:val="22"/>
          <w:lang w:val="es-ES_tradnl"/>
        </w:rPr>
        <w:t xml:space="preserve"> a vencimiento y vende esos mismos bonos/obligaciones a vencimiento a la misma entidad pasado un periodo de tiempo. En el momento de pactarse la operación se cierra tanto la operación de “ida” Compra/venta como la de “vuelta” venta/compra.</w:t>
      </w:r>
    </w:p>
    <w:p w14:paraId="6574A462" w14:textId="62F97C6E"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Sindicato de Obligacionistas</w:t>
      </w:r>
    </w:p>
    <w:p w14:paraId="46D33EDC" w14:textId="14F5A443"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Regulado por la Ley de Sociedades Anónimas, está constituido por los adquirentes de las obligaciones, a medida que vayan recibiendo los títulos o que se vayan practicando las anotaciones en cuenta. Los gastos de sostenimiento del sindicato corren a cargo de la sociedad emisora. El sindicato está presidido por un comisario, que además de las funciones que le atribuya la escritura de emisión y las que le atribuya la asamblea de obligacionistas, ostentará la representación legal del sindicato y podrá ejercer las acciones que le correspondan. El comisario es la figura que establece la relación entre la sociedad emisora y el sindicato. Ver</w:t>
      </w:r>
      <w:r w:rsidR="00CE75A5" w:rsidRPr="00CF1B34">
        <w:rPr>
          <w:rFonts w:ascii="Arial" w:hAnsi="Arial" w:cs="Arial"/>
          <w:color w:val="212529"/>
          <w:sz w:val="22"/>
          <w:szCs w:val="22"/>
          <w:lang w:val="es-ES_tradnl"/>
        </w:rPr>
        <w:t xml:space="preserve"> </w:t>
      </w:r>
      <w:hyperlink r:id="rId338" w:tgtFrame="_self" w:history="1">
        <w:r w:rsidRPr="00CF1B34">
          <w:rPr>
            <w:rFonts w:ascii="Arial" w:hAnsi="Arial" w:cs="Arial"/>
            <w:b/>
            <w:bCs/>
            <w:color w:val="2F5496" w:themeColor="accent1" w:themeShade="BF"/>
            <w:sz w:val="22"/>
            <w:szCs w:val="22"/>
            <w:u w:val="single"/>
            <w:lang w:val="es-ES_tradnl"/>
          </w:rPr>
          <w:t>Asamblea de obligacionistas</w:t>
        </w:r>
      </w:hyperlink>
      <w:r w:rsidRPr="00CF1B34">
        <w:rPr>
          <w:rFonts w:ascii="Arial" w:hAnsi="Arial" w:cs="Arial"/>
          <w:color w:val="2F5496" w:themeColor="accent1" w:themeShade="BF"/>
          <w:sz w:val="22"/>
          <w:szCs w:val="22"/>
          <w:lang w:val="es-ES_tradnl"/>
        </w:rPr>
        <w:t>.</w:t>
      </w:r>
    </w:p>
    <w:p w14:paraId="22968532" w14:textId="767231EB" w:rsidR="00965A10"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Sint</w:t>
      </w:r>
      <w:r w:rsidR="00CE75A5" w:rsidRPr="00CF1B34">
        <w:rPr>
          <w:rFonts w:ascii="Arial" w:hAnsi="Arial" w:cs="Arial"/>
          <w:b/>
          <w:bCs/>
          <w:color w:val="004773"/>
          <w:sz w:val="22"/>
          <w:szCs w:val="22"/>
          <w:lang w:val="es-ES_tradnl"/>
        </w:rPr>
        <w:t>é</w:t>
      </w:r>
      <w:r w:rsidRPr="00CF1B34">
        <w:rPr>
          <w:rFonts w:ascii="Arial" w:hAnsi="Arial" w:cs="Arial"/>
          <w:b/>
          <w:bCs/>
          <w:color w:val="004773"/>
          <w:sz w:val="22"/>
          <w:szCs w:val="22"/>
          <w:lang w:val="es-ES_tradnl"/>
        </w:rPr>
        <w:t>tico</w:t>
      </w:r>
    </w:p>
    <w:p w14:paraId="645C5221" w14:textId="53093687" w:rsidR="007A4B2C" w:rsidRPr="00CF1B34" w:rsidRDefault="007A4B2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operación financiera que utilizamos para convertir activos y pasivos de una moneda extranjera en otra sin incurrir en riesgo de cambio. Generalmente a través del SWAP en divisas</w:t>
      </w:r>
      <w:r w:rsidRPr="00CF1B34">
        <w:rPr>
          <w:rFonts w:ascii="Arial" w:hAnsi="Arial" w:cs="Arial"/>
          <w:b/>
          <w:bCs/>
          <w:color w:val="004773"/>
          <w:sz w:val="22"/>
          <w:szCs w:val="22"/>
          <w:lang w:val="es-ES_tradnl"/>
        </w:rPr>
        <w:t>.</w:t>
      </w:r>
    </w:p>
    <w:p w14:paraId="48967D47" w14:textId="49CF543B" w:rsidR="00965A10"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Sistema de interconexión bursátil español (SIBE)</w:t>
      </w:r>
    </w:p>
    <w:p w14:paraId="0FFB23A4" w14:textId="77777777" w:rsidR="00872D7D" w:rsidRPr="00CF1B34" w:rsidRDefault="007A4B2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El </w:t>
      </w:r>
      <w:r w:rsidR="005616FB" w:rsidRPr="00CF1B34">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 xml:space="preserve">istema de </w:t>
      </w:r>
      <w:r w:rsidR="005616FB" w:rsidRPr="00CF1B34">
        <w:rPr>
          <w:rFonts w:ascii="Arial" w:hAnsi="Arial" w:cs="Arial"/>
          <w:color w:val="000000" w:themeColor="text1"/>
          <w:sz w:val="22"/>
          <w:szCs w:val="22"/>
          <w:lang w:val="es-ES_tradnl"/>
        </w:rPr>
        <w:t>I</w:t>
      </w:r>
      <w:r w:rsidRPr="00CF1B34">
        <w:rPr>
          <w:rFonts w:ascii="Arial" w:hAnsi="Arial" w:cs="Arial"/>
          <w:color w:val="000000" w:themeColor="text1"/>
          <w:sz w:val="22"/>
          <w:szCs w:val="22"/>
          <w:lang w:val="es-ES_tradnl"/>
        </w:rPr>
        <w:t>nterconexión Bursatil</w:t>
      </w:r>
      <w:r w:rsidR="005616FB" w:rsidRPr="00CF1B34">
        <w:rPr>
          <w:rFonts w:ascii="Arial" w:hAnsi="Arial" w:cs="Arial"/>
          <w:color w:val="000000" w:themeColor="text1"/>
          <w:sz w:val="22"/>
          <w:szCs w:val="22"/>
          <w:lang w:val="es-ES_tradnl"/>
        </w:rPr>
        <w:t xml:space="preserve"> Español (SIBE) es un sistema electrónico que permite la negociación de v</w:t>
      </w:r>
      <w:r w:rsidR="00872D7D" w:rsidRPr="00CF1B34">
        <w:rPr>
          <w:rFonts w:ascii="Arial" w:hAnsi="Arial" w:cs="Arial"/>
          <w:color w:val="000000" w:themeColor="text1"/>
          <w:sz w:val="22"/>
          <w:szCs w:val="22"/>
          <w:lang w:val="es-ES_tradnl"/>
        </w:rPr>
        <w:t>a</w:t>
      </w:r>
      <w:r w:rsidR="005616FB" w:rsidRPr="00CF1B34">
        <w:rPr>
          <w:rFonts w:ascii="Arial" w:hAnsi="Arial" w:cs="Arial"/>
          <w:color w:val="000000" w:themeColor="text1"/>
          <w:sz w:val="22"/>
          <w:szCs w:val="22"/>
          <w:lang w:val="es-ES_tradnl"/>
        </w:rPr>
        <w:t>lores de renta vari</w:t>
      </w:r>
      <w:r w:rsidR="00872D7D" w:rsidRPr="00CF1B34">
        <w:rPr>
          <w:rFonts w:ascii="Arial" w:hAnsi="Arial" w:cs="Arial"/>
          <w:color w:val="000000" w:themeColor="text1"/>
          <w:sz w:val="22"/>
          <w:szCs w:val="22"/>
          <w:lang w:val="es-ES_tradnl"/>
        </w:rPr>
        <w:t>a</w:t>
      </w:r>
      <w:r w:rsidR="005616FB" w:rsidRPr="00CF1B34">
        <w:rPr>
          <w:rFonts w:ascii="Arial" w:hAnsi="Arial" w:cs="Arial"/>
          <w:color w:val="000000" w:themeColor="text1"/>
          <w:sz w:val="22"/>
          <w:szCs w:val="22"/>
          <w:lang w:val="es-ES_tradnl"/>
        </w:rPr>
        <w:t>ble admitidos a cotización en las Bolsas nacionales y ofrece, además, información en tiempo real sobre actividad y tendencia de cada valor. Asi mismo, facilita al operador los medios necesarios para que lleve a cabo la gestión de sus ordenes, permitiéndole realizar consultas y funciones de mantenimiento sobre la</w:t>
      </w:r>
      <w:r w:rsidR="00872D7D" w:rsidRPr="00CF1B34">
        <w:rPr>
          <w:rFonts w:ascii="Arial" w:hAnsi="Arial" w:cs="Arial"/>
          <w:color w:val="000000" w:themeColor="text1"/>
          <w:sz w:val="22"/>
          <w:szCs w:val="22"/>
          <w:lang w:val="es-ES_tradnl"/>
        </w:rPr>
        <w:t>s</w:t>
      </w:r>
      <w:r w:rsidR="005616FB" w:rsidRPr="00CF1B34">
        <w:rPr>
          <w:rFonts w:ascii="Arial" w:hAnsi="Arial" w:cs="Arial"/>
          <w:color w:val="000000" w:themeColor="text1"/>
          <w:sz w:val="22"/>
          <w:szCs w:val="22"/>
          <w:lang w:val="es-ES_tradnl"/>
        </w:rPr>
        <w:t xml:space="preserve"> misma</w:t>
      </w:r>
      <w:r w:rsidR="00872D7D" w:rsidRPr="00CF1B34">
        <w:rPr>
          <w:rFonts w:ascii="Arial" w:hAnsi="Arial" w:cs="Arial"/>
          <w:color w:val="000000" w:themeColor="text1"/>
          <w:sz w:val="22"/>
          <w:szCs w:val="22"/>
          <w:lang w:val="es-ES_tradnl"/>
        </w:rPr>
        <w:t>s.</w:t>
      </w:r>
    </w:p>
    <w:p w14:paraId="311F500B" w14:textId="087A5EA3"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Sistema de negociación multilateral (SMN)</w:t>
      </w:r>
    </w:p>
    <w:p w14:paraId="194E92D6"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una opción alternativa a los tradicionales mercados secundarios organizados, en la que una entidad financiera actúa como operador de los distintos intereses de compra y venta de múltiples terceros sobre determinados instrumentos financieros.</w:t>
      </w:r>
    </w:p>
    <w:p w14:paraId="4EA24BD1" w14:textId="1A881CA4" w:rsidR="00830265" w:rsidRDefault="00830265"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Sistema de amortización de hipotecarios</w:t>
      </w:r>
    </w:p>
    <w:p w14:paraId="0C10C21D" w14:textId="18DBE7C8" w:rsidR="00830265" w:rsidRPr="00E24BA2" w:rsidRDefault="00830265" w:rsidP="00E24BA2">
      <w:pPr>
        <w:ind w:left="708"/>
        <w:rPr>
          <w:rFonts w:ascii="Arial" w:hAnsi="Arial" w:cs="Arial"/>
          <w:sz w:val="22"/>
          <w:szCs w:val="22"/>
        </w:rPr>
      </w:pPr>
      <w:r w:rsidRPr="00E24BA2">
        <w:rPr>
          <w:rFonts w:ascii="Arial" w:hAnsi="Arial" w:cs="Arial"/>
          <w:color w:val="4A4A4A"/>
          <w:sz w:val="22"/>
          <w:szCs w:val="22"/>
          <w:shd w:val="clear" w:color="auto" w:fill="FFFFFF"/>
        </w:rPr>
        <w:t>Existen diferentes</w:t>
      </w:r>
      <w:r w:rsidR="00E24BA2" w:rsidRPr="00E24BA2">
        <w:rPr>
          <w:rStyle w:val="Textoennegrita"/>
          <w:rFonts w:ascii="Arial" w:hAnsi="Arial" w:cs="Arial"/>
          <w:color w:val="4A4A4A"/>
          <w:sz w:val="22"/>
          <w:szCs w:val="22"/>
          <w:shd w:val="clear" w:color="auto" w:fill="FFFFFF"/>
        </w:rPr>
        <w:t xml:space="preserve"> </w:t>
      </w:r>
      <w:r w:rsidRPr="00E24BA2">
        <w:rPr>
          <w:rStyle w:val="Textoennegrita"/>
          <w:rFonts w:ascii="Arial" w:hAnsi="Arial" w:cs="Arial"/>
          <w:color w:val="4A4A4A"/>
          <w:sz w:val="22"/>
          <w:szCs w:val="22"/>
          <w:shd w:val="clear" w:color="auto" w:fill="FFFFFF"/>
        </w:rPr>
        <w:t>sistemas de amortización hipotecarios</w:t>
      </w:r>
      <w:r w:rsidR="00E24BA2" w:rsidRPr="00E24BA2">
        <w:rPr>
          <w:rFonts w:ascii="Arial" w:hAnsi="Arial" w:cs="Arial"/>
          <w:color w:val="4A4A4A"/>
          <w:sz w:val="22"/>
          <w:szCs w:val="22"/>
          <w:shd w:val="clear" w:color="auto" w:fill="FFFFFF"/>
        </w:rPr>
        <w:t xml:space="preserve"> </w:t>
      </w:r>
      <w:r w:rsidRPr="00E24BA2">
        <w:rPr>
          <w:rFonts w:ascii="Arial" w:hAnsi="Arial" w:cs="Arial"/>
          <w:color w:val="4A4A4A"/>
          <w:sz w:val="22"/>
          <w:szCs w:val="22"/>
          <w:shd w:val="clear" w:color="auto" w:fill="FFFFFF"/>
        </w:rPr>
        <w:t>que</w:t>
      </w:r>
      <w:r w:rsidR="00E24BA2" w:rsidRPr="00E24BA2">
        <w:rPr>
          <w:rFonts w:ascii="Arial" w:hAnsi="Arial" w:cs="Arial"/>
          <w:color w:val="4A4A4A"/>
          <w:sz w:val="22"/>
          <w:szCs w:val="22"/>
          <w:shd w:val="clear" w:color="auto" w:fill="FFFFFF"/>
        </w:rPr>
        <w:t xml:space="preserve"> </w:t>
      </w:r>
      <w:r w:rsidRPr="00E24BA2">
        <w:rPr>
          <w:rStyle w:val="Textoennegrita"/>
          <w:rFonts w:ascii="Arial" w:hAnsi="Arial" w:cs="Arial"/>
          <w:color w:val="4A4A4A"/>
          <w:sz w:val="22"/>
          <w:szCs w:val="22"/>
          <w:shd w:val="clear" w:color="auto" w:fill="FFFFFF"/>
        </w:rPr>
        <w:t>determinarán la forma en la que se devolverá el dinero</w:t>
      </w:r>
      <w:r w:rsidRPr="00E24BA2">
        <w:rPr>
          <w:rFonts w:ascii="Arial" w:hAnsi="Arial" w:cs="Arial"/>
          <w:color w:val="4A4A4A"/>
          <w:sz w:val="22"/>
          <w:szCs w:val="22"/>
          <w:shd w:val="clear" w:color="auto" w:fill="FFFFFF"/>
        </w:rPr>
        <w:t>, aunque los más conocidos son el sistema francés y el alemán, que en realidad se refieren a dos tipos de sistemas, el de amor</w:t>
      </w:r>
      <w:r w:rsidR="00E24BA2" w:rsidRPr="00E24BA2">
        <w:rPr>
          <w:rFonts w:ascii="Arial" w:hAnsi="Arial" w:cs="Arial"/>
          <w:color w:val="4A4A4A"/>
          <w:sz w:val="22"/>
          <w:szCs w:val="22"/>
          <w:shd w:val="clear" w:color="auto" w:fill="FFFFFF"/>
        </w:rPr>
        <w:t>t</w:t>
      </w:r>
      <w:r w:rsidRPr="00E24BA2">
        <w:rPr>
          <w:rFonts w:ascii="Arial" w:hAnsi="Arial" w:cs="Arial"/>
          <w:color w:val="4A4A4A"/>
          <w:sz w:val="22"/>
          <w:szCs w:val="22"/>
          <w:shd w:val="clear" w:color="auto" w:fill="FFFFFF"/>
        </w:rPr>
        <w:t>ización constant</w:t>
      </w:r>
      <w:r w:rsidR="00E24BA2" w:rsidRPr="00E24BA2">
        <w:rPr>
          <w:rFonts w:ascii="Arial" w:hAnsi="Arial" w:cs="Arial"/>
          <w:color w:val="4A4A4A"/>
          <w:sz w:val="22"/>
          <w:szCs w:val="22"/>
          <w:shd w:val="clear" w:color="auto" w:fill="FFFFFF"/>
        </w:rPr>
        <w:t>e</w:t>
      </w:r>
      <w:r w:rsidRPr="00E24BA2">
        <w:rPr>
          <w:rFonts w:ascii="Arial" w:hAnsi="Arial" w:cs="Arial"/>
          <w:color w:val="4A4A4A"/>
          <w:sz w:val="22"/>
          <w:szCs w:val="22"/>
          <w:shd w:val="clear" w:color="auto" w:fill="FFFFFF"/>
        </w:rPr>
        <w:t xml:space="preserve"> </w:t>
      </w:r>
      <w:r w:rsidR="00E24BA2" w:rsidRPr="00E24BA2">
        <w:rPr>
          <w:rFonts w:ascii="Arial" w:hAnsi="Arial" w:cs="Arial"/>
          <w:color w:val="4A4A4A"/>
          <w:sz w:val="22"/>
          <w:szCs w:val="22"/>
          <w:shd w:val="clear" w:color="auto" w:fill="FFFFFF"/>
        </w:rPr>
        <w:t xml:space="preserve">y </w:t>
      </w:r>
      <w:r w:rsidRPr="00E24BA2">
        <w:rPr>
          <w:rFonts w:ascii="Arial" w:hAnsi="Arial" w:cs="Arial"/>
          <w:color w:val="4A4A4A"/>
          <w:sz w:val="22"/>
          <w:szCs w:val="22"/>
          <w:shd w:val="clear" w:color="auto" w:fill="FFFFFF"/>
        </w:rPr>
        <w:t>el creciente</w:t>
      </w:r>
      <w:r w:rsidR="00E24BA2" w:rsidRPr="00E24BA2">
        <w:rPr>
          <w:rFonts w:ascii="Arial" w:hAnsi="Arial" w:cs="Arial"/>
          <w:color w:val="4A4A4A"/>
          <w:sz w:val="22"/>
          <w:szCs w:val="22"/>
          <w:shd w:val="clear" w:color="auto" w:fill="FFFFFF"/>
        </w:rPr>
        <w:t>.</w:t>
      </w:r>
    </w:p>
    <w:p w14:paraId="5A6A7074" w14:textId="77777777" w:rsidR="00E24BA2" w:rsidRPr="00E24BA2" w:rsidRDefault="00E24BA2" w:rsidP="00E24BA2">
      <w:pPr>
        <w:pStyle w:val="stynormal"/>
        <w:shd w:val="clear" w:color="auto" w:fill="FFFFFF"/>
        <w:spacing w:before="0" w:beforeAutospacing="0" w:after="225" w:afterAutospacing="0"/>
        <w:ind w:firstLine="708"/>
        <w:rPr>
          <w:rFonts w:ascii="Arial" w:hAnsi="Arial" w:cs="Arial"/>
          <w:color w:val="4A4A4A"/>
          <w:sz w:val="22"/>
          <w:szCs w:val="22"/>
        </w:rPr>
      </w:pPr>
      <w:r w:rsidRPr="00E24BA2">
        <w:rPr>
          <w:rStyle w:val="Textoennegrita"/>
          <w:rFonts w:ascii="Arial" w:hAnsi="Arial" w:cs="Arial"/>
          <w:color w:val="4A4A4A"/>
          <w:sz w:val="22"/>
          <w:szCs w:val="22"/>
        </w:rPr>
        <w:t>El sistema de amortización francés</w:t>
      </w:r>
    </w:p>
    <w:p w14:paraId="4068E696" w14:textId="54F19E24" w:rsidR="00E24BA2" w:rsidRPr="00E24BA2" w:rsidRDefault="00E24BA2" w:rsidP="00E24BA2">
      <w:pPr>
        <w:pStyle w:val="stynormal"/>
        <w:shd w:val="clear" w:color="auto" w:fill="FFFFFF"/>
        <w:spacing w:before="0" w:beforeAutospacing="0" w:after="225" w:afterAutospacing="0"/>
        <w:ind w:left="708"/>
        <w:rPr>
          <w:rFonts w:ascii="Arial" w:hAnsi="Arial" w:cs="Arial"/>
          <w:color w:val="4A4A4A"/>
          <w:sz w:val="22"/>
          <w:szCs w:val="22"/>
        </w:rPr>
      </w:pPr>
      <w:r w:rsidRPr="00E24BA2">
        <w:rPr>
          <w:rFonts w:ascii="Arial" w:hAnsi="Arial" w:cs="Arial"/>
          <w:color w:val="4A4A4A"/>
          <w:sz w:val="22"/>
          <w:szCs w:val="22"/>
        </w:rPr>
        <w:t xml:space="preserve">Es </w:t>
      </w:r>
      <w:r w:rsidRPr="00E24BA2">
        <w:rPr>
          <w:rStyle w:val="Textoennegrita"/>
          <w:rFonts w:ascii="Arial" w:hAnsi="Arial" w:cs="Arial"/>
          <w:color w:val="4A4A4A"/>
          <w:sz w:val="22"/>
          <w:szCs w:val="22"/>
        </w:rPr>
        <w:t>el sistema más extendido </w:t>
      </w:r>
      <w:r w:rsidRPr="00E24BA2">
        <w:rPr>
          <w:rFonts w:ascii="Arial" w:hAnsi="Arial" w:cs="Arial"/>
          <w:color w:val="4A4A4A"/>
          <w:sz w:val="22"/>
          <w:szCs w:val="22"/>
        </w:rPr>
        <w:t>y se basa en unas</w:t>
      </w:r>
      <w:r w:rsidRPr="00E24BA2">
        <w:rPr>
          <w:rStyle w:val="Textoennegrita"/>
          <w:rFonts w:ascii="Arial" w:hAnsi="Arial" w:cs="Arial"/>
          <w:color w:val="4A4A4A"/>
          <w:sz w:val="22"/>
          <w:szCs w:val="22"/>
        </w:rPr>
        <w:t xml:space="preserve"> cuotas constantes</w:t>
      </w:r>
      <w:r w:rsidRPr="00E24BA2">
        <w:rPr>
          <w:rFonts w:ascii="Arial" w:hAnsi="Arial" w:cs="Arial"/>
          <w:color w:val="4A4A4A"/>
          <w:sz w:val="22"/>
          <w:szCs w:val="22"/>
        </w:rPr>
        <w:t>. Es decir, se intenta que la cuantía de las cuotas sea lo más estable posible durante toda la vida de la hipoteca distribuyendo la amortización de capital -lo que pagamos de la casa- y la carga de intereses entre la totalidad de cuotas -ahora mismo con las hipotecas a tipo variable revisables anualmente se establecen periodos de un año con cuotas constantes que cambian con cada revisión de la hipoteca en función de lo que varíen los tipos de interés o el índice de referencia-.</w:t>
      </w:r>
    </w:p>
    <w:p w14:paraId="00E69DA4" w14:textId="77777777" w:rsidR="00E24BA2" w:rsidRPr="00E24BA2" w:rsidRDefault="00E24BA2" w:rsidP="00E24BA2">
      <w:pPr>
        <w:pStyle w:val="stynormal"/>
        <w:shd w:val="clear" w:color="auto" w:fill="FFFFFF"/>
        <w:spacing w:before="0" w:beforeAutospacing="0" w:after="225" w:afterAutospacing="0"/>
        <w:ind w:firstLine="708"/>
        <w:rPr>
          <w:rFonts w:ascii="Arial" w:hAnsi="Arial" w:cs="Arial"/>
          <w:color w:val="4A4A4A"/>
          <w:sz w:val="22"/>
          <w:szCs w:val="22"/>
        </w:rPr>
      </w:pPr>
      <w:r w:rsidRPr="00E24BA2">
        <w:rPr>
          <w:rStyle w:val="Textoennegrita"/>
          <w:rFonts w:ascii="Arial" w:hAnsi="Arial" w:cs="Arial"/>
          <w:color w:val="4A4A4A"/>
          <w:sz w:val="22"/>
          <w:szCs w:val="22"/>
        </w:rPr>
        <w:t>Sistema de amortización alemán</w:t>
      </w:r>
    </w:p>
    <w:p w14:paraId="5F2A50F1" w14:textId="77777777" w:rsidR="00E24BA2" w:rsidRPr="00CF1B34" w:rsidRDefault="00E24BA2" w:rsidP="00E24BA2">
      <w:pPr>
        <w:pBdr>
          <w:bottom w:val="dotted" w:sz="12" w:space="12" w:color="666666"/>
        </w:pBdr>
        <w:spacing w:after="240"/>
        <w:ind w:left="720"/>
        <w:jc w:val="both"/>
        <w:rPr>
          <w:rFonts w:ascii="Arial" w:hAnsi="Arial" w:cs="Arial"/>
          <w:color w:val="212529"/>
          <w:sz w:val="22"/>
          <w:szCs w:val="22"/>
          <w:lang w:val="es-ES_tradnl"/>
        </w:rPr>
      </w:pPr>
      <w:r w:rsidRPr="00E24BA2">
        <w:rPr>
          <w:rFonts w:ascii="Arial" w:hAnsi="Arial" w:cs="Arial"/>
          <w:color w:val="4A4A4A"/>
          <w:sz w:val="22"/>
          <w:szCs w:val="22"/>
        </w:rPr>
        <w:t>Está mucho menos extendido y se caracteriza por un pago constante del capital de amortización de la vivienda. Siempre se amortiza el mismo capital, pero las cuotas mensuales variarán cada mes ya que restarán menos intereses por pagar.</w:t>
      </w:r>
    </w:p>
    <w:p w14:paraId="03FA9BCB" w14:textId="50A5C1B5" w:rsidR="00E42B2B" w:rsidRDefault="00E42B2B"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Sistema Europeo de supervisores financieros</w:t>
      </w:r>
    </w:p>
    <w:p w14:paraId="5BE54074" w14:textId="132571B8" w:rsidR="00E42B2B" w:rsidRPr="00E42B2B" w:rsidRDefault="00E42B2B" w:rsidP="00E42B2B">
      <w:pPr>
        <w:ind w:left="708"/>
        <w:rPr>
          <w:rFonts w:ascii="Arial" w:hAnsi="Arial" w:cs="Arial"/>
          <w:sz w:val="22"/>
          <w:szCs w:val="22"/>
        </w:rPr>
      </w:pPr>
      <w:r w:rsidRPr="00E42B2B">
        <w:rPr>
          <w:rFonts w:ascii="Arial" w:hAnsi="Arial" w:cs="Arial"/>
          <w:sz w:val="22"/>
          <w:szCs w:val="22"/>
        </w:rPr>
        <w:t>El Sistema Europeo de Supervisión Financiera (SESF) es una red articulada sobre tres Autoridades Europeas de Supervisión (AES), la Junta Europea de Riesgo Sistémico y los supervisores nacionales. Su función principal es garantizar una supervisión financiera coherente y apropiada en el conjunto de la UE.</w:t>
      </w:r>
    </w:p>
    <w:p w14:paraId="564E83E2" w14:textId="7F7BA99B" w:rsidR="009A6BBD" w:rsidRPr="009A6BBD" w:rsidRDefault="00E42B2B" w:rsidP="00E24BA2">
      <w:pPr>
        <w:pStyle w:val="NormalWeb"/>
        <w:shd w:val="clear" w:color="auto" w:fill="FFFFFF"/>
        <w:spacing w:before="0" w:beforeAutospacing="0" w:after="165" w:afterAutospacing="0"/>
        <w:ind w:left="708"/>
        <w:rPr>
          <w:rFonts w:ascii="Arial" w:hAnsi="Arial" w:cs="Arial"/>
          <w:color w:val="333333"/>
          <w:sz w:val="22"/>
          <w:szCs w:val="22"/>
        </w:rPr>
      </w:pPr>
      <w:r w:rsidRPr="00E42B2B">
        <w:rPr>
          <w:rFonts w:ascii="Arial" w:hAnsi="Arial" w:cs="Arial"/>
          <w:sz w:val="22"/>
          <w:szCs w:val="22"/>
        </w:rPr>
        <w:t>En su calidad de supervisor bancario europeo, el BCE colabora estrechamente con las AES, y especialmente con la Autoridad Bancaria Europea (ABE).</w:t>
      </w:r>
      <w:r w:rsidR="009A6BBD" w:rsidRPr="009A6BBD">
        <w:rPr>
          <w:rStyle w:val="Textoennegrita"/>
          <w:rFonts w:ascii="Open Sans" w:hAnsi="Open Sans" w:cs="Open Sans"/>
          <w:color w:val="333333"/>
        </w:rPr>
        <w:t xml:space="preserve"> </w:t>
      </w:r>
      <w:r w:rsidR="009A6BBD" w:rsidRPr="009A6BBD">
        <w:rPr>
          <w:rFonts w:ascii="Arial" w:hAnsi="Arial" w:cs="Arial"/>
          <w:b/>
          <w:bCs/>
          <w:color w:val="333333"/>
          <w:sz w:val="22"/>
          <w:szCs w:val="22"/>
        </w:rPr>
        <w:t>El SESF conformará una red europea operativa, dotadas de personalidad jurídica:</w:t>
      </w:r>
    </w:p>
    <w:p w14:paraId="1D264B32" w14:textId="7DE8E506" w:rsidR="009A6BBD" w:rsidRPr="009A6BBD" w:rsidRDefault="009A6BBD" w:rsidP="004F7A62">
      <w:pPr>
        <w:numPr>
          <w:ilvl w:val="0"/>
          <w:numId w:val="269"/>
        </w:numPr>
        <w:shd w:val="clear" w:color="auto" w:fill="FFFFFF"/>
        <w:spacing w:before="100" w:beforeAutospacing="1" w:after="100" w:afterAutospacing="1"/>
        <w:rPr>
          <w:rFonts w:ascii="Arial" w:hAnsi="Arial" w:cs="Arial"/>
          <w:color w:val="333333"/>
          <w:sz w:val="22"/>
          <w:szCs w:val="22"/>
        </w:rPr>
      </w:pPr>
      <w:r>
        <w:rPr>
          <w:rFonts w:ascii="Arial" w:hAnsi="Arial" w:cs="Arial"/>
          <w:color w:val="333333"/>
          <w:sz w:val="22"/>
          <w:szCs w:val="22"/>
        </w:rPr>
        <w:t>Autoridad Europea Bancaria</w:t>
      </w:r>
      <w:r w:rsidRPr="009A6BBD">
        <w:rPr>
          <w:rFonts w:ascii="Arial" w:hAnsi="Arial" w:cs="Arial"/>
          <w:color w:val="333333"/>
          <w:sz w:val="22"/>
          <w:szCs w:val="22"/>
        </w:rPr>
        <w:t xml:space="preserve"> (</w:t>
      </w:r>
      <w:hyperlink r:id="rId339" w:history="1">
        <w:r w:rsidRPr="009A6BBD">
          <w:rPr>
            <w:rFonts w:ascii="Arial" w:hAnsi="Arial" w:cs="Arial"/>
            <w:color w:val="DC143C"/>
            <w:sz w:val="22"/>
            <w:szCs w:val="22"/>
            <w:u w:val="single"/>
          </w:rPr>
          <w:t>AEB</w:t>
        </w:r>
      </w:hyperlink>
      <w:r w:rsidRPr="009A6BBD">
        <w:rPr>
          <w:rFonts w:ascii="Arial" w:hAnsi="Arial" w:cs="Arial"/>
          <w:color w:val="333333"/>
          <w:sz w:val="22"/>
          <w:szCs w:val="22"/>
        </w:rPr>
        <w:t>);</w:t>
      </w:r>
    </w:p>
    <w:p w14:paraId="611F8BB0" w14:textId="77777777" w:rsidR="009A6BBD" w:rsidRPr="009A6BBD" w:rsidRDefault="009A6BBD" w:rsidP="004F7A62">
      <w:pPr>
        <w:numPr>
          <w:ilvl w:val="0"/>
          <w:numId w:val="269"/>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Autoridad Europea de Seguros y Pensiones de Jubilación (AESPJ);</w:t>
      </w:r>
    </w:p>
    <w:p w14:paraId="123EC691" w14:textId="77777777" w:rsidR="009A6BBD" w:rsidRPr="009A6BBD" w:rsidRDefault="009A6BBD" w:rsidP="004F7A62">
      <w:pPr>
        <w:numPr>
          <w:ilvl w:val="0"/>
          <w:numId w:val="269"/>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Autoridad Europea de Valores (AEV).</w:t>
      </w:r>
    </w:p>
    <w:p w14:paraId="0D54642C" w14:textId="77777777" w:rsidR="009A6BBD" w:rsidRPr="009A6BBD" w:rsidRDefault="009A6BBD" w:rsidP="00E24BA2">
      <w:pPr>
        <w:shd w:val="clear" w:color="auto" w:fill="FFFFFF"/>
        <w:spacing w:after="165"/>
        <w:ind w:firstLine="708"/>
        <w:rPr>
          <w:rFonts w:ascii="Arial" w:hAnsi="Arial" w:cs="Arial"/>
          <w:color w:val="333333"/>
          <w:sz w:val="22"/>
          <w:szCs w:val="22"/>
        </w:rPr>
      </w:pPr>
      <w:r w:rsidRPr="009A6BBD">
        <w:rPr>
          <w:rFonts w:ascii="Arial" w:hAnsi="Arial" w:cs="Arial"/>
          <w:b/>
          <w:bCs/>
          <w:color w:val="333333"/>
          <w:sz w:val="22"/>
          <w:szCs w:val="22"/>
        </w:rPr>
        <w:t>Por su parte, estas tres autoridades tendrán a su cargo las actividades de:</w:t>
      </w:r>
    </w:p>
    <w:p w14:paraId="7993A800" w14:textId="77777777" w:rsidR="009A6BBD" w:rsidRPr="009A6BBD" w:rsidRDefault="009A6BBD" w:rsidP="004F7A62">
      <w:pPr>
        <w:numPr>
          <w:ilvl w:val="0"/>
          <w:numId w:val="270"/>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establecer un conjunto único de normas;</w:t>
      </w:r>
    </w:p>
    <w:p w14:paraId="30A0F4CC" w14:textId="77777777" w:rsidR="009A6BBD" w:rsidRPr="009A6BBD" w:rsidRDefault="009A6BBD" w:rsidP="004F7A62">
      <w:pPr>
        <w:numPr>
          <w:ilvl w:val="0"/>
          <w:numId w:val="270"/>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garantizar una aplicación coherente de las normas;</w:t>
      </w:r>
    </w:p>
    <w:p w14:paraId="29DC060F" w14:textId="77777777" w:rsidR="009A6BBD" w:rsidRPr="009A6BBD" w:rsidRDefault="009A6BBD" w:rsidP="004F7A62">
      <w:pPr>
        <w:numPr>
          <w:ilvl w:val="0"/>
          <w:numId w:val="270"/>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gestionar los desacuerdos entre las autoridades;</w:t>
      </w:r>
    </w:p>
    <w:p w14:paraId="78E14004" w14:textId="77777777" w:rsidR="009A6BBD" w:rsidRPr="009A6BBD" w:rsidRDefault="009A6BBD" w:rsidP="004F7A62">
      <w:pPr>
        <w:numPr>
          <w:ilvl w:val="0"/>
          <w:numId w:val="270"/>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emitir recomendaciones;</w:t>
      </w:r>
    </w:p>
    <w:p w14:paraId="7461E019" w14:textId="77777777" w:rsidR="009A6BBD" w:rsidRPr="009A6BBD" w:rsidRDefault="009A6BBD" w:rsidP="004F7A62">
      <w:pPr>
        <w:numPr>
          <w:ilvl w:val="0"/>
          <w:numId w:val="270"/>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establecer una cultura común de supervisión;</w:t>
      </w:r>
    </w:p>
    <w:p w14:paraId="69DF08A7" w14:textId="77777777" w:rsidR="009A6BBD" w:rsidRPr="009A6BBD" w:rsidRDefault="009A6BBD" w:rsidP="004F7A62">
      <w:pPr>
        <w:numPr>
          <w:ilvl w:val="0"/>
          <w:numId w:val="270"/>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disponer de plenos poderes de supervisión;</w:t>
      </w:r>
    </w:p>
    <w:p w14:paraId="2C5BEC53" w14:textId="77777777" w:rsidR="009A6BBD" w:rsidRPr="009A6BBD" w:rsidRDefault="009A6BBD" w:rsidP="004F7A62">
      <w:pPr>
        <w:numPr>
          <w:ilvl w:val="0"/>
          <w:numId w:val="270"/>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garantizar una respuesta coordinada;</w:t>
      </w:r>
    </w:p>
    <w:p w14:paraId="5D85F714" w14:textId="77777777" w:rsidR="009A6BBD" w:rsidRPr="009A6BBD" w:rsidRDefault="009A6BBD" w:rsidP="004F7A62">
      <w:pPr>
        <w:numPr>
          <w:ilvl w:val="0"/>
          <w:numId w:val="270"/>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recopilar información microprudencial.</w:t>
      </w:r>
    </w:p>
    <w:p w14:paraId="7764ACAE" w14:textId="77777777" w:rsidR="009A6BBD" w:rsidRPr="009A6BBD" w:rsidRDefault="009A6BBD" w:rsidP="00E24BA2">
      <w:pPr>
        <w:shd w:val="clear" w:color="auto" w:fill="FFFFFF"/>
        <w:spacing w:after="165"/>
        <w:ind w:firstLine="708"/>
        <w:rPr>
          <w:rFonts w:ascii="Arial" w:hAnsi="Arial" w:cs="Arial"/>
          <w:color w:val="333333"/>
          <w:sz w:val="22"/>
          <w:szCs w:val="22"/>
        </w:rPr>
      </w:pPr>
      <w:r w:rsidRPr="009A6BBD">
        <w:rPr>
          <w:rFonts w:ascii="Arial" w:hAnsi="Arial" w:cs="Arial"/>
          <w:b/>
          <w:bCs/>
          <w:color w:val="333333"/>
          <w:sz w:val="22"/>
          <w:szCs w:val="22"/>
        </w:rPr>
        <w:t>El SESF estará compuesto de:</w:t>
      </w:r>
    </w:p>
    <w:p w14:paraId="6C41770F" w14:textId="77777777" w:rsidR="009A6BBD" w:rsidRPr="009A6BBD" w:rsidRDefault="009A6BBD" w:rsidP="004F7A62">
      <w:pPr>
        <w:numPr>
          <w:ilvl w:val="0"/>
          <w:numId w:val="271"/>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lastRenderedPageBreak/>
        <w:t>tres autoridades de supervisión;</w:t>
      </w:r>
    </w:p>
    <w:p w14:paraId="2681715D" w14:textId="52E79494" w:rsidR="009A6BBD" w:rsidRPr="009A6BBD" w:rsidRDefault="009A6BBD" w:rsidP="004F7A62">
      <w:pPr>
        <w:numPr>
          <w:ilvl w:val="0"/>
          <w:numId w:val="271"/>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un Comité Director</w:t>
      </w:r>
      <w:r>
        <w:rPr>
          <w:rFonts w:ascii="Arial" w:hAnsi="Arial" w:cs="Arial"/>
          <w:color w:val="333333"/>
          <w:sz w:val="22"/>
          <w:szCs w:val="22"/>
        </w:rPr>
        <w:t>.</w:t>
      </w:r>
    </w:p>
    <w:p w14:paraId="6E394ABC" w14:textId="73E2CD2D" w:rsidR="00E42B2B" w:rsidRDefault="009A6BBD" w:rsidP="004F7A62">
      <w:pPr>
        <w:numPr>
          <w:ilvl w:val="0"/>
          <w:numId w:val="271"/>
        </w:numPr>
        <w:shd w:val="clear" w:color="auto" w:fill="FFFFFF"/>
        <w:spacing w:before="100" w:beforeAutospacing="1" w:after="100" w:afterAutospacing="1"/>
        <w:rPr>
          <w:rFonts w:ascii="Arial" w:hAnsi="Arial" w:cs="Arial"/>
          <w:color w:val="333333"/>
          <w:sz w:val="22"/>
          <w:szCs w:val="22"/>
        </w:rPr>
      </w:pPr>
      <w:r w:rsidRPr="009A6BBD">
        <w:rPr>
          <w:rFonts w:ascii="Arial" w:hAnsi="Arial" w:cs="Arial"/>
          <w:color w:val="333333"/>
          <w:sz w:val="22"/>
          <w:szCs w:val="22"/>
        </w:rPr>
        <w:t>las autoridades nacionales de supervisión.</w:t>
      </w:r>
    </w:p>
    <w:p w14:paraId="4D834404" w14:textId="77777777" w:rsidR="00515166" w:rsidRPr="00515166" w:rsidRDefault="00515166" w:rsidP="004F7A62">
      <w:pPr>
        <w:pStyle w:val="Prrafodelista"/>
        <w:numPr>
          <w:ilvl w:val="0"/>
          <w:numId w:val="271"/>
        </w:numPr>
        <w:pBdr>
          <w:bottom w:val="dotted" w:sz="12" w:space="12" w:color="666666"/>
        </w:pBdr>
        <w:spacing w:after="240"/>
        <w:jc w:val="both"/>
        <w:rPr>
          <w:rFonts w:ascii="Arial" w:hAnsi="Arial" w:cs="Arial"/>
          <w:color w:val="212529"/>
          <w:sz w:val="22"/>
          <w:szCs w:val="22"/>
          <w:lang w:val="es-ES_tradnl"/>
        </w:rPr>
      </w:pPr>
    </w:p>
    <w:p w14:paraId="31BF761D" w14:textId="77777777" w:rsidR="00830265" w:rsidRPr="00CF1B34" w:rsidRDefault="00830265" w:rsidP="00830265">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Sistema financiero</w:t>
      </w:r>
    </w:p>
    <w:p w14:paraId="1922F960" w14:textId="77777777" w:rsidR="00830265" w:rsidRPr="00CF1B34" w:rsidRDefault="00830265" w:rsidP="00830265">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El sistema financiero es quien da respuesta a las necesidades de dinero que padecen algunas personas o entidades con el sobrante que disfrutan otras personas o entidades.</w:t>
      </w:r>
    </w:p>
    <w:p w14:paraId="5D7E33E8" w14:textId="4890938C" w:rsidR="00965A10" w:rsidRPr="00515166" w:rsidRDefault="00965A10" w:rsidP="00515166">
      <w:pPr>
        <w:rPr>
          <w:rFonts w:ascii="Arial" w:hAnsi="Arial" w:cs="Arial"/>
          <w:b/>
          <w:bCs/>
          <w:color w:val="2F5496" w:themeColor="accent1" w:themeShade="BF"/>
          <w:sz w:val="22"/>
          <w:szCs w:val="22"/>
        </w:rPr>
      </w:pPr>
      <w:r w:rsidRPr="00515166">
        <w:rPr>
          <w:rFonts w:ascii="Arial" w:hAnsi="Arial" w:cs="Arial"/>
          <w:b/>
          <w:bCs/>
          <w:color w:val="2F5496" w:themeColor="accent1" w:themeShade="BF"/>
          <w:sz w:val="22"/>
          <w:szCs w:val="22"/>
          <w:lang w:val="es-ES_tradnl"/>
        </w:rPr>
        <w:t>Sistema monetario europeo</w:t>
      </w:r>
    </w:p>
    <w:p w14:paraId="7CCD2D81" w14:textId="77777777" w:rsidR="00515166" w:rsidRPr="00CF1B34" w:rsidRDefault="00872D7D" w:rsidP="00515166">
      <w:pPr>
        <w:pBdr>
          <w:bottom w:val="dotted" w:sz="12" w:space="12" w:color="666666"/>
        </w:pBdr>
        <w:spacing w:after="240"/>
        <w:ind w:left="720"/>
        <w:jc w:val="both"/>
        <w:rPr>
          <w:rFonts w:ascii="Arial" w:hAnsi="Arial" w:cs="Arial"/>
          <w:color w:val="212529"/>
          <w:sz w:val="22"/>
          <w:szCs w:val="22"/>
          <w:lang w:val="es-ES_tradnl"/>
        </w:rPr>
      </w:pPr>
      <w:r w:rsidRPr="00515166">
        <w:rPr>
          <w:rFonts w:ascii="Arial" w:hAnsi="Arial" w:cs="Arial"/>
          <w:color w:val="000000" w:themeColor="text1"/>
          <w:sz w:val="22"/>
          <w:szCs w:val="22"/>
          <w:lang w:val="es-ES_tradnl"/>
        </w:rPr>
        <w:t>Este sistema ha establecido una correlación entre las distintas monedas que lo forman fluctuando dentro de unas bandas limitadas.</w:t>
      </w:r>
    </w:p>
    <w:p w14:paraId="4CF282DE" w14:textId="46969B77" w:rsidR="00515166" w:rsidRPr="00515166" w:rsidRDefault="00515166" w:rsidP="0005621A">
      <w:pPr>
        <w:jc w:val="both"/>
        <w:rPr>
          <w:rFonts w:ascii="Arial" w:hAnsi="Arial" w:cs="Arial"/>
          <w:b/>
          <w:bCs/>
          <w:color w:val="2F5496" w:themeColor="accent1" w:themeShade="BF"/>
          <w:sz w:val="22"/>
          <w:szCs w:val="22"/>
          <w:lang w:val="es-ES_tradnl"/>
        </w:rPr>
      </w:pPr>
      <w:r w:rsidRPr="00515166">
        <w:rPr>
          <w:rFonts w:ascii="Arial" w:hAnsi="Arial" w:cs="Arial"/>
          <w:b/>
          <w:bCs/>
          <w:color w:val="2F5496" w:themeColor="accent1" w:themeShade="BF"/>
          <w:sz w:val="22"/>
          <w:szCs w:val="22"/>
          <w:lang w:val="es-ES_tradnl"/>
        </w:rPr>
        <w:t>Sistema monetario internacional</w:t>
      </w:r>
    </w:p>
    <w:p w14:paraId="5A18325D" w14:textId="77777777" w:rsidR="00515166" w:rsidRPr="00CF1B34" w:rsidRDefault="00515166" w:rsidP="00515166">
      <w:pPr>
        <w:pBdr>
          <w:bottom w:val="dotted" w:sz="12" w:space="12" w:color="666666"/>
        </w:pBdr>
        <w:spacing w:after="240"/>
        <w:ind w:left="720"/>
        <w:jc w:val="both"/>
        <w:rPr>
          <w:rFonts w:ascii="Arial" w:hAnsi="Arial" w:cs="Arial"/>
          <w:color w:val="212529"/>
          <w:sz w:val="22"/>
          <w:szCs w:val="22"/>
          <w:lang w:val="es-ES_tradnl"/>
        </w:rPr>
      </w:pPr>
      <w:r w:rsidRPr="00515166">
        <w:rPr>
          <w:rFonts w:ascii="Arial" w:hAnsi="Arial" w:cs="Arial"/>
          <w:color w:val="474747"/>
          <w:sz w:val="22"/>
          <w:szCs w:val="22"/>
          <w:shd w:val="clear" w:color="auto" w:fill="FFFFFF"/>
        </w:rPr>
        <w:t>El Sistema Monetario Internacional</w:t>
      </w:r>
      <w:r>
        <w:rPr>
          <w:rFonts w:ascii="Arial" w:hAnsi="Arial" w:cs="Arial"/>
          <w:color w:val="474747"/>
          <w:sz w:val="22"/>
          <w:szCs w:val="22"/>
          <w:shd w:val="clear" w:color="auto" w:fill="FFFFFF"/>
        </w:rPr>
        <w:t xml:space="preserve"> </w:t>
      </w:r>
      <w:r w:rsidRPr="00515166">
        <w:rPr>
          <w:rFonts w:ascii="Arial" w:hAnsi="Arial" w:cs="Arial"/>
          <w:color w:val="040C28"/>
          <w:sz w:val="22"/>
          <w:szCs w:val="22"/>
          <w:shd w:val="clear" w:color="auto" w:fill="D3E3FD"/>
        </w:rPr>
        <w:t>regula los pagos y cobros derivados de las transacciones económicas internacionales</w:t>
      </w:r>
      <w:r w:rsidRPr="00515166">
        <w:rPr>
          <w:rFonts w:ascii="Arial" w:hAnsi="Arial" w:cs="Arial"/>
          <w:color w:val="474747"/>
          <w:sz w:val="22"/>
          <w:szCs w:val="22"/>
          <w:shd w:val="clear" w:color="auto" w:fill="FFFFFF"/>
        </w:rPr>
        <w:t>. Su objetivo principal es generar la liquidez monetaria (mediante reserva de oro, materias primas, activos financieros de algún país, activos financieros supranacionales, etc.).</w:t>
      </w:r>
      <w:r w:rsidRPr="00515166">
        <w:rPr>
          <w:rStyle w:val="apple-converted-space"/>
          <w:rFonts w:ascii="Arial" w:hAnsi="Arial" w:cs="Arial"/>
          <w:color w:val="333333"/>
          <w:sz w:val="22"/>
          <w:szCs w:val="22"/>
        </w:rPr>
        <w:t xml:space="preserve"> </w:t>
      </w:r>
      <w:r w:rsidRPr="00515166">
        <w:rPr>
          <w:rStyle w:val="Textoennegrita"/>
          <w:rFonts w:ascii="Arial" w:hAnsi="Arial" w:cs="Arial"/>
          <w:color w:val="333333"/>
          <w:sz w:val="22"/>
          <w:szCs w:val="22"/>
        </w:rPr>
        <w:t>El objetivo de un sistema monetario internacional</w:t>
      </w:r>
      <w:r w:rsidRPr="00515166">
        <w:rPr>
          <w:rFonts w:ascii="Arial" w:hAnsi="Arial" w:cs="Arial"/>
          <w:color w:val="333333"/>
          <w:sz w:val="22"/>
          <w:szCs w:val="22"/>
        </w:rPr>
        <w:t> es el de asegurar una cierta estabilidad en los tipos de cambio.</w:t>
      </w:r>
    </w:p>
    <w:p w14:paraId="7663D13D" w14:textId="2AF1BDC1"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Small caps</w:t>
      </w:r>
    </w:p>
    <w:p w14:paraId="6E5F0585" w14:textId="1F97F2D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Compañías de pequeño y mediano tamaño, con baja capitalización bursátil. Sin embargo, constituyen un segmento de entidades interesantes para determinados inversores, dado su potencial de revalorización, e incluso se crean índices bursátiles sobre este tipo de empresas. Ver</w:t>
      </w:r>
      <w:r w:rsidR="00790CDE">
        <w:rPr>
          <w:rFonts w:ascii="Arial" w:hAnsi="Arial" w:cs="Arial"/>
          <w:color w:val="212529"/>
          <w:sz w:val="22"/>
          <w:szCs w:val="22"/>
          <w:lang w:val="es-ES_tradnl"/>
        </w:rPr>
        <w:t xml:space="preserve"> </w:t>
      </w:r>
      <w:hyperlink r:id="rId340" w:tgtFrame="_self" w:history="1">
        <w:r w:rsidRPr="00790CDE">
          <w:rPr>
            <w:rFonts w:ascii="Arial" w:hAnsi="Arial" w:cs="Arial"/>
            <w:b/>
            <w:bCs/>
            <w:color w:val="2F5496" w:themeColor="accent1" w:themeShade="BF"/>
            <w:sz w:val="22"/>
            <w:szCs w:val="22"/>
            <w:u w:val="single"/>
            <w:lang w:val="es-ES_tradnl"/>
          </w:rPr>
          <w:t>Capitalización bursátil</w:t>
        </w:r>
      </w:hyperlink>
      <w:r w:rsidRPr="00790CDE">
        <w:rPr>
          <w:rFonts w:ascii="Arial" w:hAnsi="Arial" w:cs="Arial"/>
          <w:color w:val="2F5496" w:themeColor="accent1" w:themeShade="BF"/>
          <w:sz w:val="22"/>
          <w:szCs w:val="22"/>
          <w:lang w:val="es-ES_tradnl"/>
        </w:rPr>
        <w:t>.</w:t>
      </w:r>
    </w:p>
    <w:p w14:paraId="5005ABB1" w14:textId="3B84061B" w:rsidR="00965A10"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SMMD</w:t>
      </w:r>
    </w:p>
    <w:p w14:paraId="0BD63B03" w14:textId="77777777" w:rsidR="003420E2" w:rsidRPr="00CF1B34" w:rsidRDefault="00872D7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Acrónimo que responde a las siglas de Sociedad Mediadora del Mercado de Dinero</w:t>
      </w:r>
      <w:r w:rsidR="003420E2" w:rsidRPr="00CF1B34">
        <w:rPr>
          <w:rFonts w:ascii="Arial" w:hAnsi="Arial" w:cs="Arial"/>
          <w:color w:val="000000" w:themeColor="text1"/>
          <w:sz w:val="22"/>
          <w:szCs w:val="22"/>
          <w:lang w:val="es-ES_tradnl"/>
        </w:rPr>
        <w:t>. Se dedica a la mediación y colocación de activos monetarios, como las letras del tesoro.</w:t>
      </w:r>
    </w:p>
    <w:p w14:paraId="4E63C2F7" w14:textId="62E74651"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Sobre la par</w:t>
      </w:r>
    </w:p>
    <w:p w14:paraId="643B5D1D" w14:textId="3C366A99"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Un título se emite o negocia sobre la par cuando el precio es superior a su valor nominal. Ver</w:t>
      </w:r>
      <w:r w:rsidR="00CE75A5" w:rsidRPr="00CF1B34">
        <w:rPr>
          <w:rFonts w:ascii="Arial" w:hAnsi="Arial" w:cs="Arial"/>
          <w:color w:val="212529"/>
          <w:sz w:val="22"/>
          <w:szCs w:val="22"/>
          <w:lang w:val="es-ES_tradnl"/>
        </w:rPr>
        <w:t xml:space="preserve"> </w:t>
      </w:r>
      <w:hyperlink r:id="rId341" w:tgtFrame="_self" w:history="1">
        <w:r w:rsidRPr="00CF1B34">
          <w:rPr>
            <w:rFonts w:ascii="Arial" w:hAnsi="Arial" w:cs="Arial"/>
            <w:b/>
            <w:bCs/>
            <w:color w:val="2F5496" w:themeColor="accent1" w:themeShade="BF"/>
            <w:sz w:val="22"/>
            <w:szCs w:val="22"/>
            <w:u w:val="single"/>
            <w:lang w:val="es-ES_tradnl"/>
          </w:rPr>
          <w:t>Valor nominal</w:t>
        </w:r>
      </w:hyperlink>
      <w:r w:rsidRPr="00CF1B34">
        <w:rPr>
          <w:rFonts w:ascii="Arial" w:hAnsi="Arial" w:cs="Arial"/>
          <w:color w:val="2F5496" w:themeColor="accent1" w:themeShade="BF"/>
          <w:sz w:val="22"/>
          <w:szCs w:val="22"/>
          <w:lang w:val="es-ES_tradnl"/>
        </w:rPr>
        <w:t>.</w:t>
      </w:r>
    </w:p>
    <w:p w14:paraId="20D3482B" w14:textId="15F1FF7B" w:rsidR="00965A10"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Sobrev</w:t>
      </w:r>
      <w:r w:rsidR="00CE75A5" w:rsidRPr="00CF1B34">
        <w:rPr>
          <w:rFonts w:ascii="Arial" w:hAnsi="Arial" w:cs="Arial"/>
          <w:b/>
          <w:bCs/>
          <w:color w:val="004773"/>
          <w:sz w:val="22"/>
          <w:szCs w:val="22"/>
          <w:lang w:val="es-ES_tradnl"/>
        </w:rPr>
        <w:t>a</w:t>
      </w:r>
      <w:r w:rsidRPr="00CF1B34">
        <w:rPr>
          <w:rFonts w:ascii="Arial" w:hAnsi="Arial" w:cs="Arial"/>
          <w:b/>
          <w:bCs/>
          <w:color w:val="004773"/>
          <w:sz w:val="22"/>
          <w:szCs w:val="22"/>
          <w:lang w:val="es-ES_tradnl"/>
        </w:rPr>
        <w:t>lorada</w:t>
      </w:r>
    </w:p>
    <w:p w14:paraId="10A34F68" w14:textId="77777777" w:rsidR="003420E2" w:rsidRPr="00CF1B34" w:rsidRDefault="003420E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Referida a un activo financiero supone darle un valor superior al que merece aplicando un análisis fundamental, basado en datos meramente económicos.</w:t>
      </w:r>
    </w:p>
    <w:p w14:paraId="54700424" w14:textId="42866789"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Sociedad de Bolsas</w:t>
      </w:r>
    </w:p>
    <w:p w14:paraId="685BB46A"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Sociedad perteneciente al holding BME (Bolsas y Mercados Españoles). Gestiona el funcionamiento y difunde los datos generados por el Sistema de Interconexión Bursátil Español, SIBE (ver definición). Como propietaria del índice Ibex 35 se encarga de revisar su composición, así como de su cálculo y difusión.</w:t>
      </w:r>
    </w:p>
    <w:p w14:paraId="21253075"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Sociedad de Sistemas</w:t>
      </w:r>
    </w:p>
    <w:p w14:paraId="2AC0CC33"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lastRenderedPageBreak/>
        <w:t>Denominación abreviada de la Sociedad de Gestión de los Sistemas de Registro, Compensación y Liquidación de Valores. Es una sociedad anónima creada por la Ley de Medidas de Reforma del Sistema Financiero, encargada del registro contable, la compensación y liquidación de los valores negociados en los mercados secundarios españoles. De esta forma, se integran los diferentes organismos, encargados de las mismas funciones para los distintos mercados (Iberclear para las Bolsas y AIAF, la Central de Anotaciones en Cuenta, CADE, para el mercado de deuda pública anotada).</w:t>
      </w:r>
    </w:p>
    <w:p w14:paraId="4166963F"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Sociedad de valores</w:t>
      </w:r>
    </w:p>
    <w:p w14:paraId="179EC0F0"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Son empresas de servicios de inversión (ESI), que actúan como intermediarios en los mercados financieros. Tienen forma de sociedad anónima, con un capital mínimo de 2.000.000 de euros. Las sociedades de valores pueden recibir, transmitir y ejecutar órdenes de terceros, y también negociar por cuenta propia. </w:t>
      </w:r>
      <w:proofErr w:type="gramStart"/>
      <w:r w:rsidRPr="00CF1B34">
        <w:rPr>
          <w:rFonts w:ascii="Arial" w:hAnsi="Arial" w:cs="Arial"/>
          <w:color w:val="212529"/>
          <w:sz w:val="22"/>
          <w:szCs w:val="22"/>
          <w:lang w:val="es-ES_tradnl"/>
        </w:rPr>
        <w:t>Además</w:t>
      </w:r>
      <w:proofErr w:type="gramEnd"/>
      <w:r w:rsidRPr="00CF1B34">
        <w:rPr>
          <w:rFonts w:ascii="Arial" w:hAnsi="Arial" w:cs="Arial"/>
          <w:color w:val="212529"/>
          <w:sz w:val="22"/>
          <w:szCs w:val="22"/>
          <w:lang w:val="es-ES_tradnl"/>
        </w:rPr>
        <w:t xml:space="preserve"> están habilitadas para desarrollar todo tipo de actividades relacionadas con los mercados de valores; entre otras, la gestión discrecional e individualizada de carteras de inversión, mediación en la colocación y aseguramiento de la suscripción en las ofertas públicas de venta, etc. </w:t>
      </w:r>
    </w:p>
    <w:p w14:paraId="405C66B1"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Sociedad gestora de carteras</w:t>
      </w:r>
    </w:p>
    <w:p w14:paraId="33DC7449"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Son empresas de servicios de inversión (ESI), que actúan como intermediarios en los mercados financieros españoles. Tienen forma de sociedad anónima, con un capital mínimo de 100.000 euros. Estas ESIs tienen un ámbito de actividades más limitado que las sociedades o agencias de valores. Se dedican principalmente a la gestión discrecional e individualizada de carteras de inversión, así como al asesoramiento sobre inversiones en valores negociables y otros instrumentos financieros. </w:t>
      </w:r>
    </w:p>
    <w:p w14:paraId="2B65E226"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Sociedad gestora de instituciones de inversión colectiva, SGIIC</w:t>
      </w:r>
    </w:p>
    <w:p w14:paraId="7EA1862C"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Sociedad anónima que tiene como objeto social la gestión y administración de fondos y sociedades de inversión. Sus actividades comprenden la definición y ejecución de la política de inversión.</w:t>
      </w:r>
    </w:p>
    <w:p w14:paraId="1F032003" w14:textId="514B8CA8" w:rsidR="00965A10"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Sociedades anónimas</w:t>
      </w:r>
    </w:p>
    <w:p w14:paraId="0E50CF84" w14:textId="77777777" w:rsidR="003420E2" w:rsidRPr="00CF1B34" w:rsidRDefault="003420E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Cuentan con varios socios que responden únicamente con el capital aportado a la sociedad. Todas las sociedades que cotizan en bolsa son sociedades anónimas.</w:t>
      </w:r>
    </w:p>
    <w:p w14:paraId="52DC501D" w14:textId="5EBB6AB3" w:rsidR="00965A10"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Sociedades de calificación</w:t>
      </w:r>
    </w:p>
    <w:p w14:paraId="1C579535" w14:textId="5BCDF4B8" w:rsidR="00DB3E4F" w:rsidRPr="00CF1B34" w:rsidRDefault="00DB3E4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Estas sociedades o firmas de calificación se dedican a evaluar la solvencia de los emisores de renta fija.</w:t>
      </w:r>
    </w:p>
    <w:p w14:paraId="22D46BD6" w14:textId="0E28A357" w:rsidR="00965A10"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Sociedades de capital riesgo</w:t>
      </w:r>
    </w:p>
    <w:p w14:paraId="406147DC" w14:textId="77777777" w:rsidR="00DB3E4F" w:rsidRPr="00CF1B34" w:rsidRDefault="00DB3E4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Sociedades anónimas cuyo objeto es la creación y promoción de nuevas empresas mediante participaciones temporales en su capital, por lo que asumen un elevado riesgo y de las que esperan desprenderse con una rentabilidad elevada cuando la  nueva empresa se haya consolidado.</w:t>
      </w:r>
    </w:p>
    <w:p w14:paraId="131F570B" w14:textId="290CAE78" w:rsidR="002A3942" w:rsidRDefault="002A3942"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SOCIMI</w:t>
      </w:r>
    </w:p>
    <w:p w14:paraId="6EBD6C5E" w14:textId="57CEDC96" w:rsidR="002A3942" w:rsidRPr="00653B57" w:rsidRDefault="002A3942" w:rsidP="00653B57">
      <w:pPr>
        <w:shd w:val="clear" w:color="auto" w:fill="FFFFFF"/>
        <w:ind w:left="708"/>
        <w:rPr>
          <w:rFonts w:ascii="Arial" w:hAnsi="Arial" w:cs="Arial"/>
          <w:color w:val="1F1F1F"/>
          <w:sz w:val="22"/>
          <w:szCs w:val="22"/>
        </w:rPr>
      </w:pPr>
      <w:r w:rsidRPr="00653B57">
        <w:rPr>
          <w:rStyle w:val="hgkelc"/>
          <w:rFonts w:ascii="Arial" w:hAnsi="Arial" w:cs="Arial"/>
          <w:color w:val="1F1F1F"/>
          <w:sz w:val="22"/>
          <w:szCs w:val="22"/>
        </w:rPr>
        <w:t>La</w:t>
      </w:r>
      <w:r w:rsidR="00653B57" w:rsidRPr="00653B57">
        <w:rPr>
          <w:rStyle w:val="hgkelc"/>
          <w:rFonts w:ascii="Arial" w:hAnsi="Arial" w:cs="Arial"/>
          <w:color w:val="1F1F1F"/>
          <w:sz w:val="22"/>
          <w:szCs w:val="22"/>
        </w:rPr>
        <w:t>s SOCIMI</w:t>
      </w:r>
      <w:r w:rsidRPr="00653B57">
        <w:rPr>
          <w:rStyle w:val="hgkelc"/>
          <w:rFonts w:ascii="Arial" w:hAnsi="Arial" w:cs="Arial"/>
          <w:color w:val="1F1F1F"/>
          <w:sz w:val="22"/>
          <w:szCs w:val="22"/>
        </w:rPr>
        <w:t xml:space="preserve"> (Sociedades Anónimas Cotizad</w:t>
      </w:r>
      <w:r w:rsidR="00653B57" w:rsidRPr="00653B57">
        <w:rPr>
          <w:rStyle w:val="hgkelc"/>
          <w:rFonts w:ascii="Arial" w:hAnsi="Arial" w:cs="Arial"/>
          <w:color w:val="1F1F1F"/>
          <w:sz w:val="22"/>
          <w:szCs w:val="22"/>
        </w:rPr>
        <w:t xml:space="preserve">as de </w:t>
      </w:r>
      <w:r w:rsidRPr="00653B57">
        <w:rPr>
          <w:rStyle w:val="hgkelc"/>
          <w:rFonts w:ascii="Arial" w:hAnsi="Arial" w:cs="Arial"/>
          <w:color w:val="1F1F1F"/>
          <w:sz w:val="22"/>
          <w:szCs w:val="22"/>
        </w:rPr>
        <w:t xml:space="preserve">Inversión Inmobiliaria) son sociedades anónimas cotizadas cuya actividad principal es la adquisición, promoción y </w:t>
      </w:r>
      <w:r w:rsidRPr="00653B57">
        <w:rPr>
          <w:rStyle w:val="hgkelc"/>
          <w:rFonts w:ascii="Arial" w:hAnsi="Arial" w:cs="Arial"/>
          <w:color w:val="1F1F1F"/>
          <w:sz w:val="22"/>
          <w:szCs w:val="22"/>
        </w:rPr>
        <w:lastRenderedPageBreak/>
        <w:t>rehabilitación</w:t>
      </w:r>
      <w:r w:rsidR="00653B57" w:rsidRPr="00653B57">
        <w:rPr>
          <w:rStyle w:val="hgkelc"/>
          <w:rFonts w:ascii="Arial" w:hAnsi="Arial" w:cs="Arial"/>
          <w:color w:val="1F1F1F"/>
          <w:sz w:val="22"/>
          <w:szCs w:val="22"/>
        </w:rPr>
        <w:t xml:space="preserve"> </w:t>
      </w:r>
      <w:r w:rsidRPr="00653B57">
        <w:rPr>
          <w:rStyle w:val="hgkelc"/>
          <w:rFonts w:ascii="Arial" w:hAnsi="Arial" w:cs="Arial"/>
          <w:color w:val="040C28"/>
          <w:sz w:val="22"/>
          <w:szCs w:val="22"/>
          <w:shd w:val="clear" w:color="auto" w:fill="D3E3FD"/>
        </w:rPr>
        <w:t>de</w:t>
      </w:r>
      <w:r w:rsidR="00653B57" w:rsidRPr="00653B57">
        <w:rPr>
          <w:rStyle w:val="hgkelc"/>
          <w:rFonts w:ascii="Arial" w:hAnsi="Arial" w:cs="Arial"/>
          <w:color w:val="1F1F1F"/>
          <w:sz w:val="22"/>
          <w:szCs w:val="22"/>
        </w:rPr>
        <w:t xml:space="preserve"> </w:t>
      </w:r>
      <w:r w:rsidRPr="00653B57">
        <w:rPr>
          <w:rStyle w:val="hgkelc"/>
          <w:rFonts w:ascii="Arial" w:hAnsi="Arial" w:cs="Arial"/>
          <w:color w:val="1F1F1F"/>
          <w:sz w:val="22"/>
          <w:szCs w:val="22"/>
        </w:rPr>
        <w:t>activos</w:t>
      </w:r>
      <w:r w:rsidR="00653B57" w:rsidRPr="00653B57">
        <w:rPr>
          <w:rStyle w:val="hgkelc"/>
          <w:rFonts w:ascii="Arial" w:hAnsi="Arial" w:cs="Arial"/>
          <w:color w:val="1F1F1F"/>
          <w:sz w:val="22"/>
          <w:szCs w:val="22"/>
        </w:rPr>
        <w:t xml:space="preserve"> </w:t>
      </w:r>
      <w:r w:rsidRPr="00653B57">
        <w:rPr>
          <w:rStyle w:val="hgkelc"/>
          <w:rFonts w:ascii="Arial" w:hAnsi="Arial" w:cs="Arial"/>
          <w:color w:val="040C28"/>
          <w:sz w:val="22"/>
          <w:szCs w:val="22"/>
          <w:shd w:val="clear" w:color="auto" w:fill="D3E3FD"/>
        </w:rPr>
        <w:t>de</w:t>
      </w:r>
      <w:r w:rsidR="00653B57" w:rsidRPr="00653B57">
        <w:rPr>
          <w:rStyle w:val="hgkelc"/>
          <w:rFonts w:ascii="Arial" w:hAnsi="Arial" w:cs="Arial"/>
          <w:color w:val="1F1F1F"/>
          <w:sz w:val="22"/>
          <w:szCs w:val="22"/>
        </w:rPr>
        <w:t xml:space="preserve"> </w:t>
      </w:r>
      <w:r w:rsidRPr="00653B57">
        <w:rPr>
          <w:rStyle w:val="hgkelc"/>
          <w:rFonts w:ascii="Arial" w:hAnsi="Arial" w:cs="Arial"/>
          <w:color w:val="1F1F1F"/>
          <w:sz w:val="22"/>
          <w:szCs w:val="22"/>
        </w:rPr>
        <w:t>naturaleza urbana</w:t>
      </w:r>
      <w:r w:rsidR="00653B57" w:rsidRPr="00653B57">
        <w:rPr>
          <w:rStyle w:val="hgkelc"/>
          <w:rFonts w:ascii="Arial" w:hAnsi="Arial" w:cs="Arial"/>
          <w:color w:val="1F1F1F"/>
          <w:sz w:val="22"/>
          <w:szCs w:val="22"/>
        </w:rPr>
        <w:t xml:space="preserve"> </w:t>
      </w:r>
      <w:r w:rsidRPr="00653B57">
        <w:rPr>
          <w:rStyle w:val="hgkelc"/>
          <w:rFonts w:ascii="Arial" w:hAnsi="Arial" w:cs="Arial"/>
          <w:color w:val="040C28"/>
          <w:sz w:val="22"/>
          <w:szCs w:val="22"/>
          <w:shd w:val="clear" w:color="auto" w:fill="D3E3FD"/>
        </w:rPr>
        <w:t>para</w:t>
      </w:r>
      <w:r w:rsidR="00653B57" w:rsidRPr="00653B57">
        <w:rPr>
          <w:rStyle w:val="hgkelc"/>
          <w:rFonts w:ascii="Arial" w:hAnsi="Arial" w:cs="Arial"/>
          <w:color w:val="1F1F1F"/>
          <w:sz w:val="22"/>
          <w:szCs w:val="22"/>
        </w:rPr>
        <w:t xml:space="preserve"> </w:t>
      </w:r>
      <w:r w:rsidRPr="00653B57">
        <w:rPr>
          <w:rStyle w:val="hgkelc"/>
          <w:rFonts w:ascii="Arial" w:hAnsi="Arial" w:cs="Arial"/>
          <w:color w:val="1F1F1F"/>
          <w:sz w:val="22"/>
          <w:szCs w:val="22"/>
        </w:rPr>
        <w:t>su arrendamiento, bien directamente o bien a través</w:t>
      </w:r>
      <w:r w:rsidR="00653B57" w:rsidRPr="00653B57">
        <w:rPr>
          <w:rStyle w:val="hgkelc"/>
          <w:rFonts w:ascii="Arial" w:hAnsi="Arial" w:cs="Arial"/>
          <w:color w:val="1F1F1F"/>
          <w:sz w:val="22"/>
          <w:szCs w:val="22"/>
        </w:rPr>
        <w:t xml:space="preserve"> </w:t>
      </w:r>
      <w:r w:rsidRPr="00653B57">
        <w:rPr>
          <w:rStyle w:val="hgkelc"/>
          <w:rFonts w:ascii="Arial" w:hAnsi="Arial" w:cs="Arial"/>
          <w:color w:val="040C28"/>
          <w:sz w:val="22"/>
          <w:szCs w:val="22"/>
          <w:shd w:val="clear" w:color="auto" w:fill="D3E3FD"/>
        </w:rPr>
        <w:t>de</w:t>
      </w:r>
      <w:r w:rsidR="00653B57" w:rsidRPr="00653B57">
        <w:rPr>
          <w:rStyle w:val="hgkelc"/>
          <w:rFonts w:ascii="Arial" w:hAnsi="Arial" w:cs="Arial"/>
          <w:color w:val="1F1F1F"/>
          <w:sz w:val="22"/>
          <w:szCs w:val="22"/>
        </w:rPr>
        <w:t xml:space="preserve"> </w:t>
      </w:r>
      <w:r w:rsidRPr="00653B57">
        <w:rPr>
          <w:rStyle w:val="hgkelc"/>
          <w:rFonts w:ascii="Arial" w:hAnsi="Arial" w:cs="Arial"/>
          <w:color w:val="1F1F1F"/>
          <w:sz w:val="22"/>
          <w:szCs w:val="22"/>
        </w:rPr>
        <w:t>participaciones en el capital</w:t>
      </w:r>
      <w:r w:rsidR="00653B57" w:rsidRPr="00653B57">
        <w:rPr>
          <w:rStyle w:val="hgkelc"/>
          <w:rFonts w:ascii="Arial" w:hAnsi="Arial" w:cs="Arial"/>
          <w:color w:val="1F1F1F"/>
          <w:sz w:val="22"/>
          <w:szCs w:val="22"/>
        </w:rPr>
        <w:t xml:space="preserve"> </w:t>
      </w:r>
      <w:r w:rsidRPr="00653B57">
        <w:rPr>
          <w:rStyle w:val="hgkelc"/>
          <w:rFonts w:ascii="Arial" w:hAnsi="Arial" w:cs="Arial"/>
          <w:color w:val="040C28"/>
          <w:sz w:val="22"/>
          <w:szCs w:val="22"/>
          <w:shd w:val="clear" w:color="auto" w:fill="D3E3FD"/>
        </w:rPr>
        <w:t>de</w:t>
      </w:r>
      <w:r w:rsidR="00653B57" w:rsidRPr="00653B57">
        <w:rPr>
          <w:rStyle w:val="hgkelc"/>
          <w:rFonts w:ascii="Arial" w:hAnsi="Arial" w:cs="Arial"/>
          <w:color w:val="1F1F1F"/>
          <w:sz w:val="22"/>
          <w:szCs w:val="22"/>
        </w:rPr>
        <w:t xml:space="preserve"> otras SOCIMI.</w:t>
      </w:r>
    </w:p>
    <w:p w14:paraId="1C6AC4F6" w14:textId="77777777" w:rsidR="00653B57" w:rsidRPr="00CF1B34" w:rsidRDefault="00653B57" w:rsidP="00653B57">
      <w:pPr>
        <w:pBdr>
          <w:bottom w:val="dotted" w:sz="12" w:space="12" w:color="666666"/>
        </w:pBdr>
        <w:spacing w:after="240"/>
        <w:ind w:left="720"/>
        <w:jc w:val="both"/>
        <w:rPr>
          <w:rFonts w:ascii="Arial" w:hAnsi="Arial" w:cs="Arial"/>
          <w:color w:val="212529"/>
          <w:sz w:val="22"/>
          <w:szCs w:val="22"/>
          <w:lang w:val="es-ES_tradnl"/>
        </w:rPr>
      </w:pPr>
      <w:r w:rsidRPr="00653B57">
        <w:rPr>
          <w:rFonts w:ascii="Arial" w:hAnsi="Arial" w:cs="Arial"/>
          <w:color w:val="474747"/>
          <w:sz w:val="22"/>
          <w:szCs w:val="22"/>
          <w:shd w:val="clear" w:color="auto" w:fill="FFFFFF"/>
        </w:rPr>
        <w:t>La ganancia está exenta si el no residente participa en menos del 5%. Si su participación es igual o superior al 5%, dependerá del CDI*.</w:t>
      </w:r>
      <w:r>
        <w:rPr>
          <w:rFonts w:ascii="Arial" w:hAnsi="Arial" w:cs="Arial"/>
          <w:color w:val="474747"/>
          <w:sz w:val="22"/>
          <w:szCs w:val="22"/>
          <w:shd w:val="clear" w:color="auto" w:fill="FFFFFF"/>
        </w:rPr>
        <w:t xml:space="preserve"> </w:t>
      </w:r>
      <w:r w:rsidRPr="00653B57">
        <w:rPr>
          <w:rFonts w:ascii="Arial" w:hAnsi="Arial" w:cs="Arial"/>
          <w:color w:val="040C28"/>
          <w:sz w:val="22"/>
          <w:szCs w:val="22"/>
          <w:shd w:val="clear" w:color="auto" w:fill="D3E3FD"/>
        </w:rPr>
        <w:t>La ganancia tributa en España al tipo del 19%</w:t>
      </w:r>
      <w:r w:rsidRPr="00653B57">
        <w:rPr>
          <w:rFonts w:ascii="Arial" w:hAnsi="Arial" w:cs="Arial"/>
          <w:color w:val="474747"/>
          <w:sz w:val="22"/>
          <w:szCs w:val="22"/>
          <w:shd w:val="clear" w:color="auto" w:fill="FFFFFF"/>
        </w:rPr>
        <w:t>. * La plusvalía suele tributar en España si los activos societarios consisten principalmente en bienes inmuebles situados en España</w:t>
      </w:r>
      <w:r>
        <w:rPr>
          <w:rFonts w:ascii="Arial" w:hAnsi="Arial" w:cs="Arial"/>
          <w:color w:val="474747"/>
          <w:sz w:val="22"/>
          <w:szCs w:val="22"/>
          <w:shd w:val="clear" w:color="auto" w:fill="FFFFFF"/>
        </w:rPr>
        <w:t>.</w:t>
      </w:r>
    </w:p>
    <w:p w14:paraId="4869605C" w14:textId="37362E8A" w:rsidR="00965A10" w:rsidRPr="00CF1B34" w:rsidRDefault="00DB3E4F"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w:t>
      </w:r>
      <w:r w:rsidR="00965A10" w:rsidRPr="00CF1B34">
        <w:rPr>
          <w:rFonts w:ascii="Arial" w:hAnsi="Arial" w:cs="Arial"/>
          <w:b/>
          <w:bCs/>
          <w:color w:val="004773"/>
          <w:sz w:val="22"/>
          <w:szCs w:val="22"/>
          <w:lang w:val="es-ES_tradnl"/>
        </w:rPr>
        <w:t>olvencia</w:t>
      </w:r>
    </w:p>
    <w:p w14:paraId="39F40581" w14:textId="2F5068FF" w:rsidR="00DB3E4F" w:rsidRPr="00CF1B34" w:rsidRDefault="00DB3E4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color w:val="004773"/>
          <w:sz w:val="22"/>
          <w:szCs w:val="22"/>
          <w:lang w:val="es-ES_tradnl"/>
        </w:rPr>
        <w:t xml:space="preserve">Es la </w:t>
      </w:r>
      <w:r w:rsidRPr="00CF1B34">
        <w:rPr>
          <w:rFonts w:ascii="Arial" w:hAnsi="Arial" w:cs="Arial"/>
          <w:color w:val="000000" w:themeColor="text1"/>
          <w:sz w:val="22"/>
          <w:szCs w:val="22"/>
          <w:lang w:val="es-ES_tradnl"/>
        </w:rPr>
        <w:t>capacidad que tiene una sociedad o un particular para hacer frente a sus compromisos en un proceso de endeudamiento</w:t>
      </w:r>
      <w:r w:rsidR="001D28D5">
        <w:rPr>
          <w:rFonts w:ascii="Arial" w:hAnsi="Arial" w:cs="Arial"/>
          <w:color w:val="000000" w:themeColor="text1"/>
          <w:sz w:val="22"/>
          <w:szCs w:val="22"/>
          <w:lang w:val="es-ES_tradnl"/>
        </w:rPr>
        <w:t xml:space="preserve"> o sus obligaciones financieras</w:t>
      </w:r>
      <w:r w:rsidRPr="00CF1B34">
        <w:rPr>
          <w:rFonts w:ascii="Arial" w:hAnsi="Arial" w:cs="Arial"/>
          <w:color w:val="000000" w:themeColor="text1"/>
          <w:sz w:val="22"/>
          <w:szCs w:val="22"/>
          <w:lang w:val="es-ES_tradnl"/>
        </w:rPr>
        <w:t>.</w:t>
      </w:r>
    </w:p>
    <w:p w14:paraId="15A532EF" w14:textId="2A08FD03"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Soporte duradero</w:t>
      </w:r>
    </w:p>
    <w:p w14:paraId="7D9FB27E"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Las obligaciones legales de información impuestas a las entidades exigen en algunos casos la remisión de documentos en soportes que permitan su conservación por parte del cliente.</w:t>
      </w:r>
    </w:p>
    <w:p w14:paraId="728F8A66"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Spam</w:t>
      </w:r>
    </w:p>
    <w:p w14:paraId="07BD6A5D"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Término con el que se designa el envío masivo e indiscriminado, a través del correo electrónico, de ofertas comerciales no solicitadas de productos o servicios.</w:t>
      </w:r>
    </w:p>
    <w:p w14:paraId="2E9623C7" w14:textId="77777777" w:rsidR="001D28D5" w:rsidRPr="00653B57" w:rsidRDefault="001D28D5" w:rsidP="001D28D5">
      <w:pPr>
        <w:jc w:val="both"/>
        <w:rPr>
          <w:rFonts w:ascii="Arial" w:hAnsi="Arial" w:cs="Arial"/>
          <w:b/>
          <w:bCs/>
          <w:color w:val="2F5496" w:themeColor="accent1" w:themeShade="BF"/>
          <w:sz w:val="22"/>
          <w:szCs w:val="22"/>
        </w:rPr>
      </w:pPr>
      <w:r w:rsidRPr="00653B57">
        <w:rPr>
          <w:rFonts w:ascii="Arial" w:hAnsi="Arial" w:cs="Arial"/>
          <w:b/>
          <w:bCs/>
          <w:color w:val="2F5496" w:themeColor="accent1" w:themeShade="BF"/>
          <w:sz w:val="22"/>
          <w:szCs w:val="22"/>
        </w:rPr>
        <w:t>S</w:t>
      </w:r>
      <w:r>
        <w:rPr>
          <w:rFonts w:ascii="Arial" w:hAnsi="Arial" w:cs="Arial"/>
          <w:b/>
          <w:bCs/>
          <w:color w:val="2F5496" w:themeColor="accent1" w:themeShade="BF"/>
          <w:sz w:val="22"/>
          <w:szCs w:val="22"/>
        </w:rPr>
        <w:t>peed Dating</w:t>
      </w:r>
    </w:p>
    <w:p w14:paraId="50E74D54" w14:textId="77777777" w:rsidR="001D28D5" w:rsidRPr="001528DB" w:rsidRDefault="001D28D5" w:rsidP="001D28D5">
      <w:pPr>
        <w:ind w:left="708"/>
        <w:rPr>
          <w:rFonts w:ascii="Arial" w:hAnsi="Arial" w:cs="Arial"/>
          <w:sz w:val="22"/>
          <w:szCs w:val="22"/>
        </w:rPr>
      </w:pPr>
      <w:r w:rsidRPr="001528DB">
        <w:rPr>
          <w:rFonts w:ascii="Arial" w:hAnsi="Arial" w:cs="Arial"/>
          <w:color w:val="333333"/>
          <w:sz w:val="22"/>
          <w:szCs w:val="22"/>
          <w:shd w:val="clear" w:color="auto" w:fill="FFFFFF"/>
        </w:rPr>
        <w:t>El Speed Dating,</w:t>
      </w:r>
      <w:r>
        <w:rPr>
          <w:rFonts w:ascii="Arial" w:hAnsi="Arial" w:cs="Arial"/>
          <w:color w:val="333333"/>
          <w:sz w:val="22"/>
          <w:szCs w:val="22"/>
          <w:shd w:val="clear" w:color="auto" w:fill="FFFFFF"/>
        </w:rPr>
        <w:t xml:space="preserve"> </w:t>
      </w:r>
      <w:r w:rsidRPr="001528DB">
        <w:rPr>
          <w:rStyle w:val="Textoennegrita"/>
          <w:rFonts w:ascii="Arial" w:hAnsi="Arial" w:cs="Arial"/>
          <w:color w:val="333333"/>
          <w:sz w:val="22"/>
          <w:szCs w:val="22"/>
          <w:shd w:val="clear" w:color="auto" w:fill="FFFFFF"/>
        </w:rPr>
        <w:t>así se denominan este tipo de encuentros está dirigido a las pequeñas</w:t>
      </w:r>
      <w:r>
        <w:rPr>
          <w:rStyle w:val="Textoennegrita"/>
          <w:rFonts w:ascii="Arial" w:hAnsi="Arial" w:cs="Arial"/>
          <w:color w:val="333333"/>
          <w:sz w:val="22"/>
          <w:szCs w:val="22"/>
          <w:shd w:val="clear" w:color="auto" w:fill="FFFFFF"/>
        </w:rPr>
        <w:t xml:space="preserve"> </w:t>
      </w:r>
      <w:r w:rsidRPr="001528DB">
        <w:rPr>
          <w:rStyle w:val="Textoennegrita"/>
          <w:rFonts w:ascii="Arial" w:hAnsi="Arial" w:cs="Arial"/>
          <w:color w:val="333333"/>
          <w:sz w:val="22"/>
          <w:szCs w:val="22"/>
          <w:shd w:val="clear" w:color="auto" w:fill="FFFFFF"/>
        </w:rPr>
        <w:t>empresas.</w:t>
      </w:r>
      <w:r>
        <w:rPr>
          <w:rStyle w:val="Textoennegrita"/>
          <w:rFonts w:ascii="Arial" w:hAnsi="Arial" w:cs="Arial"/>
          <w:color w:val="333333"/>
          <w:sz w:val="22"/>
          <w:szCs w:val="22"/>
          <w:shd w:val="clear" w:color="auto" w:fill="FFFFFF"/>
        </w:rPr>
        <w:t xml:space="preserve"> </w:t>
      </w:r>
      <w:r w:rsidRPr="001528DB">
        <w:rPr>
          <w:rFonts w:ascii="Arial" w:hAnsi="Arial" w:cs="Arial"/>
          <w:color w:val="333333"/>
          <w:sz w:val="22"/>
          <w:szCs w:val="22"/>
          <w:shd w:val="clear" w:color="auto" w:fill="FFFFFF"/>
        </w:rPr>
        <w:t>Este servicio es aprovechado por varios empresarios para dar a conocer su empresa y establecer contactos.</w:t>
      </w:r>
    </w:p>
    <w:p w14:paraId="548E66A8" w14:textId="77777777" w:rsidR="001D28D5" w:rsidRPr="001528DB" w:rsidRDefault="001D28D5" w:rsidP="001D28D5">
      <w:pPr>
        <w:ind w:left="708"/>
        <w:rPr>
          <w:rFonts w:ascii="Arial" w:hAnsi="Arial" w:cs="Arial"/>
          <w:sz w:val="22"/>
          <w:szCs w:val="22"/>
        </w:rPr>
      </w:pPr>
      <w:r w:rsidRPr="001528DB">
        <w:rPr>
          <w:rFonts w:ascii="Arial" w:hAnsi="Arial" w:cs="Arial"/>
          <w:color w:val="040C28"/>
          <w:sz w:val="22"/>
          <w:szCs w:val="22"/>
          <w:shd w:val="clear" w:color="auto" w:fill="D3E3FD"/>
        </w:rPr>
        <w:t>Las citas rápidas son un gran negocio en el que participar</w:t>
      </w:r>
      <w:r w:rsidRPr="001528DB">
        <w:rPr>
          <w:rFonts w:ascii="Arial" w:hAnsi="Arial" w:cs="Arial"/>
          <w:color w:val="474747"/>
          <w:sz w:val="22"/>
          <w:szCs w:val="22"/>
          <w:shd w:val="clear" w:color="auto" w:fill="FFFFFF"/>
        </w:rPr>
        <w:t>. Es muy sociable, muy rentable y, sobre todo, muy divertido. Hoy en día, las citas rápidas son una idea de negocio que ha demostrado su eficacia y que la mayoría de la gente considera una forma socialmente aceptable de encontrar una cita para todo tipo de personas en el siglo</w:t>
      </w:r>
      <w:r>
        <w:rPr>
          <w:rFonts w:ascii="Arial" w:hAnsi="Arial" w:cs="Arial"/>
          <w:color w:val="474747"/>
          <w:sz w:val="22"/>
          <w:szCs w:val="22"/>
          <w:shd w:val="clear" w:color="auto" w:fill="FFFFFF"/>
        </w:rPr>
        <w:t>.</w:t>
      </w:r>
    </w:p>
    <w:p w14:paraId="76051E62" w14:textId="77777777" w:rsidR="001D28D5" w:rsidRPr="00CF1B34" w:rsidRDefault="001D28D5" w:rsidP="001D28D5">
      <w:pPr>
        <w:pBdr>
          <w:bottom w:val="dotted" w:sz="12" w:space="12" w:color="666666"/>
        </w:pBdr>
        <w:spacing w:after="240"/>
        <w:ind w:left="720"/>
        <w:jc w:val="both"/>
        <w:rPr>
          <w:rFonts w:ascii="Arial" w:hAnsi="Arial" w:cs="Arial"/>
          <w:color w:val="212529"/>
          <w:sz w:val="22"/>
          <w:szCs w:val="22"/>
          <w:lang w:val="es-ES_tradnl"/>
        </w:rPr>
      </w:pPr>
      <w:r w:rsidRPr="001528DB">
        <w:rPr>
          <w:rFonts w:ascii="Arial" w:hAnsi="Arial" w:cs="Arial"/>
          <w:color w:val="474747"/>
          <w:sz w:val="22"/>
          <w:szCs w:val="22"/>
          <w:shd w:val="clear" w:color="auto" w:fill="FFFFFF"/>
        </w:rPr>
        <w:t xml:space="preserve">El speed job dating es una </w:t>
      </w:r>
      <w:r w:rsidRPr="001528DB">
        <w:rPr>
          <w:rFonts w:ascii="Arial" w:hAnsi="Arial" w:cs="Arial"/>
          <w:color w:val="040C28"/>
          <w:sz w:val="22"/>
          <w:szCs w:val="22"/>
          <w:shd w:val="clear" w:color="auto" w:fill="D3E3FD"/>
        </w:rPr>
        <w:t>técnica de reclutamiento inspirada en las citas rápidas</w:t>
      </w:r>
      <w:r w:rsidRPr="001528DB">
        <w:rPr>
          <w:rFonts w:ascii="Arial" w:hAnsi="Arial" w:cs="Arial"/>
          <w:color w:val="474747"/>
          <w:sz w:val="22"/>
          <w:szCs w:val="22"/>
          <w:shd w:val="clear" w:color="auto" w:fill="FFFFFF"/>
        </w:rPr>
        <w:t>. Se trata de una entrevista personal muy breve (entre 7 y 15 minutos) en la que tienes que convencer al reclutador de que eres el candidato ideal para el puesto</w:t>
      </w:r>
      <w:r>
        <w:rPr>
          <w:rFonts w:ascii="Arial" w:hAnsi="Arial" w:cs="Arial"/>
          <w:color w:val="474747"/>
          <w:sz w:val="22"/>
          <w:szCs w:val="22"/>
          <w:shd w:val="clear" w:color="auto" w:fill="FFFFFF"/>
        </w:rPr>
        <w:t>.</w:t>
      </w:r>
    </w:p>
    <w:p w14:paraId="08A61647" w14:textId="11763CE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w:t>
      </w:r>
      <w:r w:rsidR="00965A10" w:rsidRPr="00CF1B34">
        <w:rPr>
          <w:rFonts w:ascii="Arial" w:hAnsi="Arial" w:cs="Arial"/>
          <w:b/>
          <w:bCs/>
          <w:color w:val="004773"/>
          <w:sz w:val="22"/>
          <w:szCs w:val="22"/>
          <w:lang w:val="es-ES_tradnl"/>
        </w:rPr>
        <w:t>PLIT</w:t>
      </w:r>
    </w:p>
    <w:p w14:paraId="66B166E0"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Consiste en el desdoblamiento del valor nominal de las acciones de una sociedad, en una proporción determinada. Es decir, el número de acciones se multiplica y el precio de mercado de las mismas se divide, en la misma proporción. En general, esta operación tiene como objetivo proporcionar mayor liquidez a los valores de una sociedad; aunque la operación no tiene incidencia desde el punto de vista económico financiero, posiblemente cuenta con cierto efecto psicológico, por la disminución del precio de las acciones. A algunas sociedades les interesa la operación contraria: Ver </w:t>
      </w:r>
      <w:hyperlink r:id="rId342" w:tgtFrame="_self" w:history="1">
        <w:r w:rsidRPr="00CF1B34">
          <w:rPr>
            <w:rFonts w:ascii="Arial" w:hAnsi="Arial" w:cs="Arial"/>
            <w:b/>
            <w:bCs/>
            <w:color w:val="AD2144"/>
            <w:sz w:val="22"/>
            <w:szCs w:val="22"/>
            <w:u w:val="single"/>
            <w:lang w:val="es-ES_tradnl"/>
          </w:rPr>
          <w:t>Agrupación de acciones o contra-split</w:t>
        </w:r>
      </w:hyperlink>
      <w:r w:rsidRPr="00CF1B34">
        <w:rPr>
          <w:rFonts w:ascii="Arial" w:hAnsi="Arial" w:cs="Arial"/>
          <w:color w:val="212529"/>
          <w:sz w:val="22"/>
          <w:szCs w:val="22"/>
          <w:lang w:val="es-ES_tradnl"/>
        </w:rPr>
        <w:t>. </w:t>
      </w:r>
    </w:p>
    <w:p w14:paraId="3EC48B59" w14:textId="6CE58468"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Spread</w:t>
      </w:r>
      <w:r w:rsidR="00CE75A5" w:rsidRPr="00CF1B34">
        <w:rPr>
          <w:rFonts w:ascii="Arial" w:hAnsi="Arial" w:cs="Arial"/>
          <w:b/>
          <w:bCs/>
          <w:color w:val="004773"/>
          <w:sz w:val="22"/>
          <w:szCs w:val="22"/>
          <w:lang w:val="es-ES_tradnl"/>
        </w:rPr>
        <w:t xml:space="preserve"> (bancario)</w:t>
      </w:r>
    </w:p>
    <w:p w14:paraId="1522A55C"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términos generales, es la diferencia entre el precio de oferta y demanda para un determinado valor. Puede emplearse como indicador de la liquidez de un valor (menores spreads indicarían más liquidez), aunque también es posible que se vea influido por otros factores. Ver </w:t>
      </w:r>
      <w:hyperlink r:id="rId343" w:tgtFrame="_self" w:history="1">
        <w:r w:rsidRPr="00CF1B34">
          <w:rPr>
            <w:rFonts w:ascii="Arial" w:hAnsi="Arial" w:cs="Arial"/>
            <w:b/>
            <w:bCs/>
            <w:color w:val="AD2144"/>
            <w:sz w:val="22"/>
            <w:szCs w:val="22"/>
            <w:u w:val="single"/>
            <w:lang w:val="es-ES_tradnl"/>
          </w:rPr>
          <w:t>Bid y ask</w:t>
        </w:r>
      </w:hyperlink>
      <w:r w:rsidRPr="00CF1B34">
        <w:rPr>
          <w:rFonts w:ascii="Arial" w:hAnsi="Arial" w:cs="Arial"/>
          <w:color w:val="212529"/>
          <w:sz w:val="22"/>
          <w:szCs w:val="22"/>
          <w:lang w:val="es-ES_tradnl"/>
        </w:rPr>
        <w:t>.</w:t>
      </w:r>
    </w:p>
    <w:p w14:paraId="1CACB04D" w14:textId="6EE0C774" w:rsidR="00CE75A5" w:rsidRPr="00CF1B34" w:rsidRDefault="00CE75A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Stagflation</w:t>
      </w:r>
    </w:p>
    <w:p w14:paraId="2C181071" w14:textId="77777777" w:rsidR="001D28D5" w:rsidRPr="00CF1B34" w:rsidRDefault="008B5C17" w:rsidP="001D28D5">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Ver </w:t>
      </w:r>
      <w:r w:rsidRPr="00CF1B34">
        <w:rPr>
          <w:rFonts w:ascii="Arial" w:hAnsi="Arial" w:cs="Arial"/>
          <w:b/>
          <w:bCs/>
          <w:color w:val="2F5496" w:themeColor="accent1" w:themeShade="BF"/>
          <w:sz w:val="22"/>
          <w:szCs w:val="22"/>
          <w:u w:val="single"/>
          <w:lang w:val="es-ES_tradnl"/>
        </w:rPr>
        <w:t>Estanflación</w:t>
      </w:r>
    </w:p>
    <w:p w14:paraId="407924FE" w14:textId="708828F7" w:rsidR="00965A10"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Standard &amp; Poor´s</w:t>
      </w:r>
    </w:p>
    <w:p w14:paraId="55A05304" w14:textId="77777777" w:rsidR="005C723E" w:rsidRPr="00CF1B34" w:rsidRDefault="005C72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la firma norteamericana de calificación de la solvencia de las empresas. Es junto a Moody’s la mas prestigiosa y conocida del mundo.</w:t>
      </w:r>
    </w:p>
    <w:p w14:paraId="7729BDAF" w14:textId="4E02BBA7" w:rsidR="00487062" w:rsidRDefault="00487062"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 xml:space="preserve">Stop loss dinámico </w:t>
      </w:r>
    </w:p>
    <w:p w14:paraId="43FE70CE" w14:textId="77777777" w:rsidR="00487062" w:rsidRPr="00CF1B34" w:rsidRDefault="00487062" w:rsidP="00487062">
      <w:pPr>
        <w:pBdr>
          <w:bottom w:val="dotted" w:sz="12" w:space="12" w:color="666666"/>
        </w:pBdr>
        <w:spacing w:after="240"/>
        <w:ind w:left="720"/>
        <w:jc w:val="both"/>
        <w:rPr>
          <w:rFonts w:ascii="Arial" w:hAnsi="Arial" w:cs="Arial"/>
          <w:color w:val="212529"/>
          <w:sz w:val="22"/>
          <w:szCs w:val="22"/>
          <w:lang w:val="es-ES_tradnl"/>
        </w:rPr>
      </w:pPr>
      <w:r w:rsidRPr="00487062">
        <w:rPr>
          <w:rFonts w:ascii="Arial" w:hAnsi="Arial" w:cs="Arial"/>
          <w:color w:val="474747"/>
          <w:sz w:val="22"/>
          <w:szCs w:val="22"/>
          <w:shd w:val="clear" w:color="auto" w:fill="FFFFFF"/>
        </w:rPr>
        <w:t>Las</w:t>
      </w:r>
      <w:r>
        <w:rPr>
          <w:rFonts w:ascii="Arial" w:hAnsi="Arial" w:cs="Arial"/>
          <w:color w:val="474747"/>
          <w:sz w:val="22"/>
          <w:szCs w:val="22"/>
          <w:shd w:val="clear" w:color="auto" w:fill="FFFFFF"/>
        </w:rPr>
        <w:t xml:space="preserve"> </w:t>
      </w:r>
      <w:r w:rsidRPr="00487062">
        <w:rPr>
          <w:rFonts w:ascii="Arial" w:hAnsi="Arial" w:cs="Arial"/>
          <w:color w:val="040C28"/>
          <w:sz w:val="22"/>
          <w:szCs w:val="22"/>
          <w:shd w:val="clear" w:color="auto" w:fill="D3E3FD"/>
        </w:rPr>
        <w:t>stop loss dinámicas</w:t>
      </w:r>
      <w:r>
        <w:rPr>
          <w:rFonts w:ascii="Arial" w:hAnsi="Arial" w:cs="Arial"/>
          <w:color w:val="474747"/>
          <w:sz w:val="22"/>
          <w:szCs w:val="22"/>
          <w:shd w:val="clear" w:color="auto" w:fill="FFFFFF"/>
        </w:rPr>
        <w:t xml:space="preserve"> </w:t>
      </w:r>
      <w:r w:rsidRPr="00487062">
        <w:rPr>
          <w:rFonts w:ascii="Arial" w:hAnsi="Arial" w:cs="Arial"/>
          <w:color w:val="474747"/>
          <w:sz w:val="22"/>
          <w:szCs w:val="22"/>
          <w:shd w:val="clear" w:color="auto" w:fill="FFFFFF"/>
        </w:rPr>
        <w:t>son similares a las órdenes tradicionales de</w:t>
      </w:r>
      <w:r>
        <w:rPr>
          <w:rFonts w:ascii="Arial" w:hAnsi="Arial" w:cs="Arial"/>
          <w:color w:val="474747"/>
          <w:sz w:val="22"/>
          <w:szCs w:val="22"/>
          <w:shd w:val="clear" w:color="auto" w:fill="FFFFFF"/>
        </w:rPr>
        <w:t xml:space="preserve"> </w:t>
      </w:r>
      <w:r w:rsidRPr="00487062">
        <w:rPr>
          <w:rFonts w:ascii="Arial" w:hAnsi="Arial" w:cs="Arial"/>
          <w:color w:val="040C28"/>
          <w:sz w:val="22"/>
          <w:szCs w:val="22"/>
          <w:shd w:val="clear" w:color="auto" w:fill="D3E3FD"/>
        </w:rPr>
        <w:t xml:space="preserve">stop </w:t>
      </w:r>
      <w:proofErr w:type="gramStart"/>
      <w:r w:rsidRPr="00487062">
        <w:rPr>
          <w:rFonts w:ascii="Arial" w:hAnsi="Arial" w:cs="Arial"/>
          <w:color w:val="040C28"/>
          <w:sz w:val="22"/>
          <w:szCs w:val="22"/>
          <w:shd w:val="clear" w:color="auto" w:fill="D3E3FD"/>
        </w:rPr>
        <w:t>loss</w:t>
      </w:r>
      <w:proofErr w:type="gramEnd"/>
      <w:r>
        <w:rPr>
          <w:rFonts w:ascii="Arial" w:hAnsi="Arial" w:cs="Arial"/>
          <w:color w:val="474747"/>
          <w:sz w:val="22"/>
          <w:szCs w:val="22"/>
          <w:shd w:val="clear" w:color="auto" w:fill="FFFFFF"/>
        </w:rPr>
        <w:t xml:space="preserve"> </w:t>
      </w:r>
      <w:r w:rsidRPr="00487062">
        <w:rPr>
          <w:rFonts w:ascii="Arial" w:hAnsi="Arial" w:cs="Arial"/>
          <w:color w:val="474747"/>
          <w:sz w:val="22"/>
          <w:szCs w:val="22"/>
          <w:shd w:val="clear" w:color="auto" w:fill="FFFFFF"/>
        </w:rPr>
        <w:t>pero, en lugar de permanecer en un nivel precio específico, siguen al precio cuando este se mueve a su favor, es una manera de actualizar automáticamente el suelo de riesgo de nuestra inversión</w:t>
      </w:r>
      <w:r>
        <w:rPr>
          <w:rFonts w:ascii="Arial" w:hAnsi="Arial" w:cs="Arial"/>
          <w:color w:val="474747"/>
          <w:sz w:val="22"/>
          <w:szCs w:val="22"/>
          <w:shd w:val="clear" w:color="auto" w:fill="FFFFFF"/>
        </w:rPr>
        <w:t>.</w:t>
      </w:r>
    </w:p>
    <w:p w14:paraId="6D2E6D98" w14:textId="54464708"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Strips</w:t>
      </w:r>
    </w:p>
    <w:p w14:paraId="292F62BF"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Cada una de las partes en las que puede segregarse un valor de renta fija. Un strip procede del principal (valor de reembolso de un bono) y el resto, de los cupones periódicos. Cada strip se negocia de forma independiente, en el mercado de deuda pública anotada. De esta manera, se transforma un título con rendimiento explícito (el bono o la obligación) en un conjunto de valores cupón cero, con rendimiento implícito. El proceso de segregación es reversible, lo que significa que todos los strips pueden volver a reagruparse formando el valor inicial. En España existe deuda pública emitida bajo esta modalidad; desde 1997, los bonos y obligaciones del Estado pueden ser “segregables”: de cada uno se extraen tantos valores como pagos da derecho a recibir (uno por cada cupón y otro por el principal).</w:t>
      </w:r>
    </w:p>
    <w:p w14:paraId="19EBFD0D"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Subasta</w:t>
      </w:r>
    </w:p>
    <w:p w14:paraId="0D579007" w14:textId="77777777" w:rsidR="00E21809"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Sistema de colocación de la deuda pública, por el que los títulos se ofrecen públicamente y se atribuyen al comprador que está dispuesto a pagar más, es decir, al que exija menor rentabilidad.</w:t>
      </w:r>
    </w:p>
    <w:p w14:paraId="733D07C6"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Subasta competitiva</w:t>
      </w:r>
    </w:p>
    <w:p w14:paraId="07602FB8" w14:textId="0B10F546" w:rsidR="00E21809" w:rsidRPr="00CF1B34" w:rsidRDefault="00E21809"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Procedimiento de colocación de valores, habitualmente empleado por el Estado. Los inversores presentan sus peticiones al emisor, indicando la cantidad deseada y el precio que están dispuestos a pagar. El emisor establece el precio mínimo, rechazando todas las peticiones que queden por debajo del mismo. De esta forma, los valores se adjudican al mejor postor. Ver</w:t>
      </w:r>
      <w:r w:rsidR="008B5C17" w:rsidRPr="00CF1B34">
        <w:rPr>
          <w:rFonts w:ascii="Arial" w:hAnsi="Arial" w:cs="Arial"/>
          <w:color w:val="212529"/>
          <w:sz w:val="22"/>
          <w:szCs w:val="22"/>
          <w:lang w:val="es-ES_tradnl"/>
        </w:rPr>
        <w:t xml:space="preserve"> </w:t>
      </w:r>
      <w:hyperlink r:id="rId344" w:tgtFrame="_self" w:history="1">
        <w:r w:rsidRPr="00CF1B34">
          <w:rPr>
            <w:rFonts w:ascii="Arial" w:hAnsi="Arial" w:cs="Arial"/>
            <w:b/>
            <w:bCs/>
            <w:color w:val="2F5496" w:themeColor="accent1" w:themeShade="BF"/>
            <w:sz w:val="22"/>
            <w:szCs w:val="22"/>
            <w:u w:val="single"/>
            <w:lang w:val="es-ES_tradnl"/>
          </w:rPr>
          <w:t>Subasta no competitiva</w:t>
        </w:r>
      </w:hyperlink>
      <w:r w:rsidRPr="00CF1B34">
        <w:rPr>
          <w:rFonts w:ascii="Arial" w:hAnsi="Arial" w:cs="Arial"/>
          <w:color w:val="2F5496" w:themeColor="accent1" w:themeShade="BF"/>
          <w:sz w:val="22"/>
          <w:szCs w:val="22"/>
          <w:lang w:val="es-ES_tradnl"/>
        </w:rPr>
        <w:t>.</w:t>
      </w:r>
    </w:p>
    <w:p w14:paraId="08238C1C" w14:textId="1C0D20EA" w:rsidR="00965A10" w:rsidRPr="00CF1B34" w:rsidRDefault="00965A10"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Subasta decenal</w:t>
      </w:r>
    </w:p>
    <w:p w14:paraId="0DA4771C" w14:textId="77777777" w:rsidR="005C723E" w:rsidRPr="00CF1B34" w:rsidRDefault="005C723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Esta subasta la realiza el Banco de España cada diez días. En esta subasta el banco emisor compra o vende a las entidades financieras  con la colocación de Certificados del Banco Central, CBE, y con deuda publica. En esta subasta y on etos instrumentos fija decenalmente el precio del dinero.</w:t>
      </w:r>
    </w:p>
    <w:p w14:paraId="101351D4" w14:textId="0FE1A6A3"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Subasta no competitiva</w:t>
      </w:r>
    </w:p>
    <w:p w14:paraId="5036FD65" w14:textId="6482DC3A" w:rsidR="00E21809" w:rsidRPr="00CF1B34" w:rsidRDefault="00E21809"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lastRenderedPageBreak/>
        <w:t>Procedimiento de colocación de valores, en el que los inversores solicitan un determinado volumen; los activos se adjudican al precio medio ponderado que haya resultado como consecuencia de la subasta competitiva. Ver</w:t>
      </w:r>
      <w:r w:rsidR="008B5C17" w:rsidRPr="00CF1B34">
        <w:rPr>
          <w:rFonts w:ascii="Arial" w:hAnsi="Arial" w:cs="Arial"/>
          <w:color w:val="212529"/>
          <w:sz w:val="22"/>
          <w:szCs w:val="22"/>
          <w:lang w:val="es-ES_tradnl"/>
        </w:rPr>
        <w:t xml:space="preserve"> </w:t>
      </w:r>
      <w:hyperlink r:id="rId345" w:tgtFrame="_self" w:history="1">
        <w:r w:rsidRPr="00CF1B34">
          <w:rPr>
            <w:rFonts w:ascii="Arial" w:hAnsi="Arial" w:cs="Arial"/>
            <w:b/>
            <w:bCs/>
            <w:color w:val="2F5496" w:themeColor="accent1" w:themeShade="BF"/>
            <w:sz w:val="22"/>
            <w:szCs w:val="22"/>
            <w:u w:val="single"/>
            <w:lang w:val="es-ES_tradnl"/>
          </w:rPr>
          <w:t>Subasta competitiva</w:t>
        </w:r>
      </w:hyperlink>
      <w:r w:rsidRPr="00CF1B34">
        <w:rPr>
          <w:rFonts w:ascii="Arial" w:hAnsi="Arial" w:cs="Arial"/>
          <w:color w:val="2F5496" w:themeColor="accent1" w:themeShade="BF"/>
          <w:sz w:val="22"/>
          <w:szCs w:val="22"/>
          <w:lang w:val="es-ES_tradnl"/>
        </w:rPr>
        <w:t>.</w:t>
      </w:r>
    </w:p>
    <w:p w14:paraId="4B240604" w14:textId="0B1C0226" w:rsidR="00487062" w:rsidRDefault="00487062"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Subasta inmobiliaria</w:t>
      </w:r>
    </w:p>
    <w:p w14:paraId="0ED89034" w14:textId="5712D611" w:rsidR="00487062" w:rsidRPr="001236AB" w:rsidRDefault="00487062" w:rsidP="001236AB">
      <w:pPr>
        <w:ind w:left="708"/>
        <w:rPr>
          <w:rFonts w:ascii="Arial" w:hAnsi="Arial" w:cs="Arial"/>
          <w:sz w:val="22"/>
          <w:szCs w:val="22"/>
        </w:rPr>
      </w:pPr>
      <w:r w:rsidRPr="001236AB">
        <w:rPr>
          <w:rFonts w:ascii="Arial" w:hAnsi="Arial" w:cs="Arial"/>
          <w:color w:val="474747"/>
          <w:sz w:val="22"/>
          <w:szCs w:val="22"/>
          <w:shd w:val="clear" w:color="auto" w:fill="FFFFFF"/>
        </w:rPr>
        <w:t>La</w:t>
      </w:r>
      <w:r w:rsidR="001236AB" w:rsidRPr="001236AB">
        <w:rPr>
          <w:rFonts w:ascii="Arial" w:hAnsi="Arial" w:cs="Arial"/>
          <w:color w:val="474747"/>
          <w:sz w:val="22"/>
          <w:szCs w:val="22"/>
          <w:shd w:val="clear" w:color="auto" w:fill="FFFFFF"/>
        </w:rPr>
        <w:t xml:space="preserve"> </w:t>
      </w:r>
      <w:r w:rsidRPr="001236AB">
        <w:rPr>
          <w:rFonts w:ascii="Arial" w:hAnsi="Arial" w:cs="Arial"/>
          <w:color w:val="040C28"/>
          <w:sz w:val="22"/>
          <w:szCs w:val="22"/>
          <w:shd w:val="clear" w:color="auto" w:fill="D3E3FD"/>
        </w:rPr>
        <w:t>subasta</w:t>
      </w:r>
      <w:r w:rsidR="001236AB" w:rsidRPr="001236AB">
        <w:rPr>
          <w:rFonts w:ascii="Arial" w:hAnsi="Arial" w:cs="Arial"/>
          <w:color w:val="474747"/>
          <w:sz w:val="22"/>
          <w:szCs w:val="22"/>
          <w:shd w:val="clear" w:color="auto" w:fill="FFFFFF"/>
        </w:rPr>
        <w:t xml:space="preserve"> </w:t>
      </w:r>
      <w:r w:rsidRPr="001236AB">
        <w:rPr>
          <w:rFonts w:ascii="Arial" w:hAnsi="Arial" w:cs="Arial"/>
          <w:color w:val="474747"/>
          <w:sz w:val="22"/>
          <w:szCs w:val="22"/>
          <w:shd w:val="clear" w:color="auto" w:fill="FFFFFF"/>
        </w:rPr>
        <w:t>de una vivienda</w:t>
      </w:r>
      <w:r w:rsidR="001236AB" w:rsidRPr="001236AB">
        <w:rPr>
          <w:rFonts w:ascii="Arial" w:hAnsi="Arial" w:cs="Arial"/>
          <w:color w:val="474747"/>
          <w:sz w:val="22"/>
          <w:szCs w:val="22"/>
          <w:shd w:val="clear" w:color="auto" w:fill="FFFFFF"/>
        </w:rPr>
        <w:t xml:space="preserve"> </w:t>
      </w:r>
      <w:r w:rsidRPr="001236AB">
        <w:rPr>
          <w:rFonts w:ascii="Arial" w:hAnsi="Arial" w:cs="Arial"/>
          <w:color w:val="040C28"/>
          <w:sz w:val="22"/>
          <w:szCs w:val="22"/>
          <w:shd w:val="clear" w:color="auto" w:fill="D3E3FD"/>
        </w:rPr>
        <w:t>funciona</w:t>
      </w:r>
      <w:r w:rsidR="001236AB" w:rsidRPr="001236AB">
        <w:rPr>
          <w:rFonts w:ascii="Arial" w:hAnsi="Arial" w:cs="Arial"/>
          <w:color w:val="474747"/>
          <w:sz w:val="22"/>
          <w:szCs w:val="22"/>
          <w:shd w:val="clear" w:color="auto" w:fill="FFFFFF"/>
        </w:rPr>
        <w:t xml:space="preserve"> </w:t>
      </w:r>
      <w:r w:rsidRPr="001236AB">
        <w:rPr>
          <w:rFonts w:ascii="Arial" w:hAnsi="Arial" w:cs="Arial"/>
          <w:color w:val="474747"/>
          <w:sz w:val="22"/>
          <w:szCs w:val="22"/>
          <w:shd w:val="clear" w:color="auto" w:fill="FFFFFF"/>
        </w:rPr>
        <w:t>como cualquier otra puja: se parte de un precio y los interesados deben ir subiéndolo durante un tiempo determinado. La persona que haya realizado la última puja (la que más dinero ofrezca) será la que se quede con la vivienda.</w:t>
      </w:r>
    </w:p>
    <w:p w14:paraId="165D3A57" w14:textId="4F47D953" w:rsidR="00487062" w:rsidRPr="00487062" w:rsidRDefault="001236AB" w:rsidP="001236AB">
      <w:pPr>
        <w:shd w:val="clear" w:color="auto" w:fill="FFFFFF"/>
        <w:spacing w:after="165"/>
        <w:ind w:firstLine="360"/>
        <w:rPr>
          <w:rFonts w:ascii="Arial" w:hAnsi="Arial" w:cs="Arial"/>
          <w:color w:val="333333"/>
          <w:sz w:val="22"/>
          <w:szCs w:val="22"/>
        </w:rPr>
      </w:pPr>
      <w:r>
        <w:rPr>
          <w:rFonts w:ascii="Arial" w:hAnsi="Arial" w:cs="Arial"/>
          <w:color w:val="333333"/>
          <w:sz w:val="22"/>
          <w:szCs w:val="22"/>
        </w:rPr>
        <w:t xml:space="preserve">Hay </w:t>
      </w:r>
      <w:r w:rsidR="00487062" w:rsidRPr="00487062">
        <w:rPr>
          <w:rFonts w:ascii="Arial" w:hAnsi="Arial" w:cs="Arial"/>
          <w:color w:val="333333"/>
          <w:sz w:val="22"/>
          <w:szCs w:val="22"/>
        </w:rPr>
        <w:t>tres clases de subastas:</w:t>
      </w:r>
    </w:p>
    <w:p w14:paraId="1193C8F1" w14:textId="2746EE00" w:rsidR="00487062" w:rsidRPr="00487062" w:rsidRDefault="00487062" w:rsidP="004F7A62">
      <w:pPr>
        <w:numPr>
          <w:ilvl w:val="0"/>
          <w:numId w:val="272"/>
        </w:numPr>
        <w:shd w:val="clear" w:color="auto" w:fill="FFFFFF"/>
        <w:spacing w:before="100" w:beforeAutospacing="1" w:after="100" w:afterAutospacing="1"/>
        <w:rPr>
          <w:rFonts w:ascii="Arial" w:hAnsi="Arial" w:cs="Arial"/>
          <w:color w:val="333333"/>
          <w:sz w:val="22"/>
          <w:szCs w:val="22"/>
        </w:rPr>
      </w:pPr>
      <w:r w:rsidRPr="00487062">
        <w:rPr>
          <w:rFonts w:ascii="Arial" w:hAnsi="Arial" w:cs="Arial"/>
          <w:b/>
          <w:bCs/>
          <w:color w:val="333333"/>
          <w:sz w:val="22"/>
          <w:szCs w:val="22"/>
        </w:rPr>
        <w:t>Subastas de tipo presencial:</w:t>
      </w:r>
      <w:r w:rsidR="001236AB" w:rsidRPr="001236AB">
        <w:rPr>
          <w:rFonts w:ascii="Arial" w:hAnsi="Arial" w:cs="Arial"/>
          <w:color w:val="333333"/>
          <w:sz w:val="22"/>
          <w:szCs w:val="22"/>
        </w:rPr>
        <w:t xml:space="preserve"> </w:t>
      </w:r>
      <w:r w:rsidRPr="00487062">
        <w:rPr>
          <w:rFonts w:ascii="Arial" w:hAnsi="Arial" w:cs="Arial"/>
          <w:color w:val="333333"/>
          <w:sz w:val="22"/>
          <w:szCs w:val="22"/>
        </w:rPr>
        <w:t>en acto público, suelen realizarse cuando existe concentración geográfica en una zona determinada que permite convocar a todos los potenciales compradores en una sala para que pujen al alza por el producto que se saca a la venta.</w:t>
      </w:r>
    </w:p>
    <w:p w14:paraId="6D9074E7" w14:textId="19AC085D" w:rsidR="00487062" w:rsidRPr="00487062" w:rsidRDefault="00487062" w:rsidP="004F7A62">
      <w:pPr>
        <w:numPr>
          <w:ilvl w:val="0"/>
          <w:numId w:val="272"/>
        </w:numPr>
        <w:shd w:val="clear" w:color="auto" w:fill="FFFFFF"/>
        <w:spacing w:before="100" w:beforeAutospacing="1" w:after="100" w:afterAutospacing="1"/>
        <w:rPr>
          <w:rFonts w:ascii="Arial" w:hAnsi="Arial" w:cs="Arial"/>
          <w:color w:val="333333"/>
          <w:sz w:val="22"/>
          <w:szCs w:val="22"/>
        </w:rPr>
      </w:pPr>
      <w:r w:rsidRPr="00487062">
        <w:rPr>
          <w:rFonts w:ascii="Arial" w:hAnsi="Arial" w:cs="Arial"/>
          <w:b/>
          <w:bCs/>
          <w:color w:val="333333"/>
          <w:sz w:val="22"/>
          <w:szCs w:val="22"/>
        </w:rPr>
        <w:t>Subastas por internet:</w:t>
      </w:r>
      <w:r w:rsidR="001236AB" w:rsidRPr="001236AB">
        <w:rPr>
          <w:rFonts w:ascii="Arial" w:hAnsi="Arial" w:cs="Arial"/>
          <w:color w:val="333333"/>
          <w:sz w:val="22"/>
          <w:szCs w:val="22"/>
        </w:rPr>
        <w:t xml:space="preserve"> </w:t>
      </w:r>
      <w:r w:rsidRPr="00487062">
        <w:rPr>
          <w:rFonts w:ascii="Arial" w:hAnsi="Arial" w:cs="Arial"/>
          <w:color w:val="333333"/>
          <w:sz w:val="22"/>
          <w:szCs w:val="22"/>
        </w:rPr>
        <w:t>en pleno auge, y se trata de exponer en la página web del promotor todo el producto a la venta y habilitar un periodo de un mes para que, previo pago de una fianza, se puje por los inmuebles.</w:t>
      </w:r>
    </w:p>
    <w:p w14:paraId="59E1BA54" w14:textId="0B072E78" w:rsidR="00487062" w:rsidRPr="00487062" w:rsidRDefault="00487062" w:rsidP="004F7A62">
      <w:pPr>
        <w:numPr>
          <w:ilvl w:val="0"/>
          <w:numId w:val="272"/>
        </w:numPr>
        <w:shd w:val="clear" w:color="auto" w:fill="FFFFFF"/>
        <w:spacing w:before="100" w:beforeAutospacing="1" w:after="100" w:afterAutospacing="1"/>
        <w:rPr>
          <w:rFonts w:ascii="Arial" w:hAnsi="Arial" w:cs="Arial"/>
          <w:color w:val="333333"/>
          <w:sz w:val="22"/>
          <w:szCs w:val="22"/>
        </w:rPr>
      </w:pPr>
      <w:r w:rsidRPr="00487062">
        <w:rPr>
          <w:rFonts w:ascii="Arial" w:hAnsi="Arial" w:cs="Arial"/>
          <w:b/>
          <w:bCs/>
          <w:color w:val="333333"/>
          <w:sz w:val="22"/>
          <w:szCs w:val="22"/>
        </w:rPr>
        <w:t>Subastas en plica o sobre cerrado:</w:t>
      </w:r>
      <w:r w:rsidR="001236AB" w:rsidRPr="001236AB">
        <w:rPr>
          <w:rFonts w:ascii="Arial" w:hAnsi="Arial" w:cs="Arial"/>
          <w:b/>
          <w:bCs/>
          <w:color w:val="333333"/>
          <w:sz w:val="22"/>
          <w:szCs w:val="22"/>
        </w:rPr>
        <w:t xml:space="preserve"> </w:t>
      </w:r>
      <w:r w:rsidRPr="00487062">
        <w:rPr>
          <w:rFonts w:ascii="Arial" w:hAnsi="Arial" w:cs="Arial"/>
          <w:color w:val="333333"/>
          <w:sz w:val="22"/>
          <w:szCs w:val="22"/>
        </w:rPr>
        <w:t>mediante un modelo de oferta-puja preestablecido se invita a los interesados a presentar sus plicas en sobre cerrado, conjuntamente con una fianza, en la notaría que se designe por la entidad organizadora de la subasta.</w:t>
      </w:r>
    </w:p>
    <w:p w14:paraId="578BFFFE" w14:textId="77777777" w:rsidR="001236AB" w:rsidRPr="00CF1B34" w:rsidRDefault="001236AB" w:rsidP="001236AB">
      <w:pPr>
        <w:pBdr>
          <w:bottom w:val="dotted" w:sz="12" w:space="12" w:color="666666"/>
        </w:pBdr>
        <w:spacing w:after="240"/>
        <w:ind w:left="720"/>
        <w:jc w:val="both"/>
        <w:rPr>
          <w:rFonts w:ascii="Arial" w:hAnsi="Arial" w:cs="Arial"/>
          <w:color w:val="2F5496" w:themeColor="accent1" w:themeShade="BF"/>
          <w:sz w:val="22"/>
          <w:szCs w:val="22"/>
          <w:lang w:val="es-ES_tradnl"/>
        </w:rPr>
      </w:pPr>
      <w:r w:rsidRPr="001236AB">
        <w:rPr>
          <w:rFonts w:ascii="Arial" w:hAnsi="Arial" w:cs="Arial"/>
          <w:color w:val="040C28"/>
          <w:sz w:val="22"/>
          <w:szCs w:val="22"/>
          <w:shd w:val="clear" w:color="auto" w:fill="D3E3FD"/>
        </w:rPr>
        <w:t>El adquirente acaba por asumir el pago de la deuda hipotecaria</w:t>
      </w:r>
      <w:r w:rsidRPr="001236AB">
        <w:rPr>
          <w:rFonts w:ascii="Arial" w:hAnsi="Arial" w:cs="Arial"/>
          <w:color w:val="474747"/>
          <w:sz w:val="22"/>
          <w:szCs w:val="22"/>
          <w:shd w:val="clear" w:color="auto" w:fill="FFFFFF"/>
        </w:rPr>
        <w:t>, y ello por prevenir el inicio de un procedimiento de ejecución respecto a esa deuda, para lo cual, eso sí, debiera el adquirente reclamar luego el pago de la deuda. También se deben pagar dos impuestos después de una subasta: </w:t>
      </w:r>
      <w:r w:rsidRPr="001236AB">
        <w:rPr>
          <w:rFonts w:ascii="Arial" w:hAnsi="Arial" w:cs="Arial"/>
          <w:color w:val="040C28"/>
          <w:sz w:val="22"/>
          <w:szCs w:val="22"/>
          <w:shd w:val="clear" w:color="auto" w:fill="D3E3FD"/>
        </w:rPr>
        <w:t>el Impuesto de Transmisión Patrimonial (ITP) que depende de tu Comunidad Autónoma y el IVA</w:t>
      </w:r>
      <w:r w:rsidRPr="001236AB">
        <w:rPr>
          <w:rFonts w:ascii="Arial" w:hAnsi="Arial" w:cs="Arial"/>
          <w:color w:val="474747"/>
          <w:sz w:val="22"/>
          <w:szCs w:val="22"/>
          <w:shd w:val="clear" w:color="auto" w:fill="FFFFFF"/>
        </w:rPr>
        <w:t>.</w:t>
      </w:r>
    </w:p>
    <w:p w14:paraId="10360771" w14:textId="408CA082" w:rsidR="001236AB" w:rsidRPr="001236AB" w:rsidRDefault="005F34F0" w:rsidP="001236AB">
      <w:pPr>
        <w:rPr>
          <w:rFonts w:ascii="Arial" w:hAnsi="Arial" w:cs="Arial"/>
          <w:sz w:val="22"/>
          <w:szCs w:val="22"/>
        </w:rPr>
      </w:pPr>
      <w:r>
        <w:rPr>
          <w:rFonts w:ascii="Arial" w:hAnsi="Arial" w:cs="Arial"/>
          <w:sz w:val="22"/>
          <w:szCs w:val="22"/>
        </w:rPr>
        <w:t>Subasta inversa</w:t>
      </w:r>
    </w:p>
    <w:p w14:paraId="0E3CD7D3" w14:textId="77777777" w:rsidR="005F34F0" w:rsidRPr="00CF1B34" w:rsidRDefault="005F34F0" w:rsidP="005F34F0">
      <w:pPr>
        <w:pBdr>
          <w:bottom w:val="dotted" w:sz="12" w:space="12" w:color="666666"/>
        </w:pBdr>
        <w:spacing w:after="240"/>
        <w:ind w:left="720"/>
        <w:jc w:val="both"/>
        <w:rPr>
          <w:rFonts w:ascii="Arial" w:hAnsi="Arial" w:cs="Arial"/>
          <w:color w:val="2F5496" w:themeColor="accent1" w:themeShade="BF"/>
          <w:sz w:val="22"/>
          <w:szCs w:val="22"/>
          <w:lang w:val="es-ES_tradnl"/>
        </w:rPr>
      </w:pPr>
      <w:r w:rsidRPr="005F34F0">
        <w:rPr>
          <w:rFonts w:ascii="Arial" w:hAnsi="Arial" w:cs="Arial"/>
          <w:color w:val="474747"/>
          <w:sz w:val="22"/>
          <w:szCs w:val="22"/>
          <w:shd w:val="clear" w:color="auto" w:fill="FFFFFF"/>
        </w:rPr>
        <w:t xml:space="preserve">La </w:t>
      </w:r>
      <w:r w:rsidRPr="005F34F0">
        <w:rPr>
          <w:rFonts w:ascii="Arial" w:hAnsi="Arial" w:cs="Arial"/>
          <w:color w:val="040C28"/>
          <w:sz w:val="22"/>
          <w:szCs w:val="22"/>
          <w:shd w:val="clear" w:color="auto" w:fill="D3E3FD"/>
        </w:rPr>
        <w:t>Subasta Inversa</w:t>
      </w:r>
      <w:r w:rsidRPr="005F34F0">
        <w:rPr>
          <w:rFonts w:ascii="Arial" w:hAnsi="Arial" w:cs="Arial"/>
          <w:color w:val="474747"/>
          <w:sz w:val="22"/>
          <w:szCs w:val="22"/>
          <w:shd w:val="clear" w:color="auto" w:fill="FFFFFF"/>
        </w:rPr>
        <w:t xml:space="preserve"> Electrónica (SIE) es un procedimiento de selección mediante el cual las entidades públicas contratan bienes y servicios incluidos en el Listado de Bienes y Servicios Comunes (LBSC), donde el postor ganador es aquel que oferte el menor precio por los productos objeto de la subasta.</w:t>
      </w:r>
      <w:r w:rsidRPr="005F34F0">
        <w:rPr>
          <w:rStyle w:val="DefinicinHTML"/>
          <w:rFonts w:ascii="Arial" w:hAnsi="Arial" w:cs="Arial"/>
          <w:color w:val="333333"/>
          <w:sz w:val="22"/>
          <w:szCs w:val="22"/>
          <w:shd w:val="clear" w:color="auto" w:fill="FFFFFF"/>
        </w:rPr>
        <w:t xml:space="preserve"> </w:t>
      </w:r>
      <w:r w:rsidRPr="005F34F0">
        <w:rPr>
          <w:rStyle w:val="Textoennegrita"/>
          <w:rFonts w:ascii="Arial" w:hAnsi="Arial" w:cs="Arial"/>
          <w:color w:val="333333"/>
          <w:sz w:val="22"/>
          <w:szCs w:val="22"/>
          <w:shd w:val="clear" w:color="auto" w:fill="FFFFFF"/>
        </w:rPr>
        <w:t>La subasta inversa es un método para bajar precios a cuesta de la calidad</w:t>
      </w:r>
      <w:r w:rsidRPr="005F34F0">
        <w:rPr>
          <w:rFonts w:ascii="Arial" w:hAnsi="Arial" w:cs="Arial"/>
          <w:color w:val="333333"/>
          <w:sz w:val="22"/>
          <w:szCs w:val="22"/>
          <w:shd w:val="clear" w:color="auto" w:fill="FFFFFF"/>
        </w:rPr>
        <w:t>.</w:t>
      </w:r>
    </w:p>
    <w:p w14:paraId="68A3DB30" w14:textId="36E6902F"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Subastas en Bolsa</w:t>
      </w:r>
    </w:p>
    <w:p w14:paraId="5CA7BE28" w14:textId="7F27D256" w:rsidR="00961FB5" w:rsidRPr="00CF1B34" w:rsidRDefault="00E21809"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Períodos de negociación en Bolsa, en los cuales se pueden introducir, modificar y cancelar órdenes, pero no se produce la ejecución de las mismas. Sirven para fijar los precios de apertura o cierre, o para controlar las fluctuaciones excesivas de precios (subastas de volatilidad). Las características y el funcionamiento de los distintos tipos de subastas se describen en las secciones SIBE: desarrollo de la sesión y SIBE: formación y variaciones de precios. Subastas de volatilidad.</w:t>
      </w:r>
    </w:p>
    <w:p w14:paraId="460B9DE2" w14:textId="35BD1DB6" w:rsidR="008B5C17" w:rsidRPr="00CF1B34" w:rsidRDefault="008B5C17" w:rsidP="0005621A">
      <w:pPr>
        <w:jc w:val="both"/>
        <w:rPr>
          <w:rFonts w:ascii="Arial" w:hAnsi="Arial" w:cs="Arial"/>
          <w:sz w:val="22"/>
          <w:szCs w:val="22"/>
          <w:lang w:val="es-ES_tradnl"/>
        </w:rPr>
      </w:pPr>
      <w:r w:rsidRPr="00CF1B34">
        <w:rPr>
          <w:rFonts w:ascii="Arial" w:hAnsi="Arial" w:cs="Arial"/>
          <w:b/>
          <w:bCs/>
          <w:color w:val="2F5496" w:themeColor="accent1" w:themeShade="BF"/>
          <w:sz w:val="22"/>
          <w:szCs w:val="22"/>
          <w:lang w:val="es-ES_tradnl"/>
        </w:rPr>
        <w:t>Subrogación</w:t>
      </w:r>
    </w:p>
    <w:p w14:paraId="2A36E3C4" w14:textId="3CACA390" w:rsidR="00961FB5" w:rsidRPr="00CF1B34" w:rsidRDefault="00961FB5" w:rsidP="0005621A">
      <w:pPr>
        <w:ind w:left="708"/>
        <w:jc w:val="both"/>
        <w:rPr>
          <w:rFonts w:ascii="Arial" w:hAnsi="Arial" w:cs="Arial"/>
          <w:sz w:val="22"/>
          <w:szCs w:val="22"/>
          <w:lang w:val="es-ES_tradnl"/>
        </w:rPr>
      </w:pPr>
      <w:r w:rsidRPr="00CF1B34">
        <w:rPr>
          <w:rFonts w:ascii="Arial" w:hAnsi="Arial" w:cs="Arial"/>
          <w:sz w:val="22"/>
          <w:szCs w:val="22"/>
          <w:lang w:val="es-ES_tradnl"/>
        </w:rPr>
        <w:t>El término subrogación se refiere a una modificación en las condiciones de un contrato que consiste en sustituir a una persona por otra en el cumplimiento de una obligación o bien el ejercicio de un derecho.</w:t>
      </w:r>
    </w:p>
    <w:p w14:paraId="16CCAAE0" w14:textId="1F407644" w:rsidR="00961FB5" w:rsidRPr="00CF1B34" w:rsidRDefault="00961FB5"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de las aplicaciones más habituales de la subrogación se da en los contratos hipotecarios. La</w:t>
      </w:r>
      <w:r w:rsidR="004F4050">
        <w:rPr>
          <w:rFonts w:ascii="Arial" w:hAnsi="Arial" w:cs="Arial"/>
          <w:sz w:val="22"/>
          <w:szCs w:val="22"/>
          <w:lang w:val="es-ES_tradnl"/>
        </w:rPr>
        <w:t xml:space="preserve"> </w:t>
      </w:r>
      <w:r w:rsidRPr="00CF1B34">
        <w:rPr>
          <w:rFonts w:ascii="Arial" w:hAnsi="Arial" w:cs="Arial"/>
          <w:b/>
          <w:bCs/>
          <w:sz w:val="22"/>
          <w:szCs w:val="22"/>
          <w:lang w:val="es-ES_tradnl"/>
        </w:rPr>
        <w:t>subrogación de una hipoteca</w:t>
      </w:r>
      <w:r w:rsidR="004F4050">
        <w:rPr>
          <w:rFonts w:ascii="Arial" w:hAnsi="Arial" w:cs="Arial"/>
          <w:sz w:val="22"/>
          <w:szCs w:val="22"/>
          <w:lang w:val="es-ES_tradnl"/>
        </w:rPr>
        <w:t xml:space="preserve"> </w:t>
      </w:r>
      <w:r w:rsidRPr="00CF1B34">
        <w:rPr>
          <w:rFonts w:ascii="Arial" w:hAnsi="Arial" w:cs="Arial"/>
          <w:sz w:val="22"/>
          <w:szCs w:val="22"/>
          <w:lang w:val="es-ES_tradnl"/>
        </w:rPr>
        <w:t xml:space="preserve">puede hacer referencia a la modificación </w:t>
      </w:r>
      <w:r w:rsidRPr="00CF1B34">
        <w:rPr>
          <w:rFonts w:ascii="Arial" w:hAnsi="Arial" w:cs="Arial"/>
          <w:sz w:val="22"/>
          <w:szCs w:val="22"/>
          <w:lang w:val="es-ES_tradnl"/>
        </w:rPr>
        <w:lastRenderedPageBreak/>
        <w:t>en la figura del acreedor o en la figura del deudor, es decir en el cambio de banco para mejorar las condiciones o en el cambio de titular de la hipoteca.</w:t>
      </w:r>
    </w:p>
    <w:p w14:paraId="44C41097" w14:textId="77777777" w:rsidR="00961FB5" w:rsidRPr="00CF1B34" w:rsidRDefault="00961FB5" w:rsidP="004F7A62">
      <w:pPr>
        <w:numPr>
          <w:ilvl w:val="0"/>
          <w:numId w:val="54"/>
        </w:numPr>
        <w:spacing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Subrogación del acreedor</w:t>
      </w:r>
    </w:p>
    <w:p w14:paraId="30BD5A0E" w14:textId="77777777" w:rsidR="00961FB5" w:rsidRPr="00CF1B34" w:rsidRDefault="00961FB5"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Este tipo de subrogación es la más habitual y consiste en trasladar la hipoteca a otro banco para conseguir unas mejores condiciones sin necesidad de cancelarlo o formalizarlo desde cero.</w:t>
      </w:r>
    </w:p>
    <w:p w14:paraId="6B34A5D2" w14:textId="77777777" w:rsidR="00961FB5" w:rsidRPr="00CF1B34" w:rsidRDefault="00961FB5"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 xml:space="preserve">El cliente podrá beneficiarse de unas comisiones menores o la reducción en los tipos de interés. La subrogación hipotecaria no está gravada con ningún </w:t>
      </w:r>
      <w:proofErr w:type="gramStart"/>
      <w:r w:rsidRPr="00CF1B34">
        <w:rPr>
          <w:rFonts w:ascii="Arial" w:hAnsi="Arial" w:cs="Arial"/>
          <w:sz w:val="22"/>
          <w:szCs w:val="22"/>
          <w:lang w:val="es-ES_tradnl"/>
        </w:rPr>
        <w:t>impuesto</w:t>
      </w:r>
      <w:proofErr w:type="gramEnd"/>
      <w:r w:rsidRPr="00CF1B34">
        <w:rPr>
          <w:rFonts w:ascii="Arial" w:hAnsi="Arial" w:cs="Arial"/>
          <w:sz w:val="22"/>
          <w:szCs w:val="22"/>
          <w:lang w:val="es-ES_tradnl"/>
        </w:rPr>
        <w:t xml:space="preserve"> pero si lleva implícita los gastos de notario, gestoría, registro y la comisión de subrogación incluida en el contrato.</w:t>
      </w:r>
    </w:p>
    <w:p w14:paraId="5DCA6837" w14:textId="77777777" w:rsidR="00961FB5" w:rsidRPr="00CF1B34" w:rsidRDefault="00961FB5" w:rsidP="004F7A62">
      <w:pPr>
        <w:numPr>
          <w:ilvl w:val="0"/>
          <w:numId w:val="54"/>
        </w:numPr>
        <w:spacing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Subrogación del deudor</w:t>
      </w:r>
    </w:p>
    <w:p w14:paraId="390CFACB" w14:textId="77777777" w:rsidR="00961FB5" w:rsidRPr="00CF1B34" w:rsidRDefault="00961FB5"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Este caso es muy habitual cuando se compra una vivienda que ya tiene una hipoteca, en ese caso lo que haremos será un cambio de titular. Cuando eso ocurre, la entidad bancaria deberá realizar un estudio de riesgos para decidir si podrá admitir al nuevo deudor.</w:t>
      </w:r>
    </w:p>
    <w:p w14:paraId="41FE1E67" w14:textId="0705D2AB" w:rsidR="00961FB5" w:rsidRPr="00CF1B34" w:rsidRDefault="00961FB5"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Esta opción permite ahorrarse el pago de impuestos por este concepto, al asumir una deuda ya existente</w:t>
      </w:r>
      <w:r w:rsidR="004F4050">
        <w:rPr>
          <w:rFonts w:ascii="Arial" w:hAnsi="Arial" w:cs="Arial"/>
          <w:sz w:val="22"/>
          <w:szCs w:val="22"/>
          <w:lang w:val="es-ES_tradnl"/>
        </w:rPr>
        <w:t>,</w:t>
      </w:r>
      <w:r w:rsidRPr="00CF1B34">
        <w:rPr>
          <w:rFonts w:ascii="Arial" w:hAnsi="Arial" w:cs="Arial"/>
          <w:sz w:val="22"/>
          <w:szCs w:val="22"/>
          <w:lang w:val="es-ES_tradnl"/>
        </w:rPr>
        <w:t xml:space="preserve"> pero si tendremos que pagar los gastos notariales, de gestoría, registros y la comisión de subrogación que figura en el contrato.</w:t>
      </w:r>
    </w:p>
    <w:p w14:paraId="551AA1B6" w14:textId="77777777" w:rsidR="00612FED" w:rsidRPr="00CF1B34" w:rsidRDefault="00961FB5"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Antes de subrogar una hipoteca, es fundamental informarse sobre las nuevas condiciones y los gastos que se pueden generar para poder valorar si la subrogación es la mejor opción.</w:t>
      </w:r>
    </w:p>
    <w:p w14:paraId="2E22C2FA" w14:textId="77777777" w:rsidR="00612FED" w:rsidRPr="00CF1B34" w:rsidRDefault="00612FED"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Subrogación Hipotecaria</w:t>
      </w:r>
    </w:p>
    <w:p w14:paraId="069EC438" w14:textId="0C216D6F" w:rsidR="00612FED" w:rsidRPr="00CF1B34" w:rsidRDefault="00612FED"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w:t>
      </w:r>
      <w:r w:rsidR="004F4050">
        <w:rPr>
          <w:rFonts w:ascii="Arial" w:hAnsi="Arial" w:cs="Arial"/>
          <w:sz w:val="22"/>
          <w:szCs w:val="22"/>
          <w:lang w:val="es-ES_tradnl"/>
        </w:rPr>
        <w:t xml:space="preserve"> </w:t>
      </w:r>
      <w:hyperlink r:id="rId346" w:history="1">
        <w:r w:rsidRPr="00CF1B34">
          <w:rPr>
            <w:rStyle w:val="Hipervnculo"/>
            <w:rFonts w:ascii="Arial" w:hAnsi="Arial" w:cs="Arial"/>
            <w:color w:val="BD4313"/>
            <w:sz w:val="22"/>
            <w:szCs w:val="22"/>
            <w:lang w:val="es-ES_tradnl"/>
          </w:rPr>
          <w:t>subrogación hipotecaria</w:t>
        </w:r>
      </w:hyperlink>
      <w:r w:rsidR="004F4050">
        <w:rPr>
          <w:rFonts w:ascii="Arial" w:hAnsi="Arial" w:cs="Arial"/>
          <w:sz w:val="22"/>
          <w:szCs w:val="22"/>
          <w:lang w:val="es-ES_tradnl"/>
        </w:rPr>
        <w:t xml:space="preserve"> </w:t>
      </w:r>
      <w:r w:rsidRPr="00CF1B34">
        <w:rPr>
          <w:rFonts w:ascii="Arial" w:hAnsi="Arial" w:cs="Arial"/>
          <w:sz w:val="22"/>
          <w:szCs w:val="22"/>
          <w:lang w:val="es-ES_tradnl"/>
        </w:rPr>
        <w:t>es un acuerdo que modifica las condiciones del contrato hipotecario. Podemos pedirla por ejemplo en caso de que no estemos a gusto con las condiciones de nuestro actual préstamo el interés, las comisiones, la vinculación, el plazo de reembolso o ciertas cláusulas), o con la entidad que lo gestiona.</w:t>
      </w:r>
    </w:p>
    <w:p w14:paraId="5F434776" w14:textId="690109DC" w:rsidR="00612FED" w:rsidRPr="00CF1B34" w:rsidRDefault="00612FED"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Hay dos tipos de subr</w:t>
      </w:r>
      <w:r w:rsidR="004F4050">
        <w:rPr>
          <w:rFonts w:ascii="Arial" w:hAnsi="Arial" w:cs="Arial"/>
          <w:sz w:val="22"/>
          <w:szCs w:val="22"/>
          <w:lang w:val="es-ES_tradnl"/>
        </w:rPr>
        <w:t>o</w:t>
      </w:r>
      <w:r w:rsidRPr="00CF1B34">
        <w:rPr>
          <w:rFonts w:ascii="Arial" w:hAnsi="Arial" w:cs="Arial"/>
          <w:sz w:val="22"/>
          <w:szCs w:val="22"/>
          <w:lang w:val="es-ES_tradnl"/>
        </w:rPr>
        <w:t>gación hipotecaria:</w:t>
      </w:r>
    </w:p>
    <w:p w14:paraId="331967F0" w14:textId="39172E82" w:rsidR="00612FED" w:rsidRPr="00CF1B34" w:rsidRDefault="00612FED" w:rsidP="004F7A62">
      <w:pPr>
        <w:pStyle w:val="listitem"/>
        <w:numPr>
          <w:ilvl w:val="0"/>
          <w:numId w:val="55"/>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t>Subrogación</w:t>
      </w:r>
      <w:r w:rsidR="004F4050">
        <w:rPr>
          <w:rStyle w:val="Textoennegrita"/>
          <w:rFonts w:ascii="Arial" w:hAnsi="Arial" w:cs="Arial"/>
          <w:sz w:val="22"/>
          <w:szCs w:val="22"/>
          <w:lang w:val="es-ES_tradnl"/>
        </w:rPr>
        <w:t xml:space="preserve"> r</w:t>
      </w:r>
      <w:r w:rsidRPr="00CF1B34">
        <w:rPr>
          <w:rStyle w:val="Textoennegrita"/>
          <w:rFonts w:ascii="Arial" w:hAnsi="Arial" w:cs="Arial"/>
          <w:sz w:val="22"/>
          <w:szCs w:val="22"/>
          <w:lang w:val="es-ES_tradnl"/>
        </w:rPr>
        <w:t>eal u objetiva</w:t>
      </w:r>
      <w:r w:rsidRPr="00CF1B34">
        <w:rPr>
          <w:rFonts w:ascii="Arial" w:hAnsi="Arial" w:cs="Arial"/>
          <w:sz w:val="22"/>
          <w:szCs w:val="22"/>
          <w:lang w:val="es-ES_tradnl"/>
        </w:rPr>
        <w:t>, que consiste en sustituir el bien hipotecario (en realidad, un caso bastante atípico).</w:t>
      </w:r>
    </w:p>
    <w:p w14:paraId="70B53581" w14:textId="77777777" w:rsidR="00612FED" w:rsidRPr="00CF1B34" w:rsidRDefault="00612FED" w:rsidP="004F7A62">
      <w:pPr>
        <w:pStyle w:val="listitem"/>
        <w:numPr>
          <w:ilvl w:val="0"/>
          <w:numId w:val="55"/>
        </w:numPr>
        <w:spacing w:after="240" w:afterAutospacing="0"/>
        <w:jc w:val="both"/>
        <w:rPr>
          <w:rFonts w:ascii="Arial" w:hAnsi="Arial" w:cs="Arial"/>
          <w:sz w:val="22"/>
          <w:szCs w:val="22"/>
          <w:lang w:val="es-ES_tradnl"/>
        </w:rPr>
      </w:pPr>
      <w:r w:rsidRPr="00CF1B34">
        <w:rPr>
          <w:rStyle w:val="Textoennegrita"/>
          <w:rFonts w:ascii="Arial" w:hAnsi="Arial" w:cs="Arial"/>
          <w:sz w:val="22"/>
          <w:szCs w:val="22"/>
          <w:lang w:val="es-ES_tradnl"/>
        </w:rPr>
        <w:t>Subrogación personal o subjetiva</w:t>
      </w:r>
      <w:r w:rsidRPr="00CF1B34">
        <w:rPr>
          <w:rFonts w:ascii="Arial" w:hAnsi="Arial" w:cs="Arial"/>
          <w:sz w:val="22"/>
          <w:szCs w:val="22"/>
          <w:lang w:val="es-ES_tradnl"/>
        </w:rPr>
        <w:t>, que modifica la persona de la hipoteca. Esta modalidad es la más común, y se divide en:</w:t>
      </w:r>
    </w:p>
    <w:p w14:paraId="72D29577" w14:textId="77777777" w:rsidR="00612FED" w:rsidRPr="00CF1B34" w:rsidRDefault="00612FED" w:rsidP="004F7A62">
      <w:pPr>
        <w:pStyle w:val="listitem"/>
        <w:numPr>
          <w:ilvl w:val="1"/>
          <w:numId w:val="55"/>
        </w:numPr>
        <w:spacing w:after="240" w:afterAutospacing="0"/>
        <w:ind w:left="1740"/>
        <w:jc w:val="both"/>
        <w:rPr>
          <w:rFonts w:ascii="Arial" w:hAnsi="Arial" w:cs="Arial"/>
          <w:sz w:val="22"/>
          <w:szCs w:val="22"/>
          <w:lang w:val="es-ES_tradnl"/>
        </w:rPr>
      </w:pPr>
      <w:r w:rsidRPr="00CF1B34">
        <w:rPr>
          <w:rStyle w:val="Textoennegrita"/>
          <w:rFonts w:ascii="Arial" w:hAnsi="Arial" w:cs="Arial"/>
          <w:sz w:val="22"/>
          <w:szCs w:val="22"/>
          <w:lang w:val="es-ES_tradnl"/>
        </w:rPr>
        <w:t>Subrogación de deudor, o cambio de titular de la hipoteca</w:t>
      </w:r>
      <w:r w:rsidRPr="00CF1B34">
        <w:rPr>
          <w:rFonts w:ascii="Arial" w:hAnsi="Arial" w:cs="Arial"/>
          <w:sz w:val="22"/>
          <w:szCs w:val="22"/>
          <w:lang w:val="es-ES_tradnl"/>
        </w:rPr>
        <w:t>. Puede darse por ejemplo si compramos una vivienda que ya estaba hipotecada y asumimos la titularidad del préstamo. Así podremos ahorrarnos el coste que implicaría una nueva hipoteca, aunque no podamos cambiar de banco, ni negociar las condiciones o reclamar posibles gastos. Según la Ley Hipotecaria, tendremos que avisar al banco con un mes de antelación. Entonces, este analizará nuestros riesgos y, en consecuencia, admitirá o denegará nuestra solicitud.</w:t>
      </w:r>
    </w:p>
    <w:p w14:paraId="13BCDCF6" w14:textId="77777777" w:rsidR="00612FED" w:rsidRPr="00CF1B34" w:rsidRDefault="00612FED" w:rsidP="004F7A62">
      <w:pPr>
        <w:pStyle w:val="listitem"/>
        <w:numPr>
          <w:ilvl w:val="1"/>
          <w:numId w:val="55"/>
        </w:numPr>
        <w:spacing w:after="240" w:afterAutospacing="0"/>
        <w:ind w:left="1740"/>
        <w:jc w:val="both"/>
        <w:rPr>
          <w:rFonts w:ascii="Arial" w:hAnsi="Arial" w:cs="Arial"/>
          <w:sz w:val="22"/>
          <w:szCs w:val="22"/>
          <w:lang w:val="es-ES_tradnl"/>
        </w:rPr>
      </w:pPr>
      <w:r w:rsidRPr="00CF1B34">
        <w:rPr>
          <w:rStyle w:val="Textoennegrita"/>
          <w:rFonts w:ascii="Arial" w:hAnsi="Arial" w:cs="Arial"/>
          <w:sz w:val="22"/>
          <w:szCs w:val="22"/>
          <w:lang w:val="es-ES_tradnl"/>
        </w:rPr>
        <w:t>Subrogación de acreedor</w:t>
      </w:r>
      <w:r w:rsidRPr="00CF1B34">
        <w:rPr>
          <w:rFonts w:ascii="Arial" w:hAnsi="Arial" w:cs="Arial"/>
          <w:sz w:val="22"/>
          <w:szCs w:val="22"/>
          <w:lang w:val="es-ES_tradnl"/>
        </w:rPr>
        <w:t xml:space="preserve">, que normalmente suele consistir en un cambio de banco cuando el titular de la hipoteca lo decida, bien porque el nuevo banco ofrezca mejores condiciones (reducir el interés, las comisiones o vinculaciones, </w:t>
      </w:r>
      <w:r w:rsidRPr="00CF1B34">
        <w:rPr>
          <w:rFonts w:ascii="Arial" w:hAnsi="Arial" w:cs="Arial"/>
          <w:sz w:val="22"/>
          <w:szCs w:val="22"/>
          <w:lang w:val="es-ES_tradnl"/>
        </w:rPr>
        <w:lastRenderedPageBreak/>
        <w:t>eliminar cláusulas abusivas, obtener plazos de amortización más interesantes, pasarse del tipo variable al fijo o viceversa…); o bien porque simplemente no esté a gusto con su entidad.</w:t>
      </w:r>
    </w:p>
    <w:p w14:paraId="4F757E0B" w14:textId="03422C1D" w:rsidR="00612FED" w:rsidRPr="00CF1B34" w:rsidRDefault="00612FED" w:rsidP="004F7A62">
      <w:pPr>
        <w:pStyle w:val="listitem"/>
        <w:numPr>
          <w:ilvl w:val="1"/>
          <w:numId w:val="55"/>
        </w:numPr>
        <w:spacing w:after="240" w:afterAutospacing="0"/>
        <w:ind w:left="1740"/>
        <w:jc w:val="both"/>
        <w:rPr>
          <w:rFonts w:ascii="Arial" w:hAnsi="Arial" w:cs="Arial"/>
          <w:sz w:val="22"/>
          <w:szCs w:val="22"/>
          <w:lang w:val="es-ES_tradnl"/>
        </w:rPr>
      </w:pPr>
      <w:r w:rsidRPr="00CF1B34">
        <w:rPr>
          <w:rFonts w:ascii="Arial" w:hAnsi="Arial" w:cs="Arial"/>
          <w:sz w:val="22"/>
          <w:szCs w:val="22"/>
          <w:lang w:val="es-ES_tradnl"/>
        </w:rPr>
        <w:t>Otra opción alternativa a subrogar es </w:t>
      </w:r>
      <w:r w:rsidRPr="00CF1B34">
        <w:rPr>
          <w:rStyle w:val="Textoennegrita"/>
          <w:rFonts w:ascii="Arial" w:hAnsi="Arial" w:cs="Arial"/>
          <w:sz w:val="22"/>
          <w:szCs w:val="22"/>
          <w:lang w:val="es-ES_tradnl"/>
        </w:rPr>
        <w:t>contratar un nuevo préstamo hipotecario</w:t>
      </w:r>
      <w:r w:rsidR="004F4050">
        <w:rPr>
          <w:rFonts w:ascii="Arial" w:hAnsi="Arial" w:cs="Arial"/>
          <w:sz w:val="22"/>
          <w:szCs w:val="22"/>
          <w:lang w:val="es-ES_tradnl"/>
        </w:rPr>
        <w:t xml:space="preserve"> </w:t>
      </w:r>
      <w:r w:rsidRPr="00CF1B34">
        <w:rPr>
          <w:rFonts w:ascii="Arial" w:hAnsi="Arial" w:cs="Arial"/>
          <w:sz w:val="22"/>
          <w:szCs w:val="22"/>
          <w:lang w:val="es-ES_tradnl"/>
        </w:rPr>
        <w:t>con condiciones más favorables, e incluso con otro banco. Pero cuidado, porque lo normal es que los gastos asociados a la cancelación sean mayores que los de subrogación.</w:t>
      </w:r>
    </w:p>
    <w:p w14:paraId="69713A12" w14:textId="77777777" w:rsidR="00612FED" w:rsidRPr="00CF1B34" w:rsidRDefault="00612FED" w:rsidP="0005494D">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cualquier caso, antes de subrogar es aconsejable que nos informemos bien de la oferta del mercado; un simulador de hipotecas será una buena opción.</w:t>
      </w:r>
    </w:p>
    <w:p w14:paraId="37CDA8B8" w14:textId="77777777" w:rsidR="00612FED" w:rsidRPr="00CF1B34" w:rsidRDefault="00612FED" w:rsidP="0005494D">
      <w:pPr>
        <w:pStyle w:val="Ttulo2"/>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Diferencias entre la subrogación hipotecaria y la cancelación</w:t>
      </w:r>
    </w:p>
    <w:p w14:paraId="5540A324" w14:textId="2BBF7698" w:rsidR="008B5C17" w:rsidRPr="00CF1B34" w:rsidRDefault="00612FED" w:rsidP="0005494D">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subrogación se diferencia de la cancelación en que la primera mantiene el crédito, aunque varía el tipo de interés o la duración. El resto de condiciones permanecen, aunque algunas entidades permitan añadir capital de financiación adicional.</w:t>
      </w:r>
    </w:p>
    <w:p w14:paraId="0558168C" w14:textId="77777777" w:rsidR="00612FED" w:rsidRPr="00CF1B34" w:rsidRDefault="00612FED" w:rsidP="0005494D">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sz w:val="22"/>
          <w:szCs w:val="22"/>
          <w:lang w:val="es-ES_tradnl"/>
        </w:rPr>
        <w:t>En cambio, la cancelación implica un nuevo préstamo y la negociación de todos sus apartados. Por este motivo, la recomendación será subrogar antes que cancelar, sobretodo en los primeros años del préstamo, que es cuando los intereses son mayores que la amortización.</w:t>
      </w:r>
    </w:p>
    <w:p w14:paraId="7A64E610" w14:textId="6E747718" w:rsidR="00CB66B4" w:rsidRDefault="00CB66B4"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Subsidio de desempleo</w:t>
      </w:r>
    </w:p>
    <w:p w14:paraId="6F704CAD" w14:textId="6B9E6405" w:rsidR="0005494D" w:rsidRPr="0005494D" w:rsidRDefault="0005494D" w:rsidP="0005494D">
      <w:pPr>
        <w:ind w:left="708"/>
        <w:rPr>
          <w:sz w:val="22"/>
          <w:szCs w:val="22"/>
        </w:rPr>
      </w:pPr>
      <w:r w:rsidRPr="0005494D">
        <w:rPr>
          <w:rFonts w:ascii="Arial" w:hAnsi="Arial" w:cs="Arial"/>
          <w:color w:val="474747"/>
          <w:sz w:val="22"/>
          <w:szCs w:val="22"/>
          <w:shd w:val="clear" w:color="auto" w:fill="FFFFFF"/>
        </w:rPr>
        <w:t xml:space="preserve">El subsidio por desempleo </w:t>
      </w:r>
      <w:r w:rsidRPr="0005494D">
        <w:rPr>
          <w:rFonts w:ascii="Arial" w:hAnsi="Arial" w:cs="Arial"/>
          <w:color w:val="040C28"/>
          <w:sz w:val="22"/>
          <w:szCs w:val="22"/>
          <w:shd w:val="clear" w:color="auto" w:fill="D3E3FD"/>
        </w:rPr>
        <w:t>se obtiene cuando se carece de rentas de cualquier naturaleza superior, en cómputo mensual, al 75 por ciento del Salario Mínimo Interprofesional, excluida las pagas extraordinarias</w:t>
      </w:r>
      <w:r w:rsidRPr="0005494D">
        <w:rPr>
          <w:rFonts w:ascii="Arial" w:hAnsi="Arial" w:cs="Arial"/>
          <w:color w:val="474747"/>
          <w:sz w:val="22"/>
          <w:szCs w:val="22"/>
          <w:shd w:val="clear" w:color="auto" w:fill="FFFFFF"/>
        </w:rPr>
        <w:t>.</w:t>
      </w:r>
    </w:p>
    <w:p w14:paraId="7AE049B1" w14:textId="5A7D7653" w:rsidR="0005494D" w:rsidRPr="0005494D" w:rsidRDefault="0005494D" w:rsidP="0005494D">
      <w:pPr>
        <w:ind w:left="708"/>
        <w:rPr>
          <w:sz w:val="22"/>
          <w:szCs w:val="22"/>
        </w:rPr>
      </w:pPr>
      <w:r w:rsidRPr="0005494D">
        <w:rPr>
          <w:rFonts w:ascii="Arial" w:hAnsi="Arial" w:cs="Arial"/>
          <w:color w:val="474747"/>
          <w:sz w:val="22"/>
          <w:szCs w:val="22"/>
          <w:shd w:val="clear" w:color="auto" w:fill="FFFFFF"/>
        </w:rPr>
        <w:t xml:space="preserve">Las cuantías que se podrán percibir se establecerán, por tanto, de la siguiente manera en tres tramos: </w:t>
      </w:r>
      <w:r w:rsidRPr="0005494D">
        <w:rPr>
          <w:rFonts w:ascii="Arial" w:hAnsi="Arial" w:cs="Arial"/>
          <w:color w:val="040C28"/>
          <w:sz w:val="22"/>
          <w:szCs w:val="22"/>
          <w:shd w:val="clear" w:color="auto" w:fill="D3E3FD"/>
        </w:rPr>
        <w:t>6 primeros meses: 95% IPREM (570 euros, con el IPREM actual)</w:t>
      </w:r>
      <w:r w:rsidRPr="0005494D">
        <w:rPr>
          <w:rFonts w:ascii="Arial" w:hAnsi="Arial" w:cs="Arial"/>
          <w:color w:val="474747"/>
          <w:sz w:val="22"/>
          <w:szCs w:val="22"/>
          <w:shd w:val="clear" w:color="auto" w:fill="FFFFFF"/>
        </w:rPr>
        <w:t> </w:t>
      </w:r>
      <w:r w:rsidRPr="0005494D">
        <w:rPr>
          <w:rFonts w:ascii="Arial" w:hAnsi="Arial" w:cs="Arial"/>
          <w:color w:val="040C28"/>
          <w:sz w:val="22"/>
          <w:szCs w:val="22"/>
          <w:shd w:val="clear" w:color="auto" w:fill="D3E3FD"/>
        </w:rPr>
        <w:t>6 meses siguientes: 90% IPREM (540 euros)</w:t>
      </w:r>
      <w:r w:rsidRPr="0005494D">
        <w:rPr>
          <w:rFonts w:ascii="Arial" w:hAnsi="Arial" w:cs="Arial"/>
          <w:color w:val="474747"/>
          <w:sz w:val="22"/>
          <w:szCs w:val="22"/>
          <w:shd w:val="clear" w:color="auto" w:fill="FFFFFF"/>
        </w:rPr>
        <w:t> </w:t>
      </w:r>
      <w:r w:rsidRPr="0005494D">
        <w:rPr>
          <w:rFonts w:ascii="Arial" w:hAnsi="Arial" w:cs="Arial"/>
          <w:color w:val="040C28"/>
          <w:sz w:val="22"/>
          <w:szCs w:val="22"/>
          <w:shd w:val="clear" w:color="auto" w:fill="D3E3FD"/>
        </w:rPr>
        <w:t>resto del período: 80% IPREM (480 euros)</w:t>
      </w:r>
    </w:p>
    <w:p w14:paraId="25EDB130" w14:textId="03F4059D" w:rsidR="0005494D" w:rsidRPr="00CF1B34" w:rsidRDefault="0005494D" w:rsidP="0005494D">
      <w:pPr>
        <w:pBdr>
          <w:bottom w:val="dotted" w:sz="12" w:space="12" w:color="666666"/>
        </w:pBdr>
        <w:spacing w:after="240"/>
        <w:ind w:left="708"/>
        <w:jc w:val="both"/>
        <w:rPr>
          <w:rFonts w:ascii="Arial" w:hAnsi="Arial" w:cs="Arial"/>
          <w:color w:val="212529"/>
          <w:sz w:val="22"/>
          <w:szCs w:val="22"/>
          <w:lang w:val="es-ES_tradnl"/>
        </w:rPr>
      </w:pPr>
      <w:r w:rsidRPr="0005494D">
        <w:rPr>
          <w:rFonts w:ascii="Arial" w:hAnsi="Arial" w:cs="Arial"/>
          <w:color w:val="474747"/>
          <w:sz w:val="22"/>
          <w:szCs w:val="22"/>
          <w:shd w:val="clear" w:color="auto" w:fill="FFFFFF"/>
        </w:rPr>
        <w:t>La principal diferencia entre subsidio y prestación es la cotización. </w:t>
      </w:r>
      <w:r w:rsidRPr="0005494D">
        <w:rPr>
          <w:rFonts w:ascii="Arial" w:hAnsi="Arial" w:cs="Arial"/>
          <w:color w:val="040C28"/>
          <w:sz w:val="22"/>
          <w:szCs w:val="22"/>
          <w:shd w:val="clear" w:color="auto" w:fill="D3E3FD"/>
        </w:rPr>
        <w:t>Mientras</w:t>
      </w:r>
      <w:r>
        <w:rPr>
          <w:rFonts w:ascii="Arial" w:hAnsi="Arial" w:cs="Arial"/>
          <w:color w:val="040C28"/>
          <w:sz w:val="22"/>
          <w:szCs w:val="22"/>
          <w:shd w:val="clear" w:color="auto" w:fill="D3E3FD"/>
        </w:rPr>
        <w:t xml:space="preserve"> </w:t>
      </w:r>
      <w:r w:rsidRPr="0005494D">
        <w:rPr>
          <w:rFonts w:ascii="Arial" w:hAnsi="Arial" w:cs="Arial"/>
          <w:color w:val="040C28"/>
          <w:sz w:val="22"/>
          <w:szCs w:val="22"/>
          <w:shd w:val="clear" w:color="auto" w:fill="D3E3FD"/>
        </w:rPr>
        <w:t>que</w:t>
      </w:r>
      <w:r>
        <w:rPr>
          <w:rFonts w:ascii="Arial" w:hAnsi="Arial" w:cs="Arial"/>
          <w:color w:val="040C28"/>
          <w:sz w:val="22"/>
          <w:szCs w:val="22"/>
          <w:shd w:val="clear" w:color="auto" w:fill="D3E3FD"/>
        </w:rPr>
        <w:t xml:space="preserve"> </w:t>
      </w:r>
      <w:r w:rsidRPr="0005494D">
        <w:rPr>
          <w:rFonts w:ascii="Arial" w:hAnsi="Arial" w:cs="Arial"/>
          <w:color w:val="040C28"/>
          <w:sz w:val="22"/>
          <w:szCs w:val="22"/>
          <w:shd w:val="clear" w:color="auto" w:fill="D3E3FD"/>
        </w:rPr>
        <w:t>para acceder al paro es necesario contar con 360 días cotizados, en los subsidios por desempleo no lo es</w:t>
      </w:r>
      <w:r>
        <w:rPr>
          <w:rFonts w:ascii="Arial" w:hAnsi="Arial" w:cs="Arial"/>
          <w:color w:val="040C28"/>
          <w:sz w:val="22"/>
          <w:szCs w:val="22"/>
          <w:shd w:val="clear" w:color="auto" w:fill="D3E3FD"/>
        </w:rPr>
        <w:t>.</w:t>
      </w:r>
    </w:p>
    <w:p w14:paraId="7CBD269C" w14:textId="687EDE9C" w:rsidR="008B5C17" w:rsidRPr="00CF1B34" w:rsidRDefault="008B5C1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Superávit</w:t>
      </w:r>
    </w:p>
    <w:p w14:paraId="5E9D4AF8" w14:textId="53400881" w:rsidR="004F4050" w:rsidRPr="00CF1B34" w:rsidRDefault="008B5C17" w:rsidP="0005494D">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Opuesto a déficit.</w:t>
      </w:r>
      <w:r w:rsidR="004F4050">
        <w:rPr>
          <w:rFonts w:ascii="Arial" w:hAnsi="Arial" w:cs="Arial"/>
          <w:color w:val="000000" w:themeColor="text1"/>
          <w:sz w:val="22"/>
          <w:szCs w:val="22"/>
          <w:lang w:val="es-ES_tradnl"/>
        </w:rPr>
        <w:t xml:space="preserve"> </w:t>
      </w:r>
      <w:r w:rsidR="004F4050">
        <w:rPr>
          <w:rFonts w:ascii="Arial" w:hAnsi="Arial" w:cs="Arial"/>
          <w:color w:val="1F1F1F"/>
          <w:sz w:val="21"/>
          <w:szCs w:val="21"/>
          <w:shd w:val="clear" w:color="auto" w:fill="FFFFFF"/>
        </w:rPr>
        <w:t>En el comercio, exceso del haber o caudal sobre el debe u</w:t>
      </w:r>
      <w:r w:rsidR="0005494D">
        <w:rPr>
          <w:rFonts w:ascii="Arial" w:hAnsi="Arial" w:cs="Arial"/>
          <w:color w:val="1F1F1F"/>
          <w:sz w:val="21"/>
          <w:szCs w:val="21"/>
          <w:shd w:val="clear" w:color="auto" w:fill="FFFFFF"/>
        </w:rPr>
        <w:t xml:space="preserve"> </w:t>
      </w:r>
      <w:r w:rsidR="004F4050">
        <w:rPr>
          <w:rFonts w:ascii="Arial" w:hAnsi="Arial" w:cs="Arial"/>
          <w:color w:val="1F1F1F"/>
          <w:sz w:val="21"/>
          <w:szCs w:val="21"/>
          <w:shd w:val="clear" w:color="auto" w:fill="FFFFFF"/>
        </w:rPr>
        <w:t>obligaciones de la caja. En la Administración pública, exceso de los ingresos sobre los gastos.</w:t>
      </w:r>
    </w:p>
    <w:p w14:paraId="757C17BE" w14:textId="38F10F04"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Suscripción</w:t>
      </w:r>
    </w:p>
    <w:p w14:paraId="34A7BB5A" w14:textId="41D9CB80" w:rsidR="00E21809" w:rsidRPr="00CF1B34" w:rsidRDefault="00E21809" w:rsidP="0005494D">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Es un compromiso de adquisición de valores en una emisión, en el mercado primario. También se emplea este término para hacer referencia a la compra de participaciones de un fondo de inversión. Ver</w:t>
      </w:r>
      <w:r w:rsidR="008B5C17" w:rsidRPr="00CF1B34">
        <w:rPr>
          <w:rFonts w:ascii="Arial" w:hAnsi="Arial" w:cs="Arial"/>
          <w:color w:val="212529"/>
          <w:sz w:val="22"/>
          <w:szCs w:val="22"/>
          <w:lang w:val="es-ES_tradnl"/>
        </w:rPr>
        <w:t xml:space="preserve"> </w:t>
      </w:r>
      <w:hyperlink r:id="rId347" w:tgtFrame="_self" w:history="1">
        <w:r w:rsidRPr="00CF1B34">
          <w:rPr>
            <w:rFonts w:ascii="Arial" w:hAnsi="Arial" w:cs="Arial"/>
            <w:b/>
            <w:bCs/>
            <w:color w:val="2F5496" w:themeColor="accent1" w:themeShade="BF"/>
            <w:sz w:val="22"/>
            <w:szCs w:val="22"/>
            <w:u w:val="single"/>
            <w:lang w:val="es-ES_tradnl"/>
          </w:rPr>
          <w:t>Período de suscripción</w:t>
        </w:r>
      </w:hyperlink>
      <w:r w:rsidR="008B5C17" w:rsidRPr="00CF1B34">
        <w:rPr>
          <w:rFonts w:ascii="Arial" w:hAnsi="Arial" w:cs="Arial"/>
          <w:b/>
          <w:bCs/>
          <w:color w:val="AD2144"/>
          <w:sz w:val="22"/>
          <w:szCs w:val="22"/>
          <w:u w:val="single"/>
          <w:lang w:val="es-ES_tradnl"/>
        </w:rPr>
        <w:t xml:space="preserve"> </w:t>
      </w:r>
      <w:r w:rsidRPr="00CF1B34">
        <w:rPr>
          <w:rFonts w:ascii="Arial" w:hAnsi="Arial" w:cs="Arial"/>
          <w:color w:val="212529"/>
          <w:sz w:val="22"/>
          <w:szCs w:val="22"/>
          <w:lang w:val="es-ES_tradnl"/>
        </w:rPr>
        <w:t>y</w:t>
      </w:r>
      <w:r w:rsidR="008B5C17" w:rsidRPr="00CF1B34">
        <w:rPr>
          <w:rFonts w:ascii="Arial" w:hAnsi="Arial" w:cs="Arial"/>
          <w:color w:val="212529"/>
          <w:sz w:val="22"/>
          <w:szCs w:val="22"/>
          <w:lang w:val="es-ES_tradnl"/>
        </w:rPr>
        <w:t xml:space="preserve">. </w:t>
      </w:r>
      <w:hyperlink r:id="rId348" w:tgtFrame="_self" w:history="1">
        <w:r w:rsidRPr="00CF1B34">
          <w:rPr>
            <w:rFonts w:ascii="Arial" w:hAnsi="Arial" w:cs="Arial"/>
            <w:b/>
            <w:bCs/>
            <w:color w:val="2F5496" w:themeColor="accent1" w:themeShade="BF"/>
            <w:sz w:val="22"/>
            <w:szCs w:val="22"/>
            <w:u w:val="single"/>
            <w:lang w:val="es-ES_tradnl"/>
          </w:rPr>
          <w:t>Mercado primario</w:t>
        </w:r>
      </w:hyperlink>
      <w:r w:rsidRPr="00CF1B34">
        <w:rPr>
          <w:rFonts w:ascii="Arial" w:hAnsi="Arial" w:cs="Arial"/>
          <w:color w:val="212529"/>
          <w:sz w:val="22"/>
          <w:szCs w:val="22"/>
          <w:lang w:val="es-ES_tradnl"/>
        </w:rPr>
        <w:t>.</w:t>
      </w:r>
    </w:p>
    <w:p w14:paraId="21CB31C1"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Suspensión de pagos</w:t>
      </w:r>
    </w:p>
    <w:p w14:paraId="0B408C96" w14:textId="77777777" w:rsidR="00E21809" w:rsidRPr="00CF1B34" w:rsidRDefault="00E21809" w:rsidP="0005494D">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Situación que ha de ser declarada judicialmente, por la que se reconoce que una empresa no dispone de liquidez para hacer frente de forma inmediata a sus obligaciones de pago, aunque sí tiene activos suficientes para responder de sus deudas (cabe la posibilidad de que la venta de activos o el desarrollo normal de la actividad permita superar la situación transitoria de iliquidez). Si la situación patrimonial de la empresa es tal que sus bienes y </w:t>
      </w:r>
      <w:r w:rsidRPr="00CF1B34">
        <w:rPr>
          <w:rFonts w:ascii="Arial" w:hAnsi="Arial" w:cs="Arial"/>
          <w:color w:val="212529"/>
          <w:sz w:val="22"/>
          <w:szCs w:val="22"/>
          <w:lang w:val="es-ES_tradnl"/>
        </w:rPr>
        <w:lastRenderedPageBreak/>
        <w:t>derechos de crédito son insuficientes para responder de sus compromisos de pago, sería necesario instar la declaración de quiebra.</w:t>
      </w:r>
    </w:p>
    <w:p w14:paraId="465E174E"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Swap (o permuta financiera)</w:t>
      </w:r>
    </w:p>
    <w:p w14:paraId="22B0E9BF" w14:textId="77777777" w:rsidR="00E21809" w:rsidRPr="00CF1B34" w:rsidRDefault="00E21809" w:rsidP="0005494D">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Instrumento derivado por el que dos partes acuerdan intercambiar dos corrientes de pagos en la misma moneda (swap de tipo de interés) o diferentes monedas (swap de divisas). Dichas corrientes pueden ser ciertas o no en el momento del </w:t>
      </w:r>
      <w:proofErr w:type="gramStart"/>
      <w:r w:rsidRPr="00CF1B34">
        <w:rPr>
          <w:rFonts w:ascii="Arial" w:hAnsi="Arial" w:cs="Arial"/>
          <w:color w:val="212529"/>
          <w:sz w:val="22"/>
          <w:szCs w:val="22"/>
          <w:lang w:val="es-ES_tradnl"/>
        </w:rPr>
        <w:t>acuerdo</w:t>
      </w:r>
      <w:proofErr w:type="gramEnd"/>
      <w:r w:rsidRPr="00CF1B34">
        <w:rPr>
          <w:rFonts w:ascii="Arial" w:hAnsi="Arial" w:cs="Arial"/>
          <w:color w:val="212529"/>
          <w:sz w:val="22"/>
          <w:szCs w:val="22"/>
          <w:lang w:val="es-ES_tradnl"/>
        </w:rPr>
        <w:t xml:space="preserve"> pero en todo caso en dicho acuerdo deben quedar establecidas las bases sobre las que serán calculadas.</w:t>
      </w:r>
    </w:p>
    <w:p w14:paraId="78041921"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Swap de divisas</w:t>
      </w:r>
    </w:p>
    <w:p w14:paraId="5044F189" w14:textId="77777777" w:rsidR="00E21809" w:rsidRPr="00CF1B34" w:rsidRDefault="00E21809" w:rsidP="0005494D">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Swap por el que dos partes acuerdan intercambiar dos corrientes de pagos en diferentes monedas.</w:t>
      </w:r>
    </w:p>
    <w:p w14:paraId="7FF2F9FE" w14:textId="77777777" w:rsidR="00E21809" w:rsidRPr="00CF1B34" w:rsidRDefault="00E21809"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Swap de tipos de interés (IRS)</w:t>
      </w:r>
    </w:p>
    <w:p w14:paraId="276D94B0" w14:textId="77777777" w:rsidR="00E21809" w:rsidRPr="00CF1B34" w:rsidRDefault="00E21809" w:rsidP="0005494D">
      <w:pPr>
        <w:pBdr>
          <w:bottom w:val="dotted" w:sz="12" w:space="12" w:color="666666"/>
        </w:pBdr>
        <w:spacing w:after="240"/>
        <w:ind w:left="708"/>
        <w:jc w:val="both"/>
        <w:rPr>
          <w:rFonts w:ascii="Arial" w:hAnsi="Arial" w:cs="Arial"/>
          <w:color w:val="212529"/>
          <w:sz w:val="22"/>
          <w:szCs w:val="22"/>
          <w:lang w:val="es-ES_tradnl"/>
        </w:rPr>
      </w:pPr>
      <w:r w:rsidRPr="00CF1B34">
        <w:rPr>
          <w:rFonts w:ascii="Arial" w:hAnsi="Arial" w:cs="Arial"/>
          <w:color w:val="212529"/>
          <w:sz w:val="22"/>
          <w:szCs w:val="22"/>
          <w:lang w:val="es-ES_tradnl"/>
        </w:rPr>
        <w:t>Acuerdo entre dos partes para intercambiar los flujos de pagos en concepto de intereses derivados de una operación financiera sobre un importe principal teórico y durante un periodo de tiempo determinado.</w:t>
      </w:r>
    </w:p>
    <w:p w14:paraId="5B2CA34F" w14:textId="77777777" w:rsidR="00612FED" w:rsidRPr="00CF1B34" w:rsidRDefault="00612FED"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SWIFT</w:t>
      </w:r>
    </w:p>
    <w:p w14:paraId="5A81F387" w14:textId="24842A8A" w:rsidR="00612FED" w:rsidRPr="00CF1B34" w:rsidRDefault="00612FED" w:rsidP="004F4050">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código</w:t>
      </w:r>
      <w:r w:rsidR="004F4050">
        <w:rPr>
          <w:rFonts w:ascii="Arial" w:hAnsi="Arial" w:cs="Arial"/>
          <w:sz w:val="22"/>
          <w:szCs w:val="22"/>
          <w:lang w:val="es-ES_tradnl"/>
        </w:rPr>
        <w:t xml:space="preserve"> </w:t>
      </w:r>
      <w:r w:rsidRPr="00CF1B34">
        <w:rPr>
          <w:rFonts w:ascii="Arial" w:hAnsi="Arial" w:cs="Arial"/>
          <w:b/>
          <w:bCs/>
          <w:sz w:val="22"/>
          <w:szCs w:val="22"/>
          <w:lang w:val="es-ES_tradnl"/>
        </w:rPr>
        <w:t>SWIFT</w:t>
      </w:r>
      <w:r w:rsidR="004F4050">
        <w:rPr>
          <w:rFonts w:ascii="Arial" w:hAnsi="Arial" w:cs="Arial"/>
          <w:sz w:val="22"/>
          <w:szCs w:val="22"/>
          <w:lang w:val="es-ES_tradnl"/>
        </w:rPr>
        <w:t xml:space="preserve"> </w:t>
      </w:r>
      <w:r w:rsidRPr="00CF1B34">
        <w:rPr>
          <w:rFonts w:ascii="Arial" w:hAnsi="Arial" w:cs="Arial"/>
          <w:sz w:val="22"/>
          <w:szCs w:val="22"/>
          <w:lang w:val="es-ES_tradnl"/>
        </w:rPr>
        <w:t>(Society for Worldwide Interbank Financial Telecommunication) también conocido como código</w:t>
      </w:r>
      <w:r w:rsidR="004F4050">
        <w:rPr>
          <w:rFonts w:ascii="Arial" w:hAnsi="Arial" w:cs="Arial"/>
          <w:sz w:val="22"/>
          <w:szCs w:val="22"/>
          <w:lang w:val="es-ES_tradnl"/>
        </w:rPr>
        <w:t xml:space="preserve"> </w:t>
      </w:r>
      <w:r w:rsidRPr="00CF1B34">
        <w:rPr>
          <w:rFonts w:ascii="Arial" w:hAnsi="Arial" w:cs="Arial"/>
          <w:b/>
          <w:bCs/>
          <w:sz w:val="22"/>
          <w:szCs w:val="22"/>
          <w:lang w:val="es-ES_tradnl"/>
        </w:rPr>
        <w:t>BIC</w:t>
      </w:r>
      <w:r w:rsidR="004F4050">
        <w:rPr>
          <w:rFonts w:ascii="Arial" w:hAnsi="Arial" w:cs="Arial"/>
          <w:sz w:val="22"/>
          <w:szCs w:val="22"/>
          <w:lang w:val="es-ES_tradnl"/>
        </w:rPr>
        <w:t xml:space="preserve"> </w:t>
      </w:r>
      <w:r w:rsidRPr="00CF1B34">
        <w:rPr>
          <w:rFonts w:ascii="Arial" w:hAnsi="Arial" w:cs="Arial"/>
          <w:sz w:val="22"/>
          <w:szCs w:val="22"/>
          <w:lang w:val="es-ES_tradnl"/>
        </w:rPr>
        <w:t>(Bank Identifier Code) es un Código alfanumérico compuesto por entre 8 y 11 dígitos:</w:t>
      </w:r>
    </w:p>
    <w:p w14:paraId="4668561D" w14:textId="77777777" w:rsidR="00612FED" w:rsidRPr="00CF1B34" w:rsidRDefault="00612FED" w:rsidP="004F7A62">
      <w:pPr>
        <w:numPr>
          <w:ilvl w:val="0"/>
          <w:numId w:val="56"/>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Código de la entidad bancaria (4 dígitos)</w:t>
      </w:r>
    </w:p>
    <w:p w14:paraId="2BBC68BC" w14:textId="77777777" w:rsidR="00612FED" w:rsidRPr="00CF1B34" w:rsidRDefault="00612FED" w:rsidP="004F7A62">
      <w:pPr>
        <w:numPr>
          <w:ilvl w:val="0"/>
          <w:numId w:val="56"/>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Código del país (2 dígitos)</w:t>
      </w:r>
    </w:p>
    <w:p w14:paraId="760AB1BC" w14:textId="77777777" w:rsidR="00612FED" w:rsidRPr="00CF1B34" w:rsidRDefault="00612FED" w:rsidP="004F7A62">
      <w:pPr>
        <w:numPr>
          <w:ilvl w:val="0"/>
          <w:numId w:val="56"/>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Código de la localidad de la oficina (2 dígitos)</w:t>
      </w:r>
    </w:p>
    <w:p w14:paraId="13517767" w14:textId="77777777" w:rsidR="00612FED" w:rsidRPr="00CF1B34" w:rsidRDefault="00612FED" w:rsidP="004F7A62">
      <w:pPr>
        <w:numPr>
          <w:ilvl w:val="0"/>
          <w:numId w:val="56"/>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Código de la propia oficina (3 dígitos). Esta parte del código es opcional. En caso de que no exista se da por hecho que la cuenta forma parte de la entidad central.</w:t>
      </w:r>
    </w:p>
    <w:p w14:paraId="141E3F51" w14:textId="2F753941" w:rsidR="00612FED" w:rsidRPr="00CF1B34" w:rsidRDefault="00612FED" w:rsidP="004F4050">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código SWIFT es necesario para realizar un pago o transferencia a una</w:t>
      </w:r>
      <w:r w:rsidR="004F4050">
        <w:rPr>
          <w:rFonts w:ascii="Arial" w:hAnsi="Arial" w:cs="Arial"/>
          <w:sz w:val="22"/>
          <w:szCs w:val="22"/>
          <w:lang w:val="es-ES_tradnl"/>
        </w:rPr>
        <w:t xml:space="preserve"> </w:t>
      </w:r>
      <w:hyperlink r:id="rId349" w:history="1">
        <w:r w:rsidRPr="00CF1B34">
          <w:rPr>
            <w:rFonts w:ascii="Arial" w:hAnsi="Arial" w:cs="Arial"/>
            <w:b/>
            <w:bCs/>
            <w:color w:val="BD4313"/>
            <w:sz w:val="22"/>
            <w:szCs w:val="22"/>
            <w:u w:val="single"/>
            <w:lang w:val="es-ES_tradnl"/>
          </w:rPr>
          <w:t>cuenta</w:t>
        </w:r>
      </w:hyperlink>
      <w:r w:rsidR="004F4050">
        <w:rPr>
          <w:rFonts w:ascii="Arial" w:hAnsi="Arial" w:cs="Arial"/>
          <w:sz w:val="22"/>
          <w:szCs w:val="22"/>
          <w:lang w:val="es-ES_tradnl"/>
        </w:rPr>
        <w:t xml:space="preserve"> </w:t>
      </w:r>
      <w:r w:rsidRPr="00CF1B34">
        <w:rPr>
          <w:rFonts w:ascii="Arial" w:hAnsi="Arial" w:cs="Arial"/>
          <w:sz w:val="22"/>
          <w:szCs w:val="22"/>
          <w:lang w:val="es-ES_tradnl"/>
        </w:rPr>
        <w:t>que se encuentre en otro país y fue creado con el objetivo de reducir errores, aumentar la seguridad, evitar costes adicionales y acortar los tiempos de espera en las transferencias internacionales.</w:t>
      </w:r>
    </w:p>
    <w:p w14:paraId="676FC211" w14:textId="77777777" w:rsidR="00612FED" w:rsidRPr="00CF1B34" w:rsidRDefault="00612FED" w:rsidP="004F4050">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Habitualmente podemos comprobar este código SWIFT en la web o aplicación de banca digital de nuestra entidad.</w:t>
      </w:r>
    </w:p>
    <w:p w14:paraId="18BE5CF9" w14:textId="77777777" w:rsidR="004F5620" w:rsidRPr="00CF1B34" w:rsidRDefault="00612FED"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 la hora de realizar una transferencia internacional, además de conocer el código SWIFT de la cuenta de destino y escoger la moneda de la transferencia siempre que se exista un cambio de divisa. Además, en caso de que la operación tenga algún tipo de comisión será necesario también seleccionar el modo de repercusión de los gastos y las comisiones.</w:t>
      </w:r>
    </w:p>
    <w:p w14:paraId="1F904EC6" w14:textId="6785C019" w:rsidR="00612FED" w:rsidRPr="00CF1B34" w:rsidRDefault="00612FED" w:rsidP="0005621A">
      <w:pPr>
        <w:jc w:val="both"/>
        <w:rPr>
          <w:rFonts w:ascii="Arial" w:hAnsi="Arial" w:cs="Arial"/>
          <w:sz w:val="22"/>
          <w:szCs w:val="22"/>
          <w:lang w:val="es-ES_tradnl"/>
        </w:rPr>
      </w:pPr>
    </w:p>
    <w:p w14:paraId="11277699" w14:textId="77777777" w:rsidR="00426BE4" w:rsidRPr="00CF1B34" w:rsidRDefault="00426BE4" w:rsidP="0005621A">
      <w:pPr>
        <w:jc w:val="both"/>
        <w:rPr>
          <w:rFonts w:ascii="Arial" w:hAnsi="Arial" w:cs="Arial"/>
          <w:sz w:val="22"/>
          <w:szCs w:val="22"/>
          <w:lang w:val="es-ES_tradnl"/>
        </w:rPr>
      </w:pPr>
    </w:p>
    <w:p w14:paraId="27C6D4F3" w14:textId="31EDF0E4" w:rsidR="00A23A19" w:rsidRPr="00CF1B34" w:rsidRDefault="00E21809" w:rsidP="0005621A">
      <w:pPr>
        <w:jc w:val="both"/>
        <w:rPr>
          <w:rFonts w:ascii="Arial" w:hAnsi="Arial" w:cs="Arial"/>
          <w:b/>
          <w:bCs/>
          <w:color w:val="2F5496" w:themeColor="accent1" w:themeShade="BF"/>
          <w:sz w:val="32"/>
          <w:szCs w:val="32"/>
          <w:lang w:val="es-ES_tradnl"/>
        </w:rPr>
      </w:pPr>
      <w:r w:rsidRPr="00CF1B34">
        <w:rPr>
          <w:rFonts w:ascii="Arial" w:hAnsi="Arial" w:cs="Arial"/>
          <w:b/>
          <w:bCs/>
          <w:color w:val="2F5496" w:themeColor="accent1" w:themeShade="BF"/>
          <w:sz w:val="32"/>
          <w:szCs w:val="32"/>
          <w:lang w:val="es-ES_tradnl"/>
        </w:rPr>
        <w:lastRenderedPageBreak/>
        <w:t>T</w:t>
      </w:r>
    </w:p>
    <w:p w14:paraId="7C50C858" w14:textId="31FD7432" w:rsidR="00A23A19" w:rsidRPr="00CF1B34" w:rsidRDefault="00A23A19" w:rsidP="0005621A">
      <w:pPr>
        <w:jc w:val="both"/>
        <w:rPr>
          <w:rFonts w:ascii="Arial" w:hAnsi="Arial" w:cs="Arial"/>
          <w:sz w:val="22"/>
          <w:szCs w:val="22"/>
          <w:lang w:val="es-ES_tradnl"/>
        </w:rPr>
      </w:pPr>
    </w:p>
    <w:p w14:paraId="635F66DF" w14:textId="5DFA6881" w:rsidR="00426BE4" w:rsidRPr="00CF1B34" w:rsidRDefault="00426BE4" w:rsidP="0005621A">
      <w:pPr>
        <w:jc w:val="both"/>
        <w:rPr>
          <w:rFonts w:ascii="Arial" w:hAnsi="Arial" w:cs="Arial"/>
          <w:sz w:val="22"/>
          <w:szCs w:val="22"/>
          <w:lang w:val="es-ES_tradnl"/>
        </w:rPr>
      </w:pPr>
    </w:p>
    <w:p w14:paraId="6A88017D" w14:textId="10D6B22A" w:rsidR="00426BE4" w:rsidRPr="00CF1B34" w:rsidRDefault="00426BE4"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TAE</w:t>
      </w:r>
    </w:p>
    <w:p w14:paraId="2343E955" w14:textId="77777777" w:rsidR="0078016B" w:rsidRPr="00CF1B34" w:rsidRDefault="00426BE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Ver Tasa Anual Equivalente</w:t>
      </w:r>
    </w:p>
    <w:p w14:paraId="48631AC7" w14:textId="77777777" w:rsidR="00932D9E" w:rsidRDefault="00932D9E"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Tabla IRPF</w:t>
      </w:r>
    </w:p>
    <w:p w14:paraId="7FD08C32" w14:textId="77777777" w:rsidR="00932D9E" w:rsidRPr="00CF1B34" w:rsidRDefault="00932D9E" w:rsidP="00932D9E">
      <w:pPr>
        <w:pBdr>
          <w:bottom w:val="dotted" w:sz="12" w:space="12" w:color="666666"/>
        </w:pBdr>
        <w:spacing w:after="240"/>
        <w:ind w:left="720"/>
        <w:jc w:val="both"/>
        <w:rPr>
          <w:rFonts w:ascii="Arial" w:hAnsi="Arial" w:cs="Arial"/>
          <w:color w:val="212529"/>
          <w:sz w:val="22"/>
          <w:szCs w:val="22"/>
          <w:lang w:val="es-ES_tradnl"/>
        </w:rPr>
      </w:pPr>
      <w:r w:rsidRPr="00932D9E">
        <w:rPr>
          <w:rFonts w:ascii="Arial" w:hAnsi="Arial" w:cs="Arial"/>
          <w:color w:val="1F1F1F"/>
          <w:sz w:val="22"/>
          <w:szCs w:val="22"/>
          <w:shd w:val="clear" w:color="auto" w:fill="FFFFFF"/>
        </w:rPr>
        <w:t>A continuación, se detallan los tramos del </w:t>
      </w:r>
      <w:r w:rsidRPr="00932D9E">
        <w:rPr>
          <w:rFonts w:ascii="Arial" w:hAnsi="Arial" w:cs="Arial"/>
          <w:color w:val="040C28"/>
          <w:sz w:val="22"/>
          <w:szCs w:val="22"/>
        </w:rPr>
        <w:t>IRPF</w:t>
      </w:r>
      <w:r w:rsidRPr="00932D9E">
        <w:rPr>
          <w:rFonts w:ascii="Arial" w:hAnsi="Arial" w:cs="Arial"/>
          <w:color w:val="1F1F1F"/>
          <w:sz w:val="22"/>
          <w:szCs w:val="22"/>
          <w:shd w:val="clear" w:color="auto" w:fill="FFFFFF"/>
        </w:rPr>
        <w:t> para </w:t>
      </w:r>
      <w:r w:rsidRPr="00932D9E">
        <w:rPr>
          <w:rFonts w:ascii="Arial" w:hAnsi="Arial" w:cs="Arial"/>
          <w:color w:val="040C28"/>
          <w:sz w:val="22"/>
          <w:szCs w:val="22"/>
        </w:rPr>
        <w:t>2024</w:t>
      </w:r>
      <w:r w:rsidRPr="00932D9E">
        <w:rPr>
          <w:rFonts w:ascii="Arial" w:hAnsi="Arial" w:cs="Arial"/>
          <w:color w:val="1F1F1F"/>
          <w:sz w:val="22"/>
          <w:szCs w:val="22"/>
          <w:shd w:val="clear" w:color="auto" w:fill="FFFFFF"/>
        </w:rPr>
        <w:t>: Desde 0 a 12.450 euros: 9,5% (Tipo estatal), 9,5% (Tipo autonómico), Total 19%. Desde 12.450 a 20.200 euros: 12% (Tipo estatal), 12% (Tipo autonómico), Total 24%. Desde 20.200 a 35.200 euros: 15% (Tipo estatal), 15% (Tipo autonómico), Total 30%</w:t>
      </w:r>
    </w:p>
    <w:p w14:paraId="4EFB56AF" w14:textId="1D07189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Tablón de anuncios</w:t>
      </w:r>
    </w:p>
    <w:p w14:paraId="1B3948F3"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En el ámbito de los servicios financieros, hace referencia al medio de difusión de determinadas informaciones relevantes para los clientes: actividades del intermediario, tarifas de las operaciones más habituales, existencia y disponibilidad del folleto de tarifas y de los contratos tipo, mecanismos de reclamación y defensa de la clientela (servicios de atención al cliente y autoridades supervisoras), etc. De acuerdo con la normativa, esta información debe hacerse pública tanto en la sede social como en las oficinas de la entidad, y difundirse asimismo a través de Internet.</w:t>
      </w:r>
    </w:p>
    <w:p w14:paraId="04864E1B" w14:textId="77777777" w:rsidR="004F5620" w:rsidRPr="00CF1B34" w:rsidRDefault="004F5620"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Talonario</w:t>
      </w:r>
    </w:p>
    <w:p w14:paraId="2F6F1BE1" w14:textId="77777777" w:rsidR="004F5620" w:rsidRPr="00CF1B34" w:rsidRDefault="004F562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 talonario es un bloc que contiene talones. Entonces, ¿qué es un talón? Un talón bancario es un documento que un banco entrega a sus clientes para que estos lo utilicen como medio de pago frente a terceros.</w:t>
      </w:r>
    </w:p>
    <w:p w14:paraId="548D57CF" w14:textId="77777777" w:rsidR="004F5620" w:rsidRPr="00CF1B34" w:rsidRDefault="004F562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Aunque hoy día existen formas más actuales de realizar movimientos, el talón es un medio habitual entre pequeñas, medianas empresas y autónomos, ya que aporta liquidez inmediata y seguridad para el receptor, pues este cobrará la cantidad estipulada en el propio banco. El inconveniente es que habrá que hacerlo en la propia sucursal bancaria, no pudiendo ser cobrado a través de ninguna plataforma digital.</w:t>
      </w:r>
    </w:p>
    <w:p w14:paraId="787F16C4" w14:textId="77777777" w:rsidR="004F5620" w:rsidRPr="00CF1B34" w:rsidRDefault="004F562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talón presenta diferentes formatos. El más común es el talón personal, emitido por el propio banco, quien además se encargará de formalizar el abono; eso sí: siempre que el cliente lo haya rellenado con sus datos, el importe a pagar y su firma.</w:t>
      </w:r>
    </w:p>
    <w:p w14:paraId="3E99455B" w14:textId="77777777" w:rsidR="004F5620" w:rsidRPr="00CF1B34" w:rsidRDefault="004F562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Otra modalidad es el talón conformado, por el que la propia entidad avala la solvencia de su cliente. El talón conformado proporciona aun más garantía y rapidez de cobro ya que, en caso de no existir fondos en la cuenta del cliente, el banco simplemente denegaría la emisión.</w:t>
      </w:r>
    </w:p>
    <w:p w14:paraId="19067A1F" w14:textId="77777777" w:rsidR="004F5620" w:rsidRPr="00CF1B34" w:rsidRDefault="004F562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cambio, si el talón es bancario estará firmado por el propio banco, quien además se encargará de pagarlo. De todos los tipos, es el medio que más garantía ofrece: está avalado por el propio banco y sellado por este.</w:t>
      </w:r>
    </w:p>
    <w:p w14:paraId="2887A45F" w14:textId="77777777" w:rsidR="004F5620" w:rsidRPr="00CF1B34" w:rsidRDefault="004F562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 está el talón nominativo, cuyo único beneficiario será la persona física o jurídica que figure en él, no pudiendo ser cobrado por ninguna otra persona, a no ser que sea nominativo a la orden; en ese caso sí permitirá el cobro a un tercero (lo que se conoce como endoso). En cambio, si el talón es al portador, esto querrá decir que cualquiera que acuda al banco con él podrá cobrarlo, con todos los riesgos que esto supone: si el talón se extravía, cualquiera que lo encuentre recibirá el dinero.</w:t>
      </w:r>
    </w:p>
    <w:p w14:paraId="76B99152" w14:textId="77777777" w:rsidR="004F5620" w:rsidRPr="00CF1B34" w:rsidRDefault="004F562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 xml:space="preserve">Para reducir este riesgo, el cheque cruzado no podrá cobrarse en efectivo, y solo podrá ser abonado en cuenta; por </w:t>
      </w:r>
      <w:proofErr w:type="gramStart"/>
      <w:r w:rsidRPr="00CF1B34">
        <w:rPr>
          <w:rFonts w:ascii="Arial" w:hAnsi="Arial" w:cs="Arial"/>
          <w:sz w:val="22"/>
          <w:szCs w:val="22"/>
          <w:lang w:val="es-ES_tradnl"/>
        </w:rPr>
        <w:t>tanto</w:t>
      </w:r>
      <w:proofErr w:type="gramEnd"/>
      <w:r w:rsidRPr="00CF1B34">
        <w:rPr>
          <w:rFonts w:ascii="Arial" w:hAnsi="Arial" w:cs="Arial"/>
          <w:sz w:val="22"/>
          <w:szCs w:val="22"/>
          <w:lang w:val="es-ES_tradnl"/>
        </w:rPr>
        <w:t xml:space="preserve"> el cobrador siempre podrá ser identificado.</w:t>
      </w:r>
    </w:p>
    <w:p w14:paraId="4808FB90" w14:textId="77777777" w:rsidR="004F5620" w:rsidRPr="00CF1B34" w:rsidRDefault="004F5620"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sz w:val="22"/>
          <w:szCs w:val="22"/>
          <w:lang w:val="es-ES_tradnl"/>
        </w:rPr>
        <w:t>Diferencias entre un talón y un pagaré</w:t>
      </w:r>
    </w:p>
    <w:p w14:paraId="1BA7980F" w14:textId="77777777" w:rsidR="004F5620" w:rsidRPr="00CF1B34" w:rsidRDefault="004F562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pagaré es un documento que se entrega a una persona física o jurídica para abonarle una cantidad de dinero en un plazo. Aunque así parece lo mismo, tiene varias diferencias con respecto a un cheque.</w:t>
      </w:r>
    </w:p>
    <w:p w14:paraId="07813BA3" w14:textId="77777777" w:rsidR="004F5620" w:rsidRPr="00CF1B34" w:rsidRDefault="004F5620"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empezar, el talón no lleva un plazo de cobro asociado. En cambio, el pagaré refleja una fecha a partir de la cual se ejecutará el pago. Esto aporta aún más seguridad al beneficiario del pagaré, y además permite al emisor elegir un plazo de pago conveniente para él.</w:t>
      </w:r>
    </w:p>
    <w:p w14:paraId="5633A383" w14:textId="77777777" w:rsidR="004E69BA" w:rsidRPr="00CF1B34" w:rsidRDefault="004F5620"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Además, a diferencia del talón, el pagaré podrá estar respaldado por un tercero (que deberá reflejarse por escrito).</w:t>
      </w:r>
    </w:p>
    <w:p w14:paraId="1F2E2A1B"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Tarjeta de débito</w:t>
      </w:r>
    </w:p>
    <w:p w14:paraId="491213DE"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tarjeta de débito es una tarjeta de plástico o metal emitida por una entidad financiera o un banco, que nos permite realizar diferentes operaciones financieras.</w:t>
      </w:r>
    </w:p>
    <w:p w14:paraId="01A0FC51"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Entre las operaciones más frecuentes está el uso de la tarjeta de débito como medio de pago. A diferencia de otras tarjetas, al pagar con una tarjeta de débito, el cargo se realiza de manera directa en la cuenta corriente de la persona titular de la tarjeta y, también al contrario de lo que ocurre con las tarjetas de crédito, para poder realizar pagos con ella, es imprescindible contar con fondos suficientes en la cuenta asociada para hacer frente a la operación.</w:t>
      </w:r>
    </w:p>
    <w:p w14:paraId="17FC5DCF"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motivos de seguridad, es habitual que los bancos establezcan para la tarjeta un límite diario, semanal o mensual, tanto para su uso en comercios físicos u online, como para retiradas de efectivo en cajeros.</w:t>
      </w:r>
    </w:p>
    <w:p w14:paraId="47A79263" w14:textId="77777777" w:rsidR="004E69BA" w:rsidRPr="00CF1B34" w:rsidRDefault="004E69BA" w:rsidP="0005621A">
      <w:pPr>
        <w:spacing w:after="100" w:afterAutospacing="1"/>
        <w:ind w:left="495"/>
        <w:jc w:val="both"/>
        <w:outlineLvl w:val="1"/>
        <w:rPr>
          <w:rFonts w:ascii="Arial" w:hAnsi="Arial" w:cs="Arial"/>
          <w:sz w:val="22"/>
          <w:szCs w:val="22"/>
          <w:lang w:val="es-ES_tradnl"/>
        </w:rPr>
      </w:pPr>
      <w:r w:rsidRPr="00CF1B34">
        <w:rPr>
          <w:rFonts w:ascii="Arial" w:hAnsi="Arial" w:cs="Arial"/>
          <w:b/>
          <w:bCs/>
          <w:sz w:val="22"/>
          <w:szCs w:val="22"/>
          <w:lang w:val="es-ES_tradnl"/>
        </w:rPr>
        <w:t>¿Cuáles son las diferencias entre las tarjetas de débito y tarjetas de crédito?</w:t>
      </w:r>
    </w:p>
    <w:p w14:paraId="02A7AA2F" w14:textId="77777777" w:rsidR="004E69BA" w:rsidRPr="00CF1B34" w:rsidRDefault="004E69BA" w:rsidP="004F7A62">
      <w:pPr>
        <w:numPr>
          <w:ilvl w:val="0"/>
          <w:numId w:val="57"/>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Intereses</w:t>
      </w:r>
      <w:r w:rsidRPr="00CF1B34">
        <w:rPr>
          <w:rFonts w:ascii="Arial" w:hAnsi="Arial" w:cs="Arial"/>
          <w:sz w:val="22"/>
          <w:szCs w:val="22"/>
          <w:lang w:val="es-ES_tradnl"/>
        </w:rPr>
        <w:br/>
        <w:t>A no existir la opción de pago fraccionado o pago aplazado, las operaciones con tarjeta de débito no conllevan el pago de ningún tipo de intereses.</w:t>
      </w:r>
    </w:p>
    <w:p w14:paraId="75389082" w14:textId="77777777" w:rsidR="004E69BA" w:rsidRPr="00CF1B34" w:rsidRDefault="004E69BA" w:rsidP="004F7A62">
      <w:pPr>
        <w:numPr>
          <w:ilvl w:val="0"/>
          <w:numId w:val="57"/>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Forma de pago</w:t>
      </w:r>
      <w:r w:rsidRPr="00CF1B34">
        <w:rPr>
          <w:rFonts w:ascii="Arial" w:hAnsi="Arial" w:cs="Arial"/>
          <w:sz w:val="22"/>
          <w:szCs w:val="22"/>
          <w:lang w:val="es-ES_tradnl"/>
        </w:rPr>
        <w:br/>
        <w:t>Cuando realizamos cualquier compra o pago con una tarjeta de débito, el importe se carga automáticamente en la cuenta del titular de la tarjeta, siendo imprescindible que, en ese momento, existan fondos suficientes en la cuenta asociada para hacer frente al pago.</w:t>
      </w:r>
    </w:p>
    <w:p w14:paraId="160CB75A"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 xml:space="preserve">En el caso de las tarjetas de crédito, es posible realizar </w:t>
      </w:r>
      <w:proofErr w:type="gramStart"/>
      <w:r w:rsidRPr="00CF1B34">
        <w:rPr>
          <w:rFonts w:ascii="Arial" w:hAnsi="Arial" w:cs="Arial"/>
          <w:sz w:val="22"/>
          <w:szCs w:val="22"/>
          <w:lang w:val="es-ES_tradnl"/>
        </w:rPr>
        <w:t>compras</w:t>
      </w:r>
      <w:proofErr w:type="gramEnd"/>
      <w:r w:rsidRPr="00CF1B34">
        <w:rPr>
          <w:rFonts w:ascii="Arial" w:hAnsi="Arial" w:cs="Arial"/>
          <w:sz w:val="22"/>
          <w:szCs w:val="22"/>
          <w:lang w:val="es-ES_tradnl"/>
        </w:rPr>
        <w:t xml:space="preserve"> aunque no existan fondos en la cuenta en ese momento, ya que el cargo se realizará contra el crédito previamente concedido. Por lo general el pago se aplazará hasta los primeros días del mes siguiente.</w:t>
      </w:r>
    </w:p>
    <w:p w14:paraId="00E2C64D" w14:textId="77777777" w:rsidR="004E69BA" w:rsidRPr="00CF1B34" w:rsidRDefault="004E69BA" w:rsidP="004F7A62">
      <w:pPr>
        <w:numPr>
          <w:ilvl w:val="0"/>
          <w:numId w:val="58"/>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Financiación</w:t>
      </w:r>
      <w:r w:rsidRPr="00CF1B34">
        <w:rPr>
          <w:rFonts w:ascii="Arial" w:hAnsi="Arial" w:cs="Arial"/>
          <w:sz w:val="22"/>
          <w:szCs w:val="22"/>
          <w:lang w:val="es-ES_tradnl"/>
        </w:rPr>
        <w:br/>
        <w:t>Las tarjetas de crédito permiten financiar las compras y aplazar su pago sin que sea necesario disponer del importe en cuenta en el momento de la compra. Con las tarjetas de débito ocurre lo contrario, las compras se descuentan directamente del saldo en cuenta.</w:t>
      </w:r>
    </w:p>
    <w:p w14:paraId="16DE19D8"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Principales ventajas de las tarjetas de débito:</w:t>
      </w:r>
    </w:p>
    <w:p w14:paraId="61922AD7" w14:textId="77777777" w:rsidR="004E69BA" w:rsidRPr="00CF1B34" w:rsidRDefault="004E69BA" w:rsidP="004F7A62">
      <w:pPr>
        <w:numPr>
          <w:ilvl w:val="0"/>
          <w:numId w:val="59"/>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lastRenderedPageBreak/>
        <w:t>El dinero que gastes con tu tarjeta de débito saldrá de tu cuenta corriente. Si no hay dinero, la tarjeta rechazará la operación. Tu saldo marca tu límite y por lo tanto evitas comprar más de la cuenta y endeudarte.</w:t>
      </w:r>
    </w:p>
    <w:p w14:paraId="3F82685D" w14:textId="77777777" w:rsidR="004E69BA" w:rsidRPr="00CF1B34" w:rsidRDefault="004E69BA" w:rsidP="004F7A62">
      <w:pPr>
        <w:numPr>
          <w:ilvl w:val="0"/>
          <w:numId w:val="59"/>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 una buena opción para no llevar dinero en efectivo.</w:t>
      </w:r>
    </w:p>
    <w:p w14:paraId="08EA8950" w14:textId="77777777" w:rsidR="004E69BA" w:rsidRPr="00CF1B34" w:rsidRDefault="004E69BA" w:rsidP="004F7A62">
      <w:pPr>
        <w:numPr>
          <w:ilvl w:val="0"/>
          <w:numId w:val="59"/>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Permite retirar efectivo en cajeros automáticos a cualquier hora del día, cualquier día de la semana.</w:t>
      </w:r>
    </w:p>
    <w:p w14:paraId="28A26727" w14:textId="77777777" w:rsidR="004E69BA" w:rsidRPr="00CF1B34" w:rsidRDefault="004E69BA" w:rsidP="004F7A62">
      <w:pPr>
        <w:numPr>
          <w:ilvl w:val="0"/>
          <w:numId w:val="59"/>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tarjetas de débito son aceptadas en la mayoría de comercios, tanto físicos como online.</w:t>
      </w:r>
    </w:p>
    <w:p w14:paraId="795C19A2"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tarjetas de débito, al igual que las de crédito, están compuestas por los siguientes elementos:</w:t>
      </w:r>
    </w:p>
    <w:p w14:paraId="5D504D37" w14:textId="77777777" w:rsidR="004E69BA" w:rsidRPr="00CF1B34" w:rsidRDefault="004E69BA" w:rsidP="004F7A62">
      <w:pPr>
        <w:numPr>
          <w:ilvl w:val="0"/>
          <w:numId w:val="60"/>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Chip de la tarjeta</w:t>
      </w:r>
      <w:r w:rsidRPr="00CF1B34">
        <w:rPr>
          <w:rFonts w:ascii="Arial" w:hAnsi="Arial" w:cs="Arial"/>
          <w:sz w:val="22"/>
          <w:szCs w:val="22"/>
          <w:lang w:val="es-ES_tradnl"/>
        </w:rPr>
        <w:br/>
        <w:t>Está situado en la zona izquierda y es necesario para proporcionar seguridad y rapidez de las compras.</w:t>
      </w:r>
    </w:p>
    <w:p w14:paraId="6CAF3070" w14:textId="77777777" w:rsidR="004E69BA" w:rsidRPr="00CF1B34" w:rsidRDefault="004E69BA" w:rsidP="004F7A62">
      <w:pPr>
        <w:numPr>
          <w:ilvl w:val="0"/>
          <w:numId w:val="60"/>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Banda magnética</w:t>
      </w:r>
      <w:r w:rsidRPr="00CF1B34">
        <w:rPr>
          <w:rFonts w:ascii="Arial" w:hAnsi="Arial" w:cs="Arial"/>
          <w:sz w:val="22"/>
          <w:szCs w:val="22"/>
          <w:lang w:val="es-ES_tradnl"/>
        </w:rPr>
        <w:br/>
        <w:t>Ocupa todo el ancho de la parte trasera de la tarjeta, pero su uso, en la actualidad, se ha sustituido por el chip y sobre todo por la tecnología contactless.</w:t>
      </w:r>
    </w:p>
    <w:p w14:paraId="17E22363" w14:textId="77777777" w:rsidR="004E69BA" w:rsidRPr="00CF1B34" w:rsidRDefault="004E69BA" w:rsidP="004F7A62">
      <w:pPr>
        <w:numPr>
          <w:ilvl w:val="0"/>
          <w:numId w:val="60"/>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Nombre de la entidad emisora de la tarjeta.</w:t>
      </w:r>
    </w:p>
    <w:p w14:paraId="5974599E" w14:textId="77777777" w:rsidR="004E69BA" w:rsidRPr="00CF1B34" w:rsidRDefault="004E69BA" w:rsidP="004F7A62">
      <w:pPr>
        <w:numPr>
          <w:ilvl w:val="0"/>
          <w:numId w:val="60"/>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PAN</w:t>
      </w:r>
      <w:r w:rsidRPr="00CF1B34">
        <w:rPr>
          <w:rFonts w:ascii="Arial" w:hAnsi="Arial" w:cs="Arial"/>
          <w:sz w:val="22"/>
          <w:szCs w:val="22"/>
          <w:lang w:val="es-ES_tradnl"/>
        </w:rPr>
        <w:br/>
        <w:t>Es el número de identificación de la tarjeta. Está compuesto por 16 dígitos y se ubica en la parte central de la tarjeta.</w:t>
      </w:r>
    </w:p>
    <w:p w14:paraId="5F9ED544" w14:textId="77777777" w:rsidR="004E69BA" w:rsidRPr="00CF1B34" w:rsidRDefault="004E69BA" w:rsidP="004F7A62">
      <w:pPr>
        <w:numPr>
          <w:ilvl w:val="0"/>
          <w:numId w:val="60"/>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Fecha de caducidad</w:t>
      </w:r>
      <w:r w:rsidRPr="00CF1B34">
        <w:rPr>
          <w:rFonts w:ascii="Arial" w:hAnsi="Arial" w:cs="Arial"/>
          <w:sz w:val="22"/>
          <w:szCs w:val="22"/>
          <w:lang w:val="es-ES_tradnl"/>
        </w:rPr>
        <w:br/>
        <w:t>Mes y año en que caduca la tarjeta. Se sitúa bajo el número de la tarjeta y es un dato necesario cuando se realizan compras por internet.</w:t>
      </w:r>
    </w:p>
    <w:p w14:paraId="6B688DDB" w14:textId="77777777" w:rsidR="004E69BA" w:rsidRPr="00CF1B34" w:rsidRDefault="004E69BA" w:rsidP="004F7A62">
      <w:pPr>
        <w:numPr>
          <w:ilvl w:val="0"/>
          <w:numId w:val="60"/>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Nombre del titular</w:t>
      </w:r>
      <w:r w:rsidRPr="00CF1B34">
        <w:rPr>
          <w:rFonts w:ascii="Arial" w:hAnsi="Arial" w:cs="Arial"/>
          <w:sz w:val="22"/>
          <w:szCs w:val="22"/>
          <w:lang w:val="es-ES_tradnl"/>
        </w:rPr>
        <w:br/>
        <w:t>La tarjeta es un instrumento personal e intransferible, por este motivo siempre incluye el nombre de su titular.</w:t>
      </w:r>
    </w:p>
    <w:p w14:paraId="251709F0" w14:textId="77777777" w:rsidR="004E69BA" w:rsidRPr="00CF1B34" w:rsidRDefault="004E69BA" w:rsidP="004F7A62">
      <w:pPr>
        <w:numPr>
          <w:ilvl w:val="0"/>
          <w:numId w:val="60"/>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Marca internacional</w:t>
      </w:r>
      <w:r w:rsidRPr="00CF1B34">
        <w:rPr>
          <w:rFonts w:ascii="Arial" w:hAnsi="Arial" w:cs="Arial"/>
          <w:sz w:val="22"/>
          <w:szCs w:val="22"/>
          <w:lang w:val="es-ES_tradnl"/>
        </w:rPr>
        <w:br/>
        <w:t>Mastercard o Visa son las más habituales.</w:t>
      </w:r>
    </w:p>
    <w:p w14:paraId="7FE50DEE" w14:textId="4646FA74" w:rsidR="004E69BA" w:rsidRDefault="004E69BA" w:rsidP="004F7A62">
      <w:pPr>
        <w:numPr>
          <w:ilvl w:val="0"/>
          <w:numId w:val="60"/>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Firma del titular</w:t>
      </w:r>
      <w:r w:rsidRPr="00CF1B34">
        <w:rPr>
          <w:rFonts w:ascii="Arial" w:hAnsi="Arial" w:cs="Arial"/>
          <w:sz w:val="22"/>
          <w:szCs w:val="22"/>
          <w:lang w:val="es-ES_tradnl"/>
        </w:rPr>
        <w:br/>
        <w:t>Existe un espacio reservado para que el titular firme su tarjeta en el momento en la activa.</w:t>
      </w:r>
    </w:p>
    <w:p w14:paraId="120A0ADF" w14:textId="77777777" w:rsidR="00932D9E" w:rsidRPr="00932D9E" w:rsidRDefault="00932D9E" w:rsidP="004F7A62">
      <w:pPr>
        <w:pStyle w:val="Prrafodelista"/>
        <w:numPr>
          <w:ilvl w:val="0"/>
          <w:numId w:val="60"/>
        </w:numPr>
        <w:pBdr>
          <w:bottom w:val="dotted" w:sz="12" w:space="12" w:color="666666"/>
        </w:pBdr>
        <w:spacing w:after="240"/>
        <w:jc w:val="both"/>
        <w:rPr>
          <w:rFonts w:ascii="Arial" w:hAnsi="Arial" w:cs="Arial"/>
          <w:color w:val="212529"/>
          <w:sz w:val="22"/>
          <w:szCs w:val="22"/>
          <w:lang w:val="es-ES_tradnl"/>
        </w:rPr>
      </w:pPr>
      <w:r w:rsidRPr="00932D9E">
        <w:rPr>
          <w:rFonts w:ascii="Arial" w:hAnsi="Arial" w:cs="Arial"/>
          <w:b/>
          <w:bCs/>
          <w:sz w:val="22"/>
          <w:szCs w:val="22"/>
          <w:lang w:val="es-ES_tradnl"/>
        </w:rPr>
        <w:t>Número CCV, CVV o número de seguridad</w:t>
      </w:r>
      <w:r w:rsidRPr="00932D9E">
        <w:rPr>
          <w:rFonts w:ascii="Arial" w:hAnsi="Arial" w:cs="Arial"/>
          <w:sz w:val="22"/>
          <w:szCs w:val="22"/>
          <w:lang w:val="es-ES_tradnl"/>
        </w:rPr>
        <w:br/>
        <w:t>Es un número compuesto por 3 dígitos que es necesario para realizar compras por internet.</w:t>
      </w:r>
    </w:p>
    <w:p w14:paraId="52BC5C6C" w14:textId="3E2E78D3" w:rsidR="00932D9E" w:rsidRDefault="00932D9E"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Tarjeta EMV</w:t>
      </w:r>
    </w:p>
    <w:p w14:paraId="51EA4F7F" w14:textId="77777777" w:rsidR="00932D9E" w:rsidRPr="00932D9E" w:rsidRDefault="00932D9E" w:rsidP="00932D9E">
      <w:pPr>
        <w:pStyle w:val="Prrafodelista"/>
        <w:pBdr>
          <w:bottom w:val="dotted" w:sz="12" w:space="12" w:color="666666"/>
        </w:pBdr>
        <w:spacing w:after="240"/>
        <w:jc w:val="both"/>
        <w:rPr>
          <w:rFonts w:ascii="Arial" w:hAnsi="Arial" w:cs="Arial"/>
          <w:color w:val="212529"/>
          <w:sz w:val="22"/>
          <w:szCs w:val="22"/>
          <w:lang w:val="es-ES_tradnl"/>
        </w:rPr>
      </w:pPr>
      <w:r w:rsidRPr="00932D9E">
        <w:rPr>
          <w:rFonts w:ascii="Arial" w:hAnsi="Arial" w:cs="Arial"/>
          <w:color w:val="333333"/>
          <w:sz w:val="22"/>
          <w:szCs w:val="22"/>
          <w:shd w:val="clear" w:color="auto" w:fill="FFFFFF"/>
        </w:rPr>
        <w:t>El avance tecnológico nos sorprende a diario. Y las empresas continuamente están en busca de la optimización de sus servicios. </w:t>
      </w:r>
      <w:r w:rsidRPr="00932D9E">
        <w:rPr>
          <w:rFonts w:ascii="Arial" w:hAnsi="Arial" w:cs="Arial"/>
          <w:b/>
          <w:bCs/>
          <w:color w:val="333333"/>
          <w:sz w:val="22"/>
          <w:szCs w:val="22"/>
          <w:shd w:val="clear" w:color="auto" w:fill="FFFFFF"/>
        </w:rPr>
        <w:t>El sistema EMV (Europay MasterCard VISA)</w:t>
      </w:r>
      <w:r w:rsidRPr="00932D9E">
        <w:rPr>
          <w:rFonts w:ascii="Arial" w:hAnsi="Arial" w:cs="Arial"/>
          <w:color w:val="333333"/>
          <w:sz w:val="22"/>
          <w:szCs w:val="22"/>
          <w:shd w:val="clear" w:color="auto" w:fill="FFFFFF"/>
        </w:rPr>
        <w:t xml:space="preserve">, que lleva el nombre de las tres compañías que han desarrollado el proyecto, consiste en una tarjeta con chip (IC) que autentica pagos mediante tarjeta de crédito y </w:t>
      </w:r>
      <w:r>
        <w:rPr>
          <w:rFonts w:ascii="Arial" w:hAnsi="Arial" w:cs="Arial"/>
          <w:color w:val="333333"/>
          <w:sz w:val="22"/>
          <w:szCs w:val="22"/>
          <w:shd w:val="clear" w:color="auto" w:fill="FFFFFF"/>
        </w:rPr>
        <w:t>tarjeta de debito</w:t>
      </w:r>
      <w:r w:rsidRPr="00932D9E">
        <w:rPr>
          <w:rFonts w:ascii="Arial" w:hAnsi="Arial" w:cs="Arial"/>
          <w:color w:val="333333"/>
          <w:sz w:val="22"/>
          <w:szCs w:val="22"/>
          <w:shd w:val="clear" w:color="auto" w:fill="FFFFFF"/>
        </w:rPr>
        <w:t>.</w:t>
      </w:r>
    </w:p>
    <w:p w14:paraId="3A924F85" w14:textId="007254DD"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Tarjeta monedero</w:t>
      </w:r>
      <w:r w:rsidR="00932D9E">
        <w:rPr>
          <w:rFonts w:ascii="Arial" w:hAnsi="Arial" w:cs="Arial"/>
          <w:b/>
          <w:bCs/>
          <w:color w:val="2F5496" w:themeColor="accent1" w:themeShade="BF"/>
          <w:sz w:val="22"/>
          <w:szCs w:val="22"/>
          <w:lang w:val="es-ES_tradnl"/>
        </w:rPr>
        <w:t xml:space="preserve"> </w:t>
      </w:r>
    </w:p>
    <w:p w14:paraId="1A018460"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Una tarjeta monedero o monedero electrónico, es una tarjeta prepago en la que el usuario carga dinero para realizar compras de pequeños importes.</w:t>
      </w:r>
    </w:p>
    <w:p w14:paraId="47400F4C"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En general, la cuantía que se almacena en estas tarjetas es pequeña ya que, como su nombre nos indica, funcionan como una alternativa al dinero en efectivo, pero con muchas más ventajas. Entre todas ellas destacamos:</w:t>
      </w:r>
    </w:p>
    <w:p w14:paraId="5C5E6CD0" w14:textId="77777777" w:rsidR="004E69BA" w:rsidRPr="00CF1B34" w:rsidRDefault="004E69BA" w:rsidP="004F7A62">
      <w:pPr>
        <w:numPr>
          <w:ilvl w:val="0"/>
          <w:numId w:val="61"/>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lastRenderedPageBreak/>
        <w:t>Mayor control de los pequeños gastos</w:t>
      </w:r>
      <w:r w:rsidRPr="00CF1B34">
        <w:rPr>
          <w:rFonts w:ascii="Arial" w:hAnsi="Arial" w:cs="Arial"/>
          <w:sz w:val="22"/>
          <w:szCs w:val="22"/>
          <w:lang w:val="es-ES_tradnl"/>
        </w:rPr>
        <w:br/>
        <w:t>Una vez que se haya terminado el importe cargado la tarjeta no podrá utilizarse hasta que se recargue de nuevo.</w:t>
      </w:r>
    </w:p>
    <w:p w14:paraId="2D815E7A" w14:textId="77777777" w:rsidR="004E69BA" w:rsidRPr="00CF1B34" w:rsidRDefault="004E69BA" w:rsidP="004F7A62">
      <w:pPr>
        <w:numPr>
          <w:ilvl w:val="0"/>
          <w:numId w:val="61"/>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Seguridad</w:t>
      </w:r>
      <w:r w:rsidRPr="00CF1B34">
        <w:rPr>
          <w:rFonts w:ascii="Arial" w:hAnsi="Arial" w:cs="Arial"/>
          <w:sz w:val="22"/>
          <w:szCs w:val="22"/>
          <w:lang w:val="es-ES_tradnl"/>
        </w:rPr>
        <w:br/>
        <w:t>Es un método más seguro que el efectivo, por ejemplo, en caso de pérdida.</w:t>
      </w:r>
    </w:p>
    <w:p w14:paraId="57122BE9" w14:textId="77777777" w:rsidR="004E69BA" w:rsidRPr="00CF1B34" w:rsidRDefault="004E69BA" w:rsidP="004F7A62">
      <w:pPr>
        <w:numPr>
          <w:ilvl w:val="0"/>
          <w:numId w:val="61"/>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Ahorro de tiempo</w:t>
      </w:r>
      <w:r w:rsidRPr="00CF1B34">
        <w:rPr>
          <w:rFonts w:ascii="Arial" w:hAnsi="Arial" w:cs="Arial"/>
          <w:sz w:val="22"/>
          <w:szCs w:val="22"/>
          <w:lang w:val="es-ES_tradnl"/>
        </w:rPr>
        <w:br/>
        <w:t>La transacción es inmediata y se evitan los frecuentes problemas de falta de cambio en los establecimientos.</w:t>
      </w:r>
    </w:p>
    <w:p w14:paraId="6F2B6F52" w14:textId="77777777" w:rsidR="004E69BA" w:rsidRPr="00CF1B34" w:rsidRDefault="004E69BA" w:rsidP="004F7A62">
      <w:pPr>
        <w:numPr>
          <w:ilvl w:val="0"/>
          <w:numId w:val="61"/>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Ágil</w:t>
      </w:r>
      <w:r w:rsidRPr="00CF1B34">
        <w:rPr>
          <w:rFonts w:ascii="Arial" w:hAnsi="Arial" w:cs="Arial"/>
          <w:sz w:val="22"/>
          <w:szCs w:val="22"/>
          <w:lang w:val="es-ES_tradnl"/>
        </w:rPr>
        <w:br/>
        <w:t>Por la rapidez en el pago y por la sencillez de su uso.</w:t>
      </w:r>
    </w:p>
    <w:p w14:paraId="705A8948"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¿Cómo se cargan las tarjetas monedero?</w:t>
      </w:r>
    </w:p>
    <w:p w14:paraId="5C518FF5" w14:textId="77777777" w:rsidR="004E69BA" w:rsidRPr="00CF1B34" w:rsidRDefault="004E69BA"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Las tarjetas monedero pueden cargarse de diferentes formas:</w:t>
      </w:r>
    </w:p>
    <w:p w14:paraId="400C8D22" w14:textId="77777777" w:rsidR="004E69BA" w:rsidRPr="00CF1B34" w:rsidRDefault="004E69BA" w:rsidP="004F7A62">
      <w:pPr>
        <w:numPr>
          <w:ilvl w:val="0"/>
          <w:numId w:val="62"/>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Mediante un ingreso en efectivo</w:t>
      </w:r>
    </w:p>
    <w:p w14:paraId="3C8F371B" w14:textId="77777777" w:rsidR="004E69BA" w:rsidRPr="00CF1B34" w:rsidRDefault="004E69BA" w:rsidP="004F7A62">
      <w:pPr>
        <w:numPr>
          <w:ilvl w:val="0"/>
          <w:numId w:val="62"/>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Desde la cuenta asociada</w:t>
      </w:r>
    </w:p>
    <w:p w14:paraId="5D41D3E9" w14:textId="77777777" w:rsidR="004E69BA" w:rsidRPr="00CF1B34" w:rsidRDefault="004E69BA" w:rsidP="004F7A62">
      <w:pPr>
        <w:numPr>
          <w:ilvl w:val="0"/>
          <w:numId w:val="62"/>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Desde una tarjeta de crédito</w:t>
      </w:r>
    </w:p>
    <w:p w14:paraId="416B67F6"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recarga puede hacerse en las propias oficinas de la entidad, en cajeros automáticos o, de manera online, a través de la web app móvil.</w:t>
      </w:r>
    </w:p>
    <w:p w14:paraId="50802BCC"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¿Para que se usan las tarjetas monedero?</w:t>
      </w:r>
    </w:p>
    <w:p w14:paraId="601D0C5F"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Quizás el uso más extendido sea entre familias que quieren tener un control sobre el gasto de sus hijos. Este tipo de tarjetas garantiza que no se sobrepasará el límite: una vez consumido el dinero existente, no es posible realizar pagos.</w:t>
      </w:r>
    </w:p>
    <w:p w14:paraId="65420018"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Las tarjetas monedero se emplean para hacer compras puntuales de cantidades pequeñas, aunque también es habitual usarlas para realizar compras recurrentes de pequeño importe. Otra de las características de estas tarjetas es que permiten devolver a la cuenta el dinero cargado y que no ha sido gastado.</w:t>
      </w:r>
    </w:p>
    <w:p w14:paraId="0577A5B2"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Tarjeta prepago</w:t>
      </w:r>
    </w:p>
    <w:p w14:paraId="5A1C4E11"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tarjeta prepago es un tipo de tarjeta de débito que permite cargar una determina cantidad de dinero para realizar compras o pagos hasta consumir el importe cargado con anterioridad.</w:t>
      </w:r>
    </w:p>
    <w:p w14:paraId="419218FD"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límite de uso de estas tarjetas viene determinado por la cantidad de dinero que se haya cargado. Una vez consumido este importe, puede ser cargada de nuevo o no. Habitualmente este tipo de tarjetas suelen cargarse con importes pequeños que permiten realizar compras cotidianas.</w:t>
      </w:r>
    </w:p>
    <w:p w14:paraId="1CD58AF6"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Como el resto de tarjetas, las tarjetas prepago pueden ser físicas o virtuales. En el caso de una tarjeta prepago virtual, se facilita al usuario un número de tarjeta y un código CVV para cada compra que vaya a realizar, pero en ningún momento dispone de una tarjeta física.</w:t>
      </w:r>
    </w:p>
    <w:p w14:paraId="4740CC2B"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¿Cuáles son los usos más frecuentes de las tarjetas prepago?</w:t>
      </w:r>
    </w:p>
    <w:p w14:paraId="1BE56E6E" w14:textId="77777777" w:rsidR="004E69BA" w:rsidRPr="00CF1B34" w:rsidRDefault="004E69BA" w:rsidP="004F7A62">
      <w:pPr>
        <w:numPr>
          <w:ilvl w:val="0"/>
          <w:numId w:val="6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Resultan especialmente útiles cuando queremos controlar los gastos que realizamos.</w:t>
      </w:r>
    </w:p>
    <w:p w14:paraId="4BCA3F83" w14:textId="77777777" w:rsidR="004E69BA" w:rsidRPr="00CF1B34" w:rsidRDefault="004E69BA" w:rsidP="004F7A62">
      <w:pPr>
        <w:numPr>
          <w:ilvl w:val="0"/>
          <w:numId w:val="6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lastRenderedPageBreak/>
        <w:t>Su uso es muy habitual para realizar compras por internet, con el fin de evitar utilizar la tarjeta de crédito en aquellas compras en las que no queramos facilitar la numeración de nuestra tarjeta.</w:t>
      </w:r>
    </w:p>
    <w:p w14:paraId="28F35E5B" w14:textId="77777777" w:rsidR="004E69BA" w:rsidRPr="00CF1B34" w:rsidRDefault="004E69BA" w:rsidP="004F7A62">
      <w:pPr>
        <w:numPr>
          <w:ilvl w:val="0"/>
          <w:numId w:val="6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Otro de los usos más extendidos es entre aquellas personas que no pueden, o no les interesa, emplear las tarjetas de crédito convencionales, por ejemplo, familias que quieran controlar el gasto de sus hijos.</w:t>
      </w:r>
    </w:p>
    <w:p w14:paraId="1B7793C4" w14:textId="77777777" w:rsidR="004E69BA" w:rsidRPr="00CF1B34" w:rsidRDefault="004E69BA" w:rsidP="004F7A62">
      <w:pPr>
        <w:numPr>
          <w:ilvl w:val="0"/>
          <w:numId w:val="6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En viajes con destino a lugares dónde exista un mayor riesgo de robo. En este caso es conveniente asegurarse de que será posible recargarla desde el lugar de destino en el caso de que fuese necesario.</w:t>
      </w:r>
    </w:p>
    <w:p w14:paraId="556C7D59" w14:textId="77777777" w:rsidR="004E69BA" w:rsidRPr="00CF1B34" w:rsidRDefault="004E69BA" w:rsidP="004F7A62">
      <w:pPr>
        <w:numPr>
          <w:ilvl w:val="0"/>
          <w:numId w:val="6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También es común utilizarlas como tarjeta regalo.</w:t>
      </w:r>
    </w:p>
    <w:p w14:paraId="3E11B38C"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tarjetas prepago suelen estar asociadas a una app móvil o una página web que nos permite consultar, en tiempo real, el saldo, los movimientos, las recargas realizadas, el detalle de los importes de cada una de esas recargas, el saldo disponible, etc.</w:t>
      </w:r>
    </w:p>
    <w:p w14:paraId="7451A9C0"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Las propias características de las tarjetas de pago hacen que tengan algunas limitaciones. Por ejemplo, no siempre es posible asociarlas a otro medio de pago como es el caso de PayPal o, por poner otro ejemplo, no es posible usarlas como garantía para pagos periódicos como las suscripciones o pago de alquiler.</w:t>
      </w:r>
    </w:p>
    <w:p w14:paraId="0E915822" w14:textId="77777777" w:rsidR="004E69BA" w:rsidRPr="00CF1B34" w:rsidRDefault="004E69BA"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Tarjeta revolving</w:t>
      </w:r>
    </w:p>
    <w:p w14:paraId="78EEB85C"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Comenzamos explicándote en qué consiste el término crédito revolving. Un crédito revolving se refiere a una línea de crédito concedida por una entidad financiera por un importe máximo del que poder disponer durante un periodo de tiempo determinado. En el caso de las tarjetas revolving, el funcionamiento en muy similar al del crédito: puedes disponer de él y devolverlo poco a poco. A medida que vas devolviendo o “reponiendo” ese dinero, podrás volver a disponer de él.</w:t>
      </w:r>
    </w:p>
    <w:p w14:paraId="1AF79FAA"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principal característica de esta modalidad de tarjetas revolving es que permiten aplazar el pago de todas las compras, sin necesidad de pagarlas a mes vencido como ocurre con las tarjetas de crédito convencionales. En el caso de las tarjetas revolving, el pago se realizará mediante cuotas mensuales cuyo importe a pagar es definido por el propio titular. Ese importe mensual incluirá una parte del dinero dispuesto y una parte de los intereses.</w:t>
      </w:r>
    </w:p>
    <w:p w14:paraId="28B50D15"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El límite de crédito y la forma de devolución se recogen en el contrato de la tarjeta. Algunas tarjetas permiten que sea el titular quien elija cómo se calcula la cuota mensual: un importe fijo cada mes o un porcentaje de la deuda adquirida.</w:t>
      </w:r>
    </w:p>
    <w:p w14:paraId="44C3ADAE" w14:textId="77777777" w:rsidR="004E69BA" w:rsidRPr="00CF1B34" w:rsidRDefault="004E69BA"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Te explicamos en qué consiste cada una de estas modalidades:</w:t>
      </w:r>
    </w:p>
    <w:p w14:paraId="21EAB7E4" w14:textId="77777777" w:rsidR="004E69BA" w:rsidRPr="00CF1B34" w:rsidRDefault="004E69BA" w:rsidP="004F7A62">
      <w:pPr>
        <w:numPr>
          <w:ilvl w:val="0"/>
          <w:numId w:val="64"/>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 xml:space="preserve">Pago fraccionado mediante una cuota fija </w:t>
      </w:r>
      <w:proofErr w:type="gramStart"/>
      <w:r w:rsidRPr="00CF1B34">
        <w:rPr>
          <w:rFonts w:ascii="Arial" w:hAnsi="Arial" w:cs="Arial"/>
          <w:sz w:val="22"/>
          <w:szCs w:val="22"/>
          <w:lang w:val="es-ES_tradnl"/>
        </w:rPr>
        <w:t>mensual</w:t>
      </w:r>
      <w:proofErr w:type="gramEnd"/>
      <w:r w:rsidRPr="00CF1B34">
        <w:rPr>
          <w:rFonts w:ascii="Arial" w:hAnsi="Arial" w:cs="Arial"/>
          <w:sz w:val="22"/>
          <w:szCs w:val="22"/>
          <w:lang w:val="es-ES_tradnl"/>
        </w:rPr>
        <w:t xml:space="preserve"> Aunque lo normal es que la entidad bancaria establezca un importe mínimo, es el titular quien elige el importe que quiere pagar en cada cuota mensual (30€, 50€, etc.). Las cuotas se cargan de forma mensual hasta el momento en que se liquide la cantidad dispuesta, en la que siempre estarán incluidos tanto la amortización del capital como los intereses del crédito. Si continúas disponiendo del crédito de la tarjeta, la deuda se incrementará, pero la cuota mensual seguirá siendo la misma cada mes.</w:t>
      </w:r>
    </w:p>
    <w:p w14:paraId="449D6AD6" w14:textId="77777777" w:rsidR="004E69BA" w:rsidRPr="00CF1B34" w:rsidRDefault="004E69BA" w:rsidP="004F7A62">
      <w:pPr>
        <w:numPr>
          <w:ilvl w:val="0"/>
          <w:numId w:val="64"/>
        </w:numPr>
        <w:spacing w:before="100" w:beforeAutospacing="1" w:after="100" w:afterAutospacing="1"/>
        <w:jc w:val="both"/>
        <w:rPr>
          <w:rFonts w:ascii="Arial" w:hAnsi="Arial" w:cs="Arial"/>
          <w:sz w:val="22"/>
          <w:szCs w:val="22"/>
          <w:lang w:val="es-ES_tradnl"/>
        </w:rPr>
      </w:pPr>
      <w:r w:rsidRPr="00CF1B34">
        <w:rPr>
          <w:rFonts w:ascii="Arial" w:hAnsi="Arial" w:cs="Arial"/>
          <w:sz w:val="22"/>
          <w:szCs w:val="22"/>
          <w:lang w:val="es-ES_tradnl"/>
        </w:rPr>
        <w:t xml:space="preserve">Pago fraccionado mediante un porcentaje de la deuda Este método de pago te permite elegir el porcentaje del saldo dispuesto con la tarjeta que quieres pagar cada mes, aunque la entidad bancaria suele establecer un importe mínimo. Las cuotas se cargan de forma mensual hasta acabar de pagar el saldo dispuesto y siempre incluyen una parte correspondiente a la amortización de capital y otra correspondiente a los intereses. Ten </w:t>
      </w:r>
      <w:r w:rsidRPr="00CF1B34">
        <w:rPr>
          <w:rFonts w:ascii="Arial" w:hAnsi="Arial" w:cs="Arial"/>
          <w:sz w:val="22"/>
          <w:szCs w:val="22"/>
          <w:lang w:val="es-ES_tradnl"/>
        </w:rPr>
        <w:lastRenderedPageBreak/>
        <w:t>en cuenta que, gracias a este sistema, las cuotas se reducen a medida que el saldo pendiente disminuye, pero, en el momento en que se vuelva a disponer del crédito, las cuotas aumentarán proporcionalmente. En caso de que la devolución del saldo dispuesto se realice en un periodo de tiempo largo, la entidad está obligada a facilitar al cliente la siguiente información:</w:t>
      </w:r>
    </w:p>
    <w:p w14:paraId="0CF2384B"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Plazo de amortización previsto en el que se detalla la fecha en la que finalizaría la deuda en caso de que no se haga más uso de la tarjeta ni se modifiquen las cuotas establecidas. Distintos escenarios que, a modo de ejemplo, muestren el posible ahorro que supondría aumentar el importe de las cuotas. El importe de la deuda mensual que sería necesario pagar para poder liquidar toda la deuda en un año.</w:t>
      </w:r>
    </w:p>
    <w:p w14:paraId="1CAA70E2" w14:textId="4DDE8A28"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Tarjetas contactless</w:t>
      </w:r>
    </w:p>
    <w:p w14:paraId="1A5184AC" w14:textId="7630FB7E"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Contactless, o en español pago sin contacto, es una tecnología que permite hacer pagos con tarjeta a través de NFC (Near Field Comunication) que establece una comunicación inalámbrica y de intercambio de datos de forma prácticamente instantánea entre dos dispositivos que se encuentren a unos pocos centímetros de distancia.</w:t>
      </w:r>
    </w:p>
    <w:p w14:paraId="445B83FD"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Esta tecnología NFC ha sido aplicada tanto a las tarjetas como a los TPV, de forma que los dispositivos son capaces de comunicarse entre sí enviando y recibiendo información en tiempo real. Esta comunicación entre tarjeta y terminal de venta permite realizar el pago con el simple gesto de acercar la tarjeta al TPV.</w:t>
      </w:r>
    </w:p>
    <w:p w14:paraId="05E36205"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tarjetas contactless son tarjetas de crédito, débito o prepago que simplemente incorporan esta tecnología, pero las transacciones que se pueden llevar a cabo son exactamente las mismas que las que pueden realizarse con una tarjeta convencional.</w:t>
      </w:r>
    </w:p>
    <w:p w14:paraId="7F341CE0"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sé si mi tarjeta es contactless?</w:t>
      </w:r>
    </w:p>
    <w:p w14:paraId="0D44AD06"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tarjetas que cuentan con esta tecnología son la gran mayoría. Estas tarjetas incluyen un símbolo identificativo en un lateral que es fácilmente reconocible (cuatro ondas concéntricas).</w:t>
      </w:r>
    </w:p>
    <w:p w14:paraId="1EAE652C" w14:textId="69C93165"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Hoy en día, prácticamente, todas las entidades bancarias incorporan esta tecnología tanto en sus tarjetas como en sus cajeros automáticos o datáfonos (TPV).</w:t>
      </w:r>
    </w:p>
    <w:p w14:paraId="236BFFFC"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Las principales ventajas de las tarjetas contactless son:</w:t>
      </w:r>
    </w:p>
    <w:p w14:paraId="01482677" w14:textId="77777777" w:rsidR="004E69BA" w:rsidRPr="00CF1B34" w:rsidRDefault="004E69BA" w:rsidP="004F7A62">
      <w:pPr>
        <w:numPr>
          <w:ilvl w:val="0"/>
          <w:numId w:val="6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Permiten hacer pequeñas compras rápidamente, ya que para realizar pagos inferiores a 20€ no es necesario introducir el código PIN. Esta característica la hace muy cómoda para las pequeñas compras. En el caso de que el importe sea superior, el datáfono nos solicitará este código.</w:t>
      </w:r>
    </w:p>
    <w:p w14:paraId="47F85462" w14:textId="77777777" w:rsidR="004E69BA" w:rsidRPr="00CF1B34" w:rsidRDefault="004E69BA" w:rsidP="004F7A62">
      <w:pPr>
        <w:numPr>
          <w:ilvl w:val="0"/>
          <w:numId w:val="6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 xml:space="preserve">Hoy en día esta tecnología está integrada en prácticamente todos los </w:t>
      </w:r>
      <w:proofErr w:type="gramStart"/>
      <w:r w:rsidRPr="00CF1B34">
        <w:rPr>
          <w:rFonts w:ascii="Arial" w:hAnsi="Arial" w:cs="Arial"/>
          <w:sz w:val="22"/>
          <w:szCs w:val="22"/>
          <w:lang w:val="es-ES_tradnl"/>
        </w:rPr>
        <w:t>TPVs</w:t>
      </w:r>
      <w:proofErr w:type="gramEnd"/>
      <w:r w:rsidRPr="00CF1B34">
        <w:rPr>
          <w:rFonts w:ascii="Arial" w:hAnsi="Arial" w:cs="Arial"/>
          <w:sz w:val="22"/>
          <w:szCs w:val="22"/>
          <w:lang w:val="es-ES_tradnl"/>
        </w:rPr>
        <w:t xml:space="preserve"> pero, en el caso de que el terminal no lo tenga o se produzca algún error, las tarjetas contactless disponen también de chip y banda magnética que permite pagar en cualquier establecimiento independientemente del tipo de terminal.</w:t>
      </w:r>
    </w:p>
    <w:p w14:paraId="1CCA1370" w14:textId="77777777" w:rsidR="004E69BA" w:rsidRPr="00CF1B34" w:rsidRDefault="004E69BA" w:rsidP="004F7A62">
      <w:pPr>
        <w:numPr>
          <w:ilvl w:val="0"/>
          <w:numId w:val="6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Cuando se introdujo esta tecnología provocó una cierta desconfianza al poder pagar sin insertar la tarjeta y sin código PIN (en compras inferiores a 20€), por este motivo es importante recordar que esta tecnología es muy segura: para que se produzca el pago debe haber un terminal de venta conectado y con cobertura. Además, para que la tarjeta sea detectada y el pago pueda ser procesado correctamente, la tarjeta debe situarse a una distancia máxima de 3 cm del terminal de venta.</w:t>
      </w:r>
    </w:p>
    <w:p w14:paraId="0F587AD8" w14:textId="77777777" w:rsidR="004E69BA" w:rsidRPr="00CF1B34" w:rsidRDefault="004E69BA" w:rsidP="004F7A62">
      <w:pPr>
        <w:numPr>
          <w:ilvl w:val="0"/>
          <w:numId w:val="6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lastRenderedPageBreak/>
        <w:t>Como medida de seguridad adicional, cada cuatro veces que hagas una operación inferior a 20€ será necesario insertar la tarjeta.</w:t>
      </w:r>
    </w:p>
    <w:p w14:paraId="0C32C6FC"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los últimos años, la evolución de la tecnología pone a disposición de los usuarios múltiples opciones para incrementar la seguridad y mejorar el control de todos los movimientos realizados con sus tarjetas. Hoy en día, muchas de las entidades ofrecen sistemas de alerta a través de sus aplicaciones, de SMS o de correo electrónico, que envían una notificación en el momento en el que se ha realizado un pago con la tarjeta.</w:t>
      </w:r>
    </w:p>
    <w:p w14:paraId="5AF4630A"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Tarjetas de crédito</w:t>
      </w:r>
    </w:p>
    <w:p w14:paraId="6C885C3C"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tarjeta de crédito es una tarjeta de plástico o metal, emitida por una entidad financiera o un banco, que autoriza a su titular a emplearla como medio de pago.</w:t>
      </w:r>
    </w:p>
    <w:p w14:paraId="794065AA"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tarjetas de crédito, a diferencia de las tarjetas de débito, permiten al titular de la tarjeta realizar compras o retirar dinero en efectivo, aunque no disponga de saldo en su cuenta bancaria. En el caso de las tarjetas de débito, el importe de las compras se carga, de manera inmediata, en la cuenta corriente asociada a la tarjeta, siendo necesario disponer del saldo suficiente en la cuenta para que el pago de la compra no sea rechazado.</w:t>
      </w:r>
    </w:p>
    <w:p w14:paraId="36892F4F" w14:textId="77777777" w:rsidR="004E69BA" w:rsidRPr="00CF1B34" w:rsidRDefault="004E69BA"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En el caso de las tarjetas de crédito, existen dos modalidades de pago:</w:t>
      </w:r>
    </w:p>
    <w:p w14:paraId="47E8A99D" w14:textId="77777777" w:rsidR="004E69BA" w:rsidRPr="00CF1B34" w:rsidRDefault="004E69BA" w:rsidP="004F7A62">
      <w:pPr>
        <w:numPr>
          <w:ilvl w:val="0"/>
          <w:numId w:val="66"/>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Pago a fin de mes</w:t>
      </w:r>
      <w:r w:rsidRPr="00CF1B34">
        <w:rPr>
          <w:rFonts w:ascii="Arial" w:hAnsi="Arial" w:cs="Arial"/>
          <w:sz w:val="22"/>
          <w:szCs w:val="22"/>
          <w:lang w:val="es-ES_tradnl"/>
        </w:rPr>
        <w:br/>
        <w:t>Es quizás la forma más habitual. Todas las compras y pagos realizados durante el mes se acumulan y se cargan en la cuenta del titular a principio del mes siguiente. Esta modalidad, al igual que en el caso de las tarjetas de débito, no conlleva cobro de intereses por parte del banco.</w:t>
      </w:r>
    </w:p>
    <w:p w14:paraId="43BFC38D" w14:textId="77777777" w:rsidR="004E69BA" w:rsidRPr="00CF1B34" w:rsidRDefault="004E69BA" w:rsidP="004F7A62">
      <w:pPr>
        <w:numPr>
          <w:ilvl w:val="0"/>
          <w:numId w:val="66"/>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Pago a plazos</w:t>
      </w:r>
      <w:r w:rsidRPr="00CF1B34">
        <w:rPr>
          <w:rFonts w:ascii="Arial" w:hAnsi="Arial" w:cs="Arial"/>
          <w:sz w:val="22"/>
          <w:szCs w:val="22"/>
          <w:lang w:val="es-ES_tradnl"/>
        </w:rPr>
        <w:br/>
        <w:t>Las tarjetas de crédito, como su nombre indica, conllevan, de manera implícita, un crédito del que es posible disponer aplazando las compras o pagos. Como en cualquier crédito o préstamo, el uso de esta modalidad de pago implica el cobro de intereses por parte de la entidad bancaria.</w:t>
      </w:r>
    </w:p>
    <w:p w14:paraId="2EBDD80F"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Ventajas de las tarjetas de crédito:</w:t>
      </w:r>
    </w:p>
    <w:p w14:paraId="44167723" w14:textId="77777777" w:rsidR="004E69BA" w:rsidRPr="00CF1B34" w:rsidRDefault="004E69BA" w:rsidP="004F7A62">
      <w:pPr>
        <w:numPr>
          <w:ilvl w:val="0"/>
          <w:numId w:val="67"/>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Podrás pagar esa compra o ese “capricho” mes a mes de manera cómoda.</w:t>
      </w:r>
    </w:p>
    <w:p w14:paraId="2CE562B1" w14:textId="77777777" w:rsidR="004E69BA" w:rsidRPr="00CF1B34" w:rsidRDefault="004E69BA" w:rsidP="004F7A62">
      <w:pPr>
        <w:numPr>
          <w:ilvl w:val="0"/>
          <w:numId w:val="67"/>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tarjetas de crédito tienen vinculado varios métodos de pago muy interesantes como el pago total a fin de mes sin intereses o pagos aplazados en función de tu capacidad de amortización. Esto te permitirá elegir, en cada momento, el que más se ajuste a tu situación.</w:t>
      </w:r>
    </w:p>
    <w:p w14:paraId="7707E622" w14:textId="77777777" w:rsidR="004E69BA" w:rsidRPr="00CF1B34" w:rsidRDefault="004E69BA" w:rsidP="004F7A62">
      <w:pPr>
        <w:numPr>
          <w:ilvl w:val="0"/>
          <w:numId w:val="67"/>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Muchas tarjetas de crédito asociadas a establecimientos comerciales como tiendas de electrodomésticos, tiendas de libros, tecnología, supermercados, etc., permiten, en algunas ocasiones, que el cliente pueda realizar sus compras en dicha tienda y aplazar la compra con un 0% de interés.</w:t>
      </w:r>
    </w:p>
    <w:p w14:paraId="05148B49" w14:textId="77777777" w:rsidR="004E69BA" w:rsidRPr="00CF1B34" w:rsidRDefault="004E69BA" w:rsidP="004F7A62">
      <w:pPr>
        <w:numPr>
          <w:ilvl w:val="0"/>
          <w:numId w:val="67"/>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tarjetas de crédito suelen tener vinculados seguros con mayores o menores coberturas. Los seguros más habituales asociados a las tarjetas de crédito son los seguros de asistencia en viaje o de accidentes, que aplican sus coberturas siempre que el pago de dicho viaje se haya realizado mediante la tarjeta.</w:t>
      </w:r>
    </w:p>
    <w:p w14:paraId="00301669" w14:textId="77777777" w:rsidR="004E69BA" w:rsidRPr="00CF1B34" w:rsidRDefault="004E69BA" w:rsidP="004F7A62">
      <w:pPr>
        <w:numPr>
          <w:ilvl w:val="0"/>
          <w:numId w:val="67"/>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tarjetas de crédito son el pasaporte para poder comprar en absolutamente todos los establecimientos del mundo con total confianza y seguridad. Aunque sea difícil de creer, existen algunos lugares del mundo como EEUU, que no aceptan pago con tarjeta débito en algunos de sus establecimientos. La tarjeta de crédito te permite no llevar dinero en efectivo y pagar tus compras mientras viajas y, además, elegir cómo quieres pagar: aplazado o a fin de mes.</w:t>
      </w:r>
    </w:p>
    <w:p w14:paraId="4FD87809" w14:textId="77777777" w:rsidR="004E69BA" w:rsidRPr="00CF1B34" w:rsidRDefault="004E69BA" w:rsidP="004F7A62">
      <w:pPr>
        <w:numPr>
          <w:ilvl w:val="0"/>
          <w:numId w:val="67"/>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lastRenderedPageBreak/>
        <w:t>Algunas tarjetas de crédito asociadas a cuentas corrientes o cuentas nómina, suelen devolver un porcentaje del dinero dispuesto cuando el método de pago que has elegido es a plazos.</w:t>
      </w:r>
    </w:p>
    <w:p w14:paraId="3E81CC76"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¿Cómo funciona una tarjeta de crédito?</w:t>
      </w:r>
    </w:p>
    <w:p w14:paraId="148D8EE8"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Mediante una tarjeta de crédito la entidad bancaria pone a disposición del titular una cantidad de dinero. En función de la modalidad de pago asociado a la tarjeta, el titular podrá ir haciendo uso del crédito y lo devolverá de la manera establecida por la tarjeta o que él mismo haya elegido. Es decir, el titular de la tarjeta realizará todas las compras que quiera hasta agotar el límite de crédito que tenga establecido su tarjeta; la entidad, por su parte, realizará el cargo de la cuota que corresponda, o del importe total que haya consumido, a principios del mes siguiente. En el caso de que la cuenta no tenga fondos en el momento de la liquidación, la entidad podría aplicar las comisiones e intereses correspondientes.</w:t>
      </w:r>
    </w:p>
    <w:p w14:paraId="15B00B10"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Las tarjetas de crédito están compuestas por los siguientes elementos:</w:t>
      </w:r>
    </w:p>
    <w:p w14:paraId="1DA521CE" w14:textId="77777777" w:rsidR="004E69BA" w:rsidRPr="00CF1B34" w:rsidRDefault="004E69BA" w:rsidP="004F7A62">
      <w:pPr>
        <w:numPr>
          <w:ilvl w:val="0"/>
          <w:numId w:val="68"/>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Chip de la tarjeta</w:t>
      </w:r>
      <w:r w:rsidRPr="00CF1B34">
        <w:rPr>
          <w:rFonts w:ascii="Arial" w:hAnsi="Arial" w:cs="Arial"/>
          <w:sz w:val="22"/>
          <w:szCs w:val="22"/>
          <w:lang w:val="es-ES_tradnl"/>
        </w:rPr>
        <w:br/>
        <w:t>Está situado en la zona izquierda y es necesario para proporcionar seguridad y rapidez de las compras.</w:t>
      </w:r>
    </w:p>
    <w:p w14:paraId="630EB021" w14:textId="77777777" w:rsidR="004E69BA" w:rsidRPr="00CF1B34" w:rsidRDefault="004E69BA" w:rsidP="004F7A62">
      <w:pPr>
        <w:numPr>
          <w:ilvl w:val="0"/>
          <w:numId w:val="68"/>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Banda magnética</w:t>
      </w:r>
      <w:r w:rsidRPr="00CF1B34">
        <w:rPr>
          <w:rFonts w:ascii="Arial" w:hAnsi="Arial" w:cs="Arial"/>
          <w:sz w:val="22"/>
          <w:szCs w:val="22"/>
          <w:lang w:val="es-ES_tradnl"/>
        </w:rPr>
        <w:br/>
        <w:t>Ocupa todo el ancho de la parte trasera de la tarjeta, pero, en la actualidad, su uso se ha sustituido por el chip y, sobre todo, por la tecnología contactless.</w:t>
      </w:r>
    </w:p>
    <w:p w14:paraId="4587C917" w14:textId="77777777" w:rsidR="004E69BA" w:rsidRPr="00CF1B34" w:rsidRDefault="004E69BA" w:rsidP="004F7A62">
      <w:pPr>
        <w:numPr>
          <w:ilvl w:val="0"/>
          <w:numId w:val="68"/>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Nombre de la entidad emisora de la tarjeta.</w:t>
      </w:r>
      <w:r w:rsidRPr="00CF1B34">
        <w:rPr>
          <w:rFonts w:ascii="Arial" w:hAnsi="Arial" w:cs="Arial"/>
          <w:sz w:val="22"/>
          <w:szCs w:val="22"/>
          <w:lang w:val="es-ES_tradnl"/>
        </w:rPr>
        <w:br/>
        <w:t>Identificada, generalmente, a través de su logotipo.</w:t>
      </w:r>
    </w:p>
    <w:p w14:paraId="053A4ECD" w14:textId="77777777" w:rsidR="004E69BA" w:rsidRPr="00CF1B34" w:rsidRDefault="004E69BA" w:rsidP="004F7A62">
      <w:pPr>
        <w:numPr>
          <w:ilvl w:val="0"/>
          <w:numId w:val="68"/>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PAN</w:t>
      </w:r>
      <w:r w:rsidRPr="00CF1B34">
        <w:rPr>
          <w:rFonts w:ascii="Arial" w:hAnsi="Arial" w:cs="Arial"/>
          <w:sz w:val="22"/>
          <w:szCs w:val="22"/>
          <w:lang w:val="es-ES_tradnl"/>
        </w:rPr>
        <w:br/>
        <w:t>Es el número de identificación de la tarjeta y está compuesto por 16 dígitos.</w:t>
      </w:r>
    </w:p>
    <w:p w14:paraId="28EDC0FA" w14:textId="77777777" w:rsidR="004E69BA" w:rsidRPr="00CF1B34" w:rsidRDefault="004E69BA" w:rsidP="004F7A62">
      <w:pPr>
        <w:numPr>
          <w:ilvl w:val="0"/>
          <w:numId w:val="68"/>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Fecha de caducidad</w:t>
      </w:r>
      <w:r w:rsidRPr="00CF1B34">
        <w:rPr>
          <w:rFonts w:ascii="Arial" w:hAnsi="Arial" w:cs="Arial"/>
          <w:sz w:val="22"/>
          <w:szCs w:val="22"/>
          <w:lang w:val="es-ES_tradnl"/>
        </w:rPr>
        <w:br/>
        <w:t>Mes y año en que caduca la tarjeta. Se sitúa bajo el número de la tarjeta y es un dato necesario cuando se realizan compras por internet.</w:t>
      </w:r>
    </w:p>
    <w:p w14:paraId="4410FAA1" w14:textId="77777777" w:rsidR="004E69BA" w:rsidRPr="00CF1B34" w:rsidRDefault="004E69BA" w:rsidP="004F7A62">
      <w:pPr>
        <w:numPr>
          <w:ilvl w:val="0"/>
          <w:numId w:val="68"/>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Nombre del titular</w:t>
      </w:r>
      <w:r w:rsidRPr="00CF1B34">
        <w:rPr>
          <w:rFonts w:ascii="Arial" w:hAnsi="Arial" w:cs="Arial"/>
          <w:sz w:val="22"/>
          <w:szCs w:val="22"/>
          <w:lang w:val="es-ES_tradnl"/>
        </w:rPr>
        <w:br/>
        <w:t>La tarjeta es un instrumento personal e intransferible, por este motivo siempre incluye el nombre de su titular.</w:t>
      </w:r>
    </w:p>
    <w:p w14:paraId="5A6BDB16" w14:textId="77777777" w:rsidR="004E69BA" w:rsidRPr="00CF1B34" w:rsidRDefault="004E69BA" w:rsidP="004F7A62">
      <w:pPr>
        <w:numPr>
          <w:ilvl w:val="0"/>
          <w:numId w:val="68"/>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Marca internacional</w:t>
      </w:r>
      <w:r w:rsidRPr="00CF1B34">
        <w:rPr>
          <w:rFonts w:ascii="Arial" w:hAnsi="Arial" w:cs="Arial"/>
          <w:sz w:val="22"/>
          <w:szCs w:val="22"/>
          <w:lang w:val="es-ES_tradnl"/>
        </w:rPr>
        <w:br/>
        <w:t>Mastercard o Visa son las más habituales.</w:t>
      </w:r>
    </w:p>
    <w:p w14:paraId="76C0CAB5" w14:textId="77777777" w:rsidR="004E69BA" w:rsidRPr="00CF1B34" w:rsidRDefault="004E69BA" w:rsidP="004F7A62">
      <w:pPr>
        <w:numPr>
          <w:ilvl w:val="0"/>
          <w:numId w:val="68"/>
        </w:numPr>
        <w:spacing w:before="100" w:beforeAutospacing="1" w:after="100" w:afterAutospacing="1"/>
        <w:ind w:left="495"/>
        <w:jc w:val="both"/>
        <w:rPr>
          <w:rFonts w:ascii="Arial" w:hAnsi="Arial" w:cs="Arial"/>
          <w:sz w:val="22"/>
          <w:szCs w:val="22"/>
          <w:lang w:val="es-ES_tradnl"/>
        </w:rPr>
      </w:pPr>
      <w:r w:rsidRPr="00CF1B34">
        <w:rPr>
          <w:rFonts w:ascii="Arial" w:hAnsi="Arial" w:cs="Arial"/>
          <w:b/>
          <w:bCs/>
          <w:sz w:val="22"/>
          <w:szCs w:val="22"/>
          <w:lang w:val="es-ES_tradnl"/>
        </w:rPr>
        <w:t>Firma del titular</w:t>
      </w:r>
      <w:r w:rsidRPr="00CF1B34">
        <w:rPr>
          <w:rFonts w:ascii="Arial" w:hAnsi="Arial" w:cs="Arial"/>
          <w:sz w:val="22"/>
          <w:szCs w:val="22"/>
          <w:lang w:val="es-ES_tradnl"/>
        </w:rPr>
        <w:br/>
        <w:t>Existe un espacio reservado para que el titular firme su tarjeta en el momento en que la activa.</w:t>
      </w:r>
    </w:p>
    <w:p w14:paraId="058C1F20"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b/>
          <w:bCs/>
          <w:sz w:val="22"/>
          <w:szCs w:val="22"/>
          <w:lang w:val="es-ES_tradnl"/>
        </w:rPr>
        <w:t>Número CCV, CVV o número de seguridad</w:t>
      </w:r>
      <w:r w:rsidRPr="00CF1B34">
        <w:rPr>
          <w:rFonts w:ascii="Arial" w:hAnsi="Arial" w:cs="Arial"/>
          <w:sz w:val="22"/>
          <w:szCs w:val="22"/>
          <w:lang w:val="es-ES_tradnl"/>
        </w:rPr>
        <w:br/>
        <w:t>Es un número compuesto por 3 dígitos que es necesario para realizar compras por internet.</w:t>
      </w:r>
    </w:p>
    <w:p w14:paraId="6E0EFF4E"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Tarjetas NFC</w:t>
      </w:r>
    </w:p>
    <w:p w14:paraId="1149B5FD" w14:textId="400F112A"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siglas NFC provienen del inglés Near Field Communication que podría traducirse al español como “comunicación de campo cercano”. Esta tecnología permite la comunicación inalámbrica y el intercambio de datos, de forma prácticamente instantánea, entre dos dispositivos que se encuentren a una distancia inferior a 20 cm.</w:t>
      </w:r>
    </w:p>
    <w:p w14:paraId="53D754F2"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 simple vista, la única diferencia entre una tarjeta NFC y el resto de las tarjetas, es que las primeras incluyen un símbolo identificativo en un lateral fácilmente reconocible: cuatro ondas concéntricas.</w:t>
      </w:r>
    </w:p>
    <w:p w14:paraId="06E29DF0"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Hoy en día, prácticamente todas las entidades bancarias incorporan esta tecnología tanto en sus tarjetas como en sus cajeros automáticos o datáfonos (TPV).</w:t>
      </w:r>
    </w:p>
    <w:p w14:paraId="3ED1A162"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funcionan las tarjetas NFC?</w:t>
      </w:r>
    </w:p>
    <w:p w14:paraId="0B28F1FD"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tarjetas contactless emplean la tecnología NFC y permiten realizar el pago en un TPV o utilizar un cajero, sin necesidad de insertar la tarjeta en la ranura, simplemente acercando la tarjeta al lector de contactless. El lector de contactless se encuentra situado en una pequeña plaquita en los cajeros y en los TPV suele está ubicado en la propia pantalla.</w:t>
      </w:r>
    </w:p>
    <w:p w14:paraId="3CD83207"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comunicación entre la tarjeta y el lector es instantánea. Una vez reconocida la tarjeta se emite un sonido que indica que la lectura ha sido correcta. A partir de ese momento, podemos guardar la tarjeta sin necesidad de esperar a que la operación haya sido procesada.</w:t>
      </w:r>
    </w:p>
    <w:p w14:paraId="31C41C74" w14:textId="0FD87FB8"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Hoy en día, la mayoría de las tarjetas incorporan este tipo de tecnología </w:t>
      </w:r>
      <w:proofErr w:type="gramStart"/>
      <w:r w:rsidRPr="00CF1B34">
        <w:rPr>
          <w:rFonts w:ascii="Arial" w:hAnsi="Arial" w:cs="Arial"/>
          <w:sz w:val="22"/>
          <w:szCs w:val="22"/>
          <w:lang w:val="es-ES_tradnl"/>
        </w:rPr>
        <w:t>NFC</w:t>
      </w:r>
      <w:proofErr w:type="gramEnd"/>
      <w:r w:rsidRPr="00CF1B34">
        <w:rPr>
          <w:rFonts w:ascii="Arial" w:hAnsi="Arial" w:cs="Arial"/>
          <w:sz w:val="22"/>
          <w:szCs w:val="22"/>
          <w:lang w:val="es-ES_tradnl"/>
        </w:rPr>
        <w:t xml:space="preserve"> pero, además del pago contactless, también pueden emplearse utilizando la banda magnética o el chip.</w:t>
      </w:r>
    </w:p>
    <w:p w14:paraId="4B845C37"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ventajas tienen las tarjetas NFC?</w:t>
      </w:r>
    </w:p>
    <w:p w14:paraId="2FD28E29" w14:textId="77777777" w:rsidR="004E69BA" w:rsidRPr="00CF1B34" w:rsidRDefault="004E69BA"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Casi todas las ventajas de la tecnología NFC radican en su comodidad:</w:t>
      </w:r>
    </w:p>
    <w:p w14:paraId="3BA48F1D" w14:textId="77777777" w:rsidR="004E69BA" w:rsidRPr="00CF1B34" w:rsidRDefault="004E69BA" w:rsidP="004F7A62">
      <w:pPr>
        <w:numPr>
          <w:ilvl w:val="0"/>
          <w:numId w:val="69"/>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comunicación es instantánea.</w:t>
      </w:r>
    </w:p>
    <w:p w14:paraId="33132BAB" w14:textId="77777777" w:rsidR="004E69BA" w:rsidRPr="00CF1B34" w:rsidRDefault="004E69BA" w:rsidP="004F7A62">
      <w:pPr>
        <w:numPr>
          <w:ilvl w:val="0"/>
          <w:numId w:val="69"/>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Permiten, por ejemplo, realizar pagos inferiores a 20€ sin necesidad de utilizar el PIN.</w:t>
      </w:r>
    </w:p>
    <w:p w14:paraId="017F1AB0" w14:textId="77777777" w:rsidR="004E69BA" w:rsidRPr="00CF1B34" w:rsidRDefault="004E69BA" w:rsidP="004F7A62">
      <w:pPr>
        <w:numPr>
          <w:ilvl w:val="0"/>
          <w:numId w:val="69"/>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uso de la tarjeta es mucho más sencillo: acercar, esperar y listo.</w:t>
      </w:r>
    </w:p>
    <w:p w14:paraId="042F8412" w14:textId="77777777" w:rsidR="004E69BA" w:rsidRPr="00CF1B34" w:rsidRDefault="004E69BA" w:rsidP="004F7A62">
      <w:pPr>
        <w:numPr>
          <w:ilvl w:val="0"/>
          <w:numId w:val="69"/>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Al funcionar por proximidad entre dispositivos, esta tecnología es muy segura y elimina el riesgo en los errores de lectura.</w:t>
      </w:r>
    </w:p>
    <w:p w14:paraId="1723E68A"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 tecnología NFC hace posible el pago a través de teléfono móvil. A través de una aplicación, el titular puede registrar sus tarjetas en su teléfono móvil, pagando con él y sin necesidad de mostrar la tarjeta física. El cliente puede elegir, en cada momento, con qué tarjeta quiere pagar y necesidad de llevarlas encima.</w:t>
      </w:r>
    </w:p>
    <w:p w14:paraId="190035D6"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Tarjetas virtuales</w:t>
      </w:r>
    </w:p>
    <w:p w14:paraId="715F1156" w14:textId="5B1BCE19"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tarjeta virtual es un instrumento financiero ideado para realizar pagos online en los que no es necesario presentar una tarjeta física. Las tarjetas virtuales tienen los mismos elementos que existen en las tarjetas físicas, aunque la principal diferencia sea que no hay un soporte físico.</w:t>
      </w:r>
    </w:p>
    <w:p w14:paraId="6729074D"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el uso de este tipo de tarjetas, igual que con las tarjetas convencionales, es necesario conocer el número de identificación de la tarjeta, la fecha de caducidad y el código de seguridad o CVV. En muchas ocasiones su uso se complementa también con validaciones adicionales como la confirmación a través de un código recibido por SMS o confirmación a través de un PIN.</w:t>
      </w:r>
    </w:p>
    <w:p w14:paraId="2C0A06F1"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funciona una tarjeta virtual?</w:t>
      </w:r>
    </w:p>
    <w:p w14:paraId="17B90998"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El funcionamiento de una tarjeta virtual es, en la mayoría de los casos, similar al de una tarjeta prepago y deben ser cargadas desde una cuenta corriente. Una vez consumido el saldo, será necesario volver a cargarlas para poder continuar usándolas. Si ocurriera el </w:t>
      </w:r>
      <w:r w:rsidRPr="00CF1B34">
        <w:rPr>
          <w:rFonts w:ascii="Arial" w:hAnsi="Arial" w:cs="Arial"/>
          <w:sz w:val="22"/>
          <w:szCs w:val="22"/>
          <w:lang w:val="es-ES_tradnl"/>
        </w:rPr>
        <w:lastRenderedPageBreak/>
        <w:t>caso contrario y no agotamos el saldo cargado, el importe existente en la tarjeta virtual siempre podrá ser abonado de nuevo en una cuenta corriente.</w:t>
      </w:r>
    </w:p>
    <w:p w14:paraId="30B1CEFB"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Actualmente existe un mercado de tarjetas virtuales cada vez más amplio, desde algunas tarjetas que tienen una duración de 24 horas hasta aquellas que incluso permiten emitir una tarjeta de crédito virtual.</w:t>
      </w:r>
    </w:p>
    <w:p w14:paraId="305E46F4"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puedo solicitar una tarjeta virtual?</w:t>
      </w:r>
    </w:p>
    <w:p w14:paraId="2BD4DB54"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Muchas entidades financieras ofrecen, a través de su app o su web, la posibilidad de que los clientes soliciten una tarjeta virtual.</w:t>
      </w:r>
    </w:p>
    <w:p w14:paraId="1FEEF371"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Las principales ventajas de las tarjetas virtuales son:</w:t>
      </w:r>
    </w:p>
    <w:p w14:paraId="2CFE0C4B" w14:textId="77777777" w:rsidR="004E69BA" w:rsidRPr="00CF1B34" w:rsidRDefault="004E69BA" w:rsidP="004F7A62">
      <w:pPr>
        <w:numPr>
          <w:ilvl w:val="0"/>
          <w:numId w:val="70"/>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Al funcionar a través de recarga, nos permiten tener un control total sobre los gastos. Nunca será posible sobrepasar el límite ya que este será el dinero que previamente se ha cargado en la tarjeta.</w:t>
      </w:r>
    </w:p>
    <w:p w14:paraId="292A75B6" w14:textId="77777777" w:rsidR="004E69BA" w:rsidRPr="00CF1B34" w:rsidRDefault="004E69BA" w:rsidP="004F7A62">
      <w:pPr>
        <w:numPr>
          <w:ilvl w:val="0"/>
          <w:numId w:val="70"/>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Al tratarse de una tarjeta virtual, no existe la posibilidad de pérdida o robo que tiene la tarjeta física.</w:t>
      </w:r>
    </w:p>
    <w:p w14:paraId="5CF28023" w14:textId="77777777" w:rsidR="004E69BA" w:rsidRPr="00CF1B34" w:rsidRDefault="004E69BA" w:rsidP="004F7A62">
      <w:pPr>
        <w:numPr>
          <w:ilvl w:val="0"/>
          <w:numId w:val="70"/>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Posee todas las condiciones de seguridad que tienen el resto de tarjetas.</w:t>
      </w:r>
    </w:p>
    <w:p w14:paraId="5E2AA152" w14:textId="77777777" w:rsidR="004E69BA" w:rsidRPr="00CF1B34" w:rsidRDefault="004E69BA" w:rsidP="004F7A62">
      <w:pPr>
        <w:numPr>
          <w:ilvl w:val="0"/>
          <w:numId w:val="70"/>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tarjetas virtuales son emitidas de forma gratuita y no tienen comisiones de mantenimiento.</w:t>
      </w:r>
    </w:p>
    <w:p w14:paraId="7B3AFD82"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Por su seguridad, el uso de este tipo de tarjetas es una opción muy recomendada para realizar compras online.</w:t>
      </w:r>
    </w:p>
    <w:p w14:paraId="7FB04FCA" w14:textId="64287D04"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Tasa anual equivalente, TAE</w:t>
      </w:r>
    </w:p>
    <w:p w14:paraId="48B16F13" w14:textId="77777777" w:rsidR="004E69BA" w:rsidRPr="00CF1B34" w:rsidRDefault="009A24B4" w:rsidP="0005621A">
      <w:pPr>
        <w:shd w:val="clear" w:color="auto" w:fill="FFFFFF"/>
        <w:spacing w:before="100" w:beforeAutospacing="1" w:after="100" w:afterAutospacing="1"/>
        <w:ind w:left="708"/>
        <w:jc w:val="both"/>
        <w:rPr>
          <w:rFonts w:ascii="Arial" w:hAnsi="Arial" w:cs="Arial"/>
          <w:color w:val="191B1C"/>
          <w:sz w:val="22"/>
          <w:szCs w:val="22"/>
          <w:lang w:val="es-ES_tradnl"/>
        </w:rPr>
      </w:pPr>
      <w:r w:rsidRPr="00CF1B34">
        <w:rPr>
          <w:rFonts w:ascii="Arial" w:hAnsi="Arial" w:cs="Arial"/>
          <w:color w:val="212529"/>
          <w:sz w:val="22"/>
          <w:szCs w:val="22"/>
          <w:lang w:val="es-ES_tradnl"/>
        </w:rPr>
        <w:t>Es un tipo de interés teórico a un año, que permite establecer comparaciones entre activos con distintos plazos de vencimiento y condiciones contractuales. Mediante una fórmula matemática, se obtiene el tipo anual que, en un momento dado, igualaría el valor de la inversión con el valor actual de todos los flujos previstos de cobros y pagos (cupones, amortización del principal, etc).</w:t>
      </w:r>
      <w:r w:rsidR="004E69BA" w:rsidRPr="00CF1B34">
        <w:rPr>
          <w:rFonts w:ascii="Arial" w:hAnsi="Arial" w:cs="Arial"/>
          <w:color w:val="191B1C"/>
          <w:sz w:val="22"/>
          <w:szCs w:val="22"/>
          <w:lang w:val="es-ES_tradnl"/>
        </w:rPr>
        <w:t xml:space="preserve"> </w:t>
      </w:r>
    </w:p>
    <w:p w14:paraId="4E3158F2" w14:textId="77385F6A" w:rsidR="004E69BA" w:rsidRPr="00CF1B34" w:rsidRDefault="004E69BA" w:rsidP="004F7A62">
      <w:pPr>
        <w:numPr>
          <w:ilvl w:val="0"/>
          <w:numId w:val="71"/>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El tipo de interés nominal.</w:t>
      </w:r>
    </w:p>
    <w:p w14:paraId="562E24E3" w14:textId="77777777" w:rsidR="004E69BA" w:rsidRPr="00CF1B34" w:rsidRDefault="004E69BA" w:rsidP="004F7A62">
      <w:pPr>
        <w:numPr>
          <w:ilvl w:val="0"/>
          <w:numId w:val="71"/>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Las comisiones.</w:t>
      </w:r>
    </w:p>
    <w:p w14:paraId="434A04A9" w14:textId="77777777" w:rsidR="004E69BA" w:rsidRPr="00CF1B34" w:rsidRDefault="004E69BA" w:rsidP="004F7A62">
      <w:pPr>
        <w:numPr>
          <w:ilvl w:val="0"/>
          <w:numId w:val="71"/>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El plazo de amortización del préstamo.</w:t>
      </w:r>
    </w:p>
    <w:p w14:paraId="09A1AC54"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 TAE es un indicador porcentual que se aplica en los productos de ahorro, los préstamos hipotecarios y los créditos personales o créditos al consumo.</w:t>
      </w:r>
    </w:p>
    <w:p w14:paraId="1A5CB955"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objetivo de la TAE es conocer, en todo momento y con la mayor transparencia, el valor real de la operación con un interés fijo durante el periodo de tiempo en que se asume el préstamo.</w:t>
      </w:r>
    </w:p>
    <w:p w14:paraId="723EA8CC"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Desde el año 1990, año en que el Banco de España creo la TAE, se aplica en todos los préstamos mencionados anteriormente y surge con la idea de conocer en todo momento, la cuantía real del dinero a devolver a la entidad financiera, tras la aprobación y aceptación de un préstamo. Anteriormente, se aplicaba únicamente el TIN (Tipo de Interés Nominal).</w:t>
      </w:r>
    </w:p>
    <w:p w14:paraId="68DE9FC7" w14:textId="77777777" w:rsidR="004E69BA" w:rsidRPr="00CF1B34" w:rsidRDefault="004E69BA"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Ejemplo de TAE de un préstamo bancario</w:t>
      </w:r>
    </w:p>
    <w:p w14:paraId="3FA4974B"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La Tasa Anual Equivalente es la cantidad final que debes abonar al banco por prestarte el dinero, incluyendo los gastos extra.</w:t>
      </w:r>
    </w:p>
    <w:p w14:paraId="284CF7B5" w14:textId="77777777" w:rsidR="004E69BA" w:rsidRPr="00CF1B34" w:rsidRDefault="004E69BA"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Veamos un ejemplo de TAE</w:t>
      </w:r>
    </w:p>
    <w:p w14:paraId="2BC79DF7"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Ana solicita a su entidad bancaria un préstamo de 100.000 euros. El banco tiene como ventaja competitiva un préstamo al 1,5% TAE. Ana, tendrá que pagar finalmente a su entidad bancaria por el valor total del préstamo: 101.500 euros, es decir, 1.500 euros es la TAE que deberá asumir por el préstamo.</w:t>
      </w:r>
    </w:p>
    <w:p w14:paraId="2403E3F3" w14:textId="77777777" w:rsidR="004E69BA" w:rsidRPr="00CF1B34" w:rsidRDefault="004E69BA"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Diferencia entre TAE y TIN</w:t>
      </w:r>
    </w:p>
    <w:p w14:paraId="444CA53D"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TIN, a diferencia del TAE, excluye algunos conceptos relevantes para el cliente como las comisiones y el plazo o periodo de tiempo del préstamo, es decir, el TIN corresponde a la cantidad de dinero que debes pagar al banco, únicamente, en concepto de intereses por el préstamo recibido.</w:t>
      </w:r>
    </w:p>
    <w:p w14:paraId="4B6BE555" w14:textId="77777777" w:rsidR="004E69BA" w:rsidRPr="00CF1B34" w:rsidRDefault="004E69BA"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En qué tipo de productos se aplica la TAE</w:t>
      </w:r>
    </w:p>
    <w:p w14:paraId="0549D55C"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Podremos encontrar la Tasa Anual Equivalente en tres tipos de productos financieros: productos de ahorro, prestamos hipotecarios y préstamos personales o al consumo.</w:t>
      </w:r>
    </w:p>
    <w:p w14:paraId="7C8AD7FA" w14:textId="77777777" w:rsidR="004E69BA" w:rsidRPr="00CF1B34" w:rsidRDefault="004E69BA" w:rsidP="004F7A62">
      <w:pPr>
        <w:numPr>
          <w:ilvl w:val="0"/>
          <w:numId w:val="72"/>
        </w:numPr>
        <w:shd w:val="clear" w:color="auto" w:fill="FFFFFF"/>
        <w:spacing w:before="100" w:beforeAutospacing="1" w:after="100" w:afterAutospacing="1"/>
        <w:jc w:val="both"/>
        <w:rPr>
          <w:rFonts w:ascii="Arial" w:hAnsi="Arial" w:cs="Arial"/>
          <w:color w:val="191B1C"/>
          <w:sz w:val="22"/>
          <w:szCs w:val="22"/>
          <w:lang w:val="es-ES_tradnl"/>
        </w:rPr>
      </w:pPr>
      <w:r w:rsidRPr="00CF1B34">
        <w:rPr>
          <w:rStyle w:val="Textoennegrita"/>
          <w:rFonts w:ascii="Arial" w:hAnsi="Arial" w:cs="Arial"/>
          <w:color w:val="191B1C"/>
          <w:sz w:val="22"/>
          <w:szCs w:val="22"/>
          <w:lang w:val="es-ES_tradnl"/>
        </w:rPr>
        <w:t>TAE en productos de ahorro</w:t>
      </w:r>
      <w:r w:rsidRPr="00CF1B34">
        <w:rPr>
          <w:rFonts w:ascii="Arial" w:hAnsi="Arial" w:cs="Arial"/>
          <w:color w:val="191B1C"/>
          <w:sz w:val="22"/>
          <w:szCs w:val="22"/>
          <w:lang w:val="es-ES_tradnl"/>
        </w:rPr>
        <w:br/>
        <w:t>Se aplica, básicamente, a cuentas remuneradas o seguros. En estos casos la TAE indica el beneficio o las ganancias que se adquieren por el dinero depositado.</w:t>
      </w:r>
    </w:p>
    <w:p w14:paraId="758C7C71" w14:textId="18A6CA9E" w:rsidR="004E69BA" w:rsidRPr="00CF1B34" w:rsidRDefault="004E69BA" w:rsidP="004F7A62">
      <w:pPr>
        <w:numPr>
          <w:ilvl w:val="0"/>
          <w:numId w:val="72"/>
        </w:numPr>
        <w:shd w:val="clear" w:color="auto" w:fill="FFFFFF"/>
        <w:spacing w:before="100" w:beforeAutospacing="1" w:after="100" w:afterAutospacing="1"/>
        <w:jc w:val="both"/>
        <w:rPr>
          <w:rFonts w:ascii="Arial" w:hAnsi="Arial" w:cs="Arial"/>
          <w:color w:val="191B1C"/>
          <w:sz w:val="22"/>
          <w:szCs w:val="22"/>
          <w:lang w:val="es-ES_tradnl"/>
        </w:rPr>
      </w:pPr>
      <w:r w:rsidRPr="00CF1B34">
        <w:rPr>
          <w:rStyle w:val="Textoennegrita"/>
          <w:rFonts w:ascii="Arial" w:hAnsi="Arial" w:cs="Arial"/>
          <w:color w:val="191B1C"/>
          <w:sz w:val="22"/>
          <w:szCs w:val="22"/>
          <w:lang w:val="es-ES_tradnl"/>
        </w:rPr>
        <w:t>TAE en préstamos hipotecarios</w:t>
      </w:r>
      <w:r w:rsidRPr="00CF1B34">
        <w:rPr>
          <w:rFonts w:ascii="Arial" w:hAnsi="Arial" w:cs="Arial"/>
          <w:color w:val="191B1C"/>
          <w:sz w:val="22"/>
          <w:szCs w:val="22"/>
          <w:lang w:val="es-ES_tradnl"/>
        </w:rPr>
        <w:br/>
        <w:t>En el caso de los préstamos hipotecarios, al tener un periodo de devolución superior a un año, la TAE puede fluctuar ligeramente con la cantidad final a devolver por parte del cliente. Es por eso que, en este escenario, se suele hipotecar la casa como garantía de pago al banco o la entidad financiera, logrando con ello que la TAE no incluya determinados gastos extra como la tasación del inmueble, los impuestos a abonar a las administraciones públicas, entre otros gastos que debemos asumir a la hora de pedir un préstamo hipotecario.</w:t>
      </w:r>
    </w:p>
    <w:p w14:paraId="6A24D943" w14:textId="046D2054"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Textoennegrita"/>
          <w:rFonts w:ascii="Arial" w:hAnsi="Arial" w:cs="Arial"/>
          <w:color w:val="191B1C"/>
          <w:sz w:val="22"/>
          <w:szCs w:val="22"/>
          <w:lang w:val="es-ES_tradnl"/>
        </w:rPr>
        <w:t>TAE en préstamos personales</w:t>
      </w:r>
      <w:r w:rsidRPr="00CF1B34">
        <w:rPr>
          <w:rFonts w:ascii="Arial" w:hAnsi="Arial" w:cs="Arial"/>
          <w:color w:val="191B1C"/>
          <w:sz w:val="22"/>
          <w:szCs w:val="22"/>
          <w:lang w:val="es-ES_tradnl"/>
        </w:rPr>
        <w:br/>
        <w:t>En el caso de los préstamos personales o préstamos al consumo, la TAE refleja el coste real a la hora de la devolver el préstamo a la entidad bancaria o financiera.</w:t>
      </w:r>
    </w:p>
    <w:p w14:paraId="29F1FD75" w14:textId="316BC59A" w:rsidR="009A24B4" w:rsidRPr="00CF1B34" w:rsidRDefault="00426BE4" w:rsidP="0005621A">
      <w:pPr>
        <w:pStyle w:val="Sinespaciado"/>
        <w:jc w:val="both"/>
        <w:rPr>
          <w:rFonts w:ascii="Arial" w:hAnsi="Arial" w:cs="Arial"/>
          <w:b/>
          <w:bCs/>
          <w:color w:val="2F5496" w:themeColor="accent1" w:themeShade="BF"/>
          <w:lang w:val="es-ES_tradnl"/>
        </w:rPr>
      </w:pPr>
      <w:r w:rsidRPr="00CF1B34">
        <w:rPr>
          <w:rFonts w:ascii="Arial" w:hAnsi="Arial" w:cs="Arial"/>
          <w:b/>
          <w:bCs/>
          <w:color w:val="2F5496" w:themeColor="accent1" w:themeShade="BF"/>
          <w:lang w:val="es-ES_tradnl"/>
        </w:rPr>
        <w:t>Tasa de rendimiento actuarial</w:t>
      </w:r>
    </w:p>
    <w:p w14:paraId="5871415E" w14:textId="77777777" w:rsidR="007F4546" w:rsidRPr="00CF1B34" w:rsidRDefault="007F454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lang w:val="es-ES_tradnl"/>
        </w:rPr>
        <w:t>Tasa de rendimiento real de una obligación teniendo en cuenta las fechas de entrega el cupón, del reembolso del mismo y de las eventuales primas de emisión y reembolso.</w:t>
      </w:r>
    </w:p>
    <w:p w14:paraId="44A5EEF2" w14:textId="65C3D544" w:rsidR="00426BE4" w:rsidRPr="00CF1B34" w:rsidRDefault="00426BE4" w:rsidP="0005621A">
      <w:pPr>
        <w:pStyle w:val="Sinespaciado"/>
        <w:jc w:val="both"/>
        <w:rPr>
          <w:rFonts w:ascii="Arial" w:hAnsi="Arial" w:cs="Arial"/>
          <w:b/>
          <w:bCs/>
          <w:color w:val="2F5496" w:themeColor="accent1" w:themeShade="BF"/>
          <w:lang w:val="es-ES_tradnl"/>
        </w:rPr>
      </w:pPr>
      <w:r w:rsidRPr="00CF1B34">
        <w:rPr>
          <w:rFonts w:ascii="Arial" w:hAnsi="Arial" w:cs="Arial"/>
          <w:b/>
          <w:bCs/>
          <w:color w:val="2F5496" w:themeColor="accent1" w:themeShade="BF"/>
          <w:lang w:val="es-ES_tradnl"/>
        </w:rPr>
        <w:t>Tasa de rendimiento nominal</w:t>
      </w:r>
    </w:p>
    <w:p w14:paraId="13D16D72" w14:textId="77777777" w:rsidR="007F4546" w:rsidRPr="00CF1B34" w:rsidRDefault="007F454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lang w:val="es-ES_tradnl"/>
        </w:rPr>
        <w:t>Tasa de rendimiento aparente de una obligación, anunciada con ocasión de una emisión.</w:t>
      </w:r>
    </w:p>
    <w:p w14:paraId="54099420" w14:textId="0023562D" w:rsidR="00C37F4B" w:rsidRDefault="00C37F4B"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Tasa interior de retorno (TIR)</w:t>
      </w:r>
    </w:p>
    <w:p w14:paraId="28C3AF41" w14:textId="77777777" w:rsidR="00C37F4B" w:rsidRPr="00CF1B34" w:rsidRDefault="00C37F4B" w:rsidP="00C37F4B">
      <w:pPr>
        <w:pBdr>
          <w:bottom w:val="dotted" w:sz="12" w:space="12" w:color="666666"/>
        </w:pBdr>
        <w:spacing w:after="240"/>
        <w:ind w:left="720"/>
        <w:jc w:val="both"/>
        <w:rPr>
          <w:rFonts w:ascii="Arial" w:hAnsi="Arial" w:cs="Arial"/>
          <w:color w:val="212529"/>
          <w:sz w:val="22"/>
          <w:szCs w:val="22"/>
          <w:lang w:val="es-ES_tradnl"/>
        </w:rPr>
      </w:pPr>
      <w:r w:rsidRPr="00C37F4B">
        <w:rPr>
          <w:rFonts w:ascii="Arial" w:hAnsi="Arial" w:cs="Arial"/>
          <w:color w:val="333333"/>
          <w:sz w:val="22"/>
          <w:szCs w:val="22"/>
          <w:shd w:val="clear" w:color="auto" w:fill="FFFFFF"/>
        </w:rPr>
        <w:t xml:space="preserve">La </w:t>
      </w:r>
      <w:r w:rsidRPr="00C37F4B">
        <w:rPr>
          <w:rStyle w:val="Textoennegrita"/>
          <w:rFonts w:ascii="Arial" w:hAnsi="Arial" w:cs="Arial"/>
          <w:color w:val="333333"/>
          <w:sz w:val="22"/>
          <w:szCs w:val="22"/>
          <w:shd w:val="clear" w:color="auto" w:fill="FFFFFF"/>
        </w:rPr>
        <w:t xml:space="preserve">TIR </w:t>
      </w:r>
      <w:r w:rsidRPr="00C37F4B">
        <w:rPr>
          <w:rFonts w:ascii="Arial" w:hAnsi="Arial" w:cs="Arial"/>
          <w:color w:val="333333"/>
          <w:sz w:val="22"/>
          <w:szCs w:val="22"/>
          <w:shd w:val="clear" w:color="auto" w:fill="FFFFFF"/>
        </w:rPr>
        <w:t>o</w:t>
      </w:r>
      <w:r w:rsidRPr="00C37F4B">
        <w:rPr>
          <w:rStyle w:val="Textoennegrita"/>
          <w:rFonts w:ascii="Arial" w:hAnsi="Arial" w:cs="Arial"/>
          <w:color w:val="333333"/>
          <w:sz w:val="22"/>
          <w:szCs w:val="22"/>
          <w:shd w:val="clear" w:color="auto" w:fill="FFFFFF"/>
        </w:rPr>
        <w:t xml:space="preserve"> tasa interior de retorno</w:t>
      </w:r>
      <w:r w:rsidRPr="00C37F4B">
        <w:rPr>
          <w:rFonts w:ascii="Arial" w:hAnsi="Arial" w:cs="Arial"/>
          <w:color w:val="333333"/>
          <w:sz w:val="22"/>
          <w:szCs w:val="22"/>
          <w:shd w:val="clear" w:color="auto" w:fill="FFFFFF"/>
        </w:rPr>
        <w:t xml:space="preserve"> mide la rentabilidad de un proyecto o inversión y se define como la tasa de interés con la cual el valor neto o valor presente neto (VAN o VPN) </w:t>
      </w:r>
      <w:r w:rsidRPr="00C37F4B">
        <w:rPr>
          <w:rFonts w:ascii="Arial" w:hAnsi="Arial" w:cs="Arial"/>
          <w:color w:val="333333"/>
          <w:sz w:val="22"/>
          <w:szCs w:val="22"/>
          <w:shd w:val="clear" w:color="auto" w:fill="FFFFFF"/>
        </w:rPr>
        <w:lastRenderedPageBreak/>
        <w:t>es igual a cero.</w:t>
      </w:r>
      <w:r>
        <w:rPr>
          <w:rFonts w:ascii="Open Sans" w:hAnsi="Open Sans" w:cs="Open Sans"/>
          <w:color w:val="333333"/>
          <w:shd w:val="clear" w:color="auto" w:fill="FFFFFF"/>
        </w:rPr>
        <w:t xml:space="preserve"> </w:t>
      </w:r>
      <w:r w:rsidRPr="00C37F4B">
        <w:rPr>
          <w:rFonts w:ascii="Arial" w:hAnsi="Arial" w:cs="Arial"/>
          <w:color w:val="333333"/>
          <w:sz w:val="22"/>
          <w:szCs w:val="22"/>
          <w:shd w:val="clear" w:color="auto" w:fill="FFFFFF"/>
        </w:rPr>
        <w:t>Para calcular esos valores VAN o VPN se utiliza el flujo de caja o cash flow anual.</w:t>
      </w:r>
    </w:p>
    <w:p w14:paraId="1097D1E2" w14:textId="38EF4C56"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Tasación</w:t>
      </w:r>
    </w:p>
    <w:p w14:paraId="2B5B80FA"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 tasación es la acción de asignar un valor a un objeto por medio de un documento que elabora un profesional experto, donde establece, en función de una serie de variables justificas, el valor de un bien de acuerdo con unas características estipuladas.</w:t>
      </w:r>
    </w:p>
    <w:p w14:paraId="0A576F95"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tasaciones están reguladas por una normativa que tiene como objetivo establecer los criterios y metodología para realizarla. Esta normativa también establece qué profesionales están cualificados para hacerla.</w:t>
      </w:r>
    </w:p>
    <w:p w14:paraId="57605B0E"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tipo de tasaciones hay?</w:t>
      </w:r>
    </w:p>
    <w:p w14:paraId="2691FD35" w14:textId="77777777" w:rsidR="004E69BA" w:rsidRPr="00CF1B34" w:rsidRDefault="004E69BA"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Las tasaciones más habituales son las siguientes:</w:t>
      </w:r>
    </w:p>
    <w:p w14:paraId="49AB9AEB" w14:textId="77777777" w:rsidR="004E69BA" w:rsidRPr="00CF1B34" w:rsidRDefault="004E69BA" w:rsidP="004F7A62">
      <w:pPr>
        <w:numPr>
          <w:ilvl w:val="0"/>
          <w:numId w:val="7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Tasación de pisos.</w:t>
      </w:r>
    </w:p>
    <w:p w14:paraId="5762F9D8" w14:textId="77777777" w:rsidR="004E69BA" w:rsidRPr="00CF1B34" w:rsidRDefault="004E69BA" w:rsidP="004F7A62">
      <w:pPr>
        <w:numPr>
          <w:ilvl w:val="0"/>
          <w:numId w:val="7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Tasación de viviendas unifamiliares.</w:t>
      </w:r>
    </w:p>
    <w:p w14:paraId="0B17B075" w14:textId="77777777" w:rsidR="004E69BA" w:rsidRPr="00CF1B34" w:rsidRDefault="004E69BA" w:rsidP="004F7A62">
      <w:pPr>
        <w:numPr>
          <w:ilvl w:val="0"/>
          <w:numId w:val="7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Tasación de fincas.</w:t>
      </w:r>
    </w:p>
    <w:p w14:paraId="26D93BF1" w14:textId="77777777" w:rsidR="004E69BA" w:rsidRPr="00CF1B34" w:rsidRDefault="004E69BA" w:rsidP="004F7A62">
      <w:pPr>
        <w:numPr>
          <w:ilvl w:val="0"/>
          <w:numId w:val="7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Tasación judicial.</w:t>
      </w:r>
    </w:p>
    <w:p w14:paraId="76DD524E" w14:textId="77777777" w:rsidR="004E69BA" w:rsidRPr="00CF1B34" w:rsidRDefault="004E69BA" w:rsidP="004F7A62">
      <w:pPr>
        <w:numPr>
          <w:ilvl w:val="0"/>
          <w:numId w:val="7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Tasación de vehículos a motor: coches, motocicletas, etc.</w:t>
      </w:r>
    </w:p>
    <w:p w14:paraId="23AB7EA9" w14:textId="77777777" w:rsidR="004E69BA" w:rsidRPr="00CF1B34" w:rsidRDefault="004E69BA" w:rsidP="0005621A">
      <w:pPr>
        <w:spacing w:after="100" w:afterAutospacing="1"/>
        <w:ind w:firstLine="495"/>
        <w:jc w:val="both"/>
        <w:outlineLvl w:val="2"/>
        <w:rPr>
          <w:rFonts w:ascii="Arial" w:hAnsi="Arial" w:cs="Arial"/>
          <w:sz w:val="22"/>
          <w:szCs w:val="22"/>
          <w:lang w:val="es-ES_tradnl"/>
        </w:rPr>
      </w:pPr>
      <w:r w:rsidRPr="00CF1B34">
        <w:rPr>
          <w:rFonts w:ascii="Arial" w:hAnsi="Arial" w:cs="Arial"/>
          <w:b/>
          <w:bCs/>
          <w:sz w:val="22"/>
          <w:szCs w:val="22"/>
          <w:lang w:val="es-ES_tradnl"/>
        </w:rPr>
        <w:t>Tasación inmobiliaria:</w:t>
      </w:r>
    </w:p>
    <w:p w14:paraId="0526EAD8"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tasación está relacionada con el entorno inmobiliario: pisos, viviendas unifamiliares, locales, fincas, etc. El informe de tasación define el precio de mercado del inmueble tasado, en función de la oferta y la demanda, en un momento determinado.</w:t>
      </w:r>
    </w:p>
    <w:p w14:paraId="410C24F4"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Algunas de las variables más relevantes de la tasación son las dimensiones, el estado de conservación, ubicación o el entorno. En la actualidad, existen personas capacitadas para hacer este tipo de valoraciones, pero, además, existen aplicaciones tecnológicas o informática que también lo pueden hacer.</w:t>
      </w:r>
    </w:p>
    <w:p w14:paraId="09F27F3C"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En el caso de que quieras pedir una hipoteca, la tasación es un documento imprescindible a la hora de efectuar dicha operación. En este caso, una tasación hipotecaria debe ser emitida por una consultora o gestora de tasaciones homologada y, además, para que sea legal, debe estar firmada por un experto competente. Actualmente, la empresa tasadora es asignada por una gestoría externa al banco con el fin de tener un informe lo más objetivo posible.</w:t>
      </w:r>
    </w:p>
    <w:p w14:paraId="3707C510" w14:textId="77777777" w:rsidR="004E69BA" w:rsidRPr="00CF1B34" w:rsidRDefault="004E69BA" w:rsidP="0005621A">
      <w:pPr>
        <w:spacing w:after="100" w:afterAutospacing="1"/>
        <w:ind w:firstLine="495"/>
        <w:jc w:val="both"/>
        <w:outlineLvl w:val="2"/>
        <w:rPr>
          <w:rFonts w:ascii="Arial" w:hAnsi="Arial" w:cs="Arial"/>
          <w:sz w:val="22"/>
          <w:szCs w:val="22"/>
          <w:lang w:val="es-ES_tradnl"/>
        </w:rPr>
      </w:pPr>
      <w:r w:rsidRPr="00CF1B34">
        <w:rPr>
          <w:rFonts w:ascii="Arial" w:hAnsi="Arial" w:cs="Arial"/>
          <w:b/>
          <w:bCs/>
          <w:sz w:val="22"/>
          <w:szCs w:val="22"/>
          <w:lang w:val="es-ES_tradnl"/>
        </w:rPr>
        <w:t>Tasación judicial</w:t>
      </w:r>
    </w:p>
    <w:p w14:paraId="401FCD5B"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caso más común de una tasación judicial ocurre cuando se ha producido un siniestro y hay que darle un valor al bien o bienes que se han visto deteriorado. Este informe se hace para valorar el importe a solicitar a la compañía de seguros o a la parte responsable del siniestro.</w:t>
      </w:r>
    </w:p>
    <w:p w14:paraId="1F15EE08" w14:textId="77777777" w:rsidR="004E69BA" w:rsidRPr="00CF1B34" w:rsidRDefault="004E69BA" w:rsidP="0005621A">
      <w:pPr>
        <w:spacing w:after="100" w:afterAutospacing="1"/>
        <w:ind w:firstLine="495"/>
        <w:jc w:val="both"/>
        <w:outlineLvl w:val="2"/>
        <w:rPr>
          <w:rFonts w:ascii="Arial" w:hAnsi="Arial" w:cs="Arial"/>
          <w:sz w:val="22"/>
          <w:szCs w:val="22"/>
          <w:lang w:val="es-ES_tradnl"/>
        </w:rPr>
      </w:pPr>
      <w:r w:rsidRPr="00CF1B34">
        <w:rPr>
          <w:rFonts w:ascii="Arial" w:hAnsi="Arial" w:cs="Arial"/>
          <w:b/>
          <w:bCs/>
          <w:sz w:val="22"/>
          <w:szCs w:val="22"/>
          <w:lang w:val="es-ES_tradnl"/>
        </w:rPr>
        <w:t>Tasación de vehículos</w:t>
      </w:r>
    </w:p>
    <w:p w14:paraId="275977CF"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asaciones de vehículos suelen realizarse después de un accidente o en el momento en que se ha decido poner a la venta el vehículo.</w:t>
      </w:r>
    </w:p>
    <w:p w14:paraId="2E55FDF1"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lastRenderedPageBreak/>
        <w:t>¿Qué aspectos comprenden las tasaciones inmobiliarias?</w:t>
      </w:r>
    </w:p>
    <w:p w14:paraId="33FBD3CE" w14:textId="77777777" w:rsidR="004E69BA" w:rsidRPr="00CF1B34" w:rsidRDefault="004E69BA"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El informe de tasación tiene en cuenta los siguientes aspectos:</w:t>
      </w:r>
    </w:p>
    <w:p w14:paraId="5EF943BA" w14:textId="77777777" w:rsidR="004E69BA" w:rsidRPr="00CF1B34" w:rsidRDefault="004E69BA" w:rsidP="004F7A62">
      <w:pPr>
        <w:numPr>
          <w:ilvl w:val="0"/>
          <w:numId w:val="7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Ubicación de la vivienda mediante el registro catastral.</w:t>
      </w:r>
    </w:p>
    <w:p w14:paraId="1BA811C3" w14:textId="77777777" w:rsidR="004E69BA" w:rsidRPr="00CF1B34" w:rsidRDefault="004E69BA" w:rsidP="004F7A62">
      <w:pPr>
        <w:numPr>
          <w:ilvl w:val="0"/>
          <w:numId w:val="7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Metros cuadrados de superficie, distribución, número de dormitorios, baños, calidades constructivas, instalaciones visibles, reformas, si el inmueble es exterior o interior, si tiene ascensor, etc.</w:t>
      </w:r>
    </w:p>
    <w:p w14:paraId="19BE1B7E" w14:textId="77777777" w:rsidR="004E69BA" w:rsidRPr="00CF1B34" w:rsidRDefault="004E69BA" w:rsidP="004F7A62">
      <w:pPr>
        <w:numPr>
          <w:ilvl w:val="0"/>
          <w:numId w:val="7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Entorno y servicios, tales como supermercados, parques, polideportivos, colegios u otros servicios útiles.</w:t>
      </w:r>
    </w:p>
    <w:p w14:paraId="2D316659" w14:textId="77777777" w:rsidR="004E69BA" w:rsidRPr="00CF1B34" w:rsidRDefault="004E69BA" w:rsidP="004F7A62">
      <w:pPr>
        <w:numPr>
          <w:ilvl w:val="0"/>
          <w:numId w:val="7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Estado de conservación.</w:t>
      </w:r>
    </w:p>
    <w:p w14:paraId="5B30394D" w14:textId="77777777" w:rsidR="004E69BA" w:rsidRPr="00CF1B34" w:rsidRDefault="004E69BA" w:rsidP="004F7A62">
      <w:pPr>
        <w:numPr>
          <w:ilvl w:val="0"/>
          <w:numId w:val="7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Uso de la vivienda: alquiler, uso turístico, etc.</w:t>
      </w:r>
    </w:p>
    <w:p w14:paraId="486415A3"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Régimen de protección en el supuesto de ser vivienda pública.</w:t>
      </w:r>
    </w:p>
    <w:p w14:paraId="43953BC2" w14:textId="7777777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Tasa de descuento</w:t>
      </w:r>
    </w:p>
    <w:p w14:paraId="4F225B8A" w14:textId="7E9E67C1"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Tipo de interés que se utiliza para calcular el valor actual de los flujos de fondos que se obtendrán en el futuro. Cuanto mayor es la tasa de descuento, menor es el valor actual. Ver</w:t>
      </w:r>
      <w:r w:rsidR="00DC376E">
        <w:rPr>
          <w:rFonts w:ascii="Arial" w:hAnsi="Arial" w:cs="Arial"/>
          <w:color w:val="212529"/>
          <w:sz w:val="22"/>
          <w:szCs w:val="22"/>
          <w:lang w:val="es-ES_tradnl"/>
        </w:rPr>
        <w:t xml:space="preserve"> </w:t>
      </w:r>
      <w:hyperlink r:id="rId350" w:tgtFrame="_self" w:history="1">
        <w:r w:rsidRPr="00DC376E">
          <w:rPr>
            <w:rFonts w:ascii="Arial" w:hAnsi="Arial" w:cs="Arial"/>
            <w:b/>
            <w:bCs/>
            <w:color w:val="2F5496" w:themeColor="accent1" w:themeShade="BF"/>
            <w:sz w:val="22"/>
            <w:szCs w:val="22"/>
            <w:u w:val="single"/>
            <w:lang w:val="es-ES_tradnl"/>
          </w:rPr>
          <w:t>Valor actual neto de una inversión, VAN</w:t>
        </w:r>
      </w:hyperlink>
      <w:r w:rsidRPr="00DC376E">
        <w:rPr>
          <w:rFonts w:ascii="Arial" w:hAnsi="Arial" w:cs="Arial"/>
          <w:color w:val="2F5496" w:themeColor="accent1" w:themeShade="BF"/>
          <w:sz w:val="22"/>
          <w:szCs w:val="22"/>
          <w:lang w:val="es-ES_tradnl"/>
        </w:rPr>
        <w:t>.</w:t>
      </w:r>
    </w:p>
    <w:p w14:paraId="741EA3B5" w14:textId="7777777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Tasa de reparto de dividendos</w:t>
      </w:r>
    </w:p>
    <w:p w14:paraId="567B4A24"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Porcentaje de los beneficios totales obtenidos en el ejercicio que se destina a remunerar a los accionistas mediante el pago de dividendos. Se calcula como cociente entre el dividendo y el beneficio neto.</w:t>
      </w:r>
    </w:p>
    <w:p w14:paraId="52D83CCA" w14:textId="7777777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Tasa interna de rentabilidad, TIR</w:t>
      </w:r>
    </w:p>
    <w:p w14:paraId="4CA0F8EF" w14:textId="64AF13A9"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el tipo de interés al que se descuentan los flujos futuros de cobros y pagos previstos en una inversión, para igualarlos con el valor inicial de la misma (obteniéndose un Valor actual neto igual a 0). Indica la rentabilidad de la inversión, es decir, el tipo al que resulta indiferente disponer del capital en el momento actual, o diferir su disponibilidad hasta las fechas de cobro previstas. Ver</w:t>
      </w:r>
      <w:r w:rsidR="00DC376E">
        <w:rPr>
          <w:rFonts w:ascii="Arial" w:hAnsi="Arial" w:cs="Arial"/>
          <w:color w:val="212529"/>
          <w:sz w:val="22"/>
          <w:szCs w:val="22"/>
          <w:lang w:val="es-ES_tradnl"/>
        </w:rPr>
        <w:t xml:space="preserve"> </w:t>
      </w:r>
      <w:hyperlink r:id="rId351" w:tgtFrame="_self" w:history="1">
        <w:r w:rsidRPr="00DC376E">
          <w:rPr>
            <w:rFonts w:ascii="Arial" w:hAnsi="Arial" w:cs="Arial"/>
            <w:b/>
            <w:bCs/>
            <w:color w:val="2F5496" w:themeColor="accent1" w:themeShade="BF"/>
            <w:sz w:val="22"/>
            <w:szCs w:val="22"/>
            <w:u w:val="single"/>
            <w:lang w:val="es-ES_tradnl"/>
          </w:rPr>
          <w:t>Valor actual neto de una inversión, VAN</w:t>
        </w:r>
      </w:hyperlink>
      <w:r w:rsidRPr="00DC376E">
        <w:rPr>
          <w:rFonts w:ascii="Arial" w:hAnsi="Arial" w:cs="Arial"/>
          <w:color w:val="2F5496" w:themeColor="accent1" w:themeShade="BF"/>
          <w:sz w:val="22"/>
          <w:szCs w:val="22"/>
          <w:lang w:val="es-ES_tradnl"/>
        </w:rPr>
        <w:t>.</w:t>
      </w:r>
    </w:p>
    <w:p w14:paraId="7359426F" w14:textId="1DF43098" w:rsidR="00D21EC8" w:rsidRDefault="00D21EC8"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Tasa Tobin</w:t>
      </w:r>
    </w:p>
    <w:p w14:paraId="1A3BC0D2" w14:textId="77777777" w:rsidR="00D21EC8" w:rsidRPr="00CF1B34" w:rsidRDefault="00D21EC8" w:rsidP="00D21EC8">
      <w:pPr>
        <w:pBdr>
          <w:bottom w:val="dotted" w:sz="12" w:space="12" w:color="666666"/>
        </w:pBdr>
        <w:spacing w:after="240"/>
        <w:ind w:left="720"/>
        <w:jc w:val="both"/>
        <w:rPr>
          <w:rFonts w:ascii="Arial" w:hAnsi="Arial" w:cs="Arial"/>
          <w:color w:val="212529"/>
          <w:sz w:val="22"/>
          <w:szCs w:val="22"/>
          <w:lang w:val="es-ES_tradnl"/>
        </w:rPr>
      </w:pPr>
      <w:r w:rsidRPr="00D21EC8">
        <w:rPr>
          <w:rFonts w:ascii="Arial" w:hAnsi="Arial" w:cs="Arial"/>
          <w:color w:val="191B1C"/>
          <w:sz w:val="22"/>
          <w:szCs w:val="22"/>
          <w:shd w:val="clear" w:color="auto" w:fill="FFFFFF"/>
        </w:rPr>
        <w:t>La</w:t>
      </w:r>
      <w:r>
        <w:rPr>
          <w:rFonts w:ascii="Arial" w:hAnsi="Arial" w:cs="Arial"/>
          <w:color w:val="191B1C"/>
          <w:sz w:val="22"/>
          <w:szCs w:val="22"/>
          <w:shd w:val="clear" w:color="auto" w:fill="FFFFFF"/>
        </w:rPr>
        <w:t xml:space="preserve"> </w:t>
      </w:r>
      <w:r w:rsidRPr="00D21EC8">
        <w:rPr>
          <w:rStyle w:val="Textoennegrita"/>
          <w:rFonts w:ascii="Arial" w:hAnsi="Arial" w:cs="Arial"/>
          <w:color w:val="191B1C"/>
          <w:sz w:val="22"/>
          <w:szCs w:val="22"/>
          <w:shd w:val="clear" w:color="auto" w:fill="FFFFFF"/>
        </w:rPr>
        <w:t>Tasa Tobin</w:t>
      </w:r>
      <w:r>
        <w:rPr>
          <w:rFonts w:ascii="Arial" w:hAnsi="Arial" w:cs="Arial"/>
          <w:color w:val="191B1C"/>
          <w:sz w:val="22"/>
          <w:szCs w:val="22"/>
          <w:shd w:val="clear" w:color="auto" w:fill="FFFFFF"/>
        </w:rPr>
        <w:t xml:space="preserve"> </w:t>
      </w:r>
      <w:r w:rsidRPr="00D21EC8">
        <w:rPr>
          <w:rFonts w:ascii="Arial" w:hAnsi="Arial" w:cs="Arial"/>
          <w:color w:val="191B1C"/>
          <w:sz w:val="22"/>
          <w:szCs w:val="22"/>
          <w:shd w:val="clear" w:color="auto" w:fill="FFFFFF"/>
        </w:rPr>
        <w:t>es un</w:t>
      </w:r>
      <w:r>
        <w:rPr>
          <w:rFonts w:ascii="Arial" w:hAnsi="Arial" w:cs="Arial"/>
          <w:color w:val="191B1C"/>
          <w:sz w:val="22"/>
          <w:szCs w:val="22"/>
          <w:shd w:val="clear" w:color="auto" w:fill="FFFFFF"/>
        </w:rPr>
        <w:t xml:space="preserve"> </w:t>
      </w:r>
      <w:r w:rsidRPr="00D21EC8">
        <w:rPr>
          <w:rStyle w:val="Textoennegrita"/>
          <w:rFonts w:ascii="Arial" w:hAnsi="Arial" w:cs="Arial"/>
          <w:color w:val="191B1C"/>
          <w:sz w:val="22"/>
          <w:szCs w:val="22"/>
          <w:shd w:val="clear" w:color="auto" w:fill="FFFFFF"/>
        </w:rPr>
        <w:t>impuesto a las transacciones financieras</w:t>
      </w:r>
      <w:r>
        <w:rPr>
          <w:rFonts w:ascii="Arial" w:hAnsi="Arial" w:cs="Arial"/>
          <w:color w:val="191B1C"/>
          <w:sz w:val="22"/>
          <w:szCs w:val="22"/>
          <w:shd w:val="clear" w:color="auto" w:fill="FFFFFF"/>
        </w:rPr>
        <w:t xml:space="preserve"> </w:t>
      </w:r>
      <w:r w:rsidRPr="00D21EC8">
        <w:rPr>
          <w:rFonts w:ascii="Arial" w:hAnsi="Arial" w:cs="Arial"/>
          <w:color w:val="191B1C"/>
          <w:sz w:val="22"/>
          <w:szCs w:val="22"/>
          <w:shd w:val="clear" w:color="auto" w:fill="FFFFFF"/>
        </w:rPr>
        <w:t>(ITF)</w:t>
      </w:r>
      <w:r>
        <w:rPr>
          <w:rFonts w:ascii="Arial" w:hAnsi="Arial" w:cs="Arial"/>
          <w:color w:val="191B1C"/>
          <w:sz w:val="22"/>
          <w:szCs w:val="22"/>
          <w:shd w:val="clear" w:color="auto" w:fill="FFFFFF"/>
          <w:vertAlign w:val="superscript"/>
        </w:rPr>
        <w:t xml:space="preserve"> </w:t>
      </w:r>
      <w:r w:rsidRPr="00D21EC8">
        <w:rPr>
          <w:rFonts w:ascii="Arial" w:hAnsi="Arial" w:cs="Arial"/>
          <w:color w:val="191B1C"/>
          <w:sz w:val="22"/>
          <w:szCs w:val="22"/>
          <w:shd w:val="clear" w:color="auto" w:fill="FFFFFF"/>
        </w:rPr>
        <w:t>que repercute con un 0’2% sobre la compra de acciones de empresas españolas con una capitalización bursátil mayor a 1.000M€, sobre el importe efectivo de la operación, sin tener en cuenta los gastos.</w:t>
      </w:r>
    </w:p>
    <w:p w14:paraId="07CDAD99" w14:textId="185D9514" w:rsidR="00C37F4B" w:rsidRDefault="00C37F4B"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Tasas de tráfico</w:t>
      </w:r>
    </w:p>
    <w:p w14:paraId="471B93C3" w14:textId="78F13D8F" w:rsidR="00C37F4B" w:rsidRPr="00CF1B34" w:rsidRDefault="00C37F4B" w:rsidP="00C37F4B">
      <w:pPr>
        <w:pBdr>
          <w:bottom w:val="dotted" w:sz="12" w:space="12" w:color="666666"/>
        </w:pBdr>
        <w:spacing w:after="240"/>
        <w:ind w:left="720"/>
        <w:jc w:val="both"/>
        <w:rPr>
          <w:rFonts w:ascii="Arial" w:hAnsi="Arial" w:cs="Arial"/>
          <w:color w:val="212529"/>
          <w:sz w:val="22"/>
          <w:szCs w:val="22"/>
          <w:lang w:val="es-ES_tradnl"/>
        </w:rPr>
      </w:pPr>
      <w:r w:rsidRPr="00C37F4B">
        <w:rPr>
          <w:rFonts w:ascii="Arial" w:hAnsi="Arial" w:cs="Arial"/>
          <w:color w:val="474747"/>
          <w:sz w:val="22"/>
          <w:szCs w:val="22"/>
          <w:shd w:val="clear" w:color="auto" w:fill="FFFFFF"/>
        </w:rPr>
        <w:t>Puede que hayas oído sobre ellas como 'tasas de tráfico', que es como las suelen llamar en las autoescuelas, o como 'tasas DGT'. Es exactamente lo mismo y, en cualquier caso,</w:t>
      </w:r>
      <w:r w:rsidR="002C0A35">
        <w:rPr>
          <w:rFonts w:ascii="Arial" w:hAnsi="Arial" w:cs="Arial"/>
          <w:color w:val="474747"/>
          <w:sz w:val="22"/>
          <w:szCs w:val="22"/>
          <w:shd w:val="clear" w:color="auto" w:fill="FFFFFF"/>
        </w:rPr>
        <w:t xml:space="preserve"> </w:t>
      </w:r>
      <w:r w:rsidRPr="00C37F4B">
        <w:rPr>
          <w:rFonts w:ascii="Arial" w:hAnsi="Arial" w:cs="Arial"/>
          <w:color w:val="040C28"/>
          <w:sz w:val="22"/>
          <w:szCs w:val="22"/>
          <w:shd w:val="clear" w:color="auto" w:fill="D3E3FD"/>
        </w:rPr>
        <w:t>son los precios que impone la Dirección General de Tráfico para determinados trámites</w:t>
      </w:r>
      <w:r w:rsidRPr="00C37F4B">
        <w:rPr>
          <w:rFonts w:ascii="Arial" w:hAnsi="Arial" w:cs="Arial"/>
          <w:color w:val="474747"/>
          <w:sz w:val="22"/>
          <w:szCs w:val="22"/>
          <w:shd w:val="clear" w:color="auto" w:fill="FFFFFF"/>
        </w:rPr>
        <w:t>.</w:t>
      </w:r>
    </w:p>
    <w:p w14:paraId="567AC3B6" w14:textId="1F6A3EF9"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Tendencia</w:t>
      </w:r>
    </w:p>
    <w:p w14:paraId="3EB3039F"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Es el sentido (positivo o negativo) en el que se mueven los precios de los activos analizados. Se produce como consecuencia de los desequilibrios entre oferta y demanda: </w:t>
      </w:r>
      <w:r w:rsidRPr="00CF1B34">
        <w:rPr>
          <w:rFonts w:ascii="Arial" w:hAnsi="Arial" w:cs="Arial"/>
          <w:color w:val="212529"/>
          <w:sz w:val="22"/>
          <w:szCs w:val="22"/>
          <w:lang w:val="es-ES_tradnl"/>
        </w:rPr>
        <w:lastRenderedPageBreak/>
        <w:t>cuando la demanda supera a la oferta, los precios tienden a subir y se habla de tendencia alcista. Por el contrario, si hay más oferta que demanda la tendencia es bajista.</w:t>
      </w:r>
    </w:p>
    <w:p w14:paraId="3D8CA53D" w14:textId="011C2FCF" w:rsidR="004E69BA" w:rsidRPr="00CF1B34" w:rsidRDefault="00426BE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Tendencia alcista</w:t>
      </w:r>
    </w:p>
    <w:p w14:paraId="7BE537CA" w14:textId="70BA7934" w:rsidR="007F4546" w:rsidRPr="00CF1B34" w:rsidRDefault="007F454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Secuencia temporal en la que los m</w:t>
      </w:r>
      <w:r w:rsidR="00DC376E">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nimos son crecientes.</w:t>
      </w:r>
    </w:p>
    <w:p w14:paraId="019EFFB0" w14:textId="139833FD" w:rsidR="00426BE4" w:rsidRPr="00CF1B34" w:rsidRDefault="00426BE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Tendencia bajista</w:t>
      </w:r>
    </w:p>
    <w:p w14:paraId="4C47E034" w14:textId="77777777" w:rsidR="007F4546" w:rsidRPr="00CF1B34" w:rsidRDefault="007F4546"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Secuencia temporal en la que los máximos so decrecientes.</w:t>
      </w:r>
    </w:p>
    <w:p w14:paraId="0B786217" w14:textId="03E3CB4F" w:rsidR="00D973A4" w:rsidRDefault="00D973A4"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Teoría de cartera</w:t>
      </w:r>
    </w:p>
    <w:p w14:paraId="53BAD352" w14:textId="4A124495" w:rsidR="00D973A4" w:rsidRPr="00D973A4" w:rsidRDefault="00D973A4" w:rsidP="00250942">
      <w:pPr>
        <w:ind w:left="708"/>
        <w:jc w:val="both"/>
        <w:outlineLvl w:val="1"/>
        <w:rPr>
          <w:rFonts w:ascii="Arial" w:hAnsi="Arial" w:cs="Arial"/>
          <w:color w:val="000000" w:themeColor="text1"/>
          <w:sz w:val="22"/>
          <w:szCs w:val="22"/>
          <w:lang w:val="es-ES_tradnl"/>
        </w:rPr>
      </w:pPr>
      <w:r w:rsidRPr="00D973A4">
        <w:rPr>
          <w:rFonts w:ascii="Arial" w:hAnsi="Arial" w:cs="Arial"/>
          <w:color w:val="000000" w:themeColor="text1"/>
          <w:sz w:val="22"/>
          <w:szCs w:val="22"/>
          <w:lang w:val="es-ES_tradnl"/>
        </w:rPr>
        <w:t xml:space="preserve">La teoría de cartera es un modelo financiero que explica a los inversionistas como poder combinar de forma eficiente diferentes activos financieros en una cartera de </w:t>
      </w:r>
      <w:r w:rsidR="00F50FB3">
        <w:rPr>
          <w:rFonts w:ascii="Arial" w:hAnsi="Arial" w:cs="Arial"/>
          <w:color w:val="000000" w:themeColor="text1"/>
          <w:sz w:val="22"/>
          <w:szCs w:val="22"/>
          <w:lang w:val="es-ES_tradnl"/>
        </w:rPr>
        <w:t xml:space="preserve">inversión </w:t>
      </w:r>
    </w:p>
    <w:p w14:paraId="3DBA7617" w14:textId="34F31E0F" w:rsidR="00F50FB3" w:rsidRPr="00F50FB3" w:rsidRDefault="00F50FB3" w:rsidP="00250942">
      <w:pPr>
        <w:ind w:left="708"/>
        <w:rPr>
          <w:rFonts w:ascii="Arial" w:hAnsi="Arial" w:cs="Arial"/>
          <w:color w:val="212529"/>
          <w:sz w:val="22"/>
          <w:szCs w:val="22"/>
          <w:shd w:val="clear" w:color="auto" w:fill="FFFFFF"/>
        </w:rPr>
      </w:pPr>
      <w:r w:rsidRPr="00F50FB3">
        <w:rPr>
          <w:rFonts w:ascii="Arial" w:hAnsi="Arial" w:cs="Arial"/>
          <w:color w:val="212529"/>
          <w:sz w:val="22"/>
          <w:szCs w:val="22"/>
          <w:shd w:val="clear" w:color="auto" w:fill="FFFFFF"/>
        </w:rPr>
        <w:t>En otras palabras, la teoría de cartera se centra en la correcta combinación de</w:t>
      </w:r>
      <w:r>
        <w:rPr>
          <w:rFonts w:ascii="Arial" w:hAnsi="Arial" w:cs="Arial"/>
          <w:color w:val="212529"/>
          <w:sz w:val="22"/>
          <w:szCs w:val="22"/>
          <w:shd w:val="clear" w:color="auto" w:fill="FFFFFF"/>
        </w:rPr>
        <w:t xml:space="preserve"> </w:t>
      </w:r>
      <w:hyperlink r:id="rId352" w:anchor=":~:text=Tabla%20de%20contenidos&amp;text=Un%20activo%20financiero%20es%20un,y%20el%20efectivo%20que%20generen." w:history="1"/>
      <w:r>
        <w:rPr>
          <w:rFonts w:ascii="Arial" w:hAnsi="Arial" w:cs="Arial"/>
          <w:sz w:val="22"/>
          <w:szCs w:val="22"/>
        </w:rPr>
        <w:t xml:space="preserve"> activos financieros </w:t>
      </w:r>
      <w:r w:rsidRPr="00F50FB3">
        <w:rPr>
          <w:rFonts w:ascii="Arial" w:hAnsi="Arial" w:cs="Arial"/>
          <w:color w:val="212529"/>
          <w:sz w:val="22"/>
          <w:szCs w:val="22"/>
          <w:shd w:val="clear" w:color="auto" w:fill="FFFFFF"/>
        </w:rPr>
        <w:t>de un</w:t>
      </w:r>
      <w:r>
        <w:rPr>
          <w:rFonts w:ascii="Arial" w:hAnsi="Arial" w:cs="Arial"/>
          <w:color w:val="212529"/>
          <w:sz w:val="22"/>
          <w:szCs w:val="22"/>
          <w:shd w:val="clear" w:color="auto" w:fill="FFFFFF"/>
        </w:rPr>
        <w:t xml:space="preserve"> </w:t>
      </w:r>
      <w:r>
        <w:rPr>
          <w:rFonts w:ascii="Arial" w:hAnsi="Arial" w:cs="Arial"/>
          <w:sz w:val="22"/>
          <w:szCs w:val="22"/>
        </w:rPr>
        <w:t>portafolio de inversión</w:t>
      </w:r>
      <w:r w:rsidRPr="00F50FB3">
        <w:rPr>
          <w:rFonts w:ascii="Arial" w:hAnsi="Arial" w:cs="Arial"/>
          <w:color w:val="212529"/>
          <w:sz w:val="22"/>
          <w:szCs w:val="22"/>
          <w:shd w:val="clear" w:color="auto" w:fill="FFFFFF"/>
        </w:rPr>
        <w:t>. Con la finalidad de que el</w:t>
      </w:r>
      <w:r>
        <w:rPr>
          <w:rFonts w:ascii="Arial" w:hAnsi="Arial" w:cs="Arial"/>
          <w:color w:val="212529"/>
          <w:sz w:val="22"/>
          <w:szCs w:val="22"/>
          <w:shd w:val="clear" w:color="auto" w:fill="FFFFFF"/>
        </w:rPr>
        <w:t xml:space="preserve"> inversor </w:t>
      </w:r>
      <w:r w:rsidRPr="00F50FB3">
        <w:rPr>
          <w:rFonts w:ascii="Arial" w:hAnsi="Arial" w:cs="Arial"/>
          <w:color w:val="212529"/>
          <w:sz w:val="22"/>
          <w:szCs w:val="22"/>
          <w:shd w:val="clear" w:color="auto" w:fill="FFFFFF"/>
        </w:rPr>
        <w:t>logre obtener los máximos</w:t>
      </w:r>
      <w:r>
        <w:rPr>
          <w:rFonts w:ascii="Arial" w:hAnsi="Arial" w:cs="Arial"/>
          <w:color w:val="212529"/>
          <w:sz w:val="22"/>
          <w:szCs w:val="22"/>
          <w:shd w:val="clear" w:color="auto" w:fill="FFFFFF"/>
        </w:rPr>
        <w:t xml:space="preserve"> </w:t>
      </w:r>
      <w:r>
        <w:rPr>
          <w:rFonts w:ascii="Arial" w:hAnsi="Arial" w:cs="Arial"/>
          <w:sz w:val="22"/>
          <w:szCs w:val="22"/>
        </w:rPr>
        <w:t>rendimientos</w:t>
      </w:r>
      <w:r>
        <w:rPr>
          <w:rFonts w:ascii="Arial" w:hAnsi="Arial" w:cs="Arial"/>
          <w:color w:val="212529"/>
          <w:sz w:val="22"/>
          <w:szCs w:val="22"/>
          <w:shd w:val="clear" w:color="auto" w:fill="FFFFFF"/>
        </w:rPr>
        <w:t xml:space="preserve"> </w:t>
      </w:r>
      <w:r w:rsidRPr="00F50FB3">
        <w:rPr>
          <w:rFonts w:ascii="Arial" w:hAnsi="Arial" w:cs="Arial"/>
          <w:color w:val="212529"/>
          <w:sz w:val="22"/>
          <w:szCs w:val="22"/>
          <w:shd w:val="clear" w:color="auto" w:fill="FFFFFF"/>
        </w:rPr>
        <w:t>posibles. Pero, al mismo tiempo, logre minimizar el impacto de los</w:t>
      </w:r>
      <w:r>
        <w:rPr>
          <w:rFonts w:ascii="Arial" w:hAnsi="Arial" w:cs="Arial"/>
          <w:color w:val="212529"/>
          <w:sz w:val="22"/>
          <w:szCs w:val="22"/>
          <w:shd w:val="clear" w:color="auto" w:fill="FFFFFF"/>
        </w:rPr>
        <w:t xml:space="preserve"> riesgos </w:t>
      </w:r>
      <w:r w:rsidRPr="00F50FB3">
        <w:rPr>
          <w:rFonts w:ascii="Arial" w:hAnsi="Arial" w:cs="Arial"/>
          <w:color w:val="212529"/>
          <w:sz w:val="22"/>
          <w:szCs w:val="22"/>
          <w:shd w:val="clear" w:color="auto" w:fill="FFFFFF"/>
        </w:rPr>
        <w:t>que se pueden presentar</w:t>
      </w:r>
    </w:p>
    <w:p w14:paraId="47BA0823" w14:textId="2016D935" w:rsidR="00D973A4" w:rsidRDefault="00F50FB3" w:rsidP="00250942">
      <w:pPr>
        <w:ind w:firstLine="708"/>
        <w:jc w:val="both"/>
        <w:outlineLvl w:val="1"/>
        <w:rPr>
          <w:rFonts w:ascii="Arial" w:hAnsi="Arial" w:cs="Arial"/>
          <w:color w:val="000000" w:themeColor="text1"/>
          <w:sz w:val="22"/>
          <w:szCs w:val="22"/>
          <w:lang w:val="es-ES_tradnl"/>
        </w:rPr>
      </w:pPr>
      <w:r>
        <w:rPr>
          <w:rFonts w:ascii="Arial" w:hAnsi="Arial" w:cs="Arial"/>
          <w:color w:val="000000" w:themeColor="text1"/>
          <w:sz w:val="22"/>
          <w:szCs w:val="22"/>
          <w:lang w:val="es-ES_tradnl"/>
        </w:rPr>
        <w:t>Conceptos importantes para entender esta teoría</w:t>
      </w:r>
    </w:p>
    <w:p w14:paraId="0A816AAF" w14:textId="3CFD9178" w:rsidR="00F50FB3" w:rsidRDefault="00F50FB3" w:rsidP="00250942">
      <w:pPr>
        <w:ind w:left="708"/>
        <w:jc w:val="both"/>
        <w:outlineLvl w:val="1"/>
        <w:rPr>
          <w:rFonts w:ascii="Arial" w:hAnsi="Arial" w:cs="Arial"/>
          <w:color w:val="000000" w:themeColor="text1"/>
          <w:sz w:val="22"/>
          <w:szCs w:val="22"/>
          <w:lang w:val="es-ES_tradnl"/>
        </w:rPr>
      </w:pPr>
      <w:r>
        <w:rPr>
          <w:rFonts w:ascii="Arial" w:hAnsi="Arial" w:cs="Arial"/>
          <w:color w:val="000000" w:themeColor="text1"/>
          <w:sz w:val="22"/>
          <w:szCs w:val="22"/>
          <w:lang w:val="es-ES_tradnl"/>
        </w:rPr>
        <w:t>1.</w:t>
      </w:r>
      <w:r w:rsidR="00A47284">
        <w:rPr>
          <w:rFonts w:ascii="Arial" w:hAnsi="Arial" w:cs="Arial"/>
          <w:color w:val="000000" w:themeColor="text1"/>
          <w:sz w:val="22"/>
          <w:szCs w:val="22"/>
          <w:lang w:val="es-ES_tradnl"/>
        </w:rPr>
        <w:t xml:space="preserve"> </w:t>
      </w:r>
      <w:r>
        <w:rPr>
          <w:rFonts w:ascii="Arial" w:hAnsi="Arial" w:cs="Arial"/>
          <w:color w:val="000000" w:themeColor="text1"/>
          <w:sz w:val="22"/>
          <w:szCs w:val="22"/>
          <w:lang w:val="es-ES_tradnl"/>
        </w:rPr>
        <w:t>Diversificación. Estrategia de inversión que se emplea para combinar diversos activos</w:t>
      </w:r>
      <w:r w:rsidR="00FF56EB">
        <w:rPr>
          <w:rFonts w:ascii="Arial" w:hAnsi="Arial" w:cs="Arial"/>
          <w:color w:val="000000" w:themeColor="text1"/>
          <w:sz w:val="22"/>
          <w:szCs w:val="22"/>
          <w:lang w:val="es-ES_tradnl"/>
        </w:rPr>
        <w:t xml:space="preserve"> </w:t>
      </w:r>
      <w:r>
        <w:rPr>
          <w:rFonts w:ascii="Arial" w:hAnsi="Arial" w:cs="Arial"/>
          <w:color w:val="000000" w:themeColor="text1"/>
          <w:sz w:val="22"/>
          <w:szCs w:val="22"/>
          <w:lang w:val="es-ES_tradnl"/>
        </w:rPr>
        <w:t>parte de un portafolio de inversión.</w:t>
      </w:r>
    </w:p>
    <w:p w14:paraId="5E7CBC4C" w14:textId="5B1CA092" w:rsidR="00F50FB3" w:rsidRDefault="00F50FB3" w:rsidP="00250942">
      <w:pPr>
        <w:ind w:left="708"/>
        <w:jc w:val="both"/>
        <w:outlineLvl w:val="1"/>
        <w:rPr>
          <w:rFonts w:ascii="Arial" w:hAnsi="Arial" w:cs="Arial"/>
          <w:color w:val="000000" w:themeColor="text1"/>
          <w:sz w:val="22"/>
          <w:szCs w:val="22"/>
          <w:lang w:val="es-ES_tradnl"/>
        </w:rPr>
      </w:pPr>
      <w:r>
        <w:rPr>
          <w:rFonts w:ascii="Arial" w:hAnsi="Arial" w:cs="Arial"/>
          <w:color w:val="000000" w:themeColor="text1"/>
          <w:sz w:val="22"/>
          <w:szCs w:val="22"/>
          <w:lang w:val="es-ES_tradnl"/>
        </w:rPr>
        <w:t>2. Frontera eficiente. Curva que permite representar de manera gráfica la combinación de los distintos activos de una cartera.</w:t>
      </w:r>
    </w:p>
    <w:p w14:paraId="26CEEACD" w14:textId="1F76DB31" w:rsidR="00F50FB3" w:rsidRDefault="00F50FB3" w:rsidP="00250942">
      <w:pPr>
        <w:ind w:left="708"/>
        <w:jc w:val="both"/>
        <w:outlineLvl w:val="1"/>
        <w:rPr>
          <w:rFonts w:ascii="Arial" w:hAnsi="Arial" w:cs="Arial"/>
          <w:color w:val="000000" w:themeColor="text1"/>
          <w:sz w:val="22"/>
          <w:szCs w:val="22"/>
          <w:lang w:val="es-ES_tradnl"/>
        </w:rPr>
      </w:pPr>
      <w:r>
        <w:rPr>
          <w:rFonts w:ascii="Arial" w:hAnsi="Arial" w:cs="Arial"/>
          <w:color w:val="000000" w:themeColor="text1"/>
          <w:sz w:val="22"/>
          <w:szCs w:val="22"/>
          <w:lang w:val="es-ES_tradnl"/>
        </w:rPr>
        <w:t>3. Activo libre de riesgo. Es un activo que produce una tasa de rendimiento que se mantiene constante y sin tener ningún riesgo asociado.</w:t>
      </w:r>
    </w:p>
    <w:p w14:paraId="2DC3A584" w14:textId="219CC055" w:rsidR="00F50FB3" w:rsidRDefault="00F50FB3" w:rsidP="00250942">
      <w:pPr>
        <w:ind w:left="708"/>
        <w:jc w:val="both"/>
        <w:outlineLvl w:val="1"/>
        <w:rPr>
          <w:rFonts w:ascii="Arial" w:hAnsi="Arial" w:cs="Arial"/>
          <w:color w:val="000000" w:themeColor="text1"/>
          <w:sz w:val="22"/>
          <w:szCs w:val="22"/>
          <w:lang w:val="es-ES_tradnl"/>
        </w:rPr>
      </w:pPr>
      <w:r>
        <w:rPr>
          <w:rFonts w:ascii="Arial" w:hAnsi="Arial" w:cs="Arial"/>
          <w:color w:val="000000" w:themeColor="text1"/>
          <w:sz w:val="22"/>
          <w:szCs w:val="22"/>
          <w:lang w:val="es-ES_tradnl"/>
        </w:rPr>
        <w:t xml:space="preserve">4. Coeficiente Sharpe. Mide en </w:t>
      </w:r>
      <w:r w:rsidR="00FF56EB">
        <w:rPr>
          <w:rFonts w:ascii="Arial" w:hAnsi="Arial" w:cs="Arial"/>
          <w:color w:val="000000" w:themeColor="text1"/>
          <w:sz w:val="22"/>
          <w:szCs w:val="22"/>
          <w:lang w:val="es-ES_tradnl"/>
        </w:rPr>
        <w:t>t</w:t>
      </w:r>
      <w:r>
        <w:rPr>
          <w:rFonts w:ascii="Arial" w:hAnsi="Arial" w:cs="Arial"/>
          <w:color w:val="000000" w:themeColor="text1"/>
          <w:sz w:val="22"/>
          <w:szCs w:val="22"/>
          <w:lang w:val="es-ES_tradnl"/>
        </w:rPr>
        <w:t>érminos n</w:t>
      </w:r>
      <w:r w:rsidR="00FF56EB">
        <w:rPr>
          <w:rFonts w:ascii="Arial" w:hAnsi="Arial" w:cs="Arial"/>
          <w:color w:val="000000" w:themeColor="text1"/>
          <w:sz w:val="22"/>
          <w:szCs w:val="22"/>
          <w:lang w:val="es-ES_tradnl"/>
        </w:rPr>
        <w:t>u</w:t>
      </w:r>
      <w:r>
        <w:rPr>
          <w:rFonts w:ascii="Arial" w:hAnsi="Arial" w:cs="Arial"/>
          <w:color w:val="000000" w:themeColor="text1"/>
          <w:sz w:val="22"/>
          <w:szCs w:val="22"/>
          <w:lang w:val="es-ES_tradnl"/>
        </w:rPr>
        <w:t>m</w:t>
      </w:r>
      <w:r w:rsidR="00FF56EB">
        <w:rPr>
          <w:rFonts w:ascii="Arial" w:hAnsi="Arial" w:cs="Arial"/>
          <w:color w:val="000000" w:themeColor="text1"/>
          <w:sz w:val="22"/>
          <w:szCs w:val="22"/>
          <w:lang w:val="es-ES_tradnl"/>
        </w:rPr>
        <w:t>é</w:t>
      </w:r>
      <w:r>
        <w:rPr>
          <w:rFonts w:ascii="Arial" w:hAnsi="Arial" w:cs="Arial"/>
          <w:color w:val="000000" w:themeColor="text1"/>
          <w:sz w:val="22"/>
          <w:szCs w:val="22"/>
          <w:lang w:val="es-ES_tradnl"/>
        </w:rPr>
        <w:t>ricos la relación entre la rentabilidad y la volatilidad histórica o la desviación estándar de un activo.</w:t>
      </w:r>
      <w:r w:rsidR="00FF56EB">
        <w:rPr>
          <w:rFonts w:ascii="Arial" w:hAnsi="Arial" w:cs="Arial"/>
          <w:color w:val="000000" w:themeColor="text1"/>
          <w:sz w:val="22"/>
          <w:szCs w:val="22"/>
          <w:lang w:val="es-ES_tradnl"/>
        </w:rPr>
        <w:t xml:space="preserve"> En otras palabras, mide el rendimiento ajustado al riesgo de la inversión.</w:t>
      </w:r>
    </w:p>
    <w:p w14:paraId="158B5273" w14:textId="4108BD3F" w:rsidR="00FF56EB" w:rsidRPr="00F50FB3" w:rsidRDefault="00FF56EB" w:rsidP="00250942">
      <w:pPr>
        <w:ind w:left="708"/>
        <w:jc w:val="both"/>
        <w:outlineLvl w:val="1"/>
        <w:rPr>
          <w:rFonts w:ascii="Arial" w:hAnsi="Arial" w:cs="Arial"/>
          <w:color w:val="000000" w:themeColor="text1"/>
          <w:sz w:val="22"/>
          <w:szCs w:val="22"/>
          <w:lang w:val="es-ES_tradnl"/>
        </w:rPr>
      </w:pPr>
      <w:r>
        <w:rPr>
          <w:rFonts w:ascii="Arial" w:hAnsi="Arial" w:cs="Arial"/>
          <w:color w:val="000000" w:themeColor="text1"/>
          <w:sz w:val="22"/>
          <w:szCs w:val="22"/>
          <w:lang w:val="es-ES_tradnl"/>
        </w:rPr>
        <w:t>5. Rebalanceo. Sirve par air realizando ajustes en el peso de los activos de inversión de la cartera según como cambia el mercado.</w:t>
      </w:r>
    </w:p>
    <w:p w14:paraId="40B5FF56" w14:textId="6A97E1CF" w:rsidR="00D973A4" w:rsidRDefault="00FF56EB" w:rsidP="00250942">
      <w:pPr>
        <w:ind w:firstLine="708"/>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 xml:space="preserve">Ventajas </w:t>
      </w:r>
    </w:p>
    <w:p w14:paraId="5FBEC266" w14:textId="00399B0A" w:rsidR="00FF56EB" w:rsidRDefault="00FF56EB" w:rsidP="00250942">
      <w:pPr>
        <w:ind w:left="708"/>
        <w:jc w:val="both"/>
        <w:outlineLvl w:val="1"/>
        <w:rPr>
          <w:rFonts w:ascii="Arial" w:hAnsi="Arial" w:cs="Arial"/>
          <w:color w:val="000000" w:themeColor="text1"/>
          <w:sz w:val="22"/>
          <w:szCs w:val="22"/>
          <w:lang w:val="es-ES_tradnl"/>
        </w:rPr>
      </w:pPr>
      <w:r w:rsidRPr="00FF56EB">
        <w:rPr>
          <w:rFonts w:ascii="Arial" w:hAnsi="Arial" w:cs="Arial"/>
          <w:color w:val="000000" w:themeColor="text1"/>
          <w:sz w:val="22"/>
          <w:szCs w:val="22"/>
          <w:lang w:val="es-ES_tradnl"/>
        </w:rPr>
        <w:t>a.</w:t>
      </w:r>
      <w:r w:rsidR="00A47284">
        <w:rPr>
          <w:rFonts w:ascii="Arial" w:hAnsi="Arial" w:cs="Arial"/>
          <w:color w:val="000000" w:themeColor="text1"/>
          <w:sz w:val="22"/>
          <w:szCs w:val="22"/>
          <w:lang w:val="es-ES_tradnl"/>
        </w:rPr>
        <w:t xml:space="preserve"> </w:t>
      </w:r>
      <w:r w:rsidRPr="00FF56EB">
        <w:rPr>
          <w:rFonts w:ascii="Arial" w:hAnsi="Arial" w:cs="Arial"/>
          <w:color w:val="000000" w:themeColor="text1"/>
          <w:sz w:val="22"/>
          <w:szCs w:val="22"/>
          <w:lang w:val="es-ES_tradnl"/>
        </w:rPr>
        <w:t>Re</w:t>
      </w:r>
      <w:r>
        <w:rPr>
          <w:rFonts w:ascii="Arial" w:hAnsi="Arial" w:cs="Arial"/>
          <w:color w:val="000000" w:themeColor="text1"/>
          <w:sz w:val="22"/>
          <w:szCs w:val="22"/>
          <w:lang w:val="es-ES_tradnl"/>
        </w:rPr>
        <w:t>ducción del Riesgo. Al diversificar la cartera se minimiza el riesgo. Gestión del riesgo más efectiva.</w:t>
      </w:r>
    </w:p>
    <w:p w14:paraId="2712417F" w14:textId="5A11A44E" w:rsidR="00FF56EB" w:rsidRDefault="00FF56EB" w:rsidP="00250942">
      <w:pPr>
        <w:ind w:left="708"/>
        <w:jc w:val="both"/>
        <w:outlineLvl w:val="1"/>
        <w:rPr>
          <w:rFonts w:ascii="Arial" w:hAnsi="Arial" w:cs="Arial"/>
          <w:color w:val="000000" w:themeColor="text1"/>
          <w:sz w:val="22"/>
          <w:szCs w:val="22"/>
          <w:lang w:val="es-ES_tradnl"/>
        </w:rPr>
      </w:pPr>
      <w:r>
        <w:rPr>
          <w:rFonts w:ascii="Arial" w:hAnsi="Arial" w:cs="Arial"/>
          <w:color w:val="000000" w:themeColor="text1"/>
          <w:sz w:val="22"/>
          <w:szCs w:val="22"/>
          <w:lang w:val="es-ES_tradnl"/>
        </w:rPr>
        <w:t>b. Optimización del rendimiento. Se logra la combinación optima que permite obtener los mayores rendimientos de acuerda a la tolerancia del riesgo.</w:t>
      </w:r>
    </w:p>
    <w:p w14:paraId="71D92D28" w14:textId="1B0093FA" w:rsidR="00FF56EB" w:rsidRDefault="00FF56EB" w:rsidP="00250942">
      <w:pPr>
        <w:ind w:left="708"/>
        <w:jc w:val="both"/>
        <w:outlineLvl w:val="1"/>
        <w:rPr>
          <w:rFonts w:ascii="Arial" w:hAnsi="Arial" w:cs="Arial"/>
          <w:color w:val="000000" w:themeColor="text1"/>
          <w:sz w:val="22"/>
          <w:szCs w:val="22"/>
          <w:lang w:val="es-ES_tradnl"/>
        </w:rPr>
      </w:pPr>
      <w:r>
        <w:rPr>
          <w:rFonts w:ascii="Arial" w:hAnsi="Arial" w:cs="Arial"/>
          <w:color w:val="000000" w:themeColor="text1"/>
          <w:sz w:val="22"/>
          <w:szCs w:val="22"/>
          <w:lang w:val="es-ES_tradnl"/>
        </w:rPr>
        <w:t>c. tomar decisiones racionales</w:t>
      </w:r>
      <w:r w:rsidR="00A47284">
        <w:rPr>
          <w:rFonts w:ascii="Arial" w:hAnsi="Arial" w:cs="Arial"/>
          <w:color w:val="000000" w:themeColor="text1"/>
          <w:sz w:val="22"/>
          <w:szCs w:val="22"/>
          <w:lang w:val="es-ES_tradnl"/>
        </w:rPr>
        <w:t>. La inversión se basa en datos numéricos y analizando el comportamiento histórico.</w:t>
      </w:r>
    </w:p>
    <w:p w14:paraId="6C765D8F" w14:textId="4DFA6BA6" w:rsidR="00A47284" w:rsidRPr="00FF56EB" w:rsidRDefault="00A47284" w:rsidP="00250942">
      <w:pPr>
        <w:ind w:left="708"/>
        <w:jc w:val="both"/>
        <w:outlineLvl w:val="1"/>
        <w:rPr>
          <w:rFonts w:ascii="Arial" w:hAnsi="Arial" w:cs="Arial"/>
          <w:color w:val="000000" w:themeColor="text1"/>
          <w:sz w:val="22"/>
          <w:szCs w:val="22"/>
          <w:lang w:val="es-ES_tradnl"/>
        </w:rPr>
      </w:pPr>
      <w:r>
        <w:rPr>
          <w:rFonts w:ascii="Arial" w:hAnsi="Arial" w:cs="Arial"/>
          <w:color w:val="000000" w:themeColor="text1"/>
          <w:sz w:val="22"/>
          <w:szCs w:val="22"/>
          <w:lang w:val="es-ES_tradnl"/>
        </w:rPr>
        <w:t>d. Enfocarse en el largo plazo. Esto permite al inversor enfocarse en la toma de decisiones a largo plazo y de manera consistente lo que favorece la estabilidad y el crecimiento sostenido de su patrimonio</w:t>
      </w:r>
    </w:p>
    <w:p w14:paraId="65FA3ABE" w14:textId="2938C209" w:rsidR="00FF56EB" w:rsidRDefault="00A47284" w:rsidP="00250942">
      <w:pPr>
        <w:ind w:firstLine="708"/>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Desventajas</w:t>
      </w:r>
    </w:p>
    <w:p w14:paraId="63D0CDC1" w14:textId="5B28713C" w:rsidR="00A47284" w:rsidRPr="00A47284" w:rsidRDefault="00A47284" w:rsidP="004F7A62">
      <w:pPr>
        <w:pStyle w:val="Prrafodelista"/>
        <w:numPr>
          <w:ilvl w:val="0"/>
          <w:numId w:val="273"/>
        </w:numPr>
        <w:jc w:val="both"/>
        <w:outlineLvl w:val="1"/>
        <w:rPr>
          <w:rFonts w:ascii="Arial" w:hAnsi="Arial" w:cs="Arial"/>
          <w:color w:val="000000" w:themeColor="text1"/>
          <w:sz w:val="22"/>
          <w:szCs w:val="22"/>
          <w:lang w:val="es-ES_tradnl"/>
        </w:rPr>
      </w:pPr>
      <w:r w:rsidRPr="00A47284">
        <w:rPr>
          <w:rFonts w:ascii="Arial" w:hAnsi="Arial" w:cs="Arial"/>
          <w:color w:val="000000" w:themeColor="text1"/>
          <w:sz w:val="22"/>
          <w:szCs w:val="22"/>
          <w:lang w:val="es-ES_tradnl"/>
        </w:rPr>
        <w:t xml:space="preserve">Se basa en suposiciones simplificadas </w:t>
      </w:r>
    </w:p>
    <w:p w14:paraId="398CE443" w14:textId="34A55382" w:rsidR="00A47284" w:rsidRPr="00A47284" w:rsidRDefault="00A47284" w:rsidP="004F7A62">
      <w:pPr>
        <w:pStyle w:val="Prrafodelista"/>
        <w:numPr>
          <w:ilvl w:val="0"/>
          <w:numId w:val="273"/>
        </w:numPr>
        <w:jc w:val="both"/>
        <w:outlineLvl w:val="1"/>
        <w:rPr>
          <w:rFonts w:ascii="Arial" w:hAnsi="Arial" w:cs="Arial"/>
          <w:color w:val="000000" w:themeColor="text1"/>
          <w:sz w:val="22"/>
          <w:szCs w:val="22"/>
          <w:lang w:val="es-ES_tradnl"/>
        </w:rPr>
      </w:pPr>
      <w:r w:rsidRPr="00A47284">
        <w:rPr>
          <w:rFonts w:ascii="Arial" w:hAnsi="Arial" w:cs="Arial"/>
          <w:color w:val="000000" w:themeColor="text1"/>
          <w:sz w:val="22"/>
          <w:szCs w:val="22"/>
          <w:lang w:val="es-ES_tradnl"/>
        </w:rPr>
        <w:t>Se fundamenta en datos históricos.</w:t>
      </w:r>
    </w:p>
    <w:p w14:paraId="458170D4" w14:textId="6F8AC7D9" w:rsidR="00A47284" w:rsidRDefault="00A47284" w:rsidP="004F7A62">
      <w:pPr>
        <w:pStyle w:val="Prrafodelista"/>
        <w:numPr>
          <w:ilvl w:val="0"/>
          <w:numId w:val="273"/>
        </w:numPr>
        <w:jc w:val="both"/>
        <w:outlineLvl w:val="1"/>
        <w:rPr>
          <w:rFonts w:ascii="Arial" w:hAnsi="Arial" w:cs="Arial"/>
          <w:color w:val="000000" w:themeColor="text1"/>
          <w:sz w:val="22"/>
          <w:szCs w:val="22"/>
          <w:lang w:val="es-ES_tradnl"/>
        </w:rPr>
      </w:pPr>
      <w:r w:rsidRPr="00A47284">
        <w:rPr>
          <w:rFonts w:ascii="Arial" w:hAnsi="Arial" w:cs="Arial"/>
          <w:color w:val="000000" w:themeColor="text1"/>
          <w:sz w:val="22"/>
          <w:szCs w:val="22"/>
          <w:lang w:val="es-ES_tradnl"/>
        </w:rPr>
        <w:t xml:space="preserve">Necesita cálculos y </w:t>
      </w:r>
      <w:r w:rsidR="00250942">
        <w:rPr>
          <w:rFonts w:ascii="Arial" w:hAnsi="Arial" w:cs="Arial"/>
          <w:color w:val="000000" w:themeColor="text1"/>
          <w:sz w:val="22"/>
          <w:szCs w:val="22"/>
          <w:lang w:val="es-ES_tradnl"/>
        </w:rPr>
        <w:t>análisis</w:t>
      </w:r>
    </w:p>
    <w:p w14:paraId="59F2BDEA" w14:textId="77E80AB7" w:rsidR="00250942" w:rsidRPr="00250942" w:rsidRDefault="00250942" w:rsidP="00250942">
      <w:pPr>
        <w:ind w:firstLine="708"/>
        <w:jc w:val="both"/>
        <w:outlineLvl w:val="1"/>
        <w:rPr>
          <w:rFonts w:ascii="Arial" w:hAnsi="Arial" w:cs="Arial"/>
          <w:b/>
          <w:bCs/>
          <w:color w:val="2F5496" w:themeColor="accent1" w:themeShade="BF"/>
          <w:sz w:val="22"/>
          <w:szCs w:val="22"/>
          <w:lang w:val="es-ES_tradnl"/>
        </w:rPr>
      </w:pPr>
      <w:r w:rsidRPr="00250942">
        <w:rPr>
          <w:rFonts w:ascii="Arial" w:hAnsi="Arial" w:cs="Arial"/>
          <w:b/>
          <w:bCs/>
          <w:color w:val="2F5496" w:themeColor="accent1" w:themeShade="BF"/>
          <w:sz w:val="22"/>
          <w:szCs w:val="22"/>
          <w:lang w:val="es-ES_tradnl"/>
        </w:rPr>
        <w:t>Modelos</w:t>
      </w:r>
    </w:p>
    <w:p w14:paraId="3D30E270" w14:textId="77777777" w:rsidR="00250942" w:rsidRPr="00250942" w:rsidRDefault="00250942" w:rsidP="00250942">
      <w:pPr>
        <w:pStyle w:val="NormalWeb"/>
        <w:shd w:val="clear" w:color="auto" w:fill="FFFFFF"/>
        <w:spacing w:before="0" w:beforeAutospacing="0" w:after="165" w:afterAutospacing="0"/>
        <w:ind w:left="360" w:firstLine="348"/>
        <w:rPr>
          <w:rFonts w:ascii="Arial" w:hAnsi="Arial" w:cs="Arial"/>
          <w:color w:val="333333"/>
          <w:sz w:val="22"/>
          <w:szCs w:val="22"/>
        </w:rPr>
      </w:pPr>
      <w:proofErr w:type="gramStart"/>
      <w:r w:rsidRPr="00250942">
        <w:rPr>
          <w:rStyle w:val="Textoennegrita"/>
          <w:rFonts w:ascii="Arial" w:hAnsi="Arial" w:cs="Arial"/>
          <w:color w:val="333333"/>
          <w:sz w:val="22"/>
          <w:szCs w:val="22"/>
        </w:rPr>
        <w:t>CAPM :</w:t>
      </w:r>
      <w:proofErr w:type="gramEnd"/>
      <w:r w:rsidRPr="00250942">
        <w:rPr>
          <w:rStyle w:val="Textoennegrita"/>
          <w:rFonts w:ascii="Arial" w:hAnsi="Arial" w:cs="Arial"/>
          <w:color w:val="333333"/>
          <w:sz w:val="22"/>
          <w:szCs w:val="22"/>
        </w:rPr>
        <w:t xml:space="preserve"> Capital Asset Pricing Model</w:t>
      </w:r>
    </w:p>
    <w:p w14:paraId="176BC85E" w14:textId="6E08E6F6" w:rsidR="00250942" w:rsidRPr="00250942" w:rsidRDefault="00250942" w:rsidP="00250942">
      <w:pPr>
        <w:pStyle w:val="NormalWeb"/>
        <w:shd w:val="clear" w:color="auto" w:fill="FFFFFF"/>
        <w:spacing w:before="0" w:beforeAutospacing="0" w:after="165" w:afterAutospacing="0"/>
        <w:ind w:left="708"/>
        <w:rPr>
          <w:rFonts w:ascii="Arial" w:hAnsi="Arial" w:cs="Arial"/>
          <w:color w:val="333333"/>
          <w:sz w:val="22"/>
          <w:szCs w:val="22"/>
        </w:rPr>
      </w:pPr>
      <w:r w:rsidRPr="00250942">
        <w:rPr>
          <w:rFonts w:ascii="Arial" w:hAnsi="Arial" w:cs="Arial"/>
          <w:color w:val="333333"/>
          <w:sz w:val="22"/>
          <w:szCs w:val="22"/>
        </w:rPr>
        <w:t>El modelo de</w:t>
      </w:r>
      <w:r>
        <w:rPr>
          <w:rFonts w:ascii="Arial" w:hAnsi="Arial" w:cs="Arial"/>
          <w:color w:val="333333"/>
          <w:sz w:val="22"/>
          <w:szCs w:val="22"/>
        </w:rPr>
        <w:t xml:space="preserve"> </w:t>
      </w:r>
      <w:r w:rsidRPr="00250942">
        <w:rPr>
          <w:rStyle w:val="Textoennegrita"/>
          <w:rFonts w:ascii="Arial" w:hAnsi="Arial" w:cs="Arial"/>
          <w:color w:val="333333"/>
          <w:sz w:val="22"/>
          <w:szCs w:val="22"/>
        </w:rPr>
        <w:t>CAMP</w:t>
      </w:r>
      <w:r>
        <w:rPr>
          <w:rFonts w:ascii="Arial" w:hAnsi="Arial" w:cs="Arial"/>
          <w:color w:val="333333"/>
          <w:sz w:val="22"/>
          <w:szCs w:val="22"/>
        </w:rPr>
        <w:t xml:space="preserve"> </w:t>
      </w:r>
      <w:r w:rsidRPr="00250942">
        <w:rPr>
          <w:rFonts w:ascii="Arial" w:hAnsi="Arial" w:cs="Arial"/>
          <w:color w:val="333333"/>
          <w:sz w:val="22"/>
          <w:szCs w:val="22"/>
        </w:rPr>
        <w:t>se deriva de la</w:t>
      </w:r>
      <w:r>
        <w:rPr>
          <w:rFonts w:ascii="Arial" w:hAnsi="Arial" w:cs="Arial"/>
          <w:color w:val="333333"/>
          <w:sz w:val="22"/>
          <w:szCs w:val="22"/>
        </w:rPr>
        <w:t xml:space="preserve"> </w:t>
      </w:r>
      <w:r w:rsidRPr="00250942">
        <w:rPr>
          <w:rStyle w:val="Textoennegrita"/>
          <w:rFonts w:ascii="Arial" w:hAnsi="Arial" w:cs="Arial"/>
          <w:color w:val="333333"/>
          <w:sz w:val="22"/>
          <w:szCs w:val="22"/>
        </w:rPr>
        <w:t>Teoría del equilibrio de los mercados de capitales</w:t>
      </w:r>
      <w:r>
        <w:rPr>
          <w:rFonts w:ascii="Arial" w:hAnsi="Arial" w:cs="Arial"/>
          <w:color w:val="333333"/>
          <w:sz w:val="22"/>
          <w:szCs w:val="22"/>
        </w:rPr>
        <w:t xml:space="preserve"> </w:t>
      </w:r>
      <w:r w:rsidRPr="00250942">
        <w:rPr>
          <w:rFonts w:ascii="Arial" w:hAnsi="Arial" w:cs="Arial"/>
          <w:color w:val="333333"/>
          <w:sz w:val="22"/>
          <w:szCs w:val="22"/>
        </w:rPr>
        <w:t>y se desarrolla a partir de los trabajos</w:t>
      </w:r>
      <w:r>
        <w:rPr>
          <w:rFonts w:ascii="Arial" w:hAnsi="Arial" w:cs="Arial"/>
          <w:color w:val="333333"/>
          <w:sz w:val="22"/>
          <w:szCs w:val="22"/>
        </w:rPr>
        <w:t xml:space="preserve"> </w:t>
      </w:r>
      <w:r w:rsidRPr="00250942">
        <w:rPr>
          <w:rFonts w:ascii="Arial" w:hAnsi="Arial" w:cs="Arial"/>
          <w:color w:val="333333"/>
          <w:sz w:val="22"/>
          <w:szCs w:val="22"/>
        </w:rPr>
        <w:t>de</w:t>
      </w:r>
      <w:r>
        <w:rPr>
          <w:rStyle w:val="Textoennegrita"/>
          <w:rFonts w:ascii="Arial" w:hAnsi="Arial" w:cs="Arial"/>
          <w:color w:val="333333"/>
          <w:sz w:val="22"/>
          <w:szCs w:val="22"/>
        </w:rPr>
        <w:t xml:space="preserve"> </w:t>
      </w:r>
      <w:r w:rsidRPr="00250942">
        <w:rPr>
          <w:rStyle w:val="Textoennegrita"/>
          <w:rFonts w:ascii="Arial" w:hAnsi="Arial" w:cs="Arial"/>
          <w:color w:val="333333"/>
          <w:sz w:val="22"/>
          <w:szCs w:val="22"/>
        </w:rPr>
        <w:t>Sharpe y Lintner.</w:t>
      </w:r>
    </w:p>
    <w:p w14:paraId="3B2D861C" w14:textId="77777777" w:rsidR="00250942" w:rsidRPr="00250942" w:rsidRDefault="00250942" w:rsidP="00250942">
      <w:pPr>
        <w:pStyle w:val="NormalWeb"/>
        <w:shd w:val="clear" w:color="auto" w:fill="FFFFFF"/>
        <w:spacing w:before="0" w:beforeAutospacing="0" w:after="165" w:afterAutospacing="0"/>
        <w:ind w:left="360" w:firstLine="348"/>
        <w:rPr>
          <w:rFonts w:ascii="Arial" w:hAnsi="Arial" w:cs="Arial"/>
          <w:color w:val="333333"/>
          <w:sz w:val="22"/>
          <w:szCs w:val="22"/>
        </w:rPr>
      </w:pPr>
      <w:r w:rsidRPr="00250942">
        <w:rPr>
          <w:rStyle w:val="Textoennegrita"/>
          <w:rFonts w:ascii="Arial" w:hAnsi="Arial" w:cs="Arial"/>
          <w:color w:val="333333"/>
          <w:sz w:val="22"/>
          <w:szCs w:val="22"/>
        </w:rPr>
        <w:t>APT: Arbitrage Pricing Theory</w:t>
      </w:r>
    </w:p>
    <w:p w14:paraId="42EBB28F" w14:textId="77777777" w:rsidR="00250942" w:rsidRPr="00CF1B34" w:rsidRDefault="00250942" w:rsidP="00250942">
      <w:pPr>
        <w:pBdr>
          <w:bottom w:val="dotted" w:sz="12" w:space="12" w:color="666666"/>
        </w:pBdr>
        <w:spacing w:after="240"/>
        <w:ind w:left="720"/>
        <w:jc w:val="both"/>
        <w:rPr>
          <w:rFonts w:ascii="Arial" w:hAnsi="Arial" w:cs="Arial"/>
          <w:color w:val="212529"/>
          <w:sz w:val="22"/>
          <w:szCs w:val="22"/>
          <w:lang w:val="es-ES_tradnl"/>
        </w:rPr>
      </w:pPr>
      <w:r w:rsidRPr="00250942">
        <w:rPr>
          <w:rFonts w:ascii="Arial" w:hAnsi="Arial" w:cs="Arial"/>
          <w:color w:val="333333"/>
          <w:sz w:val="22"/>
          <w:szCs w:val="22"/>
        </w:rPr>
        <w:lastRenderedPageBreak/>
        <w:t>Como consecuencia de las limitaciones conceptuales del</w:t>
      </w:r>
      <w:r>
        <w:rPr>
          <w:rFonts w:ascii="Arial" w:hAnsi="Arial" w:cs="Arial"/>
          <w:color w:val="333333"/>
          <w:sz w:val="22"/>
          <w:szCs w:val="22"/>
        </w:rPr>
        <w:t xml:space="preserve"> </w:t>
      </w:r>
      <w:r w:rsidRPr="00250942">
        <w:rPr>
          <w:rStyle w:val="Textoennegrita"/>
          <w:rFonts w:ascii="Arial" w:hAnsi="Arial" w:cs="Arial"/>
          <w:color w:val="333333"/>
          <w:sz w:val="22"/>
          <w:szCs w:val="22"/>
        </w:rPr>
        <w:t>CAPM</w:t>
      </w:r>
      <w:r w:rsidRPr="00250942">
        <w:rPr>
          <w:rFonts w:ascii="Arial" w:hAnsi="Arial" w:cs="Arial"/>
          <w:color w:val="333333"/>
          <w:sz w:val="22"/>
          <w:szCs w:val="22"/>
        </w:rPr>
        <w:t>, los investigadores han</w:t>
      </w:r>
      <w:r>
        <w:rPr>
          <w:rFonts w:ascii="Arial" w:hAnsi="Arial" w:cs="Arial"/>
          <w:color w:val="333333"/>
          <w:sz w:val="22"/>
          <w:szCs w:val="22"/>
        </w:rPr>
        <w:t xml:space="preserve"> </w:t>
      </w:r>
      <w:r w:rsidRPr="00250942">
        <w:rPr>
          <w:rFonts w:ascii="Arial" w:hAnsi="Arial" w:cs="Arial"/>
          <w:color w:val="333333"/>
          <w:sz w:val="22"/>
          <w:szCs w:val="22"/>
        </w:rPr>
        <w:t>desarrollado modelos alternativos acerca del equilibrio en el mercado de capitales, y la consiguiente valoración de activos financieros.</w:t>
      </w:r>
    </w:p>
    <w:p w14:paraId="3596E58C" w14:textId="21116182"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TER (Total Expense Ratio)</w:t>
      </w:r>
    </w:p>
    <w:p w14:paraId="78F0F97B"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TER mide los costes totales que asume un fondo inversión. Incluye, además de las comisiones de gestión y depósito, ciertos gastos operativos, de administración, costes legales, etc., en los que incurre el fondo de inversión. El TER es público y puede consultarse en la información que facilita la gestora y/o comercializador. Los fondos de inversión están obligados a estipular sus comisiones principales por ley en el folleto oficial del fondo y regulado por la CNMV.</w:t>
      </w:r>
    </w:p>
    <w:p w14:paraId="7C4AFEEA" w14:textId="77777777" w:rsidR="004E69BA" w:rsidRPr="00CF1B34" w:rsidRDefault="004E69BA"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El TER engloba todos los costes que conlleva un fondo:</w:t>
      </w:r>
    </w:p>
    <w:p w14:paraId="64224394" w14:textId="77777777" w:rsidR="004E69BA" w:rsidRPr="00CF1B34" w:rsidRDefault="004E69BA" w:rsidP="004F7A62">
      <w:pPr>
        <w:numPr>
          <w:ilvl w:val="0"/>
          <w:numId w:val="75"/>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Gestión</w:t>
      </w:r>
    </w:p>
    <w:p w14:paraId="11876640" w14:textId="77777777" w:rsidR="004E69BA" w:rsidRPr="00CF1B34" w:rsidRDefault="004E69BA" w:rsidP="004F7A62">
      <w:pPr>
        <w:numPr>
          <w:ilvl w:val="0"/>
          <w:numId w:val="75"/>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Depositaría</w:t>
      </w:r>
    </w:p>
    <w:p w14:paraId="126A64CB" w14:textId="77777777" w:rsidR="004E69BA" w:rsidRPr="00CF1B34" w:rsidRDefault="004E69BA" w:rsidP="004F7A62">
      <w:pPr>
        <w:numPr>
          <w:ilvl w:val="0"/>
          <w:numId w:val="75"/>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Comisión de éxito</w:t>
      </w:r>
    </w:p>
    <w:p w14:paraId="16A9746C" w14:textId="77777777" w:rsidR="004E69BA" w:rsidRPr="00CF1B34" w:rsidRDefault="004E69BA" w:rsidP="004F7A62">
      <w:pPr>
        <w:numPr>
          <w:ilvl w:val="0"/>
          <w:numId w:val="75"/>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Comisiones legales</w:t>
      </w:r>
    </w:p>
    <w:p w14:paraId="7DE4214E" w14:textId="77777777" w:rsidR="004E69BA" w:rsidRPr="00CF1B34" w:rsidRDefault="004E69BA" w:rsidP="004F7A62">
      <w:pPr>
        <w:numPr>
          <w:ilvl w:val="0"/>
          <w:numId w:val="75"/>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Comisiones de auditoría</w:t>
      </w:r>
    </w:p>
    <w:p w14:paraId="33DEB7E1" w14:textId="77777777" w:rsidR="004E69BA" w:rsidRPr="00CF1B34" w:rsidRDefault="004E69BA" w:rsidP="004F7A62">
      <w:pPr>
        <w:numPr>
          <w:ilvl w:val="0"/>
          <w:numId w:val="75"/>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Otros gastos</w:t>
      </w:r>
    </w:p>
    <w:p w14:paraId="02410709"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¿Para qué sirve el TER?</w:t>
      </w:r>
    </w:p>
    <w:p w14:paraId="78F35684"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vista de que cada fondo de inversión es diferente, el TER actúa como una variable que nos facilita comparar el nivel de comisiones que existe entre un fondo y otro, entiendo en cuenta que, cada fondo es diferente a otro por lo que es importante segmentarlo o categorizarlo para que el análisis sea equitativo. Es por eso que es muy importante comparar los TER de fondos de la misma categoría o parecidos para saber si los costes son razonables o no.</w:t>
      </w:r>
    </w:p>
    <w:p w14:paraId="51072CB1" w14:textId="22C0BC7A" w:rsidR="00426BE4" w:rsidRPr="00CF1B34" w:rsidRDefault="00426BE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Tesoro</w:t>
      </w:r>
    </w:p>
    <w:p w14:paraId="2822E99D" w14:textId="67E12B7A" w:rsidR="00426BE4" w:rsidRPr="00CF1B34" w:rsidRDefault="00D01FF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organismo publico encargado de financiar al Estado. Es el mayor emisor de nuestro país al igual que en todos los países. Al tener la garantía del Estado es también el más solvente.</w:t>
      </w:r>
    </w:p>
    <w:p w14:paraId="749EB0D1" w14:textId="35B97DFB"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Test de conveniencia</w:t>
      </w:r>
    </w:p>
    <w:p w14:paraId="06F23BC3"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Conjunto de preguntas que las entidades financieras realizarán a sus clientes para determinar si un producto es conveniente teniendo en cuenta sus conocimientos y experiencia. La entidad debe informar al cliente del resultado del test.</w:t>
      </w:r>
    </w:p>
    <w:p w14:paraId="15EB68CE" w14:textId="7777777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Test de idoneidad</w:t>
      </w:r>
    </w:p>
    <w:p w14:paraId="03206CD3" w14:textId="4C64121E"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 xml:space="preserve">Conjunto de preguntas que las entidades financieras realizarán a sus clientes para obtener información sobre sus conocimientos y experiencia previos, así como sobre sus objetivos de inversión y su situación financiera. Estos datos permitirán a la entidad recomendar las inversiones más adecuadas para el inversor. Dicho test se realizará con </w:t>
      </w:r>
      <w:r w:rsidRPr="00CF1B34">
        <w:rPr>
          <w:rFonts w:ascii="Arial" w:hAnsi="Arial" w:cs="Arial"/>
          <w:color w:val="212529"/>
          <w:sz w:val="22"/>
          <w:szCs w:val="22"/>
          <w:lang w:val="es-ES_tradnl"/>
        </w:rPr>
        <w:lastRenderedPageBreak/>
        <w:t>carácter previo a la prestación de los servicios de asesoramiento o de gestión de carteras. Ver</w:t>
      </w:r>
      <w:r w:rsidR="00FD7D7E" w:rsidRPr="00CF1B34">
        <w:rPr>
          <w:rFonts w:ascii="Arial" w:hAnsi="Arial" w:cs="Arial"/>
          <w:color w:val="212529"/>
          <w:sz w:val="22"/>
          <w:szCs w:val="22"/>
          <w:lang w:val="es-ES_tradnl"/>
        </w:rPr>
        <w:t xml:space="preserve"> </w:t>
      </w:r>
      <w:hyperlink r:id="rId353" w:tgtFrame="_self" w:history="1">
        <w:r w:rsidRPr="00CF1B34">
          <w:rPr>
            <w:rFonts w:ascii="Arial" w:hAnsi="Arial" w:cs="Arial"/>
            <w:b/>
            <w:bCs/>
            <w:color w:val="2F5496" w:themeColor="accent1" w:themeShade="BF"/>
            <w:sz w:val="22"/>
            <w:szCs w:val="22"/>
            <w:u w:val="single"/>
            <w:lang w:val="es-ES_tradnl"/>
          </w:rPr>
          <w:t>Asesoramiento en Materia de Inversión</w:t>
        </w:r>
      </w:hyperlink>
      <w:r w:rsidR="00FD7D7E" w:rsidRPr="00CF1B34">
        <w:rPr>
          <w:rFonts w:ascii="Arial" w:hAnsi="Arial" w:cs="Arial"/>
          <w:color w:val="212529"/>
          <w:sz w:val="22"/>
          <w:szCs w:val="22"/>
          <w:lang w:val="es-ES_tradnl"/>
        </w:rPr>
        <w:t xml:space="preserve"> </w:t>
      </w:r>
      <w:r w:rsidRPr="00CF1B34">
        <w:rPr>
          <w:rFonts w:ascii="Arial" w:hAnsi="Arial" w:cs="Arial"/>
          <w:color w:val="212529"/>
          <w:sz w:val="22"/>
          <w:szCs w:val="22"/>
          <w:lang w:val="es-ES_tradnl"/>
        </w:rPr>
        <w:t>y</w:t>
      </w:r>
      <w:r w:rsidR="00FD7D7E" w:rsidRPr="00CF1B34">
        <w:rPr>
          <w:rFonts w:ascii="Arial" w:hAnsi="Arial" w:cs="Arial"/>
          <w:color w:val="212529"/>
          <w:sz w:val="22"/>
          <w:szCs w:val="22"/>
          <w:lang w:val="es-ES_tradnl"/>
        </w:rPr>
        <w:t xml:space="preserve"> </w:t>
      </w:r>
      <w:hyperlink r:id="rId354" w:tgtFrame="_self" w:history="1">
        <w:r w:rsidRPr="00CF1B34">
          <w:rPr>
            <w:rFonts w:ascii="Arial" w:hAnsi="Arial" w:cs="Arial"/>
            <w:b/>
            <w:bCs/>
            <w:color w:val="2F5496" w:themeColor="accent1" w:themeShade="BF"/>
            <w:sz w:val="22"/>
            <w:szCs w:val="22"/>
            <w:u w:val="single"/>
            <w:lang w:val="es-ES_tradnl"/>
          </w:rPr>
          <w:t>Gestión de Carteras</w:t>
        </w:r>
      </w:hyperlink>
      <w:r w:rsidRPr="00CF1B34">
        <w:rPr>
          <w:rFonts w:ascii="Arial" w:hAnsi="Arial" w:cs="Arial"/>
          <w:color w:val="2F5496" w:themeColor="accent1" w:themeShade="BF"/>
          <w:sz w:val="22"/>
          <w:szCs w:val="22"/>
          <w:lang w:val="es-ES_tradnl"/>
        </w:rPr>
        <w:t>.</w:t>
      </w:r>
    </w:p>
    <w:p w14:paraId="0DFB80CB" w14:textId="7777777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Tick</w:t>
      </w:r>
    </w:p>
    <w:p w14:paraId="0488B0B0"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Es la unidad de salto, o variación mínima exigida en el precio de un activo negociado en el mercado electrónico automático. En la actualidad, la variación mínima en el SIBE depende del precio del valor de que se trate: si la acción vale menos de 50 euros, la cotización variará como mínimo 0,01 euros; si supera los 50, el tick será de 0,05 euros. Para warrants y derechos de suscripción, el tick es de 0,01 euros, con independencia de su precio.</w:t>
      </w:r>
    </w:p>
    <w:p w14:paraId="4F145854" w14:textId="5178890E" w:rsidR="000C7E35" w:rsidRDefault="000C7E35"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Tier 1</w:t>
      </w:r>
    </w:p>
    <w:p w14:paraId="207B6A02" w14:textId="77777777" w:rsidR="000C7E35" w:rsidRPr="00CF1B34" w:rsidRDefault="000C7E35" w:rsidP="000C7E35">
      <w:pPr>
        <w:pBdr>
          <w:bottom w:val="dotted" w:sz="12" w:space="12" w:color="666666"/>
        </w:pBdr>
        <w:spacing w:after="240"/>
        <w:ind w:left="720"/>
        <w:jc w:val="both"/>
        <w:rPr>
          <w:rFonts w:ascii="Arial" w:hAnsi="Arial" w:cs="Arial"/>
          <w:color w:val="212529"/>
          <w:sz w:val="22"/>
          <w:szCs w:val="22"/>
          <w:lang w:val="es-ES_tradnl"/>
        </w:rPr>
      </w:pPr>
      <w:r w:rsidRPr="000C7E35">
        <w:rPr>
          <w:rFonts w:ascii="Arial" w:hAnsi="Arial" w:cs="Arial"/>
          <w:color w:val="474747"/>
          <w:sz w:val="22"/>
          <w:szCs w:val="22"/>
          <w:shd w:val="clear" w:color="auto" w:fill="FFFFFF"/>
        </w:rPr>
        <w:t>El capital tier 1 es la </w:t>
      </w:r>
      <w:r w:rsidRPr="000C7E35">
        <w:rPr>
          <w:rFonts w:ascii="Arial" w:hAnsi="Arial" w:cs="Arial"/>
          <w:color w:val="040C28"/>
          <w:sz w:val="22"/>
          <w:szCs w:val="22"/>
          <w:shd w:val="clear" w:color="auto" w:fill="D3E3FD"/>
        </w:rPr>
        <w:t>principal medida de fortaleza financiera usada por el regulador bancario</w:t>
      </w:r>
      <w:r w:rsidRPr="000C7E35">
        <w:rPr>
          <w:rFonts w:ascii="Arial" w:hAnsi="Arial" w:cs="Arial"/>
          <w:color w:val="474747"/>
          <w:sz w:val="22"/>
          <w:szCs w:val="22"/>
          <w:shd w:val="clear" w:color="auto" w:fill="FFFFFF"/>
        </w:rPr>
        <w:t>. Está compuesto por el capital básico (principalmente las acciones ordinarias y reservas), al que se añaden las participaciones preferentes y los instrumentos híbridos.</w:t>
      </w:r>
    </w:p>
    <w:p w14:paraId="50844319" w14:textId="5FA0FA6C" w:rsidR="000C7E35" w:rsidRDefault="000C7E35" w:rsidP="0005621A">
      <w:pPr>
        <w:jc w:val="both"/>
        <w:rPr>
          <w:rFonts w:ascii="Arial" w:hAnsi="Arial" w:cs="Arial"/>
          <w:b/>
          <w:bCs/>
          <w:color w:val="2F5496" w:themeColor="accent1" w:themeShade="BF"/>
          <w:sz w:val="22"/>
          <w:szCs w:val="22"/>
        </w:rPr>
      </w:pPr>
      <w:r>
        <w:rPr>
          <w:rFonts w:ascii="Arial" w:hAnsi="Arial" w:cs="Arial"/>
          <w:b/>
          <w:bCs/>
          <w:color w:val="2F5496" w:themeColor="accent1" w:themeShade="BF"/>
          <w:sz w:val="22"/>
          <w:szCs w:val="22"/>
        </w:rPr>
        <w:t>TIN (tasa de interés nominal)</w:t>
      </w:r>
    </w:p>
    <w:p w14:paraId="24758F1F" w14:textId="77777777" w:rsidR="00213EB4" w:rsidRPr="00CF1B34" w:rsidRDefault="00213EB4" w:rsidP="00213EB4">
      <w:pPr>
        <w:pBdr>
          <w:bottom w:val="dotted" w:sz="12" w:space="12" w:color="666666"/>
        </w:pBdr>
        <w:spacing w:after="240"/>
        <w:ind w:left="720"/>
        <w:jc w:val="both"/>
        <w:rPr>
          <w:rFonts w:ascii="Arial" w:hAnsi="Arial" w:cs="Arial"/>
          <w:color w:val="212529"/>
          <w:sz w:val="22"/>
          <w:szCs w:val="22"/>
          <w:lang w:val="es-ES_tradnl"/>
        </w:rPr>
      </w:pPr>
      <w:r w:rsidRPr="00213EB4">
        <w:rPr>
          <w:rFonts w:ascii="Arial" w:hAnsi="Arial" w:cs="Arial"/>
          <w:color w:val="474747"/>
          <w:sz w:val="22"/>
          <w:szCs w:val="22"/>
          <w:shd w:val="clear" w:color="auto" w:fill="FFFFFF"/>
        </w:rPr>
        <w:t>El TIN es el </w:t>
      </w:r>
      <w:r w:rsidRPr="00213EB4">
        <w:rPr>
          <w:rFonts w:ascii="Arial" w:hAnsi="Arial" w:cs="Arial"/>
          <w:color w:val="040C28"/>
          <w:sz w:val="22"/>
          <w:szCs w:val="22"/>
          <w:shd w:val="clear" w:color="auto" w:fill="D3E3FD"/>
        </w:rPr>
        <w:t>tipo o tasa de interés nominal</w:t>
      </w:r>
      <w:r w:rsidRPr="00213EB4">
        <w:rPr>
          <w:rFonts w:ascii="Arial" w:hAnsi="Arial" w:cs="Arial"/>
          <w:color w:val="474747"/>
          <w:sz w:val="22"/>
          <w:szCs w:val="22"/>
          <w:shd w:val="clear" w:color="auto" w:fill="FFFFFF"/>
        </w:rPr>
        <w:t>, es decir, el porcentaje que se suma al capital como coste o rentabilidad en cualquier forma de deuda o ahorro (préstamos, depósitos, bonos, etc.). El TIN se expresa en tanto por ciento y siempre referido a un período de tiempo determinado (mensual, anual).</w:t>
      </w:r>
    </w:p>
    <w:p w14:paraId="386D7369" w14:textId="30B70F94" w:rsidR="00426BE4" w:rsidRPr="00CF1B34" w:rsidRDefault="000C7E35" w:rsidP="0005621A">
      <w:pPr>
        <w:jc w:val="both"/>
        <w:rPr>
          <w:rFonts w:ascii="Arial" w:hAnsi="Arial" w:cs="Arial"/>
          <w:b/>
          <w:bCs/>
          <w:color w:val="004773"/>
          <w:sz w:val="22"/>
          <w:szCs w:val="22"/>
          <w:lang w:val="es-ES_tradnl"/>
        </w:rPr>
      </w:pPr>
      <w:r w:rsidRPr="000C7E35">
        <w:rPr>
          <w:rFonts w:ascii="Arial" w:hAnsi="Arial" w:cs="Arial"/>
          <w:b/>
          <w:bCs/>
          <w:color w:val="2F5496" w:themeColor="accent1" w:themeShade="BF"/>
          <w:sz w:val="22"/>
          <w:szCs w:val="22"/>
        </w:rPr>
        <w:t xml:space="preserve">Tipo </w:t>
      </w:r>
      <w:r w:rsidR="00426BE4" w:rsidRPr="00CF1B34">
        <w:rPr>
          <w:rFonts w:ascii="Arial" w:hAnsi="Arial" w:cs="Arial"/>
          <w:b/>
          <w:bCs/>
          <w:color w:val="004773"/>
          <w:sz w:val="22"/>
          <w:szCs w:val="22"/>
          <w:lang w:val="es-ES_tradnl"/>
        </w:rPr>
        <w:t>de cambio</w:t>
      </w:r>
    </w:p>
    <w:p w14:paraId="051ACAFC" w14:textId="3E15BC64" w:rsidR="00D01FFC" w:rsidRPr="00CF1B34" w:rsidRDefault="00D01FF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 la relación </w:t>
      </w:r>
      <w:r w:rsidR="00FD7D7E" w:rsidRPr="00CF1B34">
        <w:rPr>
          <w:rFonts w:ascii="Arial" w:hAnsi="Arial" w:cs="Arial"/>
          <w:color w:val="000000" w:themeColor="text1"/>
          <w:sz w:val="22"/>
          <w:szCs w:val="22"/>
          <w:lang w:val="es-ES_tradnl"/>
        </w:rPr>
        <w:t xml:space="preserve">de equivalencia </w:t>
      </w:r>
      <w:r w:rsidRPr="00CF1B34">
        <w:rPr>
          <w:rFonts w:ascii="Arial" w:hAnsi="Arial" w:cs="Arial"/>
          <w:color w:val="000000" w:themeColor="text1"/>
          <w:sz w:val="22"/>
          <w:szCs w:val="22"/>
          <w:lang w:val="es-ES_tradnl"/>
        </w:rPr>
        <w:t>entre si del precio de las distintas monedas. Hay que invertir en monedas que se fortalezcan respecto a la peseta (euro), porque cuando venda convertiré esa moneda extranjera en mas pesetas (euros) y ganare dinero con el nuevo tipo de cambio.</w:t>
      </w:r>
    </w:p>
    <w:p w14:paraId="0AEEF841" w14:textId="05F51F43"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Tipo de interés</w:t>
      </w:r>
    </w:p>
    <w:p w14:paraId="23C24E18" w14:textId="77777777" w:rsidR="004E69BA" w:rsidRPr="00CF1B34" w:rsidRDefault="009A24B4"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212529"/>
          <w:sz w:val="22"/>
          <w:szCs w:val="22"/>
          <w:lang w:val="es-ES_tradnl"/>
        </w:rPr>
        <w:t>Es el precio del dinero, es decir, lo que debe pagar el deudor al acreedor por disponer de un capital durante un periodo determinado (en un préstamo, crédito o cualquier otra obligación financiera). Suele expresarse como tasa porcentual anual.</w:t>
      </w:r>
      <w:r w:rsidR="004E69BA" w:rsidRPr="00CF1B34">
        <w:rPr>
          <w:rFonts w:ascii="Arial" w:hAnsi="Arial" w:cs="Arial"/>
          <w:color w:val="191B1C"/>
          <w:sz w:val="22"/>
          <w:szCs w:val="22"/>
          <w:lang w:val="es-ES_tradnl"/>
        </w:rPr>
        <w:t xml:space="preserve"> </w:t>
      </w:r>
    </w:p>
    <w:p w14:paraId="5AA212DE" w14:textId="05A19AF5"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Existen diversos tipos de interés, los más comunes son los fijados por los bancos de cada país, los relacionados con los préstamos hipotecarios, préstamos personales, o los intereses abonados por depósitos bancarios.</w:t>
      </w:r>
    </w:p>
    <w:p w14:paraId="16BAB5AD" w14:textId="77777777" w:rsidR="004E69BA" w:rsidRPr="00CF1B34" w:rsidRDefault="004E69BA"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Ejemplo de tipo de interés aplicado a un depósito bancario.</w:t>
      </w:r>
    </w:p>
    <w:p w14:paraId="13D87E53"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En un depósito bancario de 12.000 euros, el banco te devuelve 12.240 euros. Como podemos ver, el beneficio generado por ese préstamo es de 240 euros. Estos 240 euros son los intereses abonados o beneficio obtenido, por lo que el tipo de interés aplicado fue del 2%.</w:t>
      </w:r>
    </w:p>
    <w:p w14:paraId="7372ECC6" w14:textId="77777777" w:rsidR="004E69BA" w:rsidRPr="00CF1B34" w:rsidRDefault="004E69BA" w:rsidP="0005621A">
      <w:pPr>
        <w:pStyle w:val="Ttulo2"/>
        <w:shd w:val="clear" w:color="auto" w:fill="FFFFFF"/>
        <w:spacing w:before="0" w:beforeAutospacing="0"/>
        <w:ind w:firstLine="708"/>
        <w:jc w:val="both"/>
        <w:rPr>
          <w:rFonts w:ascii="Arial" w:hAnsi="Arial" w:cs="Arial"/>
          <w:b w:val="0"/>
          <w:bCs w:val="0"/>
          <w:color w:val="191B1C"/>
          <w:sz w:val="22"/>
          <w:szCs w:val="22"/>
          <w:lang w:val="es-ES_tradnl"/>
        </w:rPr>
      </w:pPr>
      <w:r w:rsidRPr="00CF1B34">
        <w:rPr>
          <w:rStyle w:val="Textoennegrita"/>
          <w:rFonts w:ascii="Arial" w:hAnsi="Arial" w:cs="Arial"/>
          <w:b/>
          <w:bCs/>
          <w:color w:val="191B1C"/>
          <w:sz w:val="22"/>
          <w:szCs w:val="22"/>
          <w:lang w:val="es-ES_tradnl"/>
        </w:rPr>
        <w:t>Ejemplo de tipo de interés aplicado a un préstamo hipotecario.</w:t>
      </w:r>
    </w:p>
    <w:p w14:paraId="1AF251BB"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tipo de interés varía en función del tipo de hipoteca y el plazo elegido. En este escenario, hablamos de una hipoteca fija a 15 años, por importe de 150.000 euros, con los siguientes tipos de interés fijados por el banco: TIN 2.90% y TAE 3,29%.</w:t>
      </w:r>
    </w:p>
    <w:p w14:paraId="5D3638B1" w14:textId="77777777" w:rsidR="004E69BA" w:rsidRPr="00CF1B34" w:rsidRDefault="004E69BA" w:rsidP="0005621A">
      <w:pPr>
        <w:pStyle w:val="NormalWeb"/>
        <w:shd w:val="clear" w:color="auto" w:fill="FFFFFF"/>
        <w:spacing w:before="0" w:beforeAutospacing="0"/>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lastRenderedPageBreak/>
        <w:t>Hipoteca de 150.000 euros.</w:t>
      </w:r>
    </w:p>
    <w:p w14:paraId="0429BC44" w14:textId="77777777" w:rsidR="004E69BA" w:rsidRPr="00CF1B34" w:rsidRDefault="004E69BA" w:rsidP="0005621A">
      <w:pPr>
        <w:pStyle w:val="NormalWeb"/>
        <w:shd w:val="clear" w:color="auto" w:fill="FFFFFF"/>
        <w:spacing w:before="0" w:beforeAutospacing="0"/>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TIN: 4.350 euros.</w:t>
      </w:r>
    </w:p>
    <w:p w14:paraId="502827A3" w14:textId="77777777" w:rsidR="004E69BA" w:rsidRPr="00CF1B34" w:rsidRDefault="004E69BA" w:rsidP="0005621A">
      <w:pPr>
        <w:pStyle w:val="NormalWeb"/>
        <w:shd w:val="clear" w:color="auto" w:fill="FFFFFF"/>
        <w:spacing w:before="0" w:beforeAutospacing="0"/>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TAE: 4.935 euros.</w:t>
      </w:r>
    </w:p>
    <w:p w14:paraId="2F857521" w14:textId="77777777" w:rsidR="004E69BA" w:rsidRPr="00CF1B34" w:rsidRDefault="004E69BA" w:rsidP="0005621A">
      <w:pPr>
        <w:pStyle w:val="NormalWeb"/>
        <w:shd w:val="clear" w:color="auto" w:fill="FFFFFF"/>
        <w:spacing w:before="0" w:beforeAutospacing="0"/>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Importe total de intereses a pagar: 9.285 euros.</w:t>
      </w:r>
    </w:p>
    <w:p w14:paraId="2DEB2F75"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Importe total del préstamo hipotecario + intereses: 159.285 euros.</w:t>
      </w:r>
    </w:p>
    <w:p w14:paraId="32886562" w14:textId="77777777" w:rsidR="004E69BA" w:rsidRPr="00CF1B34" w:rsidRDefault="004E69BA" w:rsidP="0005621A">
      <w:pPr>
        <w:pStyle w:val="NormalWeb"/>
        <w:shd w:val="clear" w:color="auto" w:fill="FFFFFF"/>
        <w:spacing w:before="0" w:beforeAutospacing="0"/>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Variables que influyen en los tipos de interés.</w:t>
      </w:r>
    </w:p>
    <w:p w14:paraId="35A63E30"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Las variables que influyen en los tipos de interés se deben, principalmente, a la ley de la oferta y la demanda que establece el mismo mercado. Cuanto menor sea el interés, existirá una mayor demanda de recursos financieros y, por el contrario, cuanto mayor sea el interés, habrá menor demanda de estos recursos financieros.</w:t>
      </w:r>
    </w:p>
    <w:p w14:paraId="45AC8C42"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Sin embargo, el mercado no es el único factor que indica su valor. Entre las muchas variables que pueden influir en la definición de los tipos de interés podemos destacar:</w:t>
      </w:r>
    </w:p>
    <w:p w14:paraId="078D8B22" w14:textId="77777777" w:rsidR="004E69BA" w:rsidRPr="00CF1B34" w:rsidRDefault="004E69BA" w:rsidP="004F7A62">
      <w:pPr>
        <w:numPr>
          <w:ilvl w:val="0"/>
          <w:numId w:val="76"/>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La deuda pública y el interés real.</w:t>
      </w:r>
    </w:p>
    <w:p w14:paraId="5C1F51F2" w14:textId="77777777" w:rsidR="004E69BA" w:rsidRPr="00CF1B34" w:rsidRDefault="004E69BA" w:rsidP="004F7A62">
      <w:pPr>
        <w:numPr>
          <w:ilvl w:val="0"/>
          <w:numId w:val="76"/>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La inflación y el Índice de Precios al Consumidor (IPC).</w:t>
      </w:r>
    </w:p>
    <w:p w14:paraId="38978C67" w14:textId="77777777" w:rsidR="004E69BA" w:rsidRPr="00CF1B34" w:rsidRDefault="004E69BA" w:rsidP="004F7A62">
      <w:pPr>
        <w:numPr>
          <w:ilvl w:val="0"/>
          <w:numId w:val="76"/>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La prima por liquidez.</w:t>
      </w:r>
    </w:p>
    <w:p w14:paraId="28F21CF1" w14:textId="77777777" w:rsidR="004E69BA" w:rsidRPr="00CF1B34" w:rsidRDefault="004E69BA" w:rsidP="004F7A62">
      <w:pPr>
        <w:numPr>
          <w:ilvl w:val="0"/>
          <w:numId w:val="76"/>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El riesgo de intereses de cada plazo de vencimiento.</w:t>
      </w:r>
    </w:p>
    <w:p w14:paraId="6B4D1500" w14:textId="77777777" w:rsidR="004E69BA" w:rsidRPr="00CF1B34" w:rsidRDefault="004E69BA" w:rsidP="004F7A62">
      <w:pPr>
        <w:numPr>
          <w:ilvl w:val="0"/>
          <w:numId w:val="76"/>
        </w:numPr>
        <w:shd w:val="clear" w:color="auto" w:fill="FFFFFF"/>
        <w:spacing w:before="100" w:beforeAutospacing="1" w:after="100" w:afterAutospacing="1"/>
        <w:jc w:val="both"/>
        <w:rPr>
          <w:rFonts w:ascii="Arial" w:hAnsi="Arial" w:cs="Arial"/>
          <w:color w:val="191B1C"/>
          <w:sz w:val="22"/>
          <w:szCs w:val="22"/>
          <w:lang w:val="es-ES_tradnl"/>
        </w:rPr>
      </w:pPr>
      <w:r w:rsidRPr="00CF1B34">
        <w:rPr>
          <w:rFonts w:ascii="Arial" w:hAnsi="Arial" w:cs="Arial"/>
          <w:color w:val="191B1C"/>
          <w:sz w:val="22"/>
          <w:szCs w:val="22"/>
          <w:lang w:val="es-ES_tradnl"/>
        </w:rPr>
        <w:t>La prima por riesgo de crédito del emisor.</w:t>
      </w:r>
    </w:p>
    <w:p w14:paraId="2D0EC5C7" w14:textId="77777777" w:rsidR="004E69BA" w:rsidRPr="00CF1B34" w:rsidRDefault="004E69BA" w:rsidP="0005621A">
      <w:pPr>
        <w:pBdr>
          <w:bottom w:val="dotted" w:sz="12" w:space="12" w:color="666666"/>
        </w:pBdr>
        <w:spacing w:after="240"/>
        <w:ind w:left="720"/>
        <w:jc w:val="both"/>
        <w:rPr>
          <w:rFonts w:ascii="Arial" w:hAnsi="Arial" w:cs="Arial"/>
          <w:color w:val="191B1C"/>
          <w:sz w:val="22"/>
          <w:szCs w:val="22"/>
          <w:lang w:val="es-ES_tradnl"/>
        </w:rPr>
      </w:pPr>
      <w:r w:rsidRPr="00CF1B34">
        <w:rPr>
          <w:rFonts w:ascii="Arial" w:hAnsi="Arial" w:cs="Arial"/>
          <w:color w:val="191B1C"/>
          <w:sz w:val="22"/>
          <w:szCs w:val="22"/>
          <w:lang w:val="es-ES_tradnl"/>
        </w:rPr>
        <w:t>La situación actual del país: económica, social y política.</w:t>
      </w:r>
    </w:p>
    <w:p w14:paraId="7A9FF96F" w14:textId="0435787F" w:rsidR="007433B4" w:rsidRPr="00CF1B34" w:rsidRDefault="007433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Tipo de interés anual equivalente</w:t>
      </w:r>
    </w:p>
    <w:p w14:paraId="7ECF6692" w14:textId="77777777" w:rsidR="003577DE" w:rsidRPr="00CF1B34" w:rsidRDefault="00D01FF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Media homogeneizada del tipo de interés efectivo de los instrumentos financieros, se calcula en computo anual </w:t>
      </w:r>
      <w:r w:rsidR="003577DE" w:rsidRPr="00CF1B34">
        <w:rPr>
          <w:rFonts w:ascii="Arial" w:hAnsi="Arial" w:cs="Arial"/>
          <w:color w:val="000000" w:themeColor="text1"/>
          <w:sz w:val="22"/>
          <w:szCs w:val="22"/>
          <w:lang w:val="es-ES_tradnl"/>
        </w:rPr>
        <w:t>sobre la base de que su aplicación conduzca al mismo resultado que la de los nominales ofertados y con la periodificacion variable prevista para estos. Su inclusión es obligatoria en la publicidad de dichos instrumentos financieros.</w:t>
      </w:r>
    </w:p>
    <w:p w14:paraId="48399C4C" w14:textId="19998DB9" w:rsidR="007433B4" w:rsidRPr="00CF1B34" w:rsidRDefault="007433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Tipo de interés flotante</w:t>
      </w:r>
    </w:p>
    <w:p w14:paraId="5658A8E6" w14:textId="77777777" w:rsidR="003577DE" w:rsidRPr="00CF1B34" w:rsidRDefault="003577D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Sinónimo de tipo de interés variable. Son aquellos que están determinados mediante un diferencial añadido o restado, según la clase de operación, a una variable financiera que expresa el precio del dinero en un mercado variable que se conoce con el nombre de referencia.</w:t>
      </w:r>
    </w:p>
    <w:p w14:paraId="2F52BF89" w14:textId="1B2F15EB" w:rsidR="004E69BA" w:rsidRPr="00CF1B34" w:rsidRDefault="004E69BA"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Tipo de interés libre de riesgo</w:t>
      </w:r>
    </w:p>
    <w:p w14:paraId="491E44D8" w14:textId="34281726" w:rsidR="004E69BA" w:rsidRPr="00CF1B34" w:rsidRDefault="004E69BA" w:rsidP="0005621A">
      <w:pPr>
        <w:pBdr>
          <w:bottom w:val="dotted" w:sz="12" w:space="12" w:color="666666"/>
        </w:pBdr>
        <w:spacing w:after="240"/>
        <w:ind w:left="720"/>
        <w:jc w:val="both"/>
        <w:rPr>
          <w:rFonts w:ascii="Arial" w:hAnsi="Arial" w:cs="Arial"/>
          <w:color w:val="191B1C"/>
          <w:sz w:val="22"/>
          <w:szCs w:val="22"/>
          <w:lang w:val="es-ES_tradnl"/>
        </w:rPr>
      </w:pPr>
      <w:r w:rsidRPr="00CF1B34">
        <w:rPr>
          <w:rFonts w:ascii="Arial" w:hAnsi="Arial" w:cs="Arial"/>
          <w:color w:val="212529"/>
          <w:sz w:val="22"/>
          <w:szCs w:val="22"/>
          <w:lang w:val="es-ES_tradnl"/>
        </w:rPr>
        <w:t>Es el que ofrecen los activos que se consideran virtualmente libres de riesgo; normalmente, se atribuye tal cualidad a la deuda publica en sus distintos plazos</w:t>
      </w:r>
    </w:p>
    <w:p w14:paraId="5FC7295B" w14:textId="1AB438F7" w:rsidR="004E69BA" w:rsidRPr="00CF1B34" w:rsidRDefault="003577DE"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 xml:space="preserve">Tipo </w:t>
      </w:r>
      <w:r w:rsidR="004E69BA" w:rsidRPr="00CF1B34">
        <w:rPr>
          <w:rFonts w:ascii="Arial" w:hAnsi="Arial" w:cs="Arial"/>
          <w:color w:val="2F5496" w:themeColor="accent1" w:themeShade="BF"/>
          <w:sz w:val="22"/>
          <w:szCs w:val="22"/>
          <w:lang w:val="es-ES_tradnl"/>
        </w:rPr>
        <w:t>de Interés Nominal (TIN)</w:t>
      </w:r>
      <w:r w:rsidR="007433B4" w:rsidRPr="00CF1B34">
        <w:rPr>
          <w:rFonts w:ascii="Arial" w:hAnsi="Arial" w:cs="Arial"/>
          <w:color w:val="2F5496" w:themeColor="accent1" w:themeShade="BF"/>
          <w:sz w:val="22"/>
          <w:szCs w:val="22"/>
          <w:lang w:val="es-ES_tradnl"/>
        </w:rPr>
        <w:t xml:space="preserve"> y tipo de interés real</w:t>
      </w:r>
    </w:p>
    <w:p w14:paraId="768A809D"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 xml:space="preserve">El TIN o Tipo de Interés Nominal es un porcentaje fijo, que corresponde al importe que debes pagar al banco únicamente en concepto de intereses por el préstamo recibido, siendo un tipo de interés pactado entre cliente y entidad bancaria. El TIN es un indicador porcentual que informa de la cuantía de ganancia o beneficio que recibe el banco por prestar el dinero durante un periodo de tiempo establecido. A través del TIN, puedes </w:t>
      </w:r>
      <w:r w:rsidRPr="00CF1B34">
        <w:rPr>
          <w:rFonts w:ascii="Arial" w:hAnsi="Arial" w:cs="Arial"/>
          <w:sz w:val="22"/>
          <w:szCs w:val="22"/>
          <w:lang w:val="es-ES_tradnl"/>
        </w:rPr>
        <w:lastRenderedPageBreak/>
        <w:t>comprobar, con total transparencia, el importe de los intereses que deberás abonar a la entidad financiera por operaciones como depósitos, préstamos personales o hipotecarios, en función del plazo de devolución que hayas elegido.</w:t>
      </w:r>
    </w:p>
    <w:p w14:paraId="0427483B" w14:textId="77777777" w:rsidR="004E69BA" w:rsidRPr="00CF1B34" w:rsidRDefault="004E69BA"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Ejemplo de TIN de un préstamo hipotecario</w:t>
      </w:r>
    </w:p>
    <w:p w14:paraId="720AB2C2"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En un préstamo hipotecario el TIN mensual se obtiene sumando el euríbor al diferencial aplicado por el banco.</w:t>
      </w:r>
    </w:p>
    <w:p w14:paraId="1F78A694" w14:textId="77777777" w:rsidR="004E69BA" w:rsidRPr="00CF1B34" w:rsidRDefault="004E69BA" w:rsidP="0005621A">
      <w:pPr>
        <w:pStyle w:val="NormalWeb"/>
        <w:spacing w:before="0" w:beforeAutospacing="0"/>
        <w:ind w:firstLine="708"/>
        <w:jc w:val="both"/>
        <w:rPr>
          <w:rFonts w:ascii="Arial" w:hAnsi="Arial" w:cs="Arial"/>
          <w:sz w:val="22"/>
          <w:szCs w:val="22"/>
          <w:lang w:val="es-ES_tradnl"/>
        </w:rPr>
      </w:pPr>
      <w:r w:rsidRPr="00CF1B34">
        <w:rPr>
          <w:rFonts w:ascii="Arial" w:hAnsi="Arial" w:cs="Arial"/>
          <w:sz w:val="22"/>
          <w:szCs w:val="22"/>
          <w:lang w:val="es-ES_tradnl"/>
        </w:rPr>
        <w:t>TIN= euríbor (-0,368% en marzo 2020) + diferencial (1,25) = 0,882% TIN.</w:t>
      </w:r>
    </w:p>
    <w:p w14:paraId="729B3708"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Hay que destacar que el TIN no tiene en cuenta ningún tipo de gasto asociado a la operación de la hipoteca, únicamente es el interés que se ha acordado con la entidad financiera para realizar dicha operación. A diferencia de la TAE, el TIN no tiene por qué ser anual.</w:t>
      </w:r>
    </w:p>
    <w:p w14:paraId="479B21BF" w14:textId="77777777" w:rsidR="004E69BA" w:rsidRPr="00CF1B34" w:rsidRDefault="004E69BA"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Diferencias entre TAE y TIN</w:t>
      </w:r>
    </w:p>
    <w:p w14:paraId="256A6F56"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Si analizamos qué es más importante de cara al consumidor, podríamos decir que probablemente la TAE, pues el TIN es un indicador meramente informativo.</w:t>
      </w:r>
    </w:p>
    <w:p w14:paraId="7F3DECA3"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TAE, por el contrario, permite al usuario conocer el valor real del préstamo solicitado ya que incluye comisiones, interés y plazos del préstamo. La TAE proporciona una visión más clara y transparente sobre cuánto cuesta el 100% del préstamo. La TAE se puede considerar un índice realmente útil de cara al consumidor, que permite conocer, antes de aceptar el préstamo, si es rentable o no.</w:t>
      </w:r>
    </w:p>
    <w:p w14:paraId="7D3AAD30" w14:textId="77777777" w:rsidR="004E69BA" w:rsidRPr="00CF1B34" w:rsidRDefault="004E69BA" w:rsidP="0005621A">
      <w:pPr>
        <w:pBdr>
          <w:bottom w:val="dotted" w:sz="12" w:space="12" w:color="666666"/>
        </w:pBdr>
        <w:spacing w:after="240"/>
        <w:ind w:left="720"/>
        <w:jc w:val="both"/>
        <w:rPr>
          <w:rFonts w:ascii="Arial" w:hAnsi="Arial" w:cs="Arial"/>
          <w:color w:val="191B1C"/>
          <w:sz w:val="22"/>
          <w:szCs w:val="22"/>
          <w:lang w:val="es-ES_tradnl"/>
        </w:rPr>
      </w:pPr>
      <w:r w:rsidRPr="00CF1B34">
        <w:rPr>
          <w:rFonts w:ascii="Arial" w:hAnsi="Arial" w:cs="Arial"/>
          <w:sz w:val="22"/>
          <w:szCs w:val="22"/>
          <w:lang w:val="es-ES_tradnl"/>
        </w:rPr>
        <w:t>Asimismo, estos indicadores son utilizados por los bancos o entidades financieras como ventaja competitiva que les permite identificar y publicitar su oferta, de manera clara, a los clientes que pretenden captar.</w:t>
      </w:r>
    </w:p>
    <w:p w14:paraId="79C9B199" w14:textId="356D86A2" w:rsidR="004E69BA" w:rsidRPr="00CF1B34" w:rsidRDefault="007433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Tipo de interés preferencial</w:t>
      </w:r>
    </w:p>
    <w:p w14:paraId="1BA104F3" w14:textId="77777777" w:rsidR="007022D4" w:rsidRPr="00CF1B34" w:rsidRDefault="003577D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Tipo de interés activo que aplica cada entidad bancaria a sus mejores clientes en operaciones con garantía personal a corto plazo. Es obligatoria su exhibición publica en las oficinas de las entidades y constituye usualmente el tipo de interés de referencia para el r</w:t>
      </w:r>
      <w:r w:rsidR="007022D4" w:rsidRPr="00CF1B34">
        <w:rPr>
          <w:rFonts w:ascii="Arial" w:hAnsi="Arial" w:cs="Arial"/>
          <w:color w:val="000000" w:themeColor="text1"/>
          <w:sz w:val="22"/>
          <w:szCs w:val="22"/>
          <w:lang w:val="es-ES_tradnl"/>
        </w:rPr>
        <w:t>e</w:t>
      </w:r>
      <w:r w:rsidRPr="00CF1B34">
        <w:rPr>
          <w:rFonts w:ascii="Arial" w:hAnsi="Arial" w:cs="Arial"/>
          <w:color w:val="000000" w:themeColor="text1"/>
          <w:sz w:val="22"/>
          <w:szCs w:val="22"/>
          <w:lang w:val="es-ES_tradnl"/>
        </w:rPr>
        <w:t>sto de sus operaciones fi</w:t>
      </w:r>
      <w:r w:rsidR="007022D4" w:rsidRPr="00CF1B34">
        <w:rPr>
          <w:rFonts w:ascii="Arial" w:hAnsi="Arial" w:cs="Arial"/>
          <w:color w:val="000000" w:themeColor="text1"/>
          <w:sz w:val="22"/>
          <w:szCs w:val="22"/>
          <w:lang w:val="es-ES_tradnl"/>
        </w:rPr>
        <w:t>nancieras.</w:t>
      </w:r>
    </w:p>
    <w:p w14:paraId="62C30BAB" w14:textId="2D8E6A6D" w:rsidR="007433B4" w:rsidRPr="00CF1B34" w:rsidRDefault="007433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Tipo de intervención</w:t>
      </w:r>
    </w:p>
    <w:p w14:paraId="2C249D0B" w14:textId="77777777" w:rsidR="007022D4" w:rsidRPr="00CF1B34" w:rsidRDefault="007022D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tipo de interés que utiliza el Banco de España con el resto de las entidades Financieras y con el marca el precio del dinero.</w:t>
      </w:r>
    </w:p>
    <w:p w14:paraId="5D625DA5" w14:textId="37958EE6" w:rsidR="007433B4" w:rsidRPr="00CF1B34" w:rsidRDefault="007433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Tipo interno de rendimiento (TIR)</w:t>
      </w:r>
    </w:p>
    <w:p w14:paraId="42ED409A" w14:textId="77777777" w:rsidR="007022D4" w:rsidRPr="00CF1B34" w:rsidRDefault="007022D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materia de inversión en activos financieros, es el tipo de acrtualizacion que iguala a cero el valor actual neto de todos los cobros y pagos derivados de la suscripción y posesión de aquellos bajo la hipótesis de que tales cobros y pagos se reinvirtieran o financiasen, respectivamente, a igual tipo de interés que el calculado, hasta el vencimiento del activo.</w:t>
      </w:r>
    </w:p>
    <w:p w14:paraId="03D6E30F" w14:textId="77777777" w:rsidR="004E69BA" w:rsidRPr="00CF1B34" w:rsidRDefault="004E69BA"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TIR (Tasa Interna de Rentabilidad)</w:t>
      </w:r>
    </w:p>
    <w:p w14:paraId="65D163DB"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lastRenderedPageBreak/>
        <w:t>La Tasa Interna de Rentabilidad o Tasa Interna de Retorno en materia de inversión en activos financieros, es el tipo de actualización que iguala a cero el valor actual neto de todos los cobros y pagos derivados de la suscripción y posesión de aquellos bajo la hipótesis de que tales cobros y pagos se reinvirtieran o financiasen, respectivamente, a igual tipo de interés que el calculado, hasta el vencimiento del activo. Es a los instrumentos de Renta Fija similar a lo que es la TAE para Depósitos.</w:t>
      </w:r>
    </w:p>
    <w:p w14:paraId="4D3714CE"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TIR es un porcentaje que mide la viabilidad de un proyecto o empresa y se traduce en el porcentaje de beneficio o pérdida que tendrá, se emplea como herramienta complementaria al valor Presente Neto. La Tasa Interna de Retorno implica por tanto el supuesto de una oportunidad de inversión.</w:t>
      </w:r>
    </w:p>
    <w:p w14:paraId="5525FF4C" w14:textId="77777777" w:rsidR="004E69BA" w:rsidRPr="00CF1B34" w:rsidRDefault="004E69BA"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¿Cómo se calcula la TIR?</w:t>
      </w:r>
    </w:p>
    <w:p w14:paraId="2DBFE5FF"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Para calcular la Tasa Interna de Retorno es necesario igualar a cero la tasa de descuento al momento inicial, la corriente futura de cobros con la de pagos, de esta forma el VAN sería igual a 0.</w:t>
      </w:r>
    </w:p>
    <w:p w14:paraId="35E723E1" w14:textId="77777777" w:rsidR="004E69BA" w:rsidRPr="00CF1B34" w:rsidRDefault="004E69BA"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¿Para qué se utiliza la TIR?</w:t>
      </w:r>
    </w:p>
    <w:p w14:paraId="7F584A13"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Esta tasa es empleada como uno de los criterios o indicadores a la hora de determinar el rechazo o aceptación en un </w:t>
      </w:r>
      <w:r w:rsidRPr="00CF1B34">
        <w:rPr>
          <w:rStyle w:val="Textoennegrita"/>
          <w:rFonts w:ascii="Arial" w:hAnsi="Arial" w:cs="Arial"/>
          <w:sz w:val="22"/>
          <w:szCs w:val="22"/>
          <w:lang w:val="es-ES_tradnl"/>
        </w:rPr>
        <w:t>proyecto de inversión.</w:t>
      </w:r>
      <w:r w:rsidRPr="00CF1B34">
        <w:rPr>
          <w:rFonts w:ascii="Arial" w:hAnsi="Arial" w:cs="Arial"/>
          <w:sz w:val="22"/>
          <w:szCs w:val="22"/>
          <w:lang w:val="es-ES_tradnl"/>
        </w:rPr>
        <w:t> La TIR se compara con una tasa mínima o tasa de corte. La inversión se aceptará en caso de la Tasa de Rendimiento sea superior a la tasa de corte, por el contrario, en caso de que la TIR sea inferior, la inversión será rechaza. En caso de que sea igual a la tasa de corte, la inversión podrá llevarse a cabo siempre que suponga una mejora de la posición competitiva de la empresa y que no existan otras alternativas favorables.</w:t>
      </w:r>
    </w:p>
    <w:p w14:paraId="791EA4D9"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Existen proyectos especiales en los que no es posible obtener un cálculo de TIR estable porque poseen más de un TIR. Para estas situaciones más complejas es posible utilizar la fórmula del TIRM (Tarifa Interna de Retorno Modificada). La diferencia en este caso se consideran únicamente los flujos de caja en dos momentos concretos (en lugar de emplear los flujos de caja en multitud de periodos):</w:t>
      </w:r>
    </w:p>
    <w:p w14:paraId="27A7130B" w14:textId="77777777" w:rsidR="004E69BA" w:rsidRPr="00CF1B34" w:rsidRDefault="004E69BA" w:rsidP="004F7A62">
      <w:pPr>
        <w:pStyle w:val="listitem"/>
        <w:numPr>
          <w:ilvl w:val="0"/>
          <w:numId w:val="77"/>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El momento inicial en el que se incluirían el total de desembolsos a realizar.</w:t>
      </w:r>
    </w:p>
    <w:p w14:paraId="4F924A5D" w14:textId="77777777" w:rsidR="004E69BA" w:rsidRPr="00CF1B34" w:rsidRDefault="004E69BA" w:rsidP="004F7A62">
      <w:pPr>
        <w:pStyle w:val="listitem"/>
        <w:numPr>
          <w:ilvl w:val="0"/>
          <w:numId w:val="77"/>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El momento final en que se incluirían el total de cobros que generará el proyecto.</w:t>
      </w:r>
    </w:p>
    <w:p w14:paraId="546FB7EC" w14:textId="77777777" w:rsidR="004E69BA" w:rsidRPr="00CF1B34" w:rsidRDefault="004E69BA" w:rsidP="0005621A">
      <w:pPr>
        <w:pBdr>
          <w:bottom w:val="dotted" w:sz="12" w:space="12" w:color="666666"/>
        </w:pBdr>
        <w:spacing w:after="240"/>
        <w:ind w:left="720"/>
        <w:jc w:val="both"/>
        <w:rPr>
          <w:rFonts w:ascii="Arial" w:hAnsi="Arial" w:cs="Arial"/>
          <w:color w:val="191B1C"/>
          <w:sz w:val="22"/>
          <w:szCs w:val="22"/>
          <w:lang w:val="es-ES_tradnl"/>
        </w:rPr>
      </w:pPr>
      <w:r w:rsidRPr="00CF1B34">
        <w:rPr>
          <w:rFonts w:ascii="Arial" w:hAnsi="Arial" w:cs="Arial"/>
          <w:sz w:val="22"/>
          <w:szCs w:val="22"/>
          <w:lang w:val="es-ES_tradnl"/>
        </w:rPr>
        <w:t>En definitiva, la TIR es una herramienta muy importante a la hora de decidir si debemos llevar a cabo un proyecto o no ya que permite analizar la viabilidad del proyecto. Es importante tener en cuenta que el empleo de la TIR debería ir acompañado del uso de otros medios de evaluación de proyectos para evitar dejar fuera otros aspectos que podrían generar valor al proyecto y no se contemplan en este cálculo.</w:t>
      </w:r>
    </w:p>
    <w:p w14:paraId="5CEFB99D" w14:textId="50A5F1DD" w:rsidR="004E69BA" w:rsidRPr="00CF1B34" w:rsidRDefault="007433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Titulaci</w:t>
      </w:r>
      <w:r w:rsidR="00144041"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n (securitiz</w:t>
      </w:r>
      <w:r w:rsidR="00144041" w:rsidRPr="00CF1B34">
        <w:rPr>
          <w:rFonts w:ascii="Arial" w:hAnsi="Arial" w:cs="Arial"/>
          <w:b/>
          <w:bCs/>
          <w:color w:val="004773"/>
          <w:sz w:val="22"/>
          <w:szCs w:val="22"/>
          <w:lang w:val="es-ES_tradnl"/>
        </w:rPr>
        <w:t>a</w:t>
      </w:r>
      <w:r w:rsidRPr="00CF1B34">
        <w:rPr>
          <w:rFonts w:ascii="Arial" w:hAnsi="Arial" w:cs="Arial"/>
          <w:b/>
          <w:bCs/>
          <w:color w:val="004773"/>
          <w:sz w:val="22"/>
          <w:szCs w:val="22"/>
          <w:lang w:val="es-ES_tradnl"/>
        </w:rPr>
        <w:t>ci</w:t>
      </w:r>
      <w:r w:rsidR="00144041"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n)</w:t>
      </w:r>
    </w:p>
    <w:p w14:paraId="64F58DF9" w14:textId="62E91547" w:rsidR="004E69BA" w:rsidRPr="00CF1B34" w:rsidRDefault="0014404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En el sentido estricto, incorporación de un título negociable a un crédito bancario que permita la movilización del mismo de su balance.</w:t>
      </w:r>
      <w:r w:rsidR="00FD7D7E" w:rsidRPr="00CF1B34">
        <w:rPr>
          <w:rFonts w:ascii="Arial" w:hAnsi="Arial" w:cs="Arial"/>
          <w:color w:val="000000" w:themeColor="text1"/>
          <w:sz w:val="22"/>
          <w:szCs w:val="22"/>
          <w:lang w:val="es-ES_tradnl"/>
        </w:rPr>
        <w:t xml:space="preserve"> </w:t>
      </w:r>
      <w:r w:rsidR="004E69BA" w:rsidRPr="00CF1B34">
        <w:rPr>
          <w:rFonts w:ascii="Arial" w:hAnsi="Arial" w:cs="Arial"/>
          <w:b/>
          <w:bCs/>
          <w:color w:val="2F5496" w:themeColor="accent1" w:themeShade="BF"/>
          <w:sz w:val="22"/>
          <w:szCs w:val="22"/>
          <w:lang w:val="es-ES_tradnl"/>
        </w:rPr>
        <w:t>Titular de una cuenta</w:t>
      </w:r>
    </w:p>
    <w:p w14:paraId="3B547115" w14:textId="77777777" w:rsidR="004E69BA" w:rsidRPr="00CF1B34" w:rsidRDefault="004E69BA" w:rsidP="0005621A">
      <w:pPr>
        <w:ind w:left="708"/>
        <w:jc w:val="both"/>
        <w:rPr>
          <w:rFonts w:ascii="Arial" w:hAnsi="Arial" w:cs="Arial"/>
          <w:sz w:val="22"/>
          <w:szCs w:val="22"/>
          <w:lang w:val="es-ES_tradnl"/>
        </w:rPr>
      </w:pPr>
      <w:r w:rsidRPr="00CF1B34">
        <w:rPr>
          <w:rFonts w:ascii="Arial" w:hAnsi="Arial" w:cs="Arial"/>
          <w:sz w:val="22"/>
          <w:szCs w:val="22"/>
          <w:lang w:val="es-ES_tradnl"/>
        </w:rPr>
        <w:t>El </w:t>
      </w:r>
      <w:r w:rsidRPr="00CF1B34">
        <w:rPr>
          <w:rFonts w:ascii="Arial" w:hAnsi="Arial" w:cs="Arial"/>
          <w:b/>
          <w:bCs/>
          <w:sz w:val="22"/>
          <w:szCs w:val="22"/>
          <w:lang w:val="es-ES_tradnl"/>
        </w:rPr>
        <w:t>titular de una cuenta</w:t>
      </w:r>
      <w:r w:rsidRPr="00CF1B34">
        <w:rPr>
          <w:rFonts w:ascii="Arial" w:hAnsi="Arial" w:cs="Arial"/>
          <w:sz w:val="22"/>
          <w:szCs w:val="22"/>
          <w:lang w:val="es-ES_tradnl"/>
        </w:rPr>
        <w:t xml:space="preserve"> es la persona que firma el contrato de dicha cuenta con la entidad bancaria; además, será el propietario del dinero que esta contenga. Y, por otro lado, si ha contraído una deuda por haber solicitado un préstamo, será en quien recaerán las obligaciones fiscales. Aunque pueda parecer un tema menor, a la hora de abrir una </w:t>
      </w:r>
      <w:r w:rsidRPr="00CF1B34">
        <w:rPr>
          <w:rFonts w:ascii="Arial" w:hAnsi="Arial" w:cs="Arial"/>
          <w:sz w:val="22"/>
          <w:szCs w:val="22"/>
          <w:lang w:val="es-ES_tradnl"/>
        </w:rPr>
        <w:lastRenderedPageBreak/>
        <w:t>cuenta será importante que elijamos bien la titularidad, puesto que lo que decidamos podrá conllevar determinadas implicaciones y obligaciones.</w:t>
      </w:r>
    </w:p>
    <w:p w14:paraId="32E43165"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color w:val="000000" w:themeColor="text1"/>
          <w:sz w:val="22"/>
          <w:szCs w:val="22"/>
          <w:lang w:val="es-ES_tradnl"/>
        </w:rPr>
        <w:t>Las </w:t>
      </w:r>
      <w:hyperlink r:id="rId355" w:history="1">
        <w:r w:rsidRPr="00CF1B34">
          <w:rPr>
            <w:rFonts w:ascii="Arial" w:hAnsi="Arial" w:cs="Arial"/>
            <w:b/>
            <w:bCs/>
            <w:color w:val="000000" w:themeColor="text1"/>
            <w:sz w:val="22"/>
            <w:szCs w:val="22"/>
            <w:u w:val="single"/>
            <w:lang w:val="es-ES_tradnl"/>
          </w:rPr>
          <w:t>cuentas bancarias</w:t>
        </w:r>
      </w:hyperlink>
      <w:r w:rsidRPr="00CF1B34">
        <w:rPr>
          <w:rFonts w:ascii="Arial" w:hAnsi="Arial" w:cs="Arial"/>
          <w:color w:val="000000" w:themeColor="text1"/>
          <w:sz w:val="22"/>
          <w:szCs w:val="22"/>
          <w:lang w:val="es-ES_tradnl"/>
        </w:rPr>
        <w:t> pueden tener uno o varios titulares: esta titularidad se considerará solidaria o indistinta si cualquiera</w:t>
      </w:r>
      <w:r w:rsidRPr="00CF1B34">
        <w:rPr>
          <w:rFonts w:ascii="Arial" w:hAnsi="Arial" w:cs="Arial"/>
          <w:sz w:val="22"/>
          <w:szCs w:val="22"/>
          <w:lang w:val="es-ES_tradnl"/>
        </w:rPr>
        <w:t xml:space="preserve"> de ellos puede disponer del capital por su cuenta, sin tener que contar con la autorización del resto de titulares. En cambio, será conjunta o mancomunada si necesita esta autorización. Y será subordinada si cada uno tiene una categoría distinta. Por ejemplo, quien esté en primera posición no necesitará autorización de nadie para operar, pero sí el segundo del primero, etc.</w:t>
      </w:r>
    </w:p>
    <w:p w14:paraId="7747BFA3"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Otro tema distinto es que sea el autorizado de la cuenta bancaria, pues en ese caso el firmante le habrá designado para disponer del dinero en su nombre, pero no será dueño de la cuenta, ni de sus fondos. La persona autorizada tendrá firma para manejar la cuenta en nombre de su representado, y podrá disponer del saldo, extender cheques y hacer transferencias, e incluso solicitar información bancaria sin permiso del titular. Aunque al no ser titular, no tendrá ninguna repercusión fiscal, ni podrá solicitar tarjetas de crédito o débito a su nombre o cancelar ningún producto bancario del principal; ni siquiera bloquear o modificar ninguna cuenta o producto en caso del fallecimiento de este.</w:t>
      </w:r>
    </w:p>
    <w:p w14:paraId="168FC927" w14:textId="77777777" w:rsidR="004E69BA" w:rsidRPr="00CF1B34" w:rsidRDefault="004E69BA" w:rsidP="0005621A">
      <w:pPr>
        <w:spacing w:beforeAutospacing="1"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Nombrar a un autorizado</w:t>
      </w:r>
    </w:p>
    <w:p w14:paraId="2524973D"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autorizar a una persona a que realice cualquier actividad autorizada sobre nuestra cuenta, simplemente tendremos que solicitarlo por escrito en nuestra oficina bancaria, adjuntando una fotocopia de nuestro DNI.</w:t>
      </w:r>
    </w:p>
    <w:p w14:paraId="07CAD03C"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Titularidad y autorización en una cuenta abierta</w:t>
      </w:r>
    </w:p>
    <w:p w14:paraId="0AA355CE"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Normalmente no pueden incluirse titulares después de que la cuenta haya sido abierta, pero sí autorizados y apoderados.</w:t>
      </w:r>
    </w:p>
    <w:p w14:paraId="371F88AB"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¿Y si fallece el titular de una cuenta?</w:t>
      </w:r>
    </w:p>
    <w:p w14:paraId="44B206AE" w14:textId="77777777" w:rsidR="004E69BA" w:rsidRPr="00CF1B34" w:rsidRDefault="004E69BA" w:rsidP="0005621A">
      <w:pPr>
        <w:pBdr>
          <w:bottom w:val="dotted" w:sz="12" w:space="12" w:color="666666"/>
        </w:pBdr>
        <w:spacing w:after="240"/>
        <w:ind w:left="720"/>
        <w:jc w:val="both"/>
        <w:rPr>
          <w:rFonts w:ascii="Arial" w:hAnsi="Arial" w:cs="Arial"/>
          <w:color w:val="191B1C"/>
          <w:sz w:val="22"/>
          <w:szCs w:val="22"/>
          <w:lang w:val="es-ES_tradnl"/>
        </w:rPr>
      </w:pPr>
      <w:r w:rsidRPr="00CF1B34">
        <w:rPr>
          <w:rFonts w:ascii="Arial" w:hAnsi="Arial" w:cs="Arial"/>
          <w:sz w:val="22"/>
          <w:szCs w:val="22"/>
          <w:lang w:val="es-ES_tradnl"/>
        </w:rPr>
        <w:t>Cuando esto ocurre, sus herederos le sucederán en derechos y obligaciones, pero en cualquier caso tendremos que comunicárselo a la entidad bancaria, presentando el certificado de defunción. En ese momento, el saldo de la cuenta quedará inmovilizado hasta que se ejecute la herencia. En caso de que la cuenta sea indistinta, los demás dueños podrán seguir gestionándola. Y si tiene disposición conjunta y un titular fallece, el resto tendrá que tener el consentimiento de los herederos.</w:t>
      </w:r>
    </w:p>
    <w:p w14:paraId="6E786441" w14:textId="32622B4E"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Titulización</w:t>
      </w:r>
    </w:p>
    <w:p w14:paraId="1BAB0515"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Método de financiación de empresas basado en la venta o cesión de determinados activos a un tercero, que a su vez financia la compra emitiendo valores (los cuales se colocan entre los inversores). En España, el método de titulización consiste en que la entidad que quiere financiarse (cedente) vende los activos a un “Fondo de Titulización”, que carece de personalidad jurídica y está administrado por una sociedad gestora. A su vez, el fondo emite valores, que están respaldados por los activos adquiridos.</w:t>
      </w:r>
    </w:p>
    <w:p w14:paraId="5FBE8C44"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Tracking error</w:t>
      </w:r>
    </w:p>
    <w:p w14:paraId="2C17F288"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Mide el grado de desviación del fondo respecto al índice de referencia también denominado benchmark, a consecuencia de la selección de valores. El tracking error sirve también para medir la probabilidad de que una cartera se separe de la referencia.</w:t>
      </w:r>
    </w:p>
    <w:p w14:paraId="2DC01F7A"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Se emplea habitualmente para analizar la regularidad de los rendimientos de un fondo y es un claro indicador de la buena gestión por parte del equipo gestor.</w:t>
      </w:r>
    </w:p>
    <w:p w14:paraId="01000E39"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se interpreta el tracking error?</w:t>
      </w:r>
    </w:p>
    <w:p w14:paraId="7A2E48CA" w14:textId="1C37CD5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Cuanto más alto sea, más activa será la gestión del fondo y menores serán las posibilidades de seguir al</w:t>
      </w:r>
      <w:r w:rsidR="00FD7D7E" w:rsidRPr="00CF1B34">
        <w:rPr>
          <w:rFonts w:ascii="Arial" w:hAnsi="Arial" w:cs="Arial"/>
          <w:sz w:val="22"/>
          <w:szCs w:val="22"/>
          <w:lang w:val="es-ES_tradnl"/>
        </w:rPr>
        <w:t xml:space="preserve"> </w:t>
      </w:r>
      <w:r w:rsidRPr="00CF1B34">
        <w:rPr>
          <w:rFonts w:ascii="Arial" w:hAnsi="Arial" w:cs="Arial"/>
          <w:i/>
          <w:iCs/>
          <w:sz w:val="22"/>
          <w:szCs w:val="22"/>
          <w:lang w:val="es-ES_tradnl"/>
        </w:rPr>
        <w:t>benchmark</w:t>
      </w:r>
      <w:r w:rsidRPr="00CF1B34">
        <w:rPr>
          <w:rFonts w:ascii="Arial" w:hAnsi="Arial" w:cs="Arial"/>
          <w:sz w:val="22"/>
          <w:szCs w:val="22"/>
          <w:lang w:val="es-ES_tradnl"/>
        </w:rPr>
        <w:t>. Cuanto más bajo sea el tracking error más alta será la probabilidad de que su comportamiento sea semejante al</w:t>
      </w:r>
      <w:r w:rsidR="00FD7D7E" w:rsidRPr="00CF1B34">
        <w:rPr>
          <w:rFonts w:ascii="Arial" w:hAnsi="Arial" w:cs="Arial"/>
          <w:sz w:val="22"/>
          <w:szCs w:val="22"/>
          <w:lang w:val="es-ES_tradnl"/>
        </w:rPr>
        <w:t xml:space="preserve"> </w:t>
      </w:r>
      <w:r w:rsidRPr="00CF1B34">
        <w:rPr>
          <w:rFonts w:ascii="Arial" w:hAnsi="Arial" w:cs="Arial"/>
          <w:i/>
          <w:iCs/>
          <w:sz w:val="22"/>
          <w:szCs w:val="22"/>
          <w:lang w:val="es-ES_tradnl"/>
        </w:rPr>
        <w:t>benchmark</w:t>
      </w:r>
      <w:r w:rsidRPr="00CF1B34">
        <w:rPr>
          <w:rFonts w:ascii="Arial" w:hAnsi="Arial" w:cs="Arial"/>
          <w:sz w:val="22"/>
          <w:szCs w:val="22"/>
          <w:lang w:val="es-ES_tradnl"/>
        </w:rPr>
        <w:t>.</w:t>
      </w:r>
    </w:p>
    <w:p w14:paraId="5CAB7467"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es = 0 indica que el fondo se comporta igual que su índice de referencia. Estos resultados corresponden con los fondos de gestión pasiva, este sería el caso por ejemplo de los fondos o ETF sobre el Ibex 35 cuyos resultados son prácticamente iguales a los resultados del Ibex 35.</w:t>
      </w:r>
    </w:p>
    <w:p w14:paraId="389D84EF"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Entre 2%-4% se considera bajo, implica una gestión con mayor riesgo, pero controlado.</w:t>
      </w:r>
    </w:p>
    <w:p w14:paraId="0E01A5C9" w14:textId="64824435"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encima de 6%-7%, se considera alto y corresponde con los resultados propios de los fondos de gestión activa. Cuando un tracking error es alto indica que se han asumido mayores riesgos para lograr la rentabilidad del fondo.</w:t>
      </w:r>
    </w:p>
    <w:p w14:paraId="466D298B" w14:textId="77777777" w:rsidR="004E69BA" w:rsidRPr="00CF1B34" w:rsidRDefault="004E69BA" w:rsidP="0005621A">
      <w:pPr>
        <w:pBdr>
          <w:bottom w:val="dotted" w:sz="12" w:space="12" w:color="666666"/>
        </w:pBdr>
        <w:spacing w:after="240"/>
        <w:ind w:left="720"/>
        <w:jc w:val="both"/>
        <w:rPr>
          <w:rFonts w:ascii="Arial" w:hAnsi="Arial" w:cs="Arial"/>
          <w:color w:val="191B1C"/>
          <w:sz w:val="22"/>
          <w:szCs w:val="22"/>
          <w:lang w:val="es-ES_tradnl"/>
        </w:rPr>
      </w:pPr>
      <w:r w:rsidRPr="00CF1B34">
        <w:rPr>
          <w:rFonts w:ascii="Arial" w:hAnsi="Arial" w:cs="Arial"/>
          <w:sz w:val="22"/>
          <w:szCs w:val="22"/>
          <w:lang w:val="es-ES_tradnl"/>
        </w:rPr>
        <w:t>Es importante también tener en cuenta que el tracking error es únicamente una medida de riesgo, pero por sí solo no refleja la calidad de la gestión y por ello debe ser complementada empleando otros indicadores de rentabilidad. Entre estos factores cabría destacar el coste de ese fondo con respecto a la competencia. Este co</w:t>
      </w:r>
      <w:r w:rsidRPr="00CF1B34">
        <w:rPr>
          <w:rFonts w:ascii="Arial" w:hAnsi="Arial" w:cs="Arial"/>
          <w:lang w:val="es-ES_tradnl"/>
        </w:rPr>
        <w:t>ste o comisión determinará la rentabilidad neta resultante de la inversión.</w:t>
      </w:r>
    </w:p>
    <w:p w14:paraId="26C65E1D" w14:textId="7C8A0F37" w:rsidR="004E69BA" w:rsidRPr="00CF1B34" w:rsidRDefault="007433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Trader</w:t>
      </w:r>
    </w:p>
    <w:p w14:paraId="7E07309E" w14:textId="41F4963A" w:rsidR="00144041" w:rsidRPr="00CF1B34" w:rsidRDefault="0014404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Persona física </w:t>
      </w:r>
      <w:proofErr w:type="gramStart"/>
      <w:r w:rsidRPr="00CF1B34">
        <w:rPr>
          <w:rFonts w:ascii="Arial" w:hAnsi="Arial" w:cs="Arial"/>
          <w:color w:val="000000" w:themeColor="text1"/>
          <w:sz w:val="22"/>
          <w:szCs w:val="22"/>
          <w:lang w:val="es-ES_tradnl"/>
        </w:rPr>
        <w:t>que</w:t>
      </w:r>
      <w:proofErr w:type="gramEnd"/>
      <w:r w:rsidRPr="00CF1B34">
        <w:rPr>
          <w:rFonts w:ascii="Arial" w:hAnsi="Arial" w:cs="Arial"/>
          <w:color w:val="000000" w:themeColor="text1"/>
          <w:sz w:val="22"/>
          <w:szCs w:val="22"/>
          <w:lang w:val="es-ES_tradnl"/>
        </w:rPr>
        <w:t xml:space="preserve"> en una sociedad bursátil, o de i</w:t>
      </w:r>
      <w:r w:rsidR="00A869BB" w:rsidRPr="00CF1B34">
        <w:rPr>
          <w:rFonts w:ascii="Arial" w:hAnsi="Arial" w:cs="Arial"/>
          <w:color w:val="000000" w:themeColor="text1"/>
          <w:sz w:val="22"/>
          <w:szCs w:val="22"/>
          <w:lang w:val="es-ES_tradnl"/>
        </w:rPr>
        <w:t>n</w:t>
      </w:r>
      <w:r w:rsidRPr="00CF1B34">
        <w:rPr>
          <w:rFonts w:ascii="Arial" w:hAnsi="Arial" w:cs="Arial"/>
          <w:color w:val="000000" w:themeColor="text1"/>
          <w:sz w:val="22"/>
          <w:szCs w:val="22"/>
          <w:lang w:val="es-ES_tradnl"/>
        </w:rPr>
        <w:t>termediación bursátil, se dedica a gestionar una clientela institucional.</w:t>
      </w:r>
    </w:p>
    <w:p w14:paraId="0AEEA6A9" w14:textId="3FD3433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Trading</w:t>
      </w:r>
    </w:p>
    <w:p w14:paraId="007C656F"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Operativa que consiste en la compra y venta de instrumentos financieros por cuenta propia, generalmente a corto plazo y con la expectativa de obtener beneficios rápidos. Por su carácter especulativo, exige un seguimiento atento y permanente de los mercados, ya que se trata de aprovechar pequeñas diferencias en los precios.</w:t>
      </w:r>
    </w:p>
    <w:p w14:paraId="4D078AC7" w14:textId="3A86A497" w:rsidR="00213EB4" w:rsidRDefault="00213EB4"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Trailing stop</w:t>
      </w:r>
    </w:p>
    <w:p w14:paraId="0CA603C4" w14:textId="7C438F80" w:rsidR="00F13C42" w:rsidRPr="00F13C42" w:rsidRDefault="00F13C42" w:rsidP="00F13C42">
      <w:pPr>
        <w:ind w:left="708"/>
        <w:rPr>
          <w:rFonts w:ascii="Arial" w:hAnsi="Arial" w:cs="Arial"/>
          <w:sz w:val="22"/>
          <w:szCs w:val="22"/>
        </w:rPr>
      </w:pPr>
      <w:r w:rsidRPr="00F13C42">
        <w:rPr>
          <w:rFonts w:ascii="Arial" w:hAnsi="Arial" w:cs="Arial"/>
          <w:color w:val="474747"/>
          <w:sz w:val="22"/>
          <w:szCs w:val="22"/>
          <w:shd w:val="clear" w:color="auto" w:fill="FFFFFF"/>
        </w:rPr>
        <w:t xml:space="preserve">Un </w:t>
      </w:r>
      <w:r w:rsidRPr="00F13C42">
        <w:rPr>
          <w:rFonts w:ascii="Arial" w:hAnsi="Arial" w:cs="Arial"/>
          <w:color w:val="040C28"/>
          <w:sz w:val="22"/>
          <w:szCs w:val="22"/>
          <w:shd w:val="clear" w:color="auto" w:fill="D3E3FD"/>
        </w:rPr>
        <w:t>trailing stop</w:t>
      </w:r>
      <w:r w:rsidRPr="00F13C42">
        <w:rPr>
          <w:rFonts w:ascii="Arial" w:hAnsi="Arial" w:cs="Arial"/>
          <w:color w:val="474747"/>
          <w:sz w:val="22"/>
          <w:szCs w:val="22"/>
          <w:shd w:val="clear" w:color="auto" w:fill="FFFFFF"/>
        </w:rPr>
        <w:t xml:space="preserve"> permite que un trading siga ganando valor cuando el precio del mercado se mueve en una dirección favorable, pero cierra automáticamente el trading si el precio del mercado se mueve repentinamente en una dirección desfavorable por una distancia determinada.</w:t>
      </w:r>
    </w:p>
    <w:p w14:paraId="1C93E31D" w14:textId="77777777" w:rsidR="00F13C42" w:rsidRPr="00CF1B34" w:rsidRDefault="00F13C42" w:rsidP="00F13C42">
      <w:pPr>
        <w:pBdr>
          <w:bottom w:val="dotted" w:sz="12" w:space="12" w:color="666666"/>
        </w:pBdr>
        <w:spacing w:after="240"/>
        <w:ind w:left="720"/>
        <w:jc w:val="both"/>
        <w:rPr>
          <w:rFonts w:ascii="Arial" w:hAnsi="Arial" w:cs="Arial"/>
          <w:color w:val="212529"/>
          <w:sz w:val="22"/>
          <w:szCs w:val="22"/>
          <w:lang w:val="es-ES_tradnl"/>
        </w:rPr>
      </w:pPr>
      <w:r w:rsidRPr="00F13C42">
        <w:rPr>
          <w:rFonts w:ascii="Arial" w:hAnsi="Arial" w:cs="Arial"/>
          <w:color w:val="474747"/>
          <w:sz w:val="22"/>
          <w:szCs w:val="22"/>
          <w:shd w:val="clear" w:color="auto" w:fill="FFFFFF"/>
        </w:rPr>
        <w:t xml:space="preserve">La colocación del trailing stop-loss generalmente se especifica </w:t>
      </w:r>
      <w:r w:rsidRPr="00F13C42">
        <w:rPr>
          <w:rFonts w:ascii="Arial" w:hAnsi="Arial" w:cs="Arial"/>
          <w:color w:val="040C28"/>
          <w:sz w:val="22"/>
          <w:szCs w:val="22"/>
          <w:shd w:val="clear" w:color="auto" w:fill="D3E3FD"/>
        </w:rPr>
        <w:t xml:space="preserve">estableciendo un precio a la distancia deseada del precio de mercado, en línea con la cantidad de capital que está dispuesto a arriesgar en la </w:t>
      </w:r>
      <w:proofErr w:type="gramStart"/>
      <w:r w:rsidRPr="00F13C42">
        <w:rPr>
          <w:rFonts w:ascii="Arial" w:hAnsi="Arial" w:cs="Arial"/>
          <w:color w:val="040C28"/>
          <w:sz w:val="22"/>
          <w:szCs w:val="22"/>
          <w:shd w:val="clear" w:color="auto" w:fill="D3E3FD"/>
        </w:rPr>
        <w:t>operación</w:t>
      </w:r>
      <w:r w:rsidRPr="00F13C42">
        <w:rPr>
          <w:rFonts w:ascii="Arial" w:hAnsi="Arial" w:cs="Arial"/>
          <w:color w:val="474747"/>
          <w:sz w:val="22"/>
          <w:szCs w:val="22"/>
          <w:shd w:val="clear" w:color="auto" w:fill="FFFFFF"/>
        </w:rPr>
        <w:t xml:space="preserve"> .</w:t>
      </w:r>
      <w:proofErr w:type="gramEnd"/>
      <w:r w:rsidRPr="00F13C42">
        <w:rPr>
          <w:rFonts w:ascii="Arial" w:hAnsi="Arial" w:cs="Arial"/>
          <w:color w:val="474747"/>
          <w:sz w:val="22"/>
          <w:szCs w:val="22"/>
          <w:shd w:val="clear" w:color="auto" w:fill="FFFFFF"/>
        </w:rPr>
        <w:t xml:space="preserve"> El stop-loss permanecerá entonces a esta distancia del precio de mercado mientras el precio se mueve a su favor.</w:t>
      </w:r>
    </w:p>
    <w:p w14:paraId="7C2CECD4" w14:textId="7D8A1930"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Transferencia bancaria</w:t>
      </w:r>
    </w:p>
    <w:p w14:paraId="62867A9F" w14:textId="369D410A"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w:t>
      </w:r>
      <w:r w:rsidR="00F13C42">
        <w:rPr>
          <w:rFonts w:ascii="Arial" w:hAnsi="Arial" w:cs="Arial"/>
          <w:sz w:val="22"/>
          <w:szCs w:val="22"/>
          <w:lang w:val="es-ES_tradnl"/>
        </w:rPr>
        <w:t xml:space="preserve"> </w:t>
      </w:r>
      <w:r w:rsidRPr="00CF1B34">
        <w:rPr>
          <w:rFonts w:ascii="Arial" w:hAnsi="Arial" w:cs="Arial"/>
          <w:b/>
          <w:bCs/>
          <w:sz w:val="22"/>
          <w:szCs w:val="22"/>
          <w:lang w:val="es-ES_tradnl"/>
        </w:rPr>
        <w:t>transferencia bancaria</w:t>
      </w:r>
      <w:r w:rsidR="00F13C42">
        <w:rPr>
          <w:rFonts w:ascii="Arial" w:hAnsi="Arial" w:cs="Arial"/>
          <w:sz w:val="22"/>
          <w:szCs w:val="22"/>
          <w:lang w:val="es-ES_tradnl"/>
        </w:rPr>
        <w:t xml:space="preserve"> </w:t>
      </w:r>
      <w:r w:rsidRPr="00CF1B34">
        <w:rPr>
          <w:rFonts w:ascii="Arial" w:hAnsi="Arial" w:cs="Arial"/>
          <w:sz w:val="22"/>
          <w:szCs w:val="22"/>
          <w:lang w:val="es-ES_tradnl"/>
        </w:rPr>
        <w:t>es una operación a través de la cual una persona o entidad (ordenante) ordena el envío de dinero a la cuenta de otra persona o empresa (beneficiario).</w:t>
      </w:r>
    </w:p>
    <w:p w14:paraId="44F459BE" w14:textId="23FDCF25"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Para realizar una transferencia es necesario conocer el código IBAN del beneficiario, estas siglas corresponden con el código internacional estandarizado para la identificación de cuentas bancarias.</w:t>
      </w:r>
    </w:p>
    <w:p w14:paraId="6D239D25" w14:textId="5BD3AD23"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Existen diferentes tipos de transferencias que se clasifican en base a los siguientes criterios:</w:t>
      </w:r>
    </w:p>
    <w:p w14:paraId="0A508D74" w14:textId="77777777" w:rsidR="004E69BA" w:rsidRPr="00CF1B34" w:rsidRDefault="004E69BA" w:rsidP="004F7A62">
      <w:pPr>
        <w:numPr>
          <w:ilvl w:val="0"/>
          <w:numId w:val="78"/>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En función del país de destino las transferencias pueden ser:</w:t>
      </w:r>
    </w:p>
    <w:p w14:paraId="4F4F5C1A" w14:textId="77777777" w:rsidR="004E69BA" w:rsidRPr="00CF1B34" w:rsidRDefault="004E69BA" w:rsidP="004F7A62">
      <w:pPr>
        <w:numPr>
          <w:ilvl w:val="1"/>
          <w:numId w:val="78"/>
        </w:numPr>
        <w:spacing w:before="100" w:beforeAutospacing="1" w:after="240"/>
        <w:ind w:left="1515"/>
        <w:jc w:val="both"/>
        <w:rPr>
          <w:rFonts w:ascii="Arial" w:hAnsi="Arial" w:cs="Arial"/>
          <w:sz w:val="22"/>
          <w:szCs w:val="22"/>
          <w:lang w:val="es-ES_tradnl"/>
        </w:rPr>
      </w:pPr>
      <w:r w:rsidRPr="00CF1B34">
        <w:rPr>
          <w:rFonts w:ascii="Arial" w:hAnsi="Arial" w:cs="Arial"/>
          <w:b/>
          <w:bCs/>
          <w:sz w:val="22"/>
          <w:szCs w:val="22"/>
          <w:lang w:val="es-ES_tradnl"/>
        </w:rPr>
        <w:t>Transferencias nacionales</w:t>
      </w:r>
      <w:r w:rsidRPr="00CF1B34">
        <w:rPr>
          <w:rFonts w:ascii="Arial" w:hAnsi="Arial" w:cs="Arial"/>
          <w:sz w:val="22"/>
          <w:szCs w:val="22"/>
          <w:lang w:val="es-ES_tradnl"/>
        </w:rPr>
        <w:t>: tanto el ordenante de la transferencia como el beneficiario están en España.</w:t>
      </w:r>
    </w:p>
    <w:p w14:paraId="328D3DCB" w14:textId="77777777" w:rsidR="004E69BA" w:rsidRPr="00CF1B34" w:rsidRDefault="004E69BA" w:rsidP="004F7A62">
      <w:pPr>
        <w:numPr>
          <w:ilvl w:val="1"/>
          <w:numId w:val="78"/>
        </w:numPr>
        <w:spacing w:before="100" w:beforeAutospacing="1" w:after="240"/>
        <w:ind w:left="1515"/>
        <w:jc w:val="both"/>
        <w:rPr>
          <w:rFonts w:ascii="Arial" w:hAnsi="Arial" w:cs="Arial"/>
          <w:sz w:val="22"/>
          <w:szCs w:val="22"/>
          <w:lang w:val="es-ES_tradnl"/>
        </w:rPr>
      </w:pPr>
      <w:r w:rsidRPr="00CF1B34">
        <w:rPr>
          <w:rFonts w:ascii="Arial" w:hAnsi="Arial" w:cs="Arial"/>
          <w:b/>
          <w:bCs/>
          <w:sz w:val="22"/>
          <w:szCs w:val="22"/>
          <w:lang w:val="es-ES_tradnl"/>
        </w:rPr>
        <w:t>Transferencias internacionales</w:t>
      </w:r>
      <w:r w:rsidRPr="00CF1B34">
        <w:rPr>
          <w:rFonts w:ascii="Arial" w:hAnsi="Arial" w:cs="Arial"/>
          <w:sz w:val="22"/>
          <w:szCs w:val="22"/>
          <w:lang w:val="es-ES_tradnl"/>
        </w:rPr>
        <w:t>: el beneficiario del dinero se encuentra fuera de España.</w:t>
      </w:r>
    </w:p>
    <w:p w14:paraId="6F88613F" w14:textId="77777777" w:rsidR="004E69BA" w:rsidRPr="00CF1B34" w:rsidRDefault="004E69BA" w:rsidP="004F7A62">
      <w:pPr>
        <w:numPr>
          <w:ilvl w:val="0"/>
          <w:numId w:val="78"/>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En función de la vía empleada para ordenar la transferencia:</w:t>
      </w:r>
    </w:p>
    <w:p w14:paraId="5E07992F" w14:textId="77777777" w:rsidR="004E69BA" w:rsidRPr="00CF1B34" w:rsidRDefault="004E69BA" w:rsidP="004F7A62">
      <w:pPr>
        <w:numPr>
          <w:ilvl w:val="1"/>
          <w:numId w:val="78"/>
        </w:numPr>
        <w:spacing w:before="100" w:beforeAutospacing="1" w:after="240"/>
        <w:ind w:left="1515"/>
        <w:jc w:val="both"/>
        <w:rPr>
          <w:rFonts w:ascii="Arial" w:hAnsi="Arial" w:cs="Arial"/>
          <w:sz w:val="22"/>
          <w:szCs w:val="22"/>
          <w:lang w:val="es-ES_tradnl"/>
        </w:rPr>
      </w:pPr>
      <w:r w:rsidRPr="00CF1B34">
        <w:rPr>
          <w:rFonts w:ascii="Arial" w:hAnsi="Arial" w:cs="Arial"/>
          <w:b/>
          <w:bCs/>
          <w:sz w:val="22"/>
          <w:szCs w:val="22"/>
          <w:lang w:val="es-ES_tradnl"/>
        </w:rPr>
        <w:t>Transferencia ordenada por internet.</w:t>
      </w:r>
    </w:p>
    <w:p w14:paraId="648C7E1B" w14:textId="77777777" w:rsidR="004E69BA" w:rsidRPr="00CF1B34" w:rsidRDefault="004E69BA" w:rsidP="004F7A62">
      <w:pPr>
        <w:numPr>
          <w:ilvl w:val="1"/>
          <w:numId w:val="78"/>
        </w:numPr>
        <w:spacing w:before="100" w:beforeAutospacing="1" w:after="240"/>
        <w:ind w:left="1515"/>
        <w:jc w:val="both"/>
        <w:rPr>
          <w:rFonts w:ascii="Arial" w:hAnsi="Arial" w:cs="Arial"/>
          <w:sz w:val="22"/>
          <w:szCs w:val="22"/>
          <w:lang w:val="es-ES_tradnl"/>
        </w:rPr>
      </w:pPr>
      <w:r w:rsidRPr="00CF1B34">
        <w:rPr>
          <w:rFonts w:ascii="Arial" w:hAnsi="Arial" w:cs="Arial"/>
          <w:b/>
          <w:bCs/>
          <w:sz w:val="22"/>
          <w:szCs w:val="22"/>
          <w:lang w:val="es-ES_tradnl"/>
        </w:rPr>
        <w:t>Transferencia ordenada desde una sucursal bancari</w:t>
      </w:r>
      <w:r w:rsidRPr="00CF1B34">
        <w:rPr>
          <w:rFonts w:ascii="Arial" w:hAnsi="Arial" w:cs="Arial"/>
          <w:sz w:val="22"/>
          <w:szCs w:val="22"/>
          <w:lang w:val="es-ES_tradnl"/>
        </w:rPr>
        <w:t>a.</w:t>
      </w:r>
    </w:p>
    <w:p w14:paraId="7CCED06F" w14:textId="77777777" w:rsidR="004E69BA" w:rsidRPr="00CF1B34" w:rsidRDefault="004E69BA" w:rsidP="004F7A62">
      <w:pPr>
        <w:numPr>
          <w:ilvl w:val="1"/>
          <w:numId w:val="78"/>
        </w:numPr>
        <w:spacing w:before="100" w:beforeAutospacing="1" w:after="240"/>
        <w:ind w:left="1515"/>
        <w:jc w:val="both"/>
        <w:rPr>
          <w:rFonts w:ascii="Arial" w:hAnsi="Arial" w:cs="Arial"/>
          <w:sz w:val="22"/>
          <w:szCs w:val="22"/>
          <w:lang w:val="es-ES_tradnl"/>
        </w:rPr>
      </w:pPr>
      <w:r w:rsidRPr="00CF1B34">
        <w:rPr>
          <w:rFonts w:ascii="Arial" w:hAnsi="Arial" w:cs="Arial"/>
          <w:b/>
          <w:bCs/>
          <w:sz w:val="22"/>
          <w:szCs w:val="22"/>
          <w:lang w:val="es-ES_tradnl"/>
        </w:rPr>
        <w:t>Transferencia ordenada desde un cajero automático</w:t>
      </w:r>
      <w:r w:rsidRPr="00CF1B34">
        <w:rPr>
          <w:rFonts w:ascii="Arial" w:hAnsi="Arial" w:cs="Arial"/>
          <w:sz w:val="22"/>
          <w:szCs w:val="22"/>
          <w:lang w:val="es-ES_tradnl"/>
        </w:rPr>
        <w:t>.</w:t>
      </w:r>
    </w:p>
    <w:p w14:paraId="251F317B" w14:textId="77777777" w:rsidR="004E69BA" w:rsidRPr="00CF1B34" w:rsidRDefault="004E69BA" w:rsidP="004F7A62">
      <w:pPr>
        <w:numPr>
          <w:ilvl w:val="1"/>
          <w:numId w:val="78"/>
        </w:numPr>
        <w:spacing w:before="100" w:beforeAutospacing="1" w:after="240"/>
        <w:ind w:left="1515"/>
        <w:jc w:val="both"/>
        <w:rPr>
          <w:rFonts w:ascii="Arial" w:hAnsi="Arial" w:cs="Arial"/>
          <w:sz w:val="22"/>
          <w:szCs w:val="22"/>
          <w:lang w:val="es-ES_tradnl"/>
        </w:rPr>
      </w:pPr>
      <w:r w:rsidRPr="00CF1B34">
        <w:rPr>
          <w:rFonts w:ascii="Arial" w:hAnsi="Arial" w:cs="Arial"/>
          <w:b/>
          <w:bCs/>
          <w:sz w:val="22"/>
          <w:szCs w:val="22"/>
          <w:lang w:val="es-ES_tradnl"/>
        </w:rPr>
        <w:t>Transferencia ordenada por teléfono o por fax</w:t>
      </w:r>
      <w:r w:rsidRPr="00CF1B34">
        <w:rPr>
          <w:rFonts w:ascii="Arial" w:hAnsi="Arial" w:cs="Arial"/>
          <w:sz w:val="22"/>
          <w:szCs w:val="22"/>
          <w:lang w:val="es-ES_tradnl"/>
        </w:rPr>
        <w:t>.</w:t>
      </w:r>
    </w:p>
    <w:p w14:paraId="38B9F89A" w14:textId="77777777" w:rsidR="004E69BA" w:rsidRPr="00CF1B34" w:rsidRDefault="004E69BA" w:rsidP="004F7A62">
      <w:pPr>
        <w:numPr>
          <w:ilvl w:val="0"/>
          <w:numId w:val="78"/>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En función del tiempo que los fondos tardarán en abonarse en la cuenta del beneficiario:</w:t>
      </w:r>
    </w:p>
    <w:p w14:paraId="5182F945" w14:textId="77777777" w:rsidR="004E69BA" w:rsidRPr="00CF1B34" w:rsidRDefault="004E69BA" w:rsidP="004F7A62">
      <w:pPr>
        <w:numPr>
          <w:ilvl w:val="1"/>
          <w:numId w:val="78"/>
        </w:numPr>
        <w:spacing w:before="100" w:beforeAutospacing="1" w:after="240"/>
        <w:ind w:left="1515"/>
        <w:jc w:val="both"/>
        <w:rPr>
          <w:rFonts w:ascii="Arial" w:hAnsi="Arial" w:cs="Arial"/>
          <w:sz w:val="22"/>
          <w:szCs w:val="22"/>
          <w:lang w:val="es-ES_tradnl"/>
        </w:rPr>
      </w:pPr>
      <w:r w:rsidRPr="00CF1B34">
        <w:rPr>
          <w:rFonts w:ascii="Arial" w:hAnsi="Arial" w:cs="Arial"/>
          <w:b/>
          <w:bCs/>
          <w:sz w:val="22"/>
          <w:szCs w:val="22"/>
          <w:lang w:val="es-ES_tradnl"/>
        </w:rPr>
        <w:t>Transferencia ordinaria</w:t>
      </w:r>
      <w:r w:rsidRPr="00CF1B34">
        <w:rPr>
          <w:rFonts w:ascii="Arial" w:hAnsi="Arial" w:cs="Arial"/>
          <w:sz w:val="22"/>
          <w:szCs w:val="22"/>
          <w:lang w:val="es-ES_tradnl"/>
        </w:rPr>
        <w:t>: según la normativa actual, el tiempo habitual suelen ser uno o días hábiles.</w:t>
      </w:r>
    </w:p>
    <w:p w14:paraId="28A1B74A" w14:textId="77777777" w:rsidR="004E69BA" w:rsidRPr="00CF1B34" w:rsidRDefault="004E69BA" w:rsidP="004F7A62">
      <w:pPr>
        <w:numPr>
          <w:ilvl w:val="1"/>
          <w:numId w:val="78"/>
        </w:numPr>
        <w:spacing w:before="100" w:beforeAutospacing="1" w:after="240"/>
        <w:ind w:left="1515"/>
        <w:jc w:val="both"/>
        <w:rPr>
          <w:rFonts w:ascii="Arial" w:hAnsi="Arial" w:cs="Arial"/>
          <w:sz w:val="22"/>
          <w:szCs w:val="22"/>
          <w:lang w:val="es-ES_tradnl"/>
        </w:rPr>
      </w:pPr>
      <w:r w:rsidRPr="00CF1B34">
        <w:rPr>
          <w:rFonts w:ascii="Arial" w:hAnsi="Arial" w:cs="Arial"/>
          <w:b/>
          <w:bCs/>
          <w:sz w:val="22"/>
          <w:szCs w:val="22"/>
          <w:lang w:val="es-ES_tradnl"/>
        </w:rPr>
        <w:t>Transferencia urgente</w:t>
      </w:r>
      <w:r w:rsidRPr="00CF1B34">
        <w:rPr>
          <w:rFonts w:ascii="Arial" w:hAnsi="Arial" w:cs="Arial"/>
          <w:sz w:val="22"/>
          <w:szCs w:val="22"/>
          <w:lang w:val="es-ES_tradnl"/>
        </w:rPr>
        <w:t>: son aquellas que son abonadas en la cuenta del beneficiario el mismo día en el que se ordena la transferencia.</w:t>
      </w:r>
    </w:p>
    <w:p w14:paraId="5F0168F3" w14:textId="77777777" w:rsidR="004E69BA" w:rsidRPr="00CF1B34" w:rsidRDefault="004E69BA" w:rsidP="004F7A62">
      <w:pPr>
        <w:numPr>
          <w:ilvl w:val="1"/>
          <w:numId w:val="78"/>
        </w:numPr>
        <w:spacing w:before="100" w:beforeAutospacing="1" w:after="240"/>
        <w:ind w:left="1515"/>
        <w:jc w:val="both"/>
        <w:rPr>
          <w:rFonts w:ascii="Arial" w:hAnsi="Arial" w:cs="Arial"/>
          <w:sz w:val="22"/>
          <w:szCs w:val="22"/>
          <w:lang w:val="es-ES_tradnl"/>
        </w:rPr>
      </w:pPr>
      <w:r w:rsidRPr="00CF1B34">
        <w:rPr>
          <w:rFonts w:ascii="Arial" w:hAnsi="Arial" w:cs="Arial"/>
          <w:b/>
          <w:bCs/>
          <w:sz w:val="22"/>
          <w:szCs w:val="22"/>
          <w:lang w:val="es-ES_tradnl"/>
        </w:rPr>
        <w:t>Transferencia inmediata</w:t>
      </w:r>
      <w:r w:rsidRPr="00CF1B34">
        <w:rPr>
          <w:rFonts w:ascii="Arial" w:hAnsi="Arial" w:cs="Arial"/>
          <w:sz w:val="22"/>
          <w:szCs w:val="22"/>
          <w:lang w:val="es-ES_tradnl"/>
        </w:rPr>
        <w:t>: son aquellas transferencias en el que el abono se produce en el mismo momento en que se ordena.</w:t>
      </w:r>
    </w:p>
    <w:p w14:paraId="79358F14"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Las comisiones asociadas a las transferencias varían en función de la entidad y del tiempo que tardan los fondos en ser abonados en la cuenta de destino. Cuando se realizan entre cuentas de una misma entidad se denominan traspasos y no tienen comisiones asociadas.</w:t>
      </w:r>
    </w:p>
    <w:p w14:paraId="654A4902"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Transferencia internacional</w:t>
      </w:r>
    </w:p>
    <w:p w14:paraId="6DDFB0A9"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transferencias internacionales (también conocidas como transfronterizas o exteriores) son aquellos movimientos que realizamos de una cuenta de origen a otra cuenta de destino, situada en otro país. Si nos situamos en España, la transferencia internacional consistirá en mandar o recibir el dinero fuera de nuestras fronteras.</w:t>
      </w:r>
    </w:p>
    <w:p w14:paraId="3989228E"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Hoy día en que la globalización gobierna todas las parcelas de nuestra vida, las finanzas no se quedan atrás y menos aún en el mundo empresarial: cada día es más normal realizar movimientos de dinero a nivel internacional, y en muchos casos incluso en diferentes divisas.</w:t>
      </w:r>
    </w:p>
    <w:p w14:paraId="43DCBFF3"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El ámbito geográfico, el importe y la divisa en que se lleve a cabo una transferencia podrán determinar el tiempo en llegar y los costes asociados (comisiones) de las </w:t>
      </w:r>
      <w:r w:rsidRPr="00CF1B34">
        <w:rPr>
          <w:rFonts w:ascii="Arial" w:hAnsi="Arial" w:cs="Arial"/>
          <w:sz w:val="22"/>
          <w:szCs w:val="22"/>
          <w:lang w:val="es-ES_tradnl"/>
        </w:rPr>
        <w:lastRenderedPageBreak/>
        <w:t>transferencias. En este sentido, las transferencias internacionales serán SEPA, si se produce entre empresas o particulares dentro de la Zona Única de Pagos en Euros (SEPA, que comprende los 27 Estados Miembro europeos y otros 9 no miembros); o bien mediante el sistema SWIFT (o reguladas por la Sociedad para las Comunicaciones Interbancarias y Financieras Mundiales, que es un organismo que regula y da transparencia a estos traspasos), si son realizadas fuera de la zona SEPA.</w:t>
      </w:r>
    </w:p>
    <w:p w14:paraId="06BCAC4A"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¿Cuánto tarda en producirse el pago de una transferencia internacional?</w:t>
      </w:r>
    </w:p>
    <w:p w14:paraId="0F2A52A6" w14:textId="3306EB18"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Dependerá sobre todo del país de destino y de la hora a la que hayamos emitido la transferencia. Será importante tener en cuenta la diferencia horaria entre los países, así como la hora límite establecida por cada banco para emitir la transferencia: pasado ese límite, se dará por hecho que se ha emitido al día siguiente, por lo que todo el proceso se demorará un día más. Entre países</w:t>
      </w:r>
      <w:r w:rsidR="00F13C42">
        <w:rPr>
          <w:rFonts w:ascii="Arial" w:hAnsi="Arial" w:cs="Arial"/>
          <w:sz w:val="22"/>
          <w:szCs w:val="22"/>
          <w:lang w:val="es-ES_tradnl"/>
        </w:rPr>
        <w:t xml:space="preserve"> </w:t>
      </w:r>
      <w:r w:rsidRPr="00CF1B34">
        <w:rPr>
          <w:rFonts w:ascii="Arial" w:hAnsi="Arial" w:cs="Arial"/>
          <w:b/>
          <w:bCs/>
          <w:sz w:val="22"/>
          <w:szCs w:val="22"/>
          <w:lang w:val="es-ES_tradnl"/>
        </w:rPr>
        <w:t>SEPA</w:t>
      </w:r>
      <w:r w:rsidR="00F13C42">
        <w:rPr>
          <w:rFonts w:ascii="Arial" w:hAnsi="Arial" w:cs="Arial"/>
          <w:sz w:val="22"/>
          <w:szCs w:val="22"/>
          <w:lang w:val="es-ES_tradnl"/>
        </w:rPr>
        <w:t xml:space="preserve"> </w:t>
      </w:r>
      <w:r w:rsidRPr="00CF1B34">
        <w:rPr>
          <w:rFonts w:ascii="Arial" w:hAnsi="Arial" w:cs="Arial"/>
          <w:sz w:val="22"/>
          <w:szCs w:val="22"/>
          <w:lang w:val="es-ES_tradnl"/>
        </w:rPr>
        <w:t>podría tardar un máximo de dos días hábiles. Si es vía</w:t>
      </w:r>
      <w:r w:rsidR="00F13C42">
        <w:rPr>
          <w:rFonts w:ascii="Arial" w:hAnsi="Arial" w:cs="Arial"/>
          <w:sz w:val="22"/>
          <w:szCs w:val="22"/>
          <w:lang w:val="es-ES_tradnl"/>
        </w:rPr>
        <w:t xml:space="preserve"> </w:t>
      </w:r>
      <w:r w:rsidRPr="00CF1B34">
        <w:rPr>
          <w:rFonts w:ascii="Arial" w:hAnsi="Arial" w:cs="Arial"/>
          <w:b/>
          <w:bCs/>
          <w:sz w:val="22"/>
          <w:szCs w:val="22"/>
          <w:lang w:val="es-ES_tradnl"/>
        </w:rPr>
        <w:t>SWIFT</w:t>
      </w:r>
      <w:r w:rsidR="00F13C42">
        <w:rPr>
          <w:rFonts w:ascii="Arial" w:hAnsi="Arial" w:cs="Arial"/>
          <w:sz w:val="22"/>
          <w:szCs w:val="22"/>
          <w:lang w:val="es-ES_tradnl"/>
        </w:rPr>
        <w:t xml:space="preserve"> </w:t>
      </w:r>
      <w:r w:rsidRPr="00CF1B34">
        <w:rPr>
          <w:rFonts w:ascii="Arial" w:hAnsi="Arial" w:cs="Arial"/>
          <w:sz w:val="22"/>
          <w:szCs w:val="22"/>
          <w:lang w:val="es-ES_tradnl"/>
        </w:rPr>
        <w:t>podrá llevar de uno a cinco días, pudiendo demorarse más en función de los procesos de cada banco y país. De todas formas, existen maneras para acortar los tiempos.</w:t>
      </w:r>
    </w:p>
    <w:p w14:paraId="65B173E2"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Así, si solicitamos una Orden de Movimiento de Fondos (OMF) llegará el mismo día, o como mucho al día siguiente. Y las transferencias inmediatas a la zona SEPA tardan tan solo segundos. Eso sí; esta celeridad tendrá un coste…</w:t>
      </w:r>
    </w:p>
    <w:p w14:paraId="63B78D2D"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realizar una transferencia internacional?</w:t>
      </w:r>
    </w:p>
    <w:p w14:paraId="13AFDCA7"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primer lugar, tendremos que conocer en qué país se sitúa la cuenta; ya hemos visto que este aspecto condicionará el importe y el tiempo en que se haga efectiva. Después elegiremos un modo de hacerla: acudiendo a nuestro banco y haciéndola de manera presencial, o vía telefónica con un gestor, o incluso online o desde el móvil. Existe la opción de hacerlo a través de una plataforma online ajena al banco, pero su coste será mayor. En tercer lugar, tendremos que rellenar los siguientes datos: identificación y dirección del destinatario, IBAN de la cuenta de destino, código SWIFT o BIC (que podrá conocerse automáticamente si el IBAN es el correcto), y el importe y la divisa.</w:t>
      </w:r>
    </w:p>
    <w:p w14:paraId="5CB0BC52"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Transferencias y cambios de divisa</w:t>
      </w:r>
    </w:p>
    <w:p w14:paraId="587DF221"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Como sabemos, la divisa es la moneda oficial de un territorio. Si hablamos de transferencias internacionales (sobre todo si se producen fuera de la zona SEPA), será habitual que haya que realizar un cambio de divisa; esto habrá que tomarlo en consideración, ya que supondrá una comisión y además una conversión a la divisa del país de destino.</w:t>
      </w:r>
    </w:p>
    <w:p w14:paraId="08196D6F"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Transferencia SEPA</w:t>
      </w:r>
    </w:p>
    <w:p w14:paraId="5287E462" w14:textId="3D195C6D"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Una</w:t>
      </w:r>
      <w:r w:rsidR="00F13C42">
        <w:rPr>
          <w:rFonts w:ascii="Arial" w:hAnsi="Arial" w:cs="Arial"/>
          <w:sz w:val="22"/>
          <w:szCs w:val="22"/>
          <w:lang w:val="es-ES_tradnl"/>
        </w:rPr>
        <w:t xml:space="preserve"> </w:t>
      </w:r>
      <w:r w:rsidRPr="00CF1B34">
        <w:rPr>
          <w:rFonts w:ascii="Arial" w:hAnsi="Arial" w:cs="Arial"/>
          <w:b/>
          <w:bCs/>
          <w:sz w:val="22"/>
          <w:szCs w:val="22"/>
          <w:lang w:val="es-ES_tradnl"/>
        </w:rPr>
        <w:t>transferencia SEPA</w:t>
      </w:r>
      <w:r w:rsidR="00F13C42">
        <w:rPr>
          <w:rFonts w:ascii="Arial" w:hAnsi="Arial" w:cs="Arial"/>
          <w:sz w:val="22"/>
          <w:szCs w:val="22"/>
          <w:lang w:val="es-ES_tradnl"/>
        </w:rPr>
        <w:t xml:space="preserve"> </w:t>
      </w:r>
      <w:r w:rsidRPr="00CF1B34">
        <w:rPr>
          <w:rFonts w:ascii="Arial" w:hAnsi="Arial" w:cs="Arial"/>
          <w:sz w:val="22"/>
          <w:szCs w:val="22"/>
          <w:lang w:val="es-ES_tradnl"/>
        </w:rPr>
        <w:t>(</w:t>
      </w:r>
      <w:r w:rsidRPr="00CF1B34">
        <w:rPr>
          <w:rFonts w:ascii="Arial" w:hAnsi="Arial" w:cs="Arial"/>
          <w:b/>
          <w:bCs/>
          <w:sz w:val="22"/>
          <w:szCs w:val="22"/>
          <w:lang w:val="es-ES_tradnl"/>
        </w:rPr>
        <w:t>Single Euro Payments Area</w:t>
      </w:r>
      <w:r w:rsidRPr="00CF1B34">
        <w:rPr>
          <w:rFonts w:ascii="Arial" w:hAnsi="Arial" w:cs="Arial"/>
          <w:sz w:val="22"/>
          <w:szCs w:val="22"/>
          <w:lang w:val="es-ES_tradnl"/>
        </w:rPr>
        <w:t>) es una transferencia en euros que se hace entre entidades bancarias pertenecientes a la zona única de pagos en euros.</w:t>
      </w:r>
    </w:p>
    <w:p w14:paraId="4251721F"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Para poder realizar una transferencia SEPA debemos conocer el IBAN (International Bank Account Number) de la cuenta de origen, la cuenta de destino, el nombre del beneficiario y el importe. El plazo medio para la recepción del dinero en la cuenta de destino suele ser alrededor de un día hábil.</w:t>
      </w:r>
    </w:p>
    <w:p w14:paraId="112DCEC6" w14:textId="32DA1DF3"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Dentro de España el coste de la</w:t>
      </w:r>
      <w:r w:rsidR="00F13C42">
        <w:rPr>
          <w:rFonts w:ascii="Arial" w:hAnsi="Arial" w:cs="Arial"/>
          <w:sz w:val="22"/>
          <w:szCs w:val="22"/>
          <w:lang w:val="es-ES_tradnl"/>
        </w:rPr>
        <w:t xml:space="preserve">s </w:t>
      </w:r>
      <w:r w:rsidRPr="00CF1B34">
        <w:rPr>
          <w:rFonts w:ascii="Arial" w:hAnsi="Arial" w:cs="Arial"/>
          <w:b/>
          <w:bCs/>
          <w:sz w:val="22"/>
          <w:szCs w:val="22"/>
          <w:lang w:val="es-ES_tradnl"/>
        </w:rPr>
        <w:t>transferencias</w:t>
      </w:r>
      <w:r w:rsidR="00F13C42">
        <w:rPr>
          <w:rFonts w:ascii="Arial" w:hAnsi="Arial" w:cs="Arial"/>
          <w:b/>
          <w:bCs/>
          <w:sz w:val="22"/>
          <w:szCs w:val="22"/>
          <w:lang w:val="es-ES_tradnl"/>
        </w:rPr>
        <w:t xml:space="preserve"> </w:t>
      </w:r>
      <w:r w:rsidRPr="00CF1B34">
        <w:rPr>
          <w:rFonts w:ascii="Arial" w:hAnsi="Arial" w:cs="Arial"/>
          <w:b/>
          <w:bCs/>
          <w:sz w:val="22"/>
          <w:szCs w:val="22"/>
          <w:lang w:val="es-ES_tradnl"/>
        </w:rPr>
        <w:t>SEPA</w:t>
      </w:r>
      <w:r w:rsidR="00F13C42">
        <w:rPr>
          <w:rFonts w:ascii="Arial" w:hAnsi="Arial" w:cs="Arial"/>
          <w:sz w:val="22"/>
          <w:szCs w:val="22"/>
          <w:lang w:val="es-ES_tradnl"/>
        </w:rPr>
        <w:t xml:space="preserve"> </w:t>
      </w:r>
      <w:r w:rsidRPr="00CF1B34">
        <w:rPr>
          <w:rFonts w:ascii="Arial" w:hAnsi="Arial" w:cs="Arial"/>
          <w:sz w:val="22"/>
          <w:szCs w:val="22"/>
          <w:lang w:val="es-ES_tradnl"/>
        </w:rPr>
        <w:t>es el mismo que para las transferencias nacionales.</w:t>
      </w:r>
    </w:p>
    <w:p w14:paraId="256240CC" w14:textId="77777777" w:rsidR="004E69BA" w:rsidRPr="00CF1B34" w:rsidRDefault="004E69BA" w:rsidP="0005621A">
      <w:pPr>
        <w:spacing w:after="100" w:afterAutospacing="1"/>
        <w:ind w:left="1416"/>
        <w:jc w:val="both"/>
        <w:rPr>
          <w:rFonts w:ascii="Arial" w:hAnsi="Arial" w:cs="Arial"/>
          <w:sz w:val="22"/>
          <w:szCs w:val="22"/>
          <w:lang w:val="es-ES_tradnl"/>
        </w:rPr>
      </w:pPr>
      <w:r w:rsidRPr="00CF1B34">
        <w:rPr>
          <w:rFonts w:ascii="Arial" w:hAnsi="Arial" w:cs="Arial"/>
          <w:sz w:val="22"/>
          <w:szCs w:val="22"/>
          <w:lang w:val="es-ES_tradnl"/>
        </w:rPr>
        <w:lastRenderedPageBreak/>
        <w:t>El empleo de este tipo de transferencias ha supuesto numerosas ventajas entre las que destacan:</w:t>
      </w:r>
    </w:p>
    <w:p w14:paraId="455C94CC" w14:textId="77777777" w:rsidR="004E69BA" w:rsidRPr="00CF1B34" w:rsidRDefault="004E69BA" w:rsidP="004F7A62">
      <w:pPr>
        <w:numPr>
          <w:ilvl w:val="0"/>
          <w:numId w:val="79"/>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Se ha reducido a un día hábil el periodo de envío y recepción de dinero.</w:t>
      </w:r>
    </w:p>
    <w:p w14:paraId="0BC522EA" w14:textId="77777777" w:rsidR="004E69BA" w:rsidRPr="00CF1B34" w:rsidRDefault="004E69BA" w:rsidP="004F7A62">
      <w:pPr>
        <w:numPr>
          <w:ilvl w:val="0"/>
          <w:numId w:val="79"/>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Los nuevos códigos suponen un incremento en la seguridad de la cuenta.</w:t>
      </w:r>
    </w:p>
    <w:p w14:paraId="24D92574" w14:textId="77777777" w:rsidR="004E69BA" w:rsidRPr="00CF1B34" w:rsidRDefault="004E69BA" w:rsidP="004F7A62">
      <w:pPr>
        <w:numPr>
          <w:ilvl w:val="0"/>
          <w:numId w:val="79"/>
        </w:numPr>
        <w:spacing w:before="100" w:beforeAutospacing="1" w:after="240"/>
        <w:ind w:left="495"/>
        <w:jc w:val="both"/>
        <w:rPr>
          <w:rFonts w:ascii="Arial" w:hAnsi="Arial" w:cs="Arial"/>
          <w:sz w:val="22"/>
          <w:szCs w:val="22"/>
          <w:lang w:val="es-ES_tradnl"/>
        </w:rPr>
      </w:pPr>
      <w:r w:rsidRPr="00CF1B34">
        <w:rPr>
          <w:rFonts w:ascii="Arial" w:hAnsi="Arial" w:cs="Arial"/>
          <w:sz w:val="22"/>
          <w:szCs w:val="22"/>
          <w:lang w:val="es-ES_tradnl"/>
        </w:rPr>
        <w:t>No existe un límite en el importe.</w:t>
      </w:r>
    </w:p>
    <w:p w14:paraId="26C85340" w14:textId="77777777" w:rsidR="004E69BA" w:rsidRPr="00CF1B34" w:rsidRDefault="004E69BA" w:rsidP="0005621A">
      <w:pPr>
        <w:pBdr>
          <w:bottom w:val="dotted" w:sz="12" w:space="12" w:color="666666"/>
        </w:pBdr>
        <w:spacing w:after="240"/>
        <w:ind w:firstLine="495"/>
        <w:jc w:val="both"/>
        <w:rPr>
          <w:rFonts w:ascii="Arial" w:hAnsi="Arial" w:cs="Arial"/>
          <w:color w:val="212529"/>
          <w:sz w:val="22"/>
          <w:szCs w:val="22"/>
          <w:lang w:val="es-ES_tradnl"/>
        </w:rPr>
      </w:pPr>
      <w:r w:rsidRPr="00CF1B34">
        <w:rPr>
          <w:rFonts w:ascii="Arial" w:hAnsi="Arial" w:cs="Arial"/>
          <w:sz w:val="22"/>
          <w:szCs w:val="22"/>
          <w:lang w:val="es-ES_tradnl"/>
        </w:rPr>
        <w:t>Pueden realizarse pagos de forma automatizada y vía electrónica.</w:t>
      </w:r>
    </w:p>
    <w:p w14:paraId="3F4C041A" w14:textId="6A3B082F"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Transición hacia una economía sostenible </w:t>
      </w:r>
    </w:p>
    <w:p w14:paraId="62463CCD"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Se refiere a los procesos de cambio del modelo económico actual para alcanzar la neutralidad de carbono a más tardar en 2050, así como otros objetivos a largo plazo. En esta transición, para lograr un crecimiento más sostenible e inclusivo, los mercados de valores tienen un importante papel que desarrollar. Empresas, emisores e inversores pueden utilizar la taxonomía de la UE para descarbonizar y ecologizar sus actividades y carteras. La neutralidad de carbono a la que se ha comprometido Europa significa que todas las actividades económicas deben lograr emitir cero emisiones netas antes del año 2050. </w:t>
      </w:r>
    </w:p>
    <w:p w14:paraId="3B97643B" w14:textId="7777777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Transparencia</w:t>
      </w:r>
    </w:p>
    <w:p w14:paraId="39ED0A85"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Cualidad de un mercado financiero, en el que existe un flujo adecuado y suficiente de información por parte de las empresas y los mercados. La transparencia supone que se transmita al mercado, de forma clara, veraz y equitativa, toda la información relevante para los inversores. La normativa española impone a los agentes que participan en los mercados determinadas obligaciones de información para garantizar la transparencia, tanto en el mercado primario (en el momento de la oferta pública los valores) como en los mercados secundarios de valores. Por ejemplo, las sociedades cotizadas han de difundir información periódica sobre sus datos financieros y contables, así como aquellos hechos relevantes que puedan afectar a la cotización del valor.</w:t>
      </w:r>
    </w:p>
    <w:p w14:paraId="55B9570C" w14:textId="7777777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Traspaso entre fondos de inversión</w:t>
      </w:r>
    </w:p>
    <w:p w14:paraId="424D532E" w14:textId="6C59F504"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Operación que consiste en el reembolso de un fondo y la inmediata suscripción de otro, conservando la antigüedad de la primera inversión a efectos fiscales (lo que significa que las plusvalías no tributan mientras no se produzca el reembolso definitivo). También puede darse entre sociedades de inversión, o entre fondos y sociedades.</w:t>
      </w:r>
    </w:p>
    <w:p w14:paraId="4E55DB86" w14:textId="4778EAD6" w:rsidR="00A23A19" w:rsidRDefault="00A23A19" w:rsidP="0005621A">
      <w:pPr>
        <w:jc w:val="both"/>
        <w:rPr>
          <w:rFonts w:ascii="Arial" w:hAnsi="Arial" w:cs="Arial"/>
          <w:sz w:val="22"/>
          <w:szCs w:val="22"/>
          <w:lang w:val="es-ES_tradnl"/>
        </w:rPr>
      </w:pPr>
    </w:p>
    <w:p w14:paraId="04D5DF80" w14:textId="77777777" w:rsidR="00EF2163" w:rsidRPr="00CF1B34" w:rsidRDefault="00EF2163" w:rsidP="0005621A">
      <w:pPr>
        <w:jc w:val="both"/>
        <w:rPr>
          <w:rFonts w:ascii="Arial" w:hAnsi="Arial" w:cs="Arial"/>
          <w:sz w:val="22"/>
          <w:szCs w:val="22"/>
          <w:lang w:val="es-ES_tradnl"/>
        </w:rPr>
      </w:pPr>
    </w:p>
    <w:p w14:paraId="22974816" w14:textId="2B7CF42A" w:rsidR="00A23A19" w:rsidRPr="00CF1B34" w:rsidRDefault="009A24B4"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U</w:t>
      </w:r>
    </w:p>
    <w:p w14:paraId="7E3A65C2" w14:textId="1BEBD71E" w:rsidR="00696A3C" w:rsidRDefault="00696A3C" w:rsidP="0005621A">
      <w:pPr>
        <w:jc w:val="both"/>
        <w:rPr>
          <w:rFonts w:ascii="Arial" w:hAnsi="Arial" w:cs="Arial"/>
          <w:sz w:val="22"/>
          <w:szCs w:val="22"/>
          <w:lang w:val="es-ES_tradnl"/>
        </w:rPr>
      </w:pPr>
    </w:p>
    <w:p w14:paraId="41A8546B" w14:textId="77777777" w:rsidR="00EF2163" w:rsidRPr="00CF1B34" w:rsidRDefault="00EF2163" w:rsidP="0005621A">
      <w:pPr>
        <w:jc w:val="both"/>
        <w:rPr>
          <w:rFonts w:ascii="Arial" w:hAnsi="Arial" w:cs="Arial"/>
          <w:sz w:val="22"/>
          <w:szCs w:val="22"/>
          <w:lang w:val="es-ES_tradnl"/>
        </w:rPr>
      </w:pPr>
    </w:p>
    <w:p w14:paraId="22952C61" w14:textId="0C36426D"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UCITS</w:t>
      </w:r>
      <w:r w:rsidR="00EF2163">
        <w:rPr>
          <w:rFonts w:ascii="Arial" w:hAnsi="Arial" w:cs="Arial"/>
          <w:b/>
          <w:bCs/>
          <w:color w:val="004773"/>
          <w:sz w:val="22"/>
          <w:szCs w:val="22"/>
          <w:lang w:val="es-ES_tradnl"/>
        </w:rPr>
        <w:t xml:space="preserve"> (Undertaking for Collective Investment in Transferable Securities)</w:t>
      </w:r>
    </w:p>
    <w:p w14:paraId="3BE75CE1" w14:textId="60FFB67E" w:rsidR="00EF2163" w:rsidRPr="00EF2163" w:rsidRDefault="00EF2163" w:rsidP="00EF2163">
      <w:pPr>
        <w:ind w:left="708"/>
        <w:rPr>
          <w:rStyle w:val="Textoennegrita"/>
          <w:rFonts w:ascii="Arial" w:hAnsi="Arial" w:cs="Arial"/>
          <w:b w:val="0"/>
          <w:bCs w:val="0"/>
          <w:sz w:val="22"/>
          <w:szCs w:val="22"/>
        </w:rPr>
      </w:pPr>
      <w:r w:rsidRPr="00EF2163">
        <w:rPr>
          <w:rFonts w:ascii="Arial" w:hAnsi="Arial" w:cs="Arial"/>
          <w:sz w:val="22"/>
          <w:szCs w:val="22"/>
          <w:shd w:val="clear" w:color="auto" w:fill="FFFFFF"/>
        </w:rPr>
        <w:t>Es un acrónimo inglés que se traduce como “</w:t>
      </w:r>
      <w:r w:rsidRPr="00EF2163">
        <w:rPr>
          <w:rStyle w:val="highlight-answer"/>
          <w:rFonts w:ascii="Arial" w:hAnsi="Arial" w:cs="Arial"/>
          <w:b/>
          <w:bCs/>
          <w:color w:val="000000"/>
          <w:sz w:val="22"/>
          <w:szCs w:val="22"/>
          <w:shd w:val="clear" w:color="auto" w:fill="FFFFFF"/>
        </w:rPr>
        <w:t>Compromisos para la Inversión Colectiva en Valores Mobiliarios</w:t>
      </w:r>
      <w:r w:rsidRPr="00EF2163">
        <w:rPr>
          <w:rFonts w:ascii="Arial" w:hAnsi="Arial" w:cs="Arial"/>
          <w:sz w:val="22"/>
          <w:szCs w:val="22"/>
          <w:shd w:val="clear" w:color="auto" w:fill="FFFFFF"/>
        </w:rPr>
        <w:t xml:space="preserve">”. </w:t>
      </w:r>
      <w:r w:rsidR="009A24B4" w:rsidRPr="00EF2163">
        <w:rPr>
          <w:rFonts w:ascii="Arial" w:hAnsi="Arial" w:cs="Arial"/>
          <w:color w:val="212529"/>
          <w:sz w:val="22"/>
          <w:szCs w:val="22"/>
          <w:lang w:val="es-ES_tradnl"/>
        </w:rPr>
        <w:t>Instituciones de inversión colectiva sujetas a la normativa europea</w:t>
      </w:r>
      <w:r w:rsidRPr="00EF2163">
        <w:rPr>
          <w:rFonts w:ascii="Arial" w:hAnsi="Arial" w:cs="Arial"/>
          <w:color w:val="212529"/>
          <w:sz w:val="22"/>
          <w:szCs w:val="22"/>
          <w:lang w:val="es-ES_tradnl"/>
        </w:rPr>
        <w:t xml:space="preserve">, </w:t>
      </w:r>
      <w:r w:rsidR="00103BEA">
        <w:rPr>
          <w:rFonts w:ascii="Arial" w:hAnsi="Arial" w:cs="Arial"/>
          <w:color w:val="212529"/>
          <w:sz w:val="22"/>
          <w:szCs w:val="22"/>
          <w:lang w:val="es-ES_tradnl"/>
        </w:rPr>
        <w:t xml:space="preserve">que </w:t>
      </w:r>
      <w:r w:rsidRPr="00EF2163">
        <w:rPr>
          <w:rFonts w:ascii="Arial" w:hAnsi="Arial" w:cs="Arial"/>
          <w:sz w:val="22"/>
          <w:szCs w:val="22"/>
          <w:shd w:val="clear" w:color="auto" w:fill="FFFFFF"/>
        </w:rPr>
        <w:t>pued</w:t>
      </w:r>
      <w:r w:rsidR="00103BEA">
        <w:rPr>
          <w:rFonts w:ascii="Arial" w:hAnsi="Arial" w:cs="Arial"/>
          <w:sz w:val="22"/>
          <w:szCs w:val="22"/>
          <w:shd w:val="clear" w:color="auto" w:fill="FFFFFF"/>
        </w:rPr>
        <w:t>e</w:t>
      </w:r>
      <w:r w:rsidRPr="00EF2163">
        <w:rPr>
          <w:rFonts w:ascii="Arial" w:hAnsi="Arial" w:cs="Arial"/>
          <w:sz w:val="22"/>
          <w:szCs w:val="22"/>
          <w:shd w:val="clear" w:color="auto" w:fill="FFFFFF"/>
        </w:rPr>
        <w:t>n operar de forma transfronteriza en la Unión Europea.</w:t>
      </w:r>
      <w:r>
        <w:rPr>
          <w:rFonts w:ascii="Arial" w:hAnsi="Arial" w:cs="Arial"/>
          <w:sz w:val="22"/>
          <w:szCs w:val="22"/>
        </w:rPr>
        <w:t xml:space="preserve"> </w:t>
      </w:r>
      <w:r w:rsidR="009A24B4" w:rsidRPr="00EF2163">
        <w:rPr>
          <w:rFonts w:ascii="Arial" w:hAnsi="Arial" w:cs="Arial"/>
          <w:color w:val="212529"/>
          <w:sz w:val="22"/>
          <w:szCs w:val="22"/>
          <w:lang w:val="es-ES_tradnl"/>
        </w:rPr>
        <w:t>Ver IIC armonizadas.</w:t>
      </w:r>
      <w:r w:rsidRPr="00EF2163">
        <w:rPr>
          <w:rStyle w:val="Textoennegrita"/>
          <w:rFonts w:ascii="Arial" w:hAnsi="Arial" w:cs="Arial"/>
          <w:color w:val="000000"/>
          <w:sz w:val="22"/>
          <w:szCs w:val="22"/>
        </w:rPr>
        <w:t xml:space="preserve"> </w:t>
      </w:r>
    </w:p>
    <w:p w14:paraId="54CF6A47" w14:textId="51336646" w:rsidR="00EF2163" w:rsidRPr="00EF2163" w:rsidRDefault="00EF2163" w:rsidP="00EF2163">
      <w:pPr>
        <w:ind w:firstLine="708"/>
        <w:rPr>
          <w:rFonts w:ascii="Arial" w:hAnsi="Arial" w:cs="Arial"/>
          <w:sz w:val="22"/>
          <w:szCs w:val="22"/>
        </w:rPr>
      </w:pPr>
      <w:r w:rsidRPr="00EF2163">
        <w:rPr>
          <w:rFonts w:ascii="Arial" w:hAnsi="Arial" w:cs="Arial"/>
          <w:b/>
          <w:bCs/>
          <w:sz w:val="22"/>
          <w:szCs w:val="22"/>
        </w:rPr>
        <w:t>Características</w:t>
      </w:r>
    </w:p>
    <w:p w14:paraId="342D1A63" w14:textId="77777777" w:rsidR="00EF2163" w:rsidRPr="00EF2163" w:rsidRDefault="00EF2163" w:rsidP="004F7A62">
      <w:pPr>
        <w:numPr>
          <w:ilvl w:val="0"/>
          <w:numId w:val="240"/>
        </w:numPr>
        <w:shd w:val="clear" w:color="auto" w:fill="FFFFFF"/>
        <w:spacing w:after="100" w:afterAutospacing="1"/>
        <w:rPr>
          <w:rFonts w:ascii="Arial" w:hAnsi="Arial" w:cs="Arial"/>
          <w:color w:val="000000"/>
          <w:sz w:val="22"/>
          <w:szCs w:val="22"/>
        </w:rPr>
      </w:pPr>
      <w:r w:rsidRPr="00EF2163">
        <w:rPr>
          <w:rFonts w:ascii="Arial" w:hAnsi="Arial" w:cs="Arial"/>
          <w:color w:val="000000"/>
          <w:sz w:val="22"/>
          <w:szCs w:val="22"/>
        </w:rPr>
        <w:lastRenderedPageBreak/>
        <w:t>Permite a las instituciones de inversión colectiva operar en varios países miembros de la UE, siempre y cuando cumplan con ciertas condiciones.</w:t>
      </w:r>
    </w:p>
    <w:p w14:paraId="415A045B" w14:textId="77777777" w:rsidR="00EF2163" w:rsidRPr="00EF2163" w:rsidRDefault="00EF2163" w:rsidP="004F7A62">
      <w:pPr>
        <w:numPr>
          <w:ilvl w:val="0"/>
          <w:numId w:val="240"/>
        </w:numPr>
        <w:shd w:val="clear" w:color="auto" w:fill="FFFFFF"/>
        <w:spacing w:before="100" w:beforeAutospacing="1" w:after="100" w:afterAutospacing="1"/>
        <w:rPr>
          <w:rFonts w:ascii="Arial" w:hAnsi="Arial" w:cs="Arial"/>
          <w:color w:val="000000"/>
          <w:sz w:val="22"/>
          <w:szCs w:val="22"/>
        </w:rPr>
      </w:pPr>
      <w:r w:rsidRPr="00EF2163">
        <w:rPr>
          <w:rFonts w:ascii="Arial" w:hAnsi="Arial" w:cs="Arial"/>
          <w:color w:val="000000"/>
          <w:sz w:val="22"/>
          <w:szCs w:val="22"/>
        </w:rPr>
        <w:t>Regula la composición de los activos en los que los fondos pueden invertir, así como la valoración de los fondos mismos.</w:t>
      </w:r>
    </w:p>
    <w:p w14:paraId="35660055" w14:textId="77777777" w:rsidR="00EF2163" w:rsidRPr="00EF2163" w:rsidRDefault="00EF2163" w:rsidP="004F7A62">
      <w:pPr>
        <w:numPr>
          <w:ilvl w:val="0"/>
          <w:numId w:val="240"/>
        </w:numPr>
        <w:shd w:val="clear" w:color="auto" w:fill="FFFFFF"/>
        <w:spacing w:before="100" w:beforeAutospacing="1"/>
        <w:rPr>
          <w:rFonts w:ascii="Arial" w:hAnsi="Arial" w:cs="Arial"/>
          <w:color w:val="000000"/>
          <w:sz w:val="22"/>
          <w:szCs w:val="22"/>
        </w:rPr>
      </w:pPr>
      <w:r w:rsidRPr="00EF2163">
        <w:rPr>
          <w:rFonts w:ascii="Arial" w:hAnsi="Arial" w:cs="Arial"/>
          <w:color w:val="000000"/>
          <w:sz w:val="22"/>
          <w:szCs w:val="22"/>
        </w:rPr>
        <w:t>Establece requisitos de transparencia y protección de los inversores.</w:t>
      </w:r>
    </w:p>
    <w:p w14:paraId="7EBE85B3" w14:textId="77777777" w:rsidR="00EF2163" w:rsidRPr="00CF1B34" w:rsidRDefault="00EF2163" w:rsidP="00EF2163">
      <w:pPr>
        <w:pBdr>
          <w:bottom w:val="dotted" w:sz="12" w:space="12" w:color="666666"/>
        </w:pBdr>
        <w:spacing w:after="240"/>
        <w:ind w:left="720"/>
        <w:jc w:val="both"/>
        <w:rPr>
          <w:rFonts w:ascii="Arial" w:hAnsi="Arial" w:cs="Arial"/>
          <w:color w:val="212529"/>
          <w:sz w:val="22"/>
          <w:szCs w:val="22"/>
          <w:lang w:val="es-ES_tradnl"/>
        </w:rPr>
      </w:pPr>
      <w:r w:rsidRPr="00EF2163">
        <w:rPr>
          <w:rFonts w:ascii="Arial" w:hAnsi="Arial" w:cs="Arial"/>
          <w:color w:val="000000"/>
          <w:sz w:val="22"/>
          <w:szCs w:val="22"/>
          <w:shd w:val="clear" w:color="auto" w:fill="FFFFFF"/>
        </w:rPr>
        <w:t>La directiva UCITS es fundamental para el mercado de valores mobiliarios en la UE, ya que permite la libre circulación de fondos de inversión y protege a los inversores.</w:t>
      </w:r>
    </w:p>
    <w:p w14:paraId="6C459784" w14:textId="11642806" w:rsidR="00103BEA" w:rsidRDefault="00103BEA"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Unificación de deuda</w:t>
      </w:r>
    </w:p>
    <w:p w14:paraId="26DD031A" w14:textId="2345B026" w:rsidR="00103BEA" w:rsidRPr="00103BEA" w:rsidRDefault="00103BEA" w:rsidP="00DC376E">
      <w:pPr>
        <w:ind w:left="708"/>
        <w:rPr>
          <w:rFonts w:ascii="Arial" w:hAnsi="Arial" w:cs="Arial"/>
          <w:sz w:val="22"/>
          <w:szCs w:val="22"/>
        </w:rPr>
      </w:pPr>
      <w:r w:rsidRPr="00103BEA">
        <w:rPr>
          <w:rFonts w:ascii="Arial" w:hAnsi="Arial" w:cs="Arial"/>
          <w:color w:val="4A4A4A"/>
          <w:sz w:val="22"/>
          <w:szCs w:val="22"/>
          <w:shd w:val="clear" w:color="auto" w:fill="FFFFFF"/>
        </w:rPr>
        <w:t>La unificación de deuda (o reunificación de las deudas) es una maniobra financiera al alcance de todo aquel que pretenda reducir el pago mensual (total) de las cuotas de sus préstamos y créditos. Principalmente</w:t>
      </w:r>
      <w:r>
        <w:rPr>
          <w:rFonts w:ascii="Arial" w:hAnsi="Arial" w:cs="Arial"/>
          <w:color w:val="4A4A4A"/>
          <w:sz w:val="22"/>
          <w:szCs w:val="22"/>
          <w:shd w:val="clear" w:color="auto" w:fill="FFFFFF"/>
        </w:rPr>
        <w:t xml:space="preserve"> </w:t>
      </w:r>
      <w:r w:rsidRPr="00103BEA">
        <w:rPr>
          <w:rStyle w:val="Textoennegrita"/>
          <w:rFonts w:ascii="Arial" w:hAnsi="Arial" w:cs="Arial"/>
          <w:color w:val="4A4A4A"/>
          <w:sz w:val="22"/>
          <w:szCs w:val="22"/>
          <w:shd w:val="clear" w:color="auto" w:fill="FFFFFF"/>
        </w:rPr>
        <w:t>consiste en consolidar todas las deudas e instrumentarlas en una sola</w:t>
      </w:r>
      <w:r w:rsidRPr="00103BEA">
        <w:rPr>
          <w:rFonts w:ascii="Arial" w:hAnsi="Arial" w:cs="Arial"/>
          <w:color w:val="4A4A4A"/>
          <w:sz w:val="22"/>
          <w:szCs w:val="22"/>
          <w:shd w:val="clear" w:color="auto" w:fill="FFFFFF"/>
        </w:rPr>
        <w:t>, con un</w:t>
      </w:r>
      <w:r>
        <w:rPr>
          <w:rFonts w:ascii="Arial" w:hAnsi="Arial" w:cs="Arial"/>
          <w:color w:val="4A4A4A"/>
          <w:sz w:val="22"/>
          <w:szCs w:val="22"/>
          <w:shd w:val="clear" w:color="auto" w:fill="FFFFFF"/>
        </w:rPr>
        <w:t xml:space="preserve"> </w:t>
      </w:r>
      <w:r w:rsidRPr="00103BEA">
        <w:rPr>
          <w:rStyle w:val="Textoennegrita"/>
          <w:rFonts w:ascii="Arial" w:hAnsi="Arial" w:cs="Arial"/>
          <w:color w:val="4A4A4A"/>
          <w:sz w:val="22"/>
          <w:szCs w:val="22"/>
          <w:shd w:val="clear" w:color="auto" w:fill="FFFFFF"/>
        </w:rPr>
        <w:t>plazo de amortización adecuado</w:t>
      </w:r>
      <w:r>
        <w:rPr>
          <w:rFonts w:ascii="Arial" w:hAnsi="Arial" w:cs="Arial"/>
          <w:color w:val="4A4A4A"/>
          <w:sz w:val="22"/>
          <w:szCs w:val="22"/>
          <w:shd w:val="clear" w:color="auto" w:fill="FFFFFF"/>
        </w:rPr>
        <w:t xml:space="preserve"> </w:t>
      </w:r>
      <w:r w:rsidRPr="00103BEA">
        <w:rPr>
          <w:rFonts w:ascii="Arial" w:hAnsi="Arial" w:cs="Arial"/>
          <w:color w:val="4A4A4A"/>
          <w:sz w:val="22"/>
          <w:szCs w:val="22"/>
          <w:shd w:val="clear" w:color="auto" w:fill="FFFFFF"/>
        </w:rPr>
        <w:t>que permita hacer frente a las cuotas mensuales de una forma cómoda.</w:t>
      </w:r>
    </w:p>
    <w:p w14:paraId="5FAA68A0" w14:textId="03849E5C" w:rsidR="00103BEA" w:rsidRDefault="00103BEA" w:rsidP="00DC376E">
      <w:pPr>
        <w:ind w:left="708"/>
        <w:jc w:val="both"/>
        <w:rPr>
          <w:rFonts w:ascii="Arial" w:hAnsi="Arial" w:cs="Arial"/>
          <w:b/>
          <w:bCs/>
          <w:color w:val="004773"/>
          <w:sz w:val="22"/>
          <w:szCs w:val="22"/>
          <w:lang w:val="es-ES_tradnl"/>
        </w:rPr>
      </w:pPr>
      <w:r>
        <w:rPr>
          <w:rFonts w:ascii="Arial" w:hAnsi="Arial" w:cs="Arial"/>
          <w:b/>
          <w:bCs/>
          <w:color w:val="004773"/>
          <w:sz w:val="22"/>
          <w:szCs w:val="22"/>
          <w:lang w:val="es-ES_tradnl"/>
        </w:rPr>
        <w:t>Suele tener un coste mayor en intereses y suelen tener un plazo de amortización mas dilatado.</w:t>
      </w:r>
    </w:p>
    <w:p w14:paraId="52A9CF17" w14:textId="77777777" w:rsidR="00DC376E" w:rsidRPr="00CF1B34" w:rsidRDefault="00DC376E" w:rsidP="00DC376E">
      <w:pPr>
        <w:pBdr>
          <w:bottom w:val="dotted" w:sz="12" w:space="12" w:color="666666"/>
        </w:pBdr>
        <w:spacing w:after="240"/>
        <w:ind w:left="720"/>
        <w:jc w:val="both"/>
        <w:rPr>
          <w:rFonts w:ascii="Arial" w:hAnsi="Arial" w:cs="Arial"/>
          <w:color w:val="212529"/>
          <w:sz w:val="22"/>
          <w:szCs w:val="22"/>
          <w:lang w:val="es-ES_tradnl"/>
        </w:rPr>
      </w:pPr>
      <w:r w:rsidRPr="00DC376E">
        <w:rPr>
          <w:rFonts w:ascii="Arial" w:hAnsi="Arial" w:cs="Arial"/>
          <w:color w:val="4A4A4A"/>
          <w:sz w:val="22"/>
          <w:szCs w:val="22"/>
          <w:shd w:val="clear" w:color="auto" w:fill="FFFFFF"/>
        </w:rPr>
        <w:t>Ante un posible impago de los recibos, el deudor tiene a su alcance </w:t>
      </w:r>
      <w:r w:rsidRPr="00DC376E">
        <w:rPr>
          <w:rStyle w:val="Textoennegrita"/>
          <w:rFonts w:ascii="Arial" w:hAnsi="Arial" w:cs="Arial"/>
          <w:color w:val="4A4A4A"/>
          <w:sz w:val="22"/>
          <w:szCs w:val="22"/>
          <w:shd w:val="clear" w:color="auto" w:fill="FFFFFF"/>
        </w:rPr>
        <w:t>otras soluciones</w:t>
      </w:r>
      <w:r w:rsidRPr="00DC376E">
        <w:rPr>
          <w:rFonts w:ascii="Arial" w:hAnsi="Arial" w:cs="Arial"/>
          <w:color w:val="4A4A4A"/>
          <w:sz w:val="22"/>
          <w:szCs w:val="22"/>
          <w:shd w:val="clear" w:color="auto" w:fill="FFFFFF"/>
        </w:rPr>
        <w:t> al margen de la unificación de deuda. Como por ejemplo la </w:t>
      </w:r>
      <w:r w:rsidRPr="00DC376E">
        <w:rPr>
          <w:rStyle w:val="Textoennegrita"/>
          <w:rFonts w:ascii="Arial" w:hAnsi="Arial" w:cs="Arial"/>
          <w:color w:val="4A4A4A"/>
          <w:sz w:val="22"/>
          <w:szCs w:val="22"/>
          <w:shd w:val="clear" w:color="auto" w:fill="FFFFFF"/>
        </w:rPr>
        <w:t>renegociación de cada una de las operaciones de un modo individual.</w:t>
      </w:r>
      <w:r w:rsidRPr="00DC376E">
        <w:rPr>
          <w:rFonts w:ascii="Arial" w:hAnsi="Arial" w:cs="Arial"/>
          <w:color w:val="4A4A4A"/>
          <w:sz w:val="22"/>
          <w:szCs w:val="22"/>
          <w:shd w:val="clear" w:color="auto" w:fill="FFFFFF"/>
        </w:rPr>
        <w:t> Solicitar concesiones en los plazos e incluso un período de carencia (período en el cual tan sólo se pagan los intereses del préstamo).</w:t>
      </w:r>
    </w:p>
    <w:p w14:paraId="20563F31" w14:textId="0007594D"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Unit-linked</w:t>
      </w:r>
    </w:p>
    <w:p w14:paraId="4D78F57E" w14:textId="77777777" w:rsidR="00602DF7" w:rsidRDefault="009A24B4" w:rsidP="00602DF7">
      <w:pPr>
        <w:ind w:left="708"/>
        <w:rPr>
          <w:rFonts w:ascii="Arial" w:hAnsi="Arial" w:cs="Arial"/>
          <w:sz w:val="22"/>
          <w:szCs w:val="22"/>
          <w:lang w:val="es-ES_tradnl"/>
        </w:rPr>
      </w:pPr>
      <w:r w:rsidRPr="0083008C">
        <w:rPr>
          <w:rFonts w:ascii="Arial" w:hAnsi="Arial" w:cs="Arial"/>
          <w:sz w:val="22"/>
          <w:szCs w:val="22"/>
          <w:lang w:val="es-ES_tradnl"/>
        </w:rPr>
        <w:t>Seguros de vida en los que la prima aportada por el asegurado se invierte en una cesta de fondos de inversión. Cuando se contrata un unit-linked no se adquiere la condición de partícipe en los fondos que componen la cesta, sino la de tomador de un seguro de vida. Estos productos están bajo la supervisión de la Dirección General de Seguros y Fondos de Pensiones.</w:t>
      </w:r>
    </w:p>
    <w:p w14:paraId="630EA64E" w14:textId="7E172EFA" w:rsidR="00602DF7" w:rsidRPr="00602DF7" w:rsidRDefault="00602DF7" w:rsidP="00602DF7">
      <w:pPr>
        <w:ind w:firstLine="708"/>
        <w:rPr>
          <w:rFonts w:ascii="Arial" w:hAnsi="Arial" w:cs="Arial"/>
          <w:sz w:val="22"/>
          <w:szCs w:val="22"/>
        </w:rPr>
      </w:pPr>
      <w:r>
        <w:rPr>
          <w:rFonts w:ascii="Arial" w:hAnsi="Arial" w:cs="Arial"/>
          <w:sz w:val="22"/>
          <w:szCs w:val="22"/>
          <w:lang w:val="es-ES_tradnl"/>
        </w:rPr>
        <w:t xml:space="preserve">Existen </w:t>
      </w:r>
      <w:r w:rsidRPr="00602DF7">
        <w:rPr>
          <w:rFonts w:ascii="Arial" w:hAnsi="Arial" w:cs="Arial"/>
          <w:sz w:val="22"/>
          <w:szCs w:val="22"/>
        </w:rPr>
        <w:t>4 opciones distintas:</w:t>
      </w:r>
    </w:p>
    <w:p w14:paraId="440EE9C9" w14:textId="77777777" w:rsidR="00602DF7" w:rsidRPr="00602DF7" w:rsidRDefault="00602DF7" w:rsidP="00602DF7">
      <w:pPr>
        <w:ind w:left="708"/>
        <w:rPr>
          <w:rFonts w:ascii="Arial" w:hAnsi="Arial" w:cs="Arial"/>
          <w:sz w:val="22"/>
          <w:szCs w:val="22"/>
        </w:rPr>
      </w:pPr>
      <w:r w:rsidRPr="00602DF7">
        <w:rPr>
          <w:rFonts w:ascii="Arial" w:hAnsi="Arial" w:cs="Arial"/>
          <w:b/>
          <w:bCs/>
          <w:sz w:val="22"/>
          <w:szCs w:val="22"/>
        </w:rPr>
        <w:t>Unit Linked Personal DB:</w:t>
      </w:r>
      <w:r w:rsidRPr="00602DF7">
        <w:rPr>
          <w:rFonts w:ascii="Arial" w:hAnsi="Arial" w:cs="Arial"/>
          <w:sz w:val="22"/>
          <w:szCs w:val="22"/>
        </w:rPr>
        <w:t> Invierte en los principales mercados internacionales, a través de los fondos de inversión más innovadores.</w:t>
      </w:r>
    </w:p>
    <w:p w14:paraId="0B2B9518" w14:textId="77777777" w:rsidR="00602DF7" w:rsidRPr="00602DF7" w:rsidRDefault="00602DF7" w:rsidP="00602DF7">
      <w:pPr>
        <w:ind w:left="708"/>
        <w:rPr>
          <w:rFonts w:ascii="Arial" w:hAnsi="Arial" w:cs="Arial"/>
          <w:sz w:val="22"/>
          <w:szCs w:val="22"/>
        </w:rPr>
      </w:pPr>
      <w:r w:rsidRPr="00602DF7">
        <w:rPr>
          <w:rFonts w:ascii="Arial" w:hAnsi="Arial" w:cs="Arial"/>
          <w:b/>
          <w:bCs/>
          <w:sz w:val="22"/>
          <w:szCs w:val="22"/>
        </w:rPr>
        <w:t>Unit linked Fondos Selección DB: </w:t>
      </w:r>
      <w:r w:rsidRPr="00602DF7">
        <w:rPr>
          <w:rFonts w:ascii="Arial" w:hAnsi="Arial" w:cs="Arial"/>
          <w:sz w:val="22"/>
          <w:szCs w:val="22"/>
        </w:rPr>
        <w:t>Gestiona de forma dinámica su capital entre una gama de fondos distintos, cada uno adecuado a un perfil inversor.</w:t>
      </w:r>
    </w:p>
    <w:p w14:paraId="220381BA" w14:textId="77777777" w:rsidR="00602DF7" w:rsidRPr="00602DF7" w:rsidRDefault="00602DF7" w:rsidP="00602DF7">
      <w:pPr>
        <w:ind w:left="708"/>
        <w:rPr>
          <w:rFonts w:ascii="Arial" w:hAnsi="Arial" w:cs="Arial"/>
          <w:sz w:val="22"/>
          <w:szCs w:val="22"/>
        </w:rPr>
      </w:pPr>
      <w:r w:rsidRPr="00602DF7">
        <w:rPr>
          <w:rFonts w:ascii="Arial" w:hAnsi="Arial" w:cs="Arial"/>
          <w:b/>
          <w:bCs/>
          <w:sz w:val="22"/>
          <w:szCs w:val="22"/>
        </w:rPr>
        <w:t>Unit Linked Multigestión DB:</w:t>
      </w:r>
      <w:r w:rsidRPr="00602DF7">
        <w:rPr>
          <w:rFonts w:ascii="Arial" w:hAnsi="Arial" w:cs="Arial"/>
          <w:sz w:val="22"/>
          <w:szCs w:val="22"/>
        </w:rPr>
        <w:t> Invierte en fondos de fondos y puede cambiar sus inversiones de uno a otro con total libertad.</w:t>
      </w:r>
    </w:p>
    <w:p w14:paraId="7B948566" w14:textId="77777777" w:rsidR="00602DF7" w:rsidRPr="00602DF7" w:rsidRDefault="00602DF7" w:rsidP="00602DF7">
      <w:pPr>
        <w:ind w:left="708"/>
        <w:rPr>
          <w:rFonts w:ascii="Arial" w:hAnsi="Arial" w:cs="Arial"/>
          <w:sz w:val="22"/>
          <w:szCs w:val="22"/>
        </w:rPr>
      </w:pPr>
      <w:r w:rsidRPr="00602DF7">
        <w:rPr>
          <w:rFonts w:ascii="Arial" w:hAnsi="Arial" w:cs="Arial"/>
          <w:b/>
          <w:bCs/>
          <w:sz w:val="22"/>
          <w:szCs w:val="22"/>
        </w:rPr>
        <w:t>Plan Ahorro Familiar DB:</w:t>
      </w:r>
      <w:r w:rsidRPr="00602DF7">
        <w:rPr>
          <w:rFonts w:ascii="Arial" w:hAnsi="Arial" w:cs="Arial"/>
          <w:sz w:val="22"/>
          <w:szCs w:val="22"/>
        </w:rPr>
        <w:t> Distribuye sus inversiones entre cuatro cestas de fondos distintas con un plan de ahorro a su medida.</w:t>
      </w:r>
    </w:p>
    <w:p w14:paraId="010B393D" w14:textId="0062606C" w:rsidR="0083008C" w:rsidRPr="0083008C" w:rsidRDefault="0083008C" w:rsidP="00602DF7">
      <w:pPr>
        <w:ind w:firstLine="708"/>
        <w:rPr>
          <w:rFonts w:ascii="Arial" w:hAnsi="Arial" w:cs="Arial"/>
          <w:color w:val="000000"/>
          <w:sz w:val="22"/>
          <w:szCs w:val="22"/>
        </w:rPr>
      </w:pPr>
      <w:r w:rsidRPr="0083008C">
        <w:rPr>
          <w:rFonts w:ascii="Arial" w:hAnsi="Arial" w:cs="Arial"/>
          <w:b/>
          <w:bCs/>
          <w:color w:val="000000"/>
          <w:sz w:val="22"/>
          <w:szCs w:val="22"/>
        </w:rPr>
        <w:t>Características</w:t>
      </w:r>
    </w:p>
    <w:p w14:paraId="269F891E" w14:textId="77777777" w:rsidR="0083008C" w:rsidRPr="0083008C" w:rsidRDefault="0083008C" w:rsidP="004F7A62">
      <w:pPr>
        <w:numPr>
          <w:ilvl w:val="0"/>
          <w:numId w:val="236"/>
        </w:numPr>
        <w:shd w:val="clear" w:color="auto" w:fill="FFFFFF"/>
        <w:spacing w:after="100" w:afterAutospacing="1"/>
        <w:rPr>
          <w:rFonts w:ascii="Arial" w:hAnsi="Arial" w:cs="Arial"/>
          <w:color w:val="000000"/>
          <w:sz w:val="22"/>
          <w:szCs w:val="22"/>
        </w:rPr>
      </w:pPr>
      <w:r w:rsidRPr="0083008C">
        <w:rPr>
          <w:rFonts w:ascii="Arial" w:hAnsi="Arial" w:cs="Arial"/>
          <w:color w:val="000000"/>
          <w:sz w:val="22"/>
          <w:szCs w:val="22"/>
        </w:rPr>
        <w:t>Se estructura en torno a un seguro de vida, lo que proporciona una cobertura en caso de fallecimiento o invalidez permanente.</w:t>
      </w:r>
    </w:p>
    <w:p w14:paraId="515C00F7" w14:textId="77777777" w:rsidR="0083008C" w:rsidRPr="0083008C" w:rsidRDefault="0083008C" w:rsidP="004F7A62">
      <w:pPr>
        <w:numPr>
          <w:ilvl w:val="0"/>
          <w:numId w:val="236"/>
        </w:numPr>
        <w:shd w:val="clear" w:color="auto" w:fill="FFFFFF"/>
        <w:spacing w:before="100" w:beforeAutospacing="1" w:after="100" w:afterAutospacing="1"/>
        <w:rPr>
          <w:rFonts w:ascii="Arial" w:hAnsi="Arial" w:cs="Arial"/>
          <w:color w:val="000000"/>
          <w:sz w:val="22"/>
          <w:szCs w:val="22"/>
        </w:rPr>
      </w:pPr>
      <w:r w:rsidRPr="0083008C">
        <w:rPr>
          <w:rFonts w:ascii="Arial" w:hAnsi="Arial" w:cs="Arial"/>
          <w:color w:val="000000"/>
          <w:sz w:val="22"/>
          <w:szCs w:val="22"/>
        </w:rPr>
        <w:t>El asegurado puede elegir la cesta de fondos o activos financieros en los que invertir su capital.</w:t>
      </w:r>
    </w:p>
    <w:p w14:paraId="519DEA7E" w14:textId="77777777" w:rsidR="0083008C" w:rsidRPr="0083008C" w:rsidRDefault="0083008C" w:rsidP="004F7A62">
      <w:pPr>
        <w:numPr>
          <w:ilvl w:val="0"/>
          <w:numId w:val="236"/>
        </w:numPr>
        <w:shd w:val="clear" w:color="auto" w:fill="FFFFFF"/>
        <w:spacing w:before="100" w:beforeAutospacing="1" w:after="100" w:afterAutospacing="1"/>
        <w:rPr>
          <w:rFonts w:ascii="Arial" w:hAnsi="Arial" w:cs="Arial"/>
          <w:color w:val="000000"/>
          <w:sz w:val="22"/>
          <w:szCs w:val="22"/>
        </w:rPr>
      </w:pPr>
      <w:r w:rsidRPr="0083008C">
        <w:rPr>
          <w:rFonts w:ascii="Arial" w:hAnsi="Arial" w:cs="Arial"/>
          <w:color w:val="000000"/>
          <w:sz w:val="22"/>
          <w:szCs w:val="22"/>
        </w:rPr>
        <w:t>La gestión de la cartera de fondos se realiza a través de un equipo gestor, que puede ajustar la composición de la cartera según las condiciones del mercado.</w:t>
      </w:r>
    </w:p>
    <w:p w14:paraId="3239D55E" w14:textId="11778E53" w:rsidR="0083008C" w:rsidRPr="0083008C" w:rsidRDefault="0083008C" w:rsidP="004F7A62">
      <w:pPr>
        <w:numPr>
          <w:ilvl w:val="0"/>
          <w:numId w:val="236"/>
        </w:numPr>
        <w:shd w:val="clear" w:color="auto" w:fill="FFFFFF"/>
        <w:spacing w:before="100" w:beforeAutospacing="1" w:after="100" w:afterAutospacing="1"/>
        <w:rPr>
          <w:rFonts w:ascii="Arial" w:hAnsi="Arial" w:cs="Arial"/>
          <w:color w:val="000000"/>
          <w:sz w:val="22"/>
          <w:szCs w:val="22"/>
        </w:rPr>
      </w:pPr>
      <w:r w:rsidRPr="0083008C">
        <w:rPr>
          <w:rFonts w:ascii="Arial" w:hAnsi="Arial" w:cs="Arial"/>
          <w:color w:val="000000"/>
          <w:sz w:val="22"/>
          <w:szCs w:val="22"/>
        </w:rPr>
        <w:t>El asegurado puede realizar cambios en la cesta de fondos o activos financieros dentro de un límite establecido.</w:t>
      </w:r>
    </w:p>
    <w:p w14:paraId="329BD248" w14:textId="7CEA344C" w:rsidR="0083008C" w:rsidRPr="0083008C" w:rsidRDefault="0083008C" w:rsidP="004F7A62">
      <w:pPr>
        <w:pStyle w:val="Prrafodelista"/>
        <w:numPr>
          <w:ilvl w:val="0"/>
          <w:numId w:val="236"/>
        </w:numPr>
        <w:rPr>
          <w:rFonts w:ascii="Arial" w:hAnsi="Arial" w:cs="Arial"/>
          <w:sz w:val="22"/>
          <w:szCs w:val="22"/>
        </w:rPr>
      </w:pPr>
      <w:r w:rsidRPr="0083008C">
        <w:rPr>
          <w:rFonts w:ascii="Arial" w:hAnsi="Arial" w:cs="Arial"/>
          <w:sz w:val="22"/>
          <w:szCs w:val="22"/>
        </w:rPr>
        <w:t>La prima del seguro se destina parcialmente al pago de la cobertura de seguro y parcialmente a la inversión en la cesta de fondos.</w:t>
      </w:r>
    </w:p>
    <w:p w14:paraId="7C7B757B" w14:textId="77777777" w:rsidR="0083008C" w:rsidRPr="0083008C" w:rsidRDefault="0083008C" w:rsidP="00602DF7">
      <w:pPr>
        <w:ind w:firstLine="708"/>
        <w:rPr>
          <w:rFonts w:ascii="Arial" w:hAnsi="Arial" w:cs="Arial"/>
          <w:sz w:val="22"/>
          <w:szCs w:val="22"/>
        </w:rPr>
      </w:pPr>
      <w:r w:rsidRPr="0083008C">
        <w:rPr>
          <w:rFonts w:ascii="Arial" w:hAnsi="Arial" w:cs="Arial"/>
          <w:b/>
          <w:bCs/>
          <w:sz w:val="22"/>
          <w:szCs w:val="22"/>
        </w:rPr>
        <w:t>Ventajas</w:t>
      </w:r>
    </w:p>
    <w:p w14:paraId="2756E818" w14:textId="77777777" w:rsidR="0083008C" w:rsidRPr="0083008C" w:rsidRDefault="0083008C" w:rsidP="004F7A62">
      <w:pPr>
        <w:numPr>
          <w:ilvl w:val="0"/>
          <w:numId w:val="237"/>
        </w:numPr>
        <w:shd w:val="clear" w:color="auto" w:fill="FFFFFF"/>
        <w:spacing w:after="100" w:afterAutospacing="1"/>
        <w:rPr>
          <w:rFonts w:ascii="Arial" w:hAnsi="Arial" w:cs="Arial"/>
          <w:color w:val="000000"/>
          <w:sz w:val="22"/>
          <w:szCs w:val="22"/>
        </w:rPr>
      </w:pPr>
      <w:r w:rsidRPr="0083008C">
        <w:rPr>
          <w:rFonts w:ascii="Arial" w:hAnsi="Arial" w:cs="Arial"/>
          <w:color w:val="000000"/>
          <w:sz w:val="22"/>
          <w:szCs w:val="22"/>
        </w:rPr>
        <w:t>Mayor flexibilidad en la gestión de la inversión que otros productos de ahorro a través de seguros.</w:t>
      </w:r>
    </w:p>
    <w:p w14:paraId="4C12B6A9" w14:textId="77777777" w:rsidR="0083008C" w:rsidRPr="0083008C" w:rsidRDefault="0083008C" w:rsidP="004F7A62">
      <w:pPr>
        <w:numPr>
          <w:ilvl w:val="0"/>
          <w:numId w:val="237"/>
        </w:numPr>
        <w:shd w:val="clear" w:color="auto" w:fill="FFFFFF"/>
        <w:spacing w:before="100" w:beforeAutospacing="1" w:after="100" w:afterAutospacing="1"/>
        <w:rPr>
          <w:rFonts w:ascii="Arial" w:hAnsi="Arial" w:cs="Arial"/>
          <w:color w:val="000000"/>
          <w:sz w:val="22"/>
          <w:szCs w:val="22"/>
        </w:rPr>
      </w:pPr>
      <w:r w:rsidRPr="0083008C">
        <w:rPr>
          <w:rFonts w:ascii="Arial" w:hAnsi="Arial" w:cs="Arial"/>
          <w:color w:val="000000"/>
          <w:sz w:val="22"/>
          <w:szCs w:val="22"/>
        </w:rPr>
        <w:t>Posibilidad de lograr una mayor rentabilidad que otros productos de ahorro a través de seguros.</w:t>
      </w:r>
    </w:p>
    <w:p w14:paraId="04F6585A" w14:textId="4AB76428" w:rsidR="0083008C" w:rsidRPr="0083008C" w:rsidRDefault="0083008C" w:rsidP="004F7A62">
      <w:pPr>
        <w:numPr>
          <w:ilvl w:val="0"/>
          <w:numId w:val="237"/>
        </w:numPr>
        <w:shd w:val="clear" w:color="auto" w:fill="FFFFFF"/>
        <w:spacing w:before="100" w:beforeAutospacing="1" w:after="100" w:afterAutospacing="1"/>
        <w:rPr>
          <w:rFonts w:ascii="Arial" w:hAnsi="Arial" w:cs="Arial"/>
          <w:color w:val="000000"/>
          <w:sz w:val="22"/>
          <w:szCs w:val="22"/>
        </w:rPr>
      </w:pPr>
      <w:r w:rsidRPr="0083008C">
        <w:rPr>
          <w:rFonts w:ascii="Arial" w:hAnsi="Arial" w:cs="Arial"/>
          <w:color w:val="000000"/>
          <w:sz w:val="22"/>
          <w:szCs w:val="22"/>
        </w:rPr>
        <w:t>Cobertura adicional en caso de fallecimiento o invalidez permanente.</w:t>
      </w:r>
    </w:p>
    <w:p w14:paraId="788A1DAE" w14:textId="1CCA2198" w:rsidR="0083008C" w:rsidRPr="0083008C" w:rsidRDefault="0083008C" w:rsidP="004F7A62">
      <w:pPr>
        <w:pStyle w:val="Prrafodelista"/>
        <w:numPr>
          <w:ilvl w:val="0"/>
          <w:numId w:val="237"/>
        </w:numPr>
        <w:rPr>
          <w:rFonts w:ascii="Arial" w:hAnsi="Arial" w:cs="Arial"/>
          <w:sz w:val="22"/>
          <w:szCs w:val="22"/>
        </w:rPr>
      </w:pPr>
      <w:r w:rsidRPr="0083008C">
        <w:rPr>
          <w:rFonts w:ascii="Arial" w:hAnsi="Arial" w:cs="Arial"/>
          <w:sz w:val="22"/>
          <w:szCs w:val="22"/>
        </w:rPr>
        <w:lastRenderedPageBreak/>
        <w:t>Se puede rescatar el seguro en forma de renta vitalicia, lo que ofrece ventajas fiscales adicionales.</w:t>
      </w:r>
    </w:p>
    <w:p w14:paraId="40A74DD9" w14:textId="77777777" w:rsidR="0083008C" w:rsidRPr="0083008C" w:rsidRDefault="0083008C" w:rsidP="00602DF7">
      <w:pPr>
        <w:ind w:firstLine="708"/>
        <w:rPr>
          <w:rFonts w:ascii="Arial" w:hAnsi="Arial" w:cs="Arial"/>
          <w:sz w:val="22"/>
          <w:szCs w:val="22"/>
        </w:rPr>
      </w:pPr>
      <w:r w:rsidRPr="0083008C">
        <w:rPr>
          <w:rFonts w:ascii="Arial" w:hAnsi="Arial" w:cs="Arial"/>
          <w:b/>
          <w:bCs/>
          <w:sz w:val="22"/>
          <w:szCs w:val="22"/>
        </w:rPr>
        <w:t>Desventajas</w:t>
      </w:r>
    </w:p>
    <w:p w14:paraId="6D626741" w14:textId="77777777" w:rsidR="0083008C" w:rsidRPr="0083008C" w:rsidRDefault="0083008C" w:rsidP="004F7A62">
      <w:pPr>
        <w:numPr>
          <w:ilvl w:val="0"/>
          <w:numId w:val="238"/>
        </w:numPr>
        <w:shd w:val="clear" w:color="auto" w:fill="FFFFFF"/>
        <w:spacing w:after="100" w:afterAutospacing="1"/>
        <w:rPr>
          <w:rFonts w:ascii="Arial" w:hAnsi="Arial" w:cs="Arial"/>
          <w:color w:val="000000"/>
          <w:sz w:val="22"/>
          <w:szCs w:val="22"/>
        </w:rPr>
      </w:pPr>
      <w:r w:rsidRPr="0083008C">
        <w:rPr>
          <w:rFonts w:ascii="Arial" w:hAnsi="Arial" w:cs="Arial"/>
          <w:color w:val="000000"/>
          <w:sz w:val="22"/>
          <w:szCs w:val="22"/>
        </w:rPr>
        <w:t>No hay garantía de rentabilidad ni de recuperación del capital invertido.</w:t>
      </w:r>
    </w:p>
    <w:p w14:paraId="73201841" w14:textId="77777777" w:rsidR="0083008C" w:rsidRPr="0083008C" w:rsidRDefault="0083008C" w:rsidP="004F7A62">
      <w:pPr>
        <w:numPr>
          <w:ilvl w:val="0"/>
          <w:numId w:val="238"/>
        </w:numPr>
        <w:shd w:val="clear" w:color="auto" w:fill="FFFFFF"/>
        <w:spacing w:before="100" w:beforeAutospacing="1" w:after="100" w:afterAutospacing="1"/>
        <w:rPr>
          <w:rFonts w:ascii="Arial" w:hAnsi="Arial" w:cs="Arial"/>
          <w:color w:val="000000"/>
          <w:sz w:val="22"/>
          <w:szCs w:val="22"/>
        </w:rPr>
      </w:pPr>
      <w:r w:rsidRPr="0083008C">
        <w:rPr>
          <w:rFonts w:ascii="Arial" w:hAnsi="Arial" w:cs="Arial"/>
          <w:color w:val="000000"/>
          <w:sz w:val="22"/>
          <w:szCs w:val="22"/>
        </w:rPr>
        <w:t>La gestión de la cartera de fondos puede tener costos que se deducen del valor del seguro.</w:t>
      </w:r>
    </w:p>
    <w:p w14:paraId="314F6854" w14:textId="3FE54C75" w:rsidR="0083008C" w:rsidRPr="0083008C" w:rsidRDefault="0083008C" w:rsidP="004F7A62">
      <w:pPr>
        <w:numPr>
          <w:ilvl w:val="0"/>
          <w:numId w:val="238"/>
        </w:numPr>
        <w:shd w:val="clear" w:color="auto" w:fill="FFFFFF"/>
        <w:spacing w:before="100" w:beforeAutospacing="1" w:after="100" w:afterAutospacing="1"/>
        <w:rPr>
          <w:rFonts w:ascii="Arial" w:hAnsi="Arial" w:cs="Arial"/>
          <w:color w:val="000000"/>
          <w:sz w:val="22"/>
          <w:szCs w:val="22"/>
        </w:rPr>
      </w:pPr>
      <w:r w:rsidRPr="0083008C">
        <w:rPr>
          <w:rFonts w:ascii="Arial" w:hAnsi="Arial" w:cs="Arial"/>
          <w:color w:val="000000"/>
          <w:sz w:val="22"/>
          <w:szCs w:val="22"/>
        </w:rPr>
        <w:t>La prima del seguro puede aumentar con el paso del tiempo debido al riesgo de vida.</w:t>
      </w:r>
    </w:p>
    <w:p w14:paraId="5AB30BD4" w14:textId="618A52EA" w:rsidR="0083008C" w:rsidRPr="0083008C" w:rsidRDefault="0083008C" w:rsidP="004F7A62">
      <w:pPr>
        <w:pStyle w:val="Prrafodelista"/>
        <w:numPr>
          <w:ilvl w:val="0"/>
          <w:numId w:val="238"/>
        </w:numPr>
        <w:rPr>
          <w:rFonts w:ascii="Arial" w:hAnsi="Arial" w:cs="Arial"/>
          <w:sz w:val="22"/>
          <w:szCs w:val="22"/>
        </w:rPr>
      </w:pPr>
      <w:r w:rsidRPr="0083008C">
        <w:rPr>
          <w:rFonts w:ascii="Arial" w:hAnsi="Arial" w:cs="Arial"/>
          <w:sz w:val="22"/>
          <w:szCs w:val="22"/>
        </w:rPr>
        <w:t>La fiscalidad del producto puede variar según el caso, y el rendimiento generado puede ser objeto de retención a cuenta del IRPF.</w:t>
      </w:r>
    </w:p>
    <w:p w14:paraId="29A2C686" w14:textId="77777777" w:rsidR="0083008C" w:rsidRPr="0083008C" w:rsidRDefault="0083008C" w:rsidP="00602DF7">
      <w:pPr>
        <w:ind w:firstLine="708"/>
        <w:rPr>
          <w:rFonts w:ascii="Arial" w:hAnsi="Arial" w:cs="Arial"/>
          <w:sz w:val="22"/>
          <w:szCs w:val="22"/>
        </w:rPr>
      </w:pPr>
      <w:r w:rsidRPr="0083008C">
        <w:rPr>
          <w:rFonts w:ascii="Arial" w:hAnsi="Arial" w:cs="Arial"/>
          <w:b/>
          <w:bCs/>
          <w:sz w:val="22"/>
          <w:szCs w:val="22"/>
        </w:rPr>
        <w:t>Tratamiento fiscal</w:t>
      </w:r>
    </w:p>
    <w:p w14:paraId="64A6D613" w14:textId="77777777" w:rsidR="0083008C" w:rsidRPr="0083008C" w:rsidRDefault="0083008C" w:rsidP="004F7A62">
      <w:pPr>
        <w:numPr>
          <w:ilvl w:val="0"/>
          <w:numId w:val="239"/>
        </w:numPr>
        <w:shd w:val="clear" w:color="auto" w:fill="FFFFFF"/>
        <w:spacing w:after="100" w:afterAutospacing="1"/>
        <w:rPr>
          <w:rFonts w:ascii="Arial" w:hAnsi="Arial" w:cs="Arial"/>
          <w:color w:val="000000"/>
          <w:sz w:val="22"/>
          <w:szCs w:val="22"/>
        </w:rPr>
      </w:pPr>
      <w:r w:rsidRPr="0083008C">
        <w:rPr>
          <w:rFonts w:ascii="Arial" w:hAnsi="Arial" w:cs="Arial"/>
          <w:color w:val="000000"/>
          <w:sz w:val="22"/>
          <w:szCs w:val="22"/>
        </w:rPr>
        <w:t>En caso de rescate, el incremento del valor del Unit Linked (diferencia entre valor de rescate y valor aportado al contratar) tributará por el IRPF como rendimiento de capital mobiliario.</w:t>
      </w:r>
    </w:p>
    <w:p w14:paraId="6F6F771C" w14:textId="77777777" w:rsidR="0083008C" w:rsidRPr="0083008C" w:rsidRDefault="0083008C" w:rsidP="004F7A62">
      <w:pPr>
        <w:numPr>
          <w:ilvl w:val="0"/>
          <w:numId w:val="239"/>
        </w:numPr>
        <w:shd w:val="clear" w:color="auto" w:fill="FFFFFF"/>
        <w:spacing w:before="100" w:beforeAutospacing="1"/>
        <w:rPr>
          <w:rFonts w:ascii="Arial" w:hAnsi="Arial" w:cs="Arial"/>
          <w:color w:val="000000"/>
          <w:sz w:val="22"/>
          <w:szCs w:val="22"/>
        </w:rPr>
      </w:pPr>
      <w:r w:rsidRPr="0083008C">
        <w:rPr>
          <w:rFonts w:ascii="Arial" w:hAnsi="Arial" w:cs="Arial"/>
          <w:color w:val="000000"/>
          <w:sz w:val="22"/>
          <w:szCs w:val="22"/>
        </w:rPr>
        <w:t>En caso de fallecimiento, los beneficiarios del seguro deben tributar por el Impuesto de Sucesiones.</w:t>
      </w:r>
    </w:p>
    <w:p w14:paraId="489466A5" w14:textId="268B3199" w:rsidR="0083008C" w:rsidRPr="00CF1B34" w:rsidRDefault="0083008C" w:rsidP="00602DF7">
      <w:pPr>
        <w:pBdr>
          <w:bottom w:val="dotted" w:sz="12" w:space="12" w:color="666666"/>
        </w:pBdr>
        <w:spacing w:after="240"/>
        <w:ind w:left="708"/>
        <w:jc w:val="both"/>
        <w:rPr>
          <w:rFonts w:ascii="Arial" w:hAnsi="Arial" w:cs="Arial"/>
          <w:color w:val="212529"/>
          <w:sz w:val="22"/>
          <w:szCs w:val="22"/>
          <w:lang w:val="es-ES_tradnl"/>
        </w:rPr>
      </w:pPr>
      <w:r w:rsidRPr="0083008C">
        <w:rPr>
          <w:rFonts w:ascii="Arial" w:hAnsi="Arial" w:cs="Arial"/>
          <w:color w:val="000000"/>
          <w:sz w:val="22"/>
          <w:szCs w:val="22"/>
        </w:rPr>
        <w:t>En resumen, un Unit Linked</w:t>
      </w:r>
      <w:r>
        <w:rPr>
          <w:rFonts w:ascii="Arial" w:hAnsi="Arial" w:cs="Arial"/>
          <w:color w:val="000000"/>
          <w:sz w:val="22"/>
          <w:szCs w:val="22"/>
        </w:rPr>
        <w:t xml:space="preserve"> </w:t>
      </w:r>
      <w:r w:rsidRPr="0083008C">
        <w:rPr>
          <w:rFonts w:ascii="Arial" w:hAnsi="Arial" w:cs="Arial"/>
          <w:b/>
          <w:bCs/>
          <w:color w:val="000000"/>
          <w:sz w:val="22"/>
          <w:szCs w:val="22"/>
        </w:rPr>
        <w:t>es un producto financiero que combina una cobertura de seguro con una inversión en una cesta de fondos o activos financieros</w:t>
      </w:r>
      <w:r w:rsidRPr="0083008C">
        <w:rPr>
          <w:rFonts w:ascii="Arial" w:hAnsi="Arial" w:cs="Arial"/>
          <w:color w:val="000000"/>
          <w:sz w:val="22"/>
          <w:szCs w:val="22"/>
        </w:rPr>
        <w:t>. Ofrece mayor flexibilidad y posibilidades de rentabilidad que otros productos de ahorro a través de seguros, pero también implica un mayor riesgo y costos. Es importante considerar las características y desventajas de este producto antes de tomar una decisión de inversión.</w:t>
      </w:r>
    </w:p>
    <w:p w14:paraId="1057B1FE"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Usufructo</w:t>
      </w:r>
    </w:p>
    <w:p w14:paraId="0F540896"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Usufructo, como tal, significa “derecho real de goce o disfrute de una cosa o bien ajeno”. Aplicado al Código Civil de España, en el artículo 467: “derecho a disfrutar de los bienes ajenos con la obligación de conservar su forma y sustancia, a no ser que el título de su constitución o la ley autoricen otra cosa”.</w:t>
      </w:r>
    </w:p>
    <w:p w14:paraId="36A96940"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Dicho de manera más sencilla, significa que una persona natural puede disfrutar y hacer uso de un bien, pero no es de su propiedad.</w:t>
      </w:r>
    </w:p>
    <w:p w14:paraId="1C37883B"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Características del usufructo</w:t>
      </w:r>
    </w:p>
    <w:p w14:paraId="1971F9F5" w14:textId="77777777" w:rsidR="004E69BA" w:rsidRPr="00CF1B34" w:rsidRDefault="004E69BA" w:rsidP="004F7A62">
      <w:pPr>
        <w:numPr>
          <w:ilvl w:val="0"/>
          <w:numId w:val="80"/>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 un derecho real en cosa ajena.</w:t>
      </w:r>
    </w:p>
    <w:p w14:paraId="448EDA29" w14:textId="77777777" w:rsidR="004E69BA" w:rsidRPr="00CF1B34" w:rsidRDefault="004E69BA" w:rsidP="004F7A62">
      <w:pPr>
        <w:numPr>
          <w:ilvl w:val="0"/>
          <w:numId w:val="80"/>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 un derecho de disfrute completo.</w:t>
      </w:r>
    </w:p>
    <w:p w14:paraId="37542C8A" w14:textId="77777777" w:rsidR="004E69BA" w:rsidRPr="00CF1B34" w:rsidRDefault="004E69BA" w:rsidP="004F7A62">
      <w:pPr>
        <w:numPr>
          <w:ilvl w:val="0"/>
          <w:numId w:val="80"/>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Es un derecho temporal.</w:t>
      </w:r>
    </w:p>
    <w:p w14:paraId="333D7536"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duración del usufructo dependerá de quién sea la persona usufructuaria. En el caso de ser una persona física, la duración puede ser:</w:t>
      </w:r>
    </w:p>
    <w:p w14:paraId="57C6729B" w14:textId="77777777" w:rsidR="004E69BA" w:rsidRPr="00CF1B34" w:rsidRDefault="004E69BA" w:rsidP="0005621A">
      <w:pPr>
        <w:spacing w:after="100" w:afterAutospacing="1"/>
        <w:ind w:firstLine="708"/>
        <w:jc w:val="both"/>
        <w:rPr>
          <w:rFonts w:ascii="Arial" w:hAnsi="Arial" w:cs="Arial"/>
          <w:sz w:val="22"/>
          <w:szCs w:val="22"/>
          <w:lang w:val="es-ES_tradnl"/>
        </w:rPr>
      </w:pPr>
      <w:r w:rsidRPr="00CF1B34">
        <w:rPr>
          <w:rFonts w:ascii="Arial" w:hAnsi="Arial" w:cs="Arial"/>
          <w:sz w:val="22"/>
          <w:szCs w:val="22"/>
          <w:lang w:val="es-ES_tradnl"/>
        </w:rPr>
        <w:t>Por un periodo de tiempo temporal, por ejemplo, 30 años.</w:t>
      </w:r>
    </w:p>
    <w:p w14:paraId="732783EA"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un periodo vitalicia, es decir, para toda la vida del usufructuario.</w:t>
      </w:r>
    </w:p>
    <w:p w14:paraId="4DFC9F85"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¿Cuándo se da por finalizado un usufructo?</w:t>
      </w:r>
    </w:p>
    <w:p w14:paraId="6F80805D" w14:textId="77777777" w:rsidR="004E69BA" w:rsidRPr="00CF1B34" w:rsidRDefault="004E69BA"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En los casos de usufructo vitalicio, cuando fallece la persona usufructuaria.</w:t>
      </w:r>
    </w:p>
    <w:p w14:paraId="2FC961D4" w14:textId="77777777" w:rsidR="004E69BA" w:rsidRPr="00CF1B34" w:rsidRDefault="004E69BA" w:rsidP="004F7A62">
      <w:pPr>
        <w:numPr>
          <w:ilvl w:val="0"/>
          <w:numId w:val="81"/>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Cuando se cumple la condición que inició el usufructo.</w:t>
      </w:r>
    </w:p>
    <w:p w14:paraId="5BBAC72C" w14:textId="77777777" w:rsidR="004E69BA" w:rsidRPr="00CF1B34" w:rsidRDefault="004E69BA" w:rsidP="004F7A62">
      <w:pPr>
        <w:numPr>
          <w:ilvl w:val="0"/>
          <w:numId w:val="81"/>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Cuando el usufructuario se convierte en el propietario, es decir, compra la propiedad.</w:t>
      </w:r>
    </w:p>
    <w:p w14:paraId="2777D5ED" w14:textId="77777777" w:rsidR="004E69BA" w:rsidRPr="00CF1B34" w:rsidRDefault="004E69BA" w:rsidP="004F7A62">
      <w:pPr>
        <w:numPr>
          <w:ilvl w:val="0"/>
          <w:numId w:val="81"/>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Cuando el usufructuario renuncia al usufructo.</w:t>
      </w:r>
    </w:p>
    <w:p w14:paraId="3B56B100" w14:textId="77777777" w:rsidR="004E69BA" w:rsidRPr="00CF1B34" w:rsidRDefault="004E69BA" w:rsidP="004F7A62">
      <w:pPr>
        <w:numPr>
          <w:ilvl w:val="0"/>
          <w:numId w:val="81"/>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Cuando el objeto que es usufructuado se pierde.</w:t>
      </w:r>
    </w:p>
    <w:p w14:paraId="7E1C4626" w14:textId="2D78CBCC" w:rsidR="004E69BA" w:rsidRPr="00CF1B34" w:rsidRDefault="004E69BA" w:rsidP="0005621A">
      <w:pPr>
        <w:pBdr>
          <w:bottom w:val="dotted" w:sz="12" w:space="12" w:color="666666"/>
        </w:pBdr>
        <w:spacing w:after="240"/>
        <w:ind w:left="495"/>
        <w:jc w:val="both"/>
        <w:rPr>
          <w:rFonts w:ascii="Arial" w:hAnsi="Arial" w:cs="Arial"/>
          <w:color w:val="212529"/>
          <w:sz w:val="22"/>
          <w:szCs w:val="22"/>
          <w:lang w:val="es-ES_tradnl"/>
        </w:rPr>
      </w:pPr>
      <w:r w:rsidRPr="00CF1B34">
        <w:rPr>
          <w:rFonts w:ascii="Arial" w:hAnsi="Arial" w:cs="Arial"/>
          <w:sz w:val="22"/>
          <w:szCs w:val="22"/>
          <w:lang w:val="es-ES_tradnl"/>
        </w:rPr>
        <w:lastRenderedPageBreak/>
        <w:t>Según sea la legislación de cada país, se puede dar por finalizado el usufructo cuando este no se utiliza por un determinado periodo de tiempo.</w:t>
      </w:r>
    </w:p>
    <w:p w14:paraId="7E277559" w14:textId="0CE31C5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Utilities</w:t>
      </w:r>
      <w:r w:rsidR="00144041" w:rsidRPr="00CF1B34">
        <w:rPr>
          <w:rFonts w:ascii="Arial" w:hAnsi="Arial" w:cs="Arial"/>
          <w:b/>
          <w:bCs/>
          <w:color w:val="004773"/>
          <w:sz w:val="22"/>
          <w:szCs w:val="22"/>
          <w:lang w:val="es-ES_tradnl"/>
        </w:rPr>
        <w:t xml:space="preserve"> </w:t>
      </w:r>
    </w:p>
    <w:p w14:paraId="45771350" w14:textId="77777777" w:rsidR="001A3FF6" w:rsidRPr="001A3FF6" w:rsidRDefault="009A24B4" w:rsidP="00F13C42">
      <w:pPr>
        <w:ind w:left="708"/>
        <w:rPr>
          <w:rFonts w:ascii="Arial" w:hAnsi="Arial" w:cs="Arial"/>
          <w:sz w:val="22"/>
          <w:szCs w:val="22"/>
          <w:lang w:val="es-ES_tradnl"/>
        </w:rPr>
      </w:pPr>
      <w:r w:rsidRPr="001A3FF6">
        <w:rPr>
          <w:rFonts w:ascii="Arial" w:hAnsi="Arial" w:cs="Arial"/>
          <w:sz w:val="22"/>
          <w:szCs w:val="22"/>
          <w:lang w:val="es-ES_tradnl"/>
        </w:rPr>
        <w:t>Denominación genérica de aquellas compañías que ofrecen servicios públicos como electricidad, gas, agua</w:t>
      </w:r>
      <w:r w:rsidR="001A3FF6" w:rsidRPr="001A3FF6">
        <w:rPr>
          <w:rFonts w:ascii="Arial" w:hAnsi="Arial" w:cs="Arial"/>
          <w:sz w:val="22"/>
          <w:szCs w:val="22"/>
          <w:lang w:val="es-ES_tradnl"/>
        </w:rPr>
        <w:t>,</w:t>
      </w:r>
      <w:r w:rsidRPr="001A3FF6">
        <w:rPr>
          <w:rFonts w:ascii="Arial" w:hAnsi="Arial" w:cs="Arial"/>
          <w:sz w:val="22"/>
          <w:szCs w:val="22"/>
          <w:lang w:val="es-ES_tradnl"/>
        </w:rPr>
        <w:t xml:space="preserve"> autopistas</w:t>
      </w:r>
      <w:r w:rsidR="001A3FF6" w:rsidRPr="001A3FF6">
        <w:rPr>
          <w:rFonts w:ascii="Arial" w:hAnsi="Arial" w:cs="Arial"/>
          <w:sz w:val="22"/>
          <w:szCs w:val="22"/>
          <w:lang w:val="es-ES_tradnl"/>
        </w:rPr>
        <w:t>, telecomunicaciones entre otros</w:t>
      </w:r>
      <w:r w:rsidRPr="001A3FF6">
        <w:rPr>
          <w:rFonts w:ascii="Arial" w:hAnsi="Arial" w:cs="Arial"/>
          <w:sz w:val="22"/>
          <w:szCs w:val="22"/>
          <w:lang w:val="es-ES_tradnl"/>
        </w:rPr>
        <w:t>.</w:t>
      </w:r>
      <w:r w:rsidR="001A3FF6" w:rsidRPr="001A3FF6">
        <w:rPr>
          <w:rFonts w:ascii="Arial" w:hAnsi="Arial" w:cs="Arial"/>
          <w:sz w:val="22"/>
          <w:szCs w:val="22"/>
          <w:lang w:val="es-ES_tradnl"/>
        </w:rPr>
        <w:t xml:space="preserve"> Estas empresas ofrecen servicios esenciales y fundamentales para la vida, lo que las hace relativamente estables en términos de ingresos y demanda. </w:t>
      </w:r>
    </w:p>
    <w:p w14:paraId="5C654CBB" w14:textId="2449FCE1" w:rsidR="001A3FF6" w:rsidRPr="001A3FF6" w:rsidRDefault="001A3FF6" w:rsidP="00F13C42">
      <w:pPr>
        <w:ind w:firstLine="360"/>
        <w:rPr>
          <w:rFonts w:ascii="Arial" w:hAnsi="Arial" w:cs="Arial"/>
          <w:color w:val="000000"/>
          <w:sz w:val="22"/>
          <w:szCs w:val="22"/>
        </w:rPr>
      </w:pPr>
      <w:r w:rsidRPr="001A3FF6">
        <w:rPr>
          <w:rFonts w:ascii="Arial" w:hAnsi="Arial" w:cs="Arial"/>
          <w:b/>
          <w:bCs/>
          <w:color w:val="000000"/>
          <w:sz w:val="22"/>
          <w:szCs w:val="22"/>
        </w:rPr>
        <w:t>Características</w:t>
      </w:r>
    </w:p>
    <w:p w14:paraId="353D7AE0" w14:textId="042CBA29" w:rsidR="001A3FF6" w:rsidRPr="001A3FF6" w:rsidRDefault="001A3FF6" w:rsidP="004F7A62">
      <w:pPr>
        <w:numPr>
          <w:ilvl w:val="0"/>
          <w:numId w:val="235"/>
        </w:numPr>
        <w:shd w:val="clear" w:color="auto" w:fill="FFFFFF"/>
        <w:spacing w:after="100" w:afterAutospacing="1"/>
        <w:rPr>
          <w:rFonts w:ascii="Arial" w:hAnsi="Arial" w:cs="Arial"/>
          <w:color w:val="000000"/>
          <w:sz w:val="22"/>
          <w:szCs w:val="22"/>
        </w:rPr>
      </w:pPr>
      <w:r w:rsidRPr="001A3FF6">
        <w:rPr>
          <w:rFonts w:ascii="Arial" w:hAnsi="Arial" w:cs="Arial"/>
          <w:color w:val="000000"/>
          <w:sz w:val="22"/>
          <w:szCs w:val="22"/>
        </w:rPr>
        <w:t>Reciben ingresos relativamente estables en el tiempo, debido a la inelástica demanda por sus servicios (la demanda no cambia significativamente, aunque el precio suba).</w:t>
      </w:r>
    </w:p>
    <w:p w14:paraId="129FAE28" w14:textId="77777777" w:rsidR="001A3FF6" w:rsidRPr="001A3FF6" w:rsidRDefault="001A3FF6" w:rsidP="004F7A62">
      <w:pPr>
        <w:numPr>
          <w:ilvl w:val="0"/>
          <w:numId w:val="235"/>
        </w:numPr>
        <w:shd w:val="clear" w:color="auto" w:fill="FFFFFF"/>
        <w:spacing w:before="100" w:beforeAutospacing="1" w:after="100" w:afterAutospacing="1"/>
        <w:rPr>
          <w:rFonts w:ascii="Arial" w:hAnsi="Arial" w:cs="Arial"/>
          <w:color w:val="000000"/>
          <w:sz w:val="22"/>
          <w:szCs w:val="22"/>
        </w:rPr>
      </w:pPr>
      <w:r w:rsidRPr="001A3FF6">
        <w:rPr>
          <w:rFonts w:ascii="Arial" w:hAnsi="Arial" w:cs="Arial"/>
          <w:color w:val="000000"/>
          <w:sz w:val="22"/>
          <w:szCs w:val="22"/>
        </w:rPr>
        <w:t>Ofrecen un retorno estable a los inversores, quienes buscan un beneficio a largo plazo en forma de dividendos.</w:t>
      </w:r>
    </w:p>
    <w:p w14:paraId="12E8F2A6" w14:textId="77777777" w:rsidR="001A3FF6" w:rsidRPr="001A3FF6" w:rsidRDefault="001A3FF6" w:rsidP="004F7A62">
      <w:pPr>
        <w:numPr>
          <w:ilvl w:val="0"/>
          <w:numId w:val="235"/>
        </w:numPr>
        <w:shd w:val="clear" w:color="auto" w:fill="FFFFFF"/>
        <w:spacing w:before="100" w:beforeAutospacing="1" w:after="100" w:afterAutospacing="1"/>
        <w:rPr>
          <w:rFonts w:ascii="Arial" w:hAnsi="Arial" w:cs="Arial"/>
          <w:color w:val="000000"/>
          <w:sz w:val="22"/>
          <w:szCs w:val="22"/>
        </w:rPr>
      </w:pPr>
      <w:r w:rsidRPr="001A3FF6">
        <w:rPr>
          <w:rFonts w:ascii="Arial" w:hAnsi="Arial" w:cs="Arial"/>
          <w:color w:val="000000"/>
          <w:sz w:val="22"/>
          <w:szCs w:val="22"/>
        </w:rPr>
        <w:t>Son una buena alternativa en momentos de crisis económica, ya que sus ingresos se mantienen estables y las cotizaciones de sus acciones no se ven fuertemente afectadas.</w:t>
      </w:r>
    </w:p>
    <w:p w14:paraId="7088ECEA" w14:textId="2172BC15" w:rsidR="001A3FF6" w:rsidRPr="001A3FF6" w:rsidRDefault="001A3FF6" w:rsidP="004F7A62">
      <w:pPr>
        <w:numPr>
          <w:ilvl w:val="0"/>
          <w:numId w:val="235"/>
        </w:numPr>
        <w:shd w:val="clear" w:color="auto" w:fill="FFFFFF"/>
        <w:spacing w:before="100" w:beforeAutospacing="1"/>
        <w:rPr>
          <w:rFonts w:ascii="Arial" w:hAnsi="Arial" w:cs="Arial"/>
          <w:color w:val="000000"/>
          <w:sz w:val="22"/>
          <w:szCs w:val="22"/>
        </w:rPr>
      </w:pPr>
      <w:r w:rsidRPr="001A3FF6">
        <w:rPr>
          <w:rFonts w:ascii="Arial" w:hAnsi="Arial" w:cs="Arial"/>
          <w:color w:val="000000"/>
          <w:sz w:val="22"/>
          <w:szCs w:val="22"/>
        </w:rPr>
        <w:t>Sin embargo, también presentan riesgos, como la supervisión estatal y el alto requerimiento de financiamiento para invertir en infraestructura, lo que puede aumentar la carga de obligaciones financieras.</w:t>
      </w:r>
    </w:p>
    <w:p w14:paraId="4ACDC8EC" w14:textId="4FF5D06E"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p>
    <w:p w14:paraId="4B2F7FD6" w14:textId="704B7EB1" w:rsidR="00696A3C" w:rsidRPr="00CF1B34" w:rsidRDefault="00696A3C" w:rsidP="0005621A">
      <w:pPr>
        <w:jc w:val="both"/>
        <w:rPr>
          <w:rFonts w:ascii="Arial" w:hAnsi="Arial" w:cs="Arial"/>
          <w:sz w:val="22"/>
          <w:szCs w:val="22"/>
          <w:lang w:val="es-ES_tradnl"/>
        </w:rPr>
      </w:pPr>
    </w:p>
    <w:p w14:paraId="1B483EA5" w14:textId="77777777" w:rsidR="00355307" w:rsidRPr="00CF1B34" w:rsidRDefault="00355307" w:rsidP="0005621A">
      <w:pPr>
        <w:jc w:val="both"/>
        <w:rPr>
          <w:rFonts w:ascii="Arial" w:hAnsi="Arial" w:cs="Arial"/>
          <w:sz w:val="22"/>
          <w:szCs w:val="22"/>
          <w:lang w:val="es-ES_tradnl"/>
        </w:rPr>
      </w:pPr>
    </w:p>
    <w:p w14:paraId="01A601CF" w14:textId="0CEAF23C" w:rsidR="00696A3C" w:rsidRPr="00CF1B34" w:rsidRDefault="009A24B4"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V</w:t>
      </w:r>
    </w:p>
    <w:p w14:paraId="062743C4" w14:textId="7A32DDD1" w:rsidR="009A24B4" w:rsidRPr="00CF1B34" w:rsidRDefault="009A24B4" w:rsidP="0005621A">
      <w:pPr>
        <w:jc w:val="both"/>
        <w:rPr>
          <w:rFonts w:ascii="Arial" w:hAnsi="Arial" w:cs="Arial"/>
          <w:sz w:val="22"/>
          <w:szCs w:val="22"/>
          <w:lang w:val="es-ES_tradnl"/>
        </w:rPr>
      </w:pPr>
    </w:p>
    <w:p w14:paraId="0C7490CB" w14:textId="77777777" w:rsidR="004E69BA" w:rsidRPr="00CF1B34" w:rsidRDefault="004E69BA" w:rsidP="0005621A">
      <w:pPr>
        <w:jc w:val="both"/>
        <w:rPr>
          <w:rFonts w:ascii="Arial" w:hAnsi="Arial" w:cs="Arial"/>
          <w:sz w:val="22"/>
          <w:szCs w:val="22"/>
          <w:lang w:val="es-ES_tradnl"/>
        </w:rPr>
      </w:pPr>
    </w:p>
    <w:p w14:paraId="17954BB6" w14:textId="7777777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actual neto de una inversión, VAN</w:t>
      </w:r>
    </w:p>
    <w:p w14:paraId="558634D8" w14:textId="64D00939" w:rsidR="009A24B4" w:rsidRPr="00CF1B34" w:rsidRDefault="009A24B4"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Es el valor que tendrían en el momento actual todos los cobros y pagos que se prevé que genere en el futuro un determinado activo financiero. Para ´traer´ o descontar esos flujos, en general se emplea un tipo de interés apropiado al riesgo y al horizonte temporal de dicho activo, bajo la hipótesis de que se mantendrá sin cambios durante toda la vida de la inversión (esta premisa suele emplearse por simplicidad operativa). Ver</w:t>
      </w:r>
      <w:r w:rsidR="00A869BB" w:rsidRPr="00CF1B34">
        <w:rPr>
          <w:rFonts w:ascii="Arial" w:hAnsi="Arial" w:cs="Arial"/>
          <w:color w:val="212529"/>
          <w:sz w:val="22"/>
          <w:szCs w:val="22"/>
          <w:lang w:val="es-ES_tradnl"/>
        </w:rPr>
        <w:t xml:space="preserve"> </w:t>
      </w:r>
      <w:hyperlink r:id="rId356" w:tgtFrame="_self" w:history="1">
        <w:r w:rsidRPr="00CF1B34">
          <w:rPr>
            <w:rFonts w:ascii="Arial" w:hAnsi="Arial" w:cs="Arial"/>
            <w:b/>
            <w:bCs/>
            <w:color w:val="2F5496" w:themeColor="accent1" w:themeShade="BF"/>
            <w:sz w:val="22"/>
            <w:szCs w:val="22"/>
            <w:u w:val="single"/>
            <w:lang w:val="es-ES_tradnl"/>
          </w:rPr>
          <w:t>Riesgo de reinversión</w:t>
        </w:r>
      </w:hyperlink>
      <w:r w:rsidR="00A869BB" w:rsidRPr="00CF1B34">
        <w:rPr>
          <w:rFonts w:ascii="Arial" w:hAnsi="Arial" w:cs="Arial"/>
          <w:color w:val="2F5496" w:themeColor="accent1" w:themeShade="BF"/>
          <w:sz w:val="22"/>
          <w:szCs w:val="22"/>
          <w:lang w:val="es-ES_tradnl"/>
        </w:rPr>
        <w:t xml:space="preserve"> </w:t>
      </w:r>
      <w:r w:rsidRPr="00CF1B34">
        <w:rPr>
          <w:rFonts w:ascii="Arial" w:hAnsi="Arial" w:cs="Arial"/>
          <w:color w:val="212529"/>
          <w:sz w:val="22"/>
          <w:szCs w:val="22"/>
          <w:lang w:val="es-ES_tradnl"/>
        </w:rPr>
        <w:t>y</w:t>
      </w:r>
      <w:r w:rsidR="00A869BB" w:rsidRPr="00CF1B34">
        <w:rPr>
          <w:rFonts w:ascii="Arial" w:hAnsi="Arial" w:cs="Arial"/>
          <w:color w:val="212529"/>
          <w:sz w:val="22"/>
          <w:szCs w:val="22"/>
          <w:lang w:val="es-ES_tradnl"/>
        </w:rPr>
        <w:t xml:space="preserve"> </w:t>
      </w:r>
      <w:hyperlink r:id="rId357" w:tgtFrame="_self" w:history="1">
        <w:r w:rsidRPr="00CF1B34">
          <w:rPr>
            <w:rFonts w:ascii="Arial" w:hAnsi="Arial" w:cs="Arial"/>
            <w:b/>
            <w:bCs/>
            <w:color w:val="2F5496" w:themeColor="accent1" w:themeShade="BF"/>
            <w:sz w:val="22"/>
            <w:szCs w:val="22"/>
            <w:u w:val="single"/>
            <w:lang w:val="es-ES_tradnl"/>
          </w:rPr>
          <w:t>Tasa de descuento</w:t>
        </w:r>
      </w:hyperlink>
      <w:r w:rsidRPr="00CF1B34">
        <w:rPr>
          <w:rFonts w:ascii="Arial" w:hAnsi="Arial" w:cs="Arial"/>
          <w:color w:val="2F5496" w:themeColor="accent1" w:themeShade="BF"/>
          <w:sz w:val="22"/>
          <w:szCs w:val="22"/>
          <w:lang w:val="es-ES_tradnl"/>
        </w:rPr>
        <w:t>.</w:t>
      </w:r>
    </w:p>
    <w:p w14:paraId="42D75AB7" w14:textId="2FC0BC75" w:rsidR="004E69BA" w:rsidRPr="00CF1B34" w:rsidRDefault="00355307"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burs</w:t>
      </w:r>
      <w:r w:rsidR="00DF4A23" w:rsidRPr="00CF1B34">
        <w:rPr>
          <w:rFonts w:ascii="Arial" w:hAnsi="Arial" w:cs="Arial"/>
          <w:b/>
          <w:bCs/>
          <w:color w:val="004773"/>
          <w:sz w:val="22"/>
          <w:szCs w:val="22"/>
          <w:lang w:val="es-ES_tradnl"/>
        </w:rPr>
        <w:t>á</w:t>
      </w:r>
      <w:r w:rsidRPr="00CF1B34">
        <w:rPr>
          <w:rFonts w:ascii="Arial" w:hAnsi="Arial" w:cs="Arial"/>
          <w:b/>
          <w:bCs/>
          <w:color w:val="004773"/>
          <w:sz w:val="22"/>
          <w:szCs w:val="22"/>
          <w:lang w:val="es-ES_tradnl"/>
        </w:rPr>
        <w:t>til</w:t>
      </w:r>
    </w:p>
    <w:p w14:paraId="4779A3F9" w14:textId="77777777" w:rsidR="00DF4A23" w:rsidRPr="00CF1B34" w:rsidRDefault="0014404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Es el valor que la oferta y la demanda</w:t>
      </w:r>
      <w:r w:rsidR="00DF4A23" w:rsidRPr="00CF1B34">
        <w:rPr>
          <w:rFonts w:ascii="Arial" w:hAnsi="Arial" w:cs="Arial"/>
          <w:color w:val="000000" w:themeColor="text1"/>
          <w:sz w:val="22"/>
          <w:szCs w:val="22"/>
          <w:lang w:val="es-ES_tradnl"/>
        </w:rPr>
        <w:t xml:space="preserve"> da una acción de acuerdo con unas  previsiones de revalorización. Es un precio de mercado que varia en función de los beneficios empresariales y de los tipos de interés entre otras cosas.</w:t>
      </w:r>
    </w:p>
    <w:p w14:paraId="37B5EEEB"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Valor catastral</w:t>
      </w:r>
    </w:p>
    <w:p w14:paraId="599B91D9"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valor catastral es un indicador administrativo, más conocido como el DNI de la vivienda, determinado objetivamente para cada inmueble, que toma como referencia los datos que existen en el catastro inmobiliario.</w:t>
      </w:r>
    </w:p>
    <w:p w14:paraId="65AF8C72"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 través de este indicador, se realiza el registro de una vivienda en el catastro y se calculan muchos de los impuestos que debes pagar anualmente como propietario, entre ellos el impuesto de bienes inmuebles (IBI). Es así como el valor catastral es un valor individual, único, obligatorio y gratuito que se vincula a un inmueble determinado.</w:t>
      </w:r>
    </w:p>
    <w:p w14:paraId="1AABE22F"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El valor que el catastro fija para los inmuebles de un municipio depende de, entre otras características, de la edificación, antigüedad, características de la parcela, reformas, condiciones actuales, conservación de la fincha, etc.</w:t>
      </w:r>
    </w:p>
    <w:p w14:paraId="4F10E6B6"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factores influyen en el valor catastral de mi casa?</w:t>
      </w:r>
    </w:p>
    <w:p w14:paraId="566FB273" w14:textId="77777777" w:rsidR="004E69BA" w:rsidRPr="00CF1B34" w:rsidRDefault="004E69BA" w:rsidP="004F7A62">
      <w:pPr>
        <w:numPr>
          <w:ilvl w:val="0"/>
          <w:numId w:val="82"/>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Ubicación del inmueble: la zona concreta donde esté situada la casa.</w:t>
      </w:r>
    </w:p>
    <w:p w14:paraId="161DD9EB" w14:textId="77777777" w:rsidR="004E69BA" w:rsidRPr="00CF1B34" w:rsidRDefault="004E69BA" w:rsidP="004F7A62">
      <w:pPr>
        <w:numPr>
          <w:ilvl w:val="0"/>
          <w:numId w:val="82"/>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Gastos en la construcción del inmueble.</w:t>
      </w:r>
    </w:p>
    <w:p w14:paraId="123DD4AE" w14:textId="77777777" w:rsidR="004E69BA" w:rsidRPr="00CF1B34" w:rsidRDefault="004E69BA" w:rsidP="004F7A62">
      <w:pPr>
        <w:numPr>
          <w:ilvl w:val="0"/>
          <w:numId w:val="82"/>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Valor en el mercado de esa vivienda.</w:t>
      </w:r>
    </w:p>
    <w:p w14:paraId="6914D58D"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objetivo del valor catastral es tener valores homogéneos que se puedan comparar con los valores que existen en el mercado. Para ello, se integran dos tipos de valores: el valor del suelo y el valor de la construcción.</w:t>
      </w:r>
    </w:p>
    <w:p w14:paraId="5F5160DB" w14:textId="77777777" w:rsidR="004E69BA" w:rsidRPr="00CF1B34" w:rsidRDefault="004E69BA" w:rsidP="0005621A">
      <w:pPr>
        <w:spacing w:after="100" w:afterAutospacing="1"/>
        <w:ind w:firstLine="495"/>
        <w:jc w:val="both"/>
        <w:outlineLvl w:val="2"/>
        <w:rPr>
          <w:rFonts w:ascii="Arial" w:hAnsi="Arial" w:cs="Arial"/>
          <w:sz w:val="22"/>
          <w:szCs w:val="22"/>
          <w:lang w:val="es-ES_tradnl"/>
        </w:rPr>
      </w:pPr>
      <w:r w:rsidRPr="00CF1B34">
        <w:rPr>
          <w:rFonts w:ascii="Arial" w:hAnsi="Arial" w:cs="Arial"/>
          <w:b/>
          <w:bCs/>
          <w:sz w:val="22"/>
          <w:szCs w:val="22"/>
          <w:lang w:val="es-ES_tradnl"/>
        </w:rPr>
        <w:t>Los criterios que se utilizar para el calcular del valor del suelo son:</w:t>
      </w:r>
    </w:p>
    <w:p w14:paraId="4FFD9B35" w14:textId="77777777" w:rsidR="004E69BA" w:rsidRPr="00CF1B34" w:rsidRDefault="004E69BA" w:rsidP="004F7A62">
      <w:pPr>
        <w:numPr>
          <w:ilvl w:val="0"/>
          <w:numId w:val="8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Longitud y número de fachadas.</w:t>
      </w:r>
    </w:p>
    <w:p w14:paraId="4F381E70" w14:textId="77777777" w:rsidR="004E69BA" w:rsidRPr="00CF1B34" w:rsidRDefault="004E69BA" w:rsidP="004F7A62">
      <w:pPr>
        <w:numPr>
          <w:ilvl w:val="0"/>
          <w:numId w:val="8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fondo de la parcela.</w:t>
      </w:r>
    </w:p>
    <w:p w14:paraId="36F494E4" w14:textId="77777777" w:rsidR="004E69BA" w:rsidRPr="00CF1B34" w:rsidRDefault="004E69BA" w:rsidP="004F7A62">
      <w:pPr>
        <w:numPr>
          <w:ilvl w:val="0"/>
          <w:numId w:val="8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Forma irregular.</w:t>
      </w:r>
    </w:p>
    <w:p w14:paraId="6000BF60" w14:textId="77777777" w:rsidR="004E69BA" w:rsidRPr="00CF1B34" w:rsidRDefault="004E69BA" w:rsidP="004F7A62">
      <w:pPr>
        <w:numPr>
          <w:ilvl w:val="0"/>
          <w:numId w:val="8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Superficie mínima exigida por el planeamiento urbanístico.</w:t>
      </w:r>
    </w:p>
    <w:p w14:paraId="17BAA9D5" w14:textId="77777777" w:rsidR="004E69BA" w:rsidRPr="00CF1B34" w:rsidRDefault="004E69BA" w:rsidP="004F7A62">
      <w:pPr>
        <w:numPr>
          <w:ilvl w:val="0"/>
          <w:numId w:val="8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Imposibilidad de edificación temporal por antigüedad.</w:t>
      </w:r>
    </w:p>
    <w:p w14:paraId="6F120FB1" w14:textId="77777777" w:rsidR="004E69BA" w:rsidRPr="00CF1B34" w:rsidRDefault="004E69BA" w:rsidP="004F7A62">
      <w:pPr>
        <w:numPr>
          <w:ilvl w:val="0"/>
          <w:numId w:val="83"/>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Afección por destino del terreno a la construcción de viviendas acogidas a algún régimen de protección oficial.</w:t>
      </w:r>
    </w:p>
    <w:p w14:paraId="22F0E5CD" w14:textId="77777777" w:rsidR="004E69BA" w:rsidRPr="00CF1B34" w:rsidRDefault="004E69BA" w:rsidP="0005621A">
      <w:pPr>
        <w:spacing w:after="100" w:afterAutospacing="1"/>
        <w:ind w:left="495"/>
        <w:jc w:val="both"/>
        <w:outlineLvl w:val="2"/>
        <w:rPr>
          <w:rFonts w:ascii="Arial" w:hAnsi="Arial" w:cs="Arial"/>
          <w:sz w:val="22"/>
          <w:szCs w:val="22"/>
          <w:lang w:val="es-ES_tradnl"/>
        </w:rPr>
      </w:pPr>
      <w:r w:rsidRPr="00CF1B34">
        <w:rPr>
          <w:rFonts w:ascii="Arial" w:hAnsi="Arial" w:cs="Arial"/>
          <w:b/>
          <w:bCs/>
          <w:sz w:val="22"/>
          <w:szCs w:val="22"/>
          <w:lang w:val="es-ES_tradnl"/>
        </w:rPr>
        <w:t>En cuanto a los criterios utilizados para la valoración de la construcción se contemplan:</w:t>
      </w:r>
    </w:p>
    <w:p w14:paraId="0EAC9D8D" w14:textId="77777777" w:rsidR="004E69BA" w:rsidRPr="00CF1B34" w:rsidRDefault="004E69BA" w:rsidP="004F7A62">
      <w:pPr>
        <w:numPr>
          <w:ilvl w:val="0"/>
          <w:numId w:val="8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antigüedad.</w:t>
      </w:r>
    </w:p>
    <w:p w14:paraId="0F24E6EB" w14:textId="77777777" w:rsidR="004E69BA" w:rsidRPr="00CF1B34" w:rsidRDefault="004E69BA" w:rsidP="004F7A62">
      <w:pPr>
        <w:numPr>
          <w:ilvl w:val="0"/>
          <w:numId w:val="8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El uso que al que se vaya a destinar.</w:t>
      </w:r>
    </w:p>
    <w:p w14:paraId="15BB7DCC" w14:textId="77777777" w:rsidR="004E69BA" w:rsidRPr="00CF1B34" w:rsidRDefault="004E69BA" w:rsidP="004F7A62">
      <w:pPr>
        <w:numPr>
          <w:ilvl w:val="0"/>
          <w:numId w:val="84"/>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Tipo de reforma y estado de conservación.</w:t>
      </w:r>
    </w:p>
    <w:p w14:paraId="54D5A5F8" w14:textId="77777777" w:rsidR="004E69BA" w:rsidRPr="00CF1B34" w:rsidRDefault="004E69BA" w:rsidP="0005621A">
      <w:pPr>
        <w:spacing w:after="100" w:afterAutospacing="1"/>
        <w:ind w:firstLine="495"/>
        <w:jc w:val="both"/>
        <w:outlineLvl w:val="1"/>
        <w:rPr>
          <w:rFonts w:ascii="Arial" w:hAnsi="Arial" w:cs="Arial"/>
          <w:sz w:val="22"/>
          <w:szCs w:val="22"/>
          <w:lang w:val="es-ES_tradnl"/>
        </w:rPr>
      </w:pPr>
      <w:r w:rsidRPr="00CF1B34">
        <w:rPr>
          <w:rFonts w:ascii="Arial" w:hAnsi="Arial" w:cs="Arial"/>
          <w:b/>
          <w:bCs/>
          <w:sz w:val="22"/>
          <w:szCs w:val="22"/>
          <w:lang w:val="es-ES_tradnl"/>
        </w:rPr>
        <w:t>¿Cómo interpretar una referencia catastral?</w:t>
      </w:r>
    </w:p>
    <w:p w14:paraId="234CF10A" w14:textId="77777777" w:rsidR="004E69BA" w:rsidRPr="00CF1B34" w:rsidRDefault="004E69BA" w:rsidP="0005621A">
      <w:pPr>
        <w:spacing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 referencia catastral de un inmueble está compuesta por 20 dígitos y se construye con los siguientes datos.</w:t>
      </w:r>
    </w:p>
    <w:p w14:paraId="59C7CD38" w14:textId="77777777" w:rsidR="004E69BA" w:rsidRPr="00CF1B34" w:rsidRDefault="004E69BA"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Te ponemos un ejemplo:</w:t>
      </w:r>
    </w:p>
    <w:p w14:paraId="6118CD36" w14:textId="77777777" w:rsidR="004E69BA" w:rsidRPr="00CF1B34" w:rsidRDefault="004E69BA" w:rsidP="0005621A">
      <w:pPr>
        <w:spacing w:after="100" w:afterAutospacing="1"/>
        <w:ind w:firstLine="495"/>
        <w:jc w:val="both"/>
        <w:rPr>
          <w:rFonts w:ascii="Arial" w:hAnsi="Arial" w:cs="Arial"/>
          <w:sz w:val="22"/>
          <w:szCs w:val="22"/>
          <w:lang w:val="es-ES_tradnl"/>
        </w:rPr>
      </w:pPr>
      <w:r w:rsidRPr="00CF1B34">
        <w:rPr>
          <w:rFonts w:ascii="Arial" w:hAnsi="Arial" w:cs="Arial"/>
          <w:sz w:val="22"/>
          <w:szCs w:val="22"/>
          <w:lang w:val="es-ES_tradnl"/>
        </w:rPr>
        <w:t>Número catastral: 8643259CM1234W0123WR</w:t>
      </w:r>
    </w:p>
    <w:p w14:paraId="0F8571BA" w14:textId="77777777" w:rsidR="004E69BA" w:rsidRPr="00CF1B34" w:rsidRDefault="004E69BA" w:rsidP="004F7A62">
      <w:pPr>
        <w:numPr>
          <w:ilvl w:val="0"/>
          <w:numId w:val="8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Los primeros 5 dígitos (86432) indican dónde se encuentra ubicada la parcela.</w:t>
      </w:r>
    </w:p>
    <w:p w14:paraId="0D68AFA2" w14:textId="77777777" w:rsidR="004E69BA" w:rsidRPr="00CF1B34" w:rsidRDefault="004E69BA" w:rsidP="004F7A62">
      <w:pPr>
        <w:numPr>
          <w:ilvl w:val="0"/>
          <w:numId w:val="8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Los 2 siguientes (59) corresponden al inmueble concreto dentro de ese conjunto.</w:t>
      </w:r>
    </w:p>
    <w:p w14:paraId="0426A323" w14:textId="77777777" w:rsidR="004E69BA" w:rsidRPr="00CF1B34" w:rsidRDefault="004E69BA" w:rsidP="004F7A62">
      <w:pPr>
        <w:numPr>
          <w:ilvl w:val="0"/>
          <w:numId w:val="8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Las siguientes dos letras (CM) determinan la gestión territorial a la que corresponde y, los siguientes 5 dígitos, (1234W) identifican el plano catastral en el que la parcela se encuentra situada.</w:t>
      </w:r>
    </w:p>
    <w:p w14:paraId="2C9BE534" w14:textId="77777777" w:rsidR="004E69BA" w:rsidRPr="00CF1B34" w:rsidRDefault="004E69BA" w:rsidP="004F7A62">
      <w:pPr>
        <w:numPr>
          <w:ilvl w:val="0"/>
          <w:numId w:val="8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Los siguientes 4 números (0123), son los que indican el piso concreto dentro del inmueble.</w:t>
      </w:r>
    </w:p>
    <w:p w14:paraId="03DA77BA" w14:textId="39819EE1" w:rsidR="004E69BA" w:rsidRPr="00CF1B34" w:rsidRDefault="004E69BA" w:rsidP="004F7A62">
      <w:pPr>
        <w:numPr>
          <w:ilvl w:val="0"/>
          <w:numId w:val="85"/>
        </w:numPr>
        <w:spacing w:before="100" w:beforeAutospacing="1" w:after="100" w:afterAutospacing="1"/>
        <w:ind w:left="495"/>
        <w:jc w:val="both"/>
        <w:rPr>
          <w:rFonts w:ascii="Arial" w:hAnsi="Arial" w:cs="Arial"/>
          <w:sz w:val="22"/>
          <w:szCs w:val="22"/>
          <w:lang w:val="es-ES_tradnl"/>
        </w:rPr>
      </w:pPr>
      <w:r w:rsidRPr="00CF1B34">
        <w:rPr>
          <w:rFonts w:ascii="Arial" w:hAnsi="Arial" w:cs="Arial"/>
          <w:sz w:val="22"/>
          <w:szCs w:val="22"/>
          <w:lang w:val="es-ES_tradnl"/>
        </w:rPr>
        <w:t>Y, por último, las últimas letras (WR) son dos dígitos de control para la validación de la información.</w:t>
      </w:r>
    </w:p>
    <w:p w14:paraId="44BCAB15" w14:textId="77777777" w:rsidR="004E69BA" w:rsidRPr="00CF1B34" w:rsidRDefault="004E69BA" w:rsidP="0005621A">
      <w:pPr>
        <w:pStyle w:val="Prrafodelista"/>
        <w:pBdr>
          <w:bottom w:val="dotted" w:sz="12" w:space="12" w:color="666666"/>
        </w:pBdr>
        <w:spacing w:after="240"/>
        <w:jc w:val="both"/>
        <w:rPr>
          <w:rFonts w:ascii="Arial" w:hAnsi="Arial" w:cs="Arial"/>
          <w:color w:val="212529"/>
          <w:sz w:val="22"/>
          <w:szCs w:val="22"/>
          <w:lang w:val="es-ES_tradnl"/>
        </w:rPr>
      </w:pPr>
    </w:p>
    <w:p w14:paraId="4A1ADD6A" w14:textId="78759933" w:rsidR="004E69BA" w:rsidRPr="00CF1B34" w:rsidRDefault="00CF22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contable ajustado</w:t>
      </w:r>
    </w:p>
    <w:p w14:paraId="06E2988A" w14:textId="77777777" w:rsidR="00DF4A23" w:rsidRPr="00CF1B34" w:rsidRDefault="00DF4A2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lastRenderedPageBreak/>
        <w:t>Es el resultado de aplicar precios de mercado al valor contable.</w:t>
      </w:r>
    </w:p>
    <w:p w14:paraId="3D871DFA" w14:textId="1162E496" w:rsidR="00CF22FC" w:rsidRPr="00CF1B34" w:rsidRDefault="00CF22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contable o Valor de Libros</w:t>
      </w:r>
    </w:p>
    <w:p w14:paraId="74C0AC71" w14:textId="77777777" w:rsidR="0020626E" w:rsidRPr="00CF1B34" w:rsidRDefault="00DF4A23"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Es el valor neto que  presenta su contabilidad, esto es, el valor de sus recursos propios, o </w:t>
      </w:r>
      <w:r w:rsidR="0020626E" w:rsidRPr="00CF1B34">
        <w:rPr>
          <w:rFonts w:ascii="Arial" w:hAnsi="Arial" w:cs="Arial"/>
          <w:color w:val="000000" w:themeColor="text1"/>
          <w:sz w:val="22"/>
          <w:szCs w:val="22"/>
          <w:lang w:val="es-ES_tradnl"/>
        </w:rPr>
        <w:t>lo que es lo mismo el pasivo total menos el pasivo exigible. Indica el excedente de bienes y derechos sobre el total de deudas.</w:t>
      </w:r>
    </w:p>
    <w:p w14:paraId="180DA298" w14:textId="70AD3B09" w:rsidR="00CF22FC" w:rsidRPr="00CF1B34" w:rsidRDefault="00CF22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de adquisición</w:t>
      </w:r>
    </w:p>
    <w:p w14:paraId="2DF8DCD1" w14:textId="77777777" w:rsidR="0020626E" w:rsidRPr="00CF1B34" w:rsidRDefault="0020626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Importe real por el que se haya realizado la transmisión de un bien.</w:t>
      </w:r>
    </w:p>
    <w:p w14:paraId="12F8A6CC" w14:textId="5E6DDF0D" w:rsidR="00CF22FC" w:rsidRPr="00CF1B34" w:rsidRDefault="00CF22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de Caja</w:t>
      </w:r>
    </w:p>
    <w:p w14:paraId="266C8A8E" w14:textId="1BFEB876" w:rsidR="0020626E" w:rsidRPr="00CF1B34" w:rsidRDefault="0020626E"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Saldo existente entre los activos de una sociedad y el pago de todas sus deudas. Evaluación utilizada en el caculo de subcotización o de sobrecotización</w:t>
      </w:r>
    </w:p>
    <w:p w14:paraId="1E24187A" w14:textId="664EBBD1" w:rsidR="00CF22FC" w:rsidRPr="00CF1B34" w:rsidRDefault="00CF22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Valor de la empresa (Enterprise </w:t>
      </w:r>
      <w:r w:rsidR="0005621A">
        <w:rPr>
          <w:rFonts w:ascii="Arial" w:hAnsi="Arial" w:cs="Arial"/>
          <w:b/>
          <w:bCs/>
          <w:color w:val="004773"/>
          <w:sz w:val="22"/>
          <w:szCs w:val="22"/>
          <w:lang w:val="es-ES_tradnl"/>
        </w:rPr>
        <w:t>V</w:t>
      </w:r>
      <w:r w:rsidRPr="00CF1B34">
        <w:rPr>
          <w:rFonts w:ascii="Arial" w:hAnsi="Arial" w:cs="Arial"/>
          <w:b/>
          <w:bCs/>
          <w:color w:val="004773"/>
          <w:sz w:val="22"/>
          <w:szCs w:val="22"/>
          <w:lang w:val="es-ES_tradnl"/>
        </w:rPr>
        <w:t>alue)</w:t>
      </w:r>
    </w:p>
    <w:p w14:paraId="034DC24A" w14:textId="05C77138" w:rsidR="00660A68" w:rsidRPr="00CF1B34" w:rsidRDefault="008318C7"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Valor de la empresa (VE) = capitalización bu</w:t>
      </w:r>
      <w:r w:rsidR="00A869BB" w:rsidRPr="00CF1B34">
        <w:rPr>
          <w:rFonts w:ascii="Arial" w:hAnsi="Arial" w:cs="Arial"/>
          <w:color w:val="000000" w:themeColor="text1"/>
          <w:sz w:val="22"/>
          <w:szCs w:val="22"/>
          <w:lang w:val="es-ES_tradnl"/>
        </w:rPr>
        <w:t>r</w:t>
      </w:r>
      <w:r w:rsidRPr="00CF1B34">
        <w:rPr>
          <w:rFonts w:ascii="Arial" w:hAnsi="Arial" w:cs="Arial"/>
          <w:color w:val="000000" w:themeColor="text1"/>
          <w:sz w:val="22"/>
          <w:szCs w:val="22"/>
          <w:lang w:val="es-ES_tradnl"/>
        </w:rPr>
        <w:t>sátil + deuda financiera neta. El VE es un concepto financiero que mide el valor de mercado del capital empleado: los fondos propios mas la deuda neta financiera</w:t>
      </w:r>
      <w:r w:rsidR="00660A68" w:rsidRPr="00CF1B34">
        <w:rPr>
          <w:rFonts w:ascii="Arial" w:hAnsi="Arial" w:cs="Arial"/>
          <w:color w:val="000000" w:themeColor="text1"/>
          <w:sz w:val="22"/>
          <w:szCs w:val="22"/>
          <w:lang w:val="es-ES_tradnl"/>
        </w:rPr>
        <w:t>. El VE se relaciona con otras variables, como ventas y cash flow operativo, estrechamente ligados a la rentabilidad del capital empleado.</w:t>
      </w:r>
    </w:p>
    <w:p w14:paraId="7FD1D368" w14:textId="55E1687A" w:rsidR="00CF22FC" w:rsidRPr="00CF1B34" w:rsidRDefault="00CF22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extrínseco</w:t>
      </w:r>
    </w:p>
    <w:p w14:paraId="1EAFF432" w14:textId="77777777" w:rsidR="00662FA1" w:rsidRPr="00CF1B34" w:rsidRDefault="008D0312"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El valor extrínseco o temporal de una opción es la diferencia entre el precio </w:t>
      </w:r>
      <w:r w:rsidR="00662FA1" w:rsidRPr="00CF1B34">
        <w:rPr>
          <w:rFonts w:ascii="Arial" w:hAnsi="Arial" w:cs="Arial"/>
          <w:color w:val="000000" w:themeColor="text1"/>
          <w:sz w:val="22"/>
          <w:szCs w:val="22"/>
          <w:lang w:val="es-ES_tradnl"/>
        </w:rPr>
        <w:t xml:space="preserve">de la opción, es decir, la prima y su valor intrínseco. Es un valor subjetivo y depende fundamentalmente de tres parámetros: tiempo a vencimiento, volatilidad y tipo de interés. </w:t>
      </w:r>
    </w:p>
    <w:p w14:paraId="1538A802" w14:textId="5E169E85" w:rsidR="00CF22FC" w:rsidRPr="00CF1B34" w:rsidRDefault="00CF22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futuro</w:t>
      </w:r>
    </w:p>
    <w:p w14:paraId="0B4F385E" w14:textId="355243B0" w:rsidR="00662FA1" w:rsidRPr="00CF1B34" w:rsidRDefault="00662FA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Mue</w:t>
      </w:r>
      <w:r w:rsidR="00A869BB" w:rsidRPr="00CF1B34">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 xml:space="preserve">tra el valor que una inversión actual va a tener en el futuro. Su expresión general </w:t>
      </w:r>
      <w:proofErr w:type="gramStart"/>
      <w:r w:rsidRPr="00CF1B34">
        <w:rPr>
          <w:rFonts w:ascii="Arial" w:hAnsi="Arial" w:cs="Arial"/>
          <w:color w:val="000000" w:themeColor="text1"/>
          <w:sz w:val="22"/>
          <w:szCs w:val="22"/>
          <w:lang w:val="es-ES_tradnl"/>
        </w:rPr>
        <w:t>es :</w:t>
      </w:r>
      <w:proofErr w:type="gramEnd"/>
      <w:r w:rsidRPr="00CF1B34">
        <w:rPr>
          <w:rFonts w:ascii="Arial" w:hAnsi="Arial" w:cs="Arial"/>
          <w:color w:val="000000" w:themeColor="text1"/>
          <w:sz w:val="22"/>
          <w:szCs w:val="22"/>
          <w:lang w:val="es-ES_tradnl"/>
        </w:rPr>
        <w:t xml:space="preserve"> VF = VA (1+i)+n.</w:t>
      </w:r>
    </w:p>
    <w:p w14:paraId="22B4601F" w14:textId="4755B596" w:rsidR="00CF22FC" w:rsidRPr="00CF1B34" w:rsidRDefault="00CF22FC"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intr</w:t>
      </w:r>
      <w:r w:rsidR="00A869BB" w:rsidRPr="00CF1B34">
        <w:rPr>
          <w:rFonts w:ascii="Arial" w:hAnsi="Arial" w:cs="Arial"/>
          <w:b/>
          <w:bCs/>
          <w:color w:val="004773"/>
          <w:sz w:val="22"/>
          <w:szCs w:val="22"/>
          <w:lang w:val="es-ES_tradnl"/>
        </w:rPr>
        <w:t>í</w:t>
      </w:r>
      <w:r w:rsidRPr="00CF1B34">
        <w:rPr>
          <w:rFonts w:ascii="Arial" w:hAnsi="Arial" w:cs="Arial"/>
          <w:b/>
          <w:bCs/>
          <w:color w:val="004773"/>
          <w:sz w:val="22"/>
          <w:szCs w:val="22"/>
          <w:lang w:val="es-ES_tradnl"/>
        </w:rPr>
        <w:t>nseco</w:t>
      </w:r>
    </w:p>
    <w:p w14:paraId="59F530AF" w14:textId="77777777" w:rsidR="00662FA1" w:rsidRPr="00CF1B34" w:rsidRDefault="00662FA1"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Valor de una acción obtenido dividiendo el activo neto de la sociedad por el numero de sus acciones.</w:t>
      </w:r>
    </w:p>
    <w:p w14:paraId="18A6375C" w14:textId="50C5AA16"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liquidativo</w:t>
      </w:r>
    </w:p>
    <w:p w14:paraId="2E7207D4" w14:textId="62D9EEB8" w:rsidR="004E69BA" w:rsidRPr="00CF1B34" w:rsidRDefault="009A24B4" w:rsidP="0005621A">
      <w:pPr>
        <w:pStyle w:val="NormalWeb"/>
        <w:shd w:val="clear" w:color="auto" w:fill="FFFFFF"/>
        <w:spacing w:before="0" w:beforeAutospacing="0"/>
        <w:ind w:left="708"/>
        <w:jc w:val="both"/>
        <w:rPr>
          <w:rFonts w:ascii="Arial" w:hAnsi="Arial" w:cs="Arial"/>
          <w:color w:val="191B1C"/>
          <w:lang w:val="es-ES_tradnl"/>
        </w:rPr>
      </w:pPr>
      <w:r w:rsidRPr="00CF1B34">
        <w:rPr>
          <w:rFonts w:ascii="Arial" w:hAnsi="Arial" w:cs="Arial"/>
          <w:color w:val="212529"/>
          <w:sz w:val="22"/>
          <w:szCs w:val="22"/>
          <w:lang w:val="es-ES_tradnl"/>
        </w:rPr>
        <w:t>Es el precio unitario de la participación en un fondo de inversión. Se calcula dividiendo el patrimonio del fondo entre el número de participaciones en circulación en ese momento. A su vez, el patrimonio se calcula en función de los precios de mercado de los activos y valores mobiliarios que en esa fecha integran la cartera del fondo (y que en su mayoría se negocian en mercados secundarios organizados), restando gastos y comisiones. La sociedad gestora calcula y publica diariamente el valor liquidativo del fondo (aunque en determinados tipos de fondos puede calcularse con menor frecuencia). El funcionamiento y las características de la inversión colectiva se detallan en el apartado</w:t>
      </w:r>
      <w:r w:rsidR="00A869BB" w:rsidRPr="00CF1B34">
        <w:rPr>
          <w:rFonts w:ascii="Arial" w:hAnsi="Arial" w:cs="Arial"/>
          <w:color w:val="212529"/>
          <w:sz w:val="22"/>
          <w:szCs w:val="22"/>
          <w:lang w:val="es-ES_tradnl"/>
        </w:rPr>
        <w:t xml:space="preserve"> </w:t>
      </w:r>
      <w:hyperlink r:id="rId358" w:tgtFrame="_self" w:history="1">
        <w:r w:rsidRPr="00CF1B34">
          <w:rPr>
            <w:rFonts w:ascii="Arial" w:hAnsi="Arial" w:cs="Arial"/>
            <w:b/>
            <w:bCs/>
            <w:color w:val="2F5496" w:themeColor="accent1" w:themeShade="BF"/>
            <w:sz w:val="22"/>
            <w:szCs w:val="22"/>
            <w:u w:val="single"/>
            <w:lang w:val="es-ES_tradnl"/>
          </w:rPr>
          <w:t>Fondos de inversión</w:t>
        </w:r>
      </w:hyperlink>
      <w:r w:rsidR="00A869BB" w:rsidRPr="00CF1B34">
        <w:rPr>
          <w:rFonts w:ascii="Arial" w:hAnsi="Arial" w:cs="Arial"/>
          <w:color w:val="2F5496" w:themeColor="accent1" w:themeShade="BF"/>
          <w:sz w:val="22"/>
          <w:szCs w:val="22"/>
          <w:lang w:val="es-ES_tradnl"/>
        </w:rPr>
        <w:t xml:space="preserve"> </w:t>
      </w:r>
      <w:r w:rsidRPr="00CF1B34">
        <w:rPr>
          <w:rFonts w:ascii="Arial" w:hAnsi="Arial" w:cs="Arial"/>
          <w:color w:val="212529"/>
          <w:sz w:val="22"/>
          <w:szCs w:val="22"/>
          <w:lang w:val="es-ES_tradnl"/>
        </w:rPr>
        <w:t>de la Sección del inversor.</w:t>
      </w:r>
      <w:r w:rsidR="004E69BA" w:rsidRPr="00CF1B34">
        <w:rPr>
          <w:rFonts w:ascii="Arial" w:hAnsi="Arial" w:cs="Arial"/>
          <w:color w:val="191B1C"/>
          <w:lang w:val="es-ES_tradnl"/>
        </w:rPr>
        <w:t xml:space="preserve"> </w:t>
      </w:r>
    </w:p>
    <w:p w14:paraId="780ACFC6" w14:textId="09737C3E"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 xml:space="preserve">Para calcular el valor liquidativo de un fondo de inversión, se divide el patrimonio del fondo entre el número de participantes en él. La persona que va a invertir en el fondo de </w:t>
      </w:r>
      <w:r w:rsidRPr="00CF1B34">
        <w:rPr>
          <w:rFonts w:ascii="Arial" w:hAnsi="Arial" w:cs="Arial"/>
          <w:color w:val="191B1C"/>
          <w:sz w:val="22"/>
          <w:szCs w:val="22"/>
          <w:lang w:val="es-ES_tradnl"/>
        </w:rPr>
        <w:lastRenderedPageBreak/>
        <w:t>inversión no necesita hacer ese cálculo, ya que es la gestora del fondo la que calcula diariamente el valor liquidativo de todos sus fondos.</w:t>
      </w:r>
    </w:p>
    <w:p w14:paraId="51D1D803" w14:textId="77777777" w:rsidR="004E69BA" w:rsidRPr="00CF1B34" w:rsidRDefault="004E69BA" w:rsidP="0005621A">
      <w:pPr>
        <w:pStyle w:val="NormalWeb"/>
        <w:shd w:val="clear" w:color="auto" w:fill="FFFFFF"/>
        <w:spacing w:before="0" w:beforeAutospacing="0"/>
        <w:ind w:firstLine="708"/>
        <w:jc w:val="both"/>
        <w:rPr>
          <w:rFonts w:ascii="Arial" w:hAnsi="Arial" w:cs="Arial"/>
          <w:color w:val="191B1C"/>
          <w:sz w:val="22"/>
          <w:szCs w:val="22"/>
          <w:lang w:val="es-ES_tradnl"/>
        </w:rPr>
      </w:pPr>
      <w:r w:rsidRPr="00CF1B34">
        <w:rPr>
          <w:rFonts w:ascii="Arial" w:hAnsi="Arial" w:cs="Arial"/>
          <w:color w:val="191B1C"/>
          <w:sz w:val="22"/>
          <w:szCs w:val="22"/>
          <w:lang w:val="es-ES_tradnl"/>
        </w:rPr>
        <w:t>El cálculo sería de la siguiente manera:</w:t>
      </w:r>
    </w:p>
    <w:p w14:paraId="7A58D94E"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Valor liquidativo = valor del patrimonio neto del fondo / número de participaciones en circulación</w:t>
      </w:r>
    </w:p>
    <w:p w14:paraId="3D958CF5"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El patrimonio del fondo es variable en función de las suscripciones o los reembolsos de participaciones de aquellos que lo componen. Esto no afecta al valor liquidativo del fondo, ya que éste se mantiene con las aportaciones y retiradas de dinero. Lo que sí afecta al valor liquidativo es la evolución de los precios y lo rentables o no que sean los activos del fondo en el que se invierte. Como el valor del patrimonio del fondo es variable, también lo es su precio. Por esto, el valor liquidativo es el precio de una participación un día determinado y se calcula diariamente.</w:t>
      </w:r>
    </w:p>
    <w:p w14:paraId="2D4D6427" w14:textId="77777777" w:rsidR="004E69BA" w:rsidRPr="00CF1B34" w:rsidRDefault="004E69BA" w:rsidP="0005621A">
      <w:pPr>
        <w:pStyle w:val="NormalWeb"/>
        <w:shd w:val="clear" w:color="auto" w:fill="FFFFFF"/>
        <w:spacing w:before="0" w:beforeAutospacing="0"/>
        <w:ind w:left="708"/>
        <w:jc w:val="both"/>
        <w:rPr>
          <w:rFonts w:ascii="Arial" w:hAnsi="Arial" w:cs="Arial"/>
          <w:color w:val="191B1C"/>
          <w:sz w:val="22"/>
          <w:szCs w:val="22"/>
          <w:lang w:val="es-ES_tradnl"/>
        </w:rPr>
      </w:pPr>
      <w:r w:rsidRPr="00CF1B34">
        <w:rPr>
          <w:rFonts w:ascii="Arial" w:hAnsi="Arial" w:cs="Arial"/>
          <w:color w:val="191B1C"/>
          <w:sz w:val="22"/>
          <w:szCs w:val="22"/>
          <w:lang w:val="es-ES_tradnl"/>
        </w:rPr>
        <w:t>Siempre es interesante conocer este valor, ya que es el precio al que el inversor paga aquellas participaciones del fondo de inversión que le interese adquirir. Además, sirve como referencia para conocer la rentabilidad del fondo en cuestión y, por tanto, hacerse una idea del beneficio que se podrá obtener en caso de que el inversor decida vender sus participaciones en el fondo de inversión.</w:t>
      </w:r>
    </w:p>
    <w:p w14:paraId="2862A555"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191B1C"/>
          <w:sz w:val="22"/>
          <w:szCs w:val="22"/>
          <w:lang w:val="es-ES_tradnl"/>
        </w:rPr>
        <w:t>De esta manera, si el inversor decide vender sus participaciones cuando estas tienen un precio mayor al que tenían cuando las compró, ganará dinero con la inversión. En el caso contrario, si en el momento de la venta tienen un precio menor, el inversor no recuperará todo el dinero que invirtió inicialmente. Un fondo de inversión funciona como cualquier otro proceso de compra venta.</w:t>
      </w:r>
    </w:p>
    <w:p w14:paraId="556ED849" w14:textId="6F27C326" w:rsidR="0016770D" w:rsidRPr="00CF1B34" w:rsidRDefault="0016770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m</w:t>
      </w:r>
      <w:r w:rsidR="0018549F" w:rsidRPr="00CF1B34">
        <w:rPr>
          <w:rFonts w:ascii="Arial" w:hAnsi="Arial" w:cs="Arial"/>
          <w:b/>
          <w:bCs/>
          <w:color w:val="004773"/>
          <w:sz w:val="22"/>
          <w:szCs w:val="22"/>
          <w:lang w:val="es-ES_tradnl"/>
        </w:rPr>
        <w:t>ó</w:t>
      </w:r>
      <w:r w:rsidRPr="00CF1B34">
        <w:rPr>
          <w:rFonts w:ascii="Arial" w:hAnsi="Arial" w:cs="Arial"/>
          <w:b/>
          <w:bCs/>
          <w:color w:val="004773"/>
          <w:sz w:val="22"/>
          <w:szCs w:val="22"/>
          <w:lang w:val="es-ES_tradnl"/>
        </w:rPr>
        <w:t>vil</w:t>
      </w:r>
    </w:p>
    <w:p w14:paraId="39EABE46" w14:textId="77777777" w:rsidR="0018549F" w:rsidRPr="00CF1B34" w:rsidRDefault="0018549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Titulo negociable que representa, bien un derecho de asociado, acción, bien un préstamo a largo plazo.</w:t>
      </w:r>
    </w:p>
    <w:p w14:paraId="7E636C6D" w14:textId="7782ACEB"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negociable</w:t>
      </w:r>
    </w:p>
    <w:p w14:paraId="47439A57"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Instrumento financiero que otorga a su poseedor la titularidad de determinados derechos, y que se caracteriza por ser transmisible en los mercados. Generalmente se agrupan en emisiones. Por ejemplo, son valores negociables las acciones y las obligaciones.</w:t>
      </w:r>
    </w:p>
    <w:p w14:paraId="0784E87B" w14:textId="28C8EF09"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 nominal</w:t>
      </w:r>
      <w:r w:rsidR="0005621A">
        <w:rPr>
          <w:rFonts w:ascii="Arial" w:hAnsi="Arial" w:cs="Arial"/>
          <w:b/>
          <w:bCs/>
          <w:color w:val="004773"/>
          <w:sz w:val="22"/>
          <w:szCs w:val="22"/>
          <w:lang w:val="es-ES_tradnl"/>
        </w:rPr>
        <w:t xml:space="preserve">  </w:t>
      </w:r>
    </w:p>
    <w:p w14:paraId="10D7673E" w14:textId="23F3C714" w:rsidR="009A24B4" w:rsidRPr="0005621A" w:rsidRDefault="009A24B4" w:rsidP="0005621A">
      <w:pPr>
        <w:pBdr>
          <w:bottom w:val="dotted" w:sz="12" w:space="12" w:color="666666"/>
        </w:pBdr>
        <w:spacing w:after="240"/>
        <w:ind w:left="720"/>
        <w:jc w:val="both"/>
        <w:rPr>
          <w:rFonts w:ascii="Arial" w:hAnsi="Arial" w:cs="Arial"/>
          <w:b/>
          <w:bCs/>
          <w:color w:val="2F5496" w:themeColor="accent1" w:themeShade="BF"/>
          <w:sz w:val="22"/>
          <w:szCs w:val="22"/>
          <w:lang w:val="es-ES_tradnl"/>
        </w:rPr>
      </w:pPr>
      <w:r w:rsidRPr="00CF1B34">
        <w:rPr>
          <w:rFonts w:ascii="Arial" w:hAnsi="Arial" w:cs="Arial"/>
          <w:color w:val="212529"/>
          <w:sz w:val="22"/>
          <w:szCs w:val="22"/>
          <w:lang w:val="es-ES_tradnl"/>
        </w:rPr>
        <w:t>Cuando se trata de bonos, es su valor teórico, el cual coincide con el valor al que se amortizará (es decir, la cantidad que recibirá el inversor al vencimiento, salvo que en la emisión se hayan establecido condiciones especiales de reembolso). Los bonos se negocian en porcentaje del valor nominal, por lo que el comprador sólo pagará esa proporción más los intereses acumulados del cupón (cupón corrido), en su caso. En el caso de las acciones, el valor nominal es el resultado de dividir el capital social de la empresa entre el número de acciones.</w:t>
      </w:r>
      <w:r w:rsidR="0005621A">
        <w:rPr>
          <w:rFonts w:ascii="Arial" w:hAnsi="Arial" w:cs="Arial"/>
          <w:color w:val="212529"/>
          <w:sz w:val="22"/>
          <w:szCs w:val="22"/>
          <w:lang w:val="es-ES_tradnl"/>
        </w:rPr>
        <w:t xml:space="preserve"> </w:t>
      </w:r>
      <w:r w:rsidR="0005621A" w:rsidRPr="0005621A">
        <w:rPr>
          <w:rFonts w:ascii="Arial" w:hAnsi="Arial" w:cs="Arial"/>
          <w:b/>
          <w:bCs/>
          <w:color w:val="2F5496" w:themeColor="accent1" w:themeShade="BF"/>
          <w:sz w:val="22"/>
          <w:szCs w:val="22"/>
          <w:lang w:val="es-ES_tradnl"/>
        </w:rPr>
        <w:t>Ver nominal</w:t>
      </w:r>
      <w:r w:rsidR="001A3FF6">
        <w:rPr>
          <w:rFonts w:ascii="Arial" w:hAnsi="Arial" w:cs="Arial"/>
          <w:b/>
          <w:bCs/>
          <w:color w:val="2F5496" w:themeColor="accent1" w:themeShade="BF"/>
          <w:sz w:val="22"/>
          <w:szCs w:val="22"/>
          <w:lang w:val="es-ES_tradnl"/>
        </w:rPr>
        <w:t>.</w:t>
      </w:r>
    </w:p>
    <w:p w14:paraId="482C278A" w14:textId="1E8265C3" w:rsidR="004E69BA" w:rsidRPr="00CF1B34" w:rsidRDefault="0016770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Valores cíclicos</w:t>
      </w:r>
    </w:p>
    <w:p w14:paraId="10AC9757" w14:textId="46E395B9" w:rsidR="00A869BB" w:rsidRPr="00CF1B34" w:rsidRDefault="0018549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 xml:space="preserve">Son aquellas empresas cuya marcha depende del ciclo de la economía. Ganan mucho y van muy bien cuando el ciclo es bueno y entran fácilmente en perdidas en épocas de </w:t>
      </w:r>
      <w:r w:rsidRPr="00CF1B34">
        <w:rPr>
          <w:rFonts w:ascii="Arial" w:hAnsi="Arial" w:cs="Arial"/>
          <w:color w:val="000000" w:themeColor="text1"/>
          <w:sz w:val="22"/>
          <w:szCs w:val="22"/>
          <w:lang w:val="es-ES_tradnl"/>
        </w:rPr>
        <w:lastRenderedPageBreak/>
        <w:t>recesión económica. Otras sociedades como las que dependen de una tarifa en sus ingresos son menos sensibles a los ciclos económic</w:t>
      </w:r>
      <w:r w:rsidR="00A869BB" w:rsidRPr="00CF1B34">
        <w:rPr>
          <w:rFonts w:ascii="Arial" w:hAnsi="Arial" w:cs="Arial"/>
          <w:color w:val="000000" w:themeColor="text1"/>
          <w:sz w:val="22"/>
          <w:szCs w:val="22"/>
          <w:lang w:val="es-ES_tradnl"/>
        </w:rPr>
        <w:t>.</w:t>
      </w:r>
    </w:p>
    <w:p w14:paraId="5FE568D6" w14:textId="67D04C25" w:rsidR="0016770D" w:rsidRPr="00CF1B34" w:rsidRDefault="0016770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Valores de renta fija</w:t>
      </w:r>
    </w:p>
    <w:p w14:paraId="484FEF51" w14:textId="157EA796" w:rsidR="00924A79" w:rsidRPr="00CF1B34" w:rsidRDefault="0018549F"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Representan una parte alícuota de un crédito contra la</w:t>
      </w:r>
      <w:r w:rsidR="00924A79" w:rsidRPr="00CF1B34">
        <w:rPr>
          <w:rFonts w:ascii="Arial" w:hAnsi="Arial" w:cs="Arial"/>
          <w:color w:val="000000" w:themeColor="text1"/>
          <w:sz w:val="22"/>
          <w:szCs w:val="22"/>
          <w:lang w:val="es-ES_tradnl"/>
        </w:rPr>
        <w:t xml:space="preserve"> entidad emisora y dan lugar al pago de unos intereses  cuya cuant</w:t>
      </w:r>
      <w:r w:rsidR="00A869BB" w:rsidRPr="00CF1B34">
        <w:rPr>
          <w:rFonts w:ascii="Arial" w:hAnsi="Arial" w:cs="Arial"/>
          <w:color w:val="000000" w:themeColor="text1"/>
          <w:sz w:val="22"/>
          <w:szCs w:val="22"/>
          <w:lang w:val="es-ES_tradnl"/>
        </w:rPr>
        <w:t>í</w:t>
      </w:r>
      <w:r w:rsidR="00924A79" w:rsidRPr="00CF1B34">
        <w:rPr>
          <w:rFonts w:ascii="Arial" w:hAnsi="Arial" w:cs="Arial"/>
          <w:color w:val="000000" w:themeColor="text1"/>
          <w:sz w:val="22"/>
          <w:szCs w:val="22"/>
          <w:lang w:val="es-ES_tradnl"/>
        </w:rPr>
        <w:t>a se determina el momento de la emisión. Se incluyen también aquellos valores que representan prestamos cuyo interés puede variar según una formula de indicación u otras modalidades previstas en el instante de su lanzamiento al mercado.</w:t>
      </w:r>
    </w:p>
    <w:p w14:paraId="78953C37" w14:textId="345872C5" w:rsidR="0016770D" w:rsidRPr="00CF1B34" w:rsidRDefault="0016770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Valores estrechos</w:t>
      </w:r>
    </w:p>
    <w:p w14:paraId="05417291" w14:textId="2973663F" w:rsidR="006038AC" w:rsidRPr="00CF1B34" w:rsidRDefault="006038A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Son las empresas con un reducido capital y un escaso numero de acciones donde existen problemas para comprar y vender con facilidad. Evidentemente estos valores son poco l</w:t>
      </w:r>
      <w:r w:rsidR="00A869BB" w:rsidRPr="00CF1B34">
        <w:rPr>
          <w:rFonts w:ascii="Arial" w:hAnsi="Arial" w:cs="Arial"/>
          <w:color w:val="000000" w:themeColor="text1"/>
          <w:sz w:val="22"/>
          <w:szCs w:val="22"/>
          <w:lang w:val="es-ES_tradnl"/>
        </w:rPr>
        <w:t>í</w:t>
      </w:r>
      <w:r w:rsidRPr="00CF1B34">
        <w:rPr>
          <w:rFonts w:ascii="Arial" w:hAnsi="Arial" w:cs="Arial"/>
          <w:color w:val="000000" w:themeColor="text1"/>
          <w:sz w:val="22"/>
          <w:szCs w:val="22"/>
          <w:lang w:val="es-ES_tradnl"/>
        </w:rPr>
        <w:t>quidos.</w:t>
      </w:r>
    </w:p>
    <w:p w14:paraId="0C1A9E97" w14:textId="77777777"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VAR (Value at Risk)</w:t>
      </w:r>
    </w:p>
    <w:p w14:paraId="492F2524" w14:textId="349B182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i/>
          <w:iCs/>
          <w:sz w:val="22"/>
          <w:szCs w:val="22"/>
          <w:lang w:val="es-ES_tradnl"/>
        </w:rPr>
        <w:t>Value at Risk</w:t>
      </w:r>
      <w:r w:rsidRPr="00CF1B34">
        <w:rPr>
          <w:rFonts w:ascii="Arial" w:hAnsi="Arial" w:cs="Arial"/>
          <w:sz w:val="22"/>
          <w:szCs w:val="22"/>
          <w:lang w:val="es-ES_tradnl"/>
        </w:rPr>
        <w:t> (es español “valor en riesgo”), también denominar VAR es una técnica estadística para cuantificar la exposición al riesgo de mercado. El VAR expresa la máxima pérdida posible esperada para un fondo o cartera de fondos con un porcentaje de probabilidad del 95% en un periodo de tiempo determinado. Sirve para, en función de los resultados históricos, poder anticiparse y manejar una cartera en base a ese control de riesgo. Existen Fondos y Carteras de Gestión cuya política de inversión tiene en cuenta unos niveles máximos de VAR.</w:t>
      </w:r>
    </w:p>
    <w:p w14:paraId="30B0C520"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Esta técnica tiene en cuenta tres variables, lo que hace que, aunque parezca complicada sea, en el fondo, fácil de entender. Esas tres variables son: el tiempo, la probabilidad de pérdida y la cantidad de esa pérdida. De este modo, a través de esta técnica una empresa puede estimar que un mes tiene un 5% de perder 2 millones de euros. O lo que es lo mismo, que hay un 5% de probabilidad de que la empresa pierda algún mes 2 millones de euros y un 95% de probabilidad de que esa pérdida sea menor. Es por esto por lo que la empresa deberá tenerlo en cuenta y anticiparse a que cada cierto mes va a perder 2 millones de euros.</w:t>
      </w:r>
    </w:p>
    <w:p w14:paraId="08871773"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El VAR, o valor en riesgo, permite calcular la pérdida máxima tanto de un activo financiero como de un grupo de ellos, por lo que es muy utilizado para medir y controlar el riesgo que puede soportar una empresa y así no correr más riesgos de los que la empresa es capaz de afrontar. Es así como las empresas, al hacer una inversión pueden comparar su VAR con la estimación de beneficios y decidir invertir allá donde haya mayores rendimientos diversificando el riesgo.</w:t>
      </w:r>
    </w:p>
    <w:p w14:paraId="419B3A72" w14:textId="77777777" w:rsidR="004E69BA" w:rsidRPr="00CF1B34" w:rsidRDefault="004E69BA" w:rsidP="0005621A">
      <w:pPr>
        <w:spacing w:after="100" w:afterAutospacing="1"/>
        <w:ind w:firstLine="708"/>
        <w:jc w:val="both"/>
        <w:rPr>
          <w:rFonts w:ascii="Arial" w:hAnsi="Arial" w:cs="Arial"/>
          <w:sz w:val="22"/>
          <w:szCs w:val="22"/>
          <w:lang w:val="es-ES_tradnl"/>
        </w:rPr>
      </w:pPr>
      <w:r w:rsidRPr="00CF1B34">
        <w:rPr>
          <w:rFonts w:ascii="Arial" w:hAnsi="Arial" w:cs="Arial"/>
          <w:sz w:val="22"/>
          <w:szCs w:val="22"/>
          <w:lang w:val="es-ES_tradnl"/>
        </w:rPr>
        <w:t>Veamos un ejemplo</w:t>
      </w:r>
    </w:p>
    <w:p w14:paraId="7B1DEC92"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Lo podemos ver más fácil con un ejemplo: Si el VAR de una determinada cartera es 5.000 euros nos está indicando que no perderemos más de 5.000 euros en un día con un 95% de seguridad. El VAR 1 día/ 95% de una acción de una determinada compañía es de 0,5 euros. Esto significa que en un 95% no perderíamos más de 0,5 euros con cada acción de esa compañía en las próximas 24 horas.</w:t>
      </w:r>
    </w:p>
    <w:p w14:paraId="46098FFB" w14:textId="69C80E2D"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¿Para qué sirve el VAR? Utilidades</w:t>
      </w:r>
    </w:p>
    <w:p w14:paraId="77E55C3C" w14:textId="4A679F5B"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lastRenderedPageBreak/>
        <w:t>El valor en riesgo o VAR nos sirve principalmente para orientarnos a la hora de tomar decisiones sobre nuestras inversiones conociendo el ratito de riesgo y rentabilidad. Cuanto más elevado sea est</w:t>
      </w:r>
      <w:r w:rsidR="005F476C">
        <w:rPr>
          <w:rFonts w:ascii="Arial" w:hAnsi="Arial" w:cs="Arial"/>
          <w:sz w:val="22"/>
          <w:szCs w:val="22"/>
          <w:lang w:val="es-ES_tradnl"/>
        </w:rPr>
        <w:t>a</w:t>
      </w:r>
      <w:r w:rsidRPr="00CF1B34">
        <w:rPr>
          <w:rFonts w:ascii="Arial" w:hAnsi="Arial" w:cs="Arial"/>
          <w:sz w:val="22"/>
          <w:szCs w:val="22"/>
          <w:lang w:val="es-ES_tradnl"/>
        </w:rPr>
        <w:t xml:space="preserve"> ratio, mayor riesgo tendrá la inversión o la cartera.</w:t>
      </w:r>
    </w:p>
    <w:p w14:paraId="7041D7B4"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También nos sirve para orientarnos a la hora de diversificar. En función del porcentaje obtenido al calcular el VAR se puede modificar la composición de una cartera para que se ajuste al perfil de riesgo deseado.</w:t>
      </w:r>
    </w:p>
    <w:p w14:paraId="6EA1E1F1" w14:textId="67090EB5" w:rsidR="005503B8" w:rsidRDefault="005503B8" w:rsidP="0005621A">
      <w:pPr>
        <w:jc w:val="both"/>
        <w:rPr>
          <w:rFonts w:ascii="Arial" w:hAnsi="Arial" w:cs="Arial"/>
          <w:b/>
          <w:bCs/>
          <w:color w:val="004773"/>
          <w:sz w:val="22"/>
          <w:szCs w:val="22"/>
          <w:lang w:val="es-ES_tradnl"/>
        </w:rPr>
      </w:pPr>
      <w:r>
        <w:rPr>
          <w:rFonts w:ascii="Arial" w:hAnsi="Arial" w:cs="Arial"/>
          <w:b/>
          <w:bCs/>
          <w:color w:val="004773"/>
          <w:sz w:val="22"/>
          <w:szCs w:val="22"/>
          <w:lang w:val="es-ES_tradnl"/>
        </w:rPr>
        <w:t>Variable annuities</w:t>
      </w:r>
    </w:p>
    <w:p w14:paraId="13857674" w14:textId="6E7C46C2" w:rsidR="005503B8" w:rsidRPr="00B831AF" w:rsidRDefault="005503B8" w:rsidP="005F476C">
      <w:pPr>
        <w:ind w:left="708"/>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Una renta vitalicia variable es un tipo de contrato</w:t>
      </w:r>
      <w:r w:rsidR="005F476C">
        <w:rPr>
          <w:rFonts w:ascii="Arial" w:hAnsi="Arial" w:cs="Arial"/>
          <w:color w:val="000000" w:themeColor="text1"/>
          <w:sz w:val="22"/>
          <w:szCs w:val="22"/>
          <w:lang w:val="es-ES_tradnl"/>
        </w:rPr>
        <w:t xml:space="preserve"> (producto de pensiones)</w:t>
      </w:r>
      <w:r w:rsidRPr="00B831AF">
        <w:rPr>
          <w:rFonts w:ascii="Arial" w:hAnsi="Arial" w:cs="Arial"/>
          <w:color w:val="000000" w:themeColor="text1"/>
          <w:sz w:val="22"/>
          <w:szCs w:val="22"/>
          <w:lang w:val="es-ES_tradnl"/>
        </w:rPr>
        <w:t xml:space="preserve"> de renta vitalicia que combina el potencial de crecimiento de las inversiones con los ingresos garantizados de una renta vitalicia. Le permite invertir su dinero en diversos activos, como fondos de inversión o fondos indexados, y recibir un rendimiento de su inversión con impuestos diferidos. El valor de su renta vitalicia puede fluctuar en función del rendimiento de las inversiones subyacentes.</w:t>
      </w:r>
    </w:p>
    <w:p w14:paraId="021E036E" w14:textId="77777777" w:rsidR="005503B8" w:rsidRPr="00B831AF" w:rsidRDefault="005503B8" w:rsidP="005503B8">
      <w:pPr>
        <w:jc w:val="both"/>
        <w:rPr>
          <w:rFonts w:ascii="Arial" w:hAnsi="Arial" w:cs="Arial"/>
          <w:color w:val="000000" w:themeColor="text1"/>
          <w:sz w:val="22"/>
          <w:szCs w:val="22"/>
          <w:lang w:val="es-ES_tradnl"/>
        </w:rPr>
      </w:pPr>
    </w:p>
    <w:p w14:paraId="54764AC8" w14:textId="77777777" w:rsidR="005503B8" w:rsidRPr="00B831AF" w:rsidRDefault="005503B8" w:rsidP="005F476C">
      <w:pPr>
        <w:ind w:firstLine="708"/>
        <w:jc w:val="both"/>
        <w:rPr>
          <w:rFonts w:ascii="Arial" w:hAnsi="Arial" w:cs="Arial"/>
          <w:b/>
          <w:bCs/>
          <w:color w:val="000000" w:themeColor="text1"/>
          <w:sz w:val="22"/>
          <w:szCs w:val="22"/>
          <w:lang w:val="es-ES_tradnl"/>
        </w:rPr>
      </w:pPr>
      <w:r w:rsidRPr="00B831AF">
        <w:rPr>
          <w:rFonts w:ascii="Arial" w:hAnsi="Arial" w:cs="Arial"/>
          <w:b/>
          <w:bCs/>
          <w:color w:val="000000" w:themeColor="text1"/>
          <w:sz w:val="22"/>
          <w:szCs w:val="22"/>
          <w:lang w:val="es-ES_tradnl"/>
        </w:rPr>
        <w:t>Características principales:</w:t>
      </w:r>
    </w:p>
    <w:p w14:paraId="591FC0DC" w14:textId="77777777" w:rsidR="005503B8" w:rsidRPr="00B831AF" w:rsidRDefault="005503B8" w:rsidP="005503B8">
      <w:pPr>
        <w:jc w:val="both"/>
        <w:rPr>
          <w:rFonts w:ascii="Arial" w:hAnsi="Arial" w:cs="Arial"/>
          <w:color w:val="000000" w:themeColor="text1"/>
          <w:sz w:val="22"/>
          <w:szCs w:val="22"/>
          <w:lang w:val="es-ES_tradnl"/>
        </w:rPr>
      </w:pPr>
    </w:p>
    <w:p w14:paraId="32369F79" w14:textId="7D3B0AC3" w:rsidR="005503B8" w:rsidRPr="00B831AF" w:rsidRDefault="005503B8"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Opciones de inversión: Las rentas vitalicias variables ofrecen una gama de opciones de inversión, normalmente fondos de inversión o fondos indexados, que puede seleccionar el titular de la renta vitalicia.</w:t>
      </w:r>
    </w:p>
    <w:p w14:paraId="7490BFD8" w14:textId="48E3DB60" w:rsidR="005503B8" w:rsidRPr="00B831AF" w:rsidRDefault="005503B8"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Crecimiento con impuestos diferidos: Las ganancias de sus inversiones crecen con impuestos diferidos, lo que significa que no deberá impuestos hasta que retire su dinero.</w:t>
      </w:r>
    </w:p>
    <w:p w14:paraId="701CA7F8" w14:textId="034DDB5D" w:rsidR="005503B8" w:rsidRPr="00B831AF" w:rsidRDefault="005503B8"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Ingresos garantizados: Las rentas vitalicias variables pueden proporcionar un flujo de ingresos garantizados durante un periodo determinado o de por vida, en función de las condiciones del contrato.</w:t>
      </w:r>
    </w:p>
    <w:p w14:paraId="1664C185" w14:textId="3020530A" w:rsidR="005503B8" w:rsidRPr="00B831AF" w:rsidRDefault="005503B8"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Riesgo: El valor de su renta vitalicia puede disminuir si las inversiones subyacentes obtienen malos resultados.</w:t>
      </w:r>
    </w:p>
    <w:p w14:paraId="3260B880" w14:textId="7B177E84" w:rsidR="005503B8" w:rsidRPr="00B831AF" w:rsidRDefault="005503B8"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Comisiones: Las rentas vitalicias variables suelen conllevar comisiones, como gastos de mortalidad y de administración, comisiones de los fondos de inversión y comisiones de rescate.</w:t>
      </w:r>
    </w:p>
    <w:p w14:paraId="4392CE48" w14:textId="77777777" w:rsidR="005503B8" w:rsidRPr="00B831AF" w:rsidRDefault="005503B8" w:rsidP="005F476C">
      <w:pPr>
        <w:ind w:firstLine="708"/>
        <w:jc w:val="both"/>
        <w:rPr>
          <w:rFonts w:ascii="Arial" w:hAnsi="Arial" w:cs="Arial"/>
          <w:b/>
          <w:bCs/>
          <w:color w:val="000000" w:themeColor="text1"/>
          <w:sz w:val="22"/>
          <w:szCs w:val="22"/>
          <w:lang w:val="es-ES_tradnl"/>
        </w:rPr>
      </w:pPr>
      <w:r w:rsidRPr="00B831AF">
        <w:rPr>
          <w:rFonts w:ascii="Arial" w:hAnsi="Arial" w:cs="Arial"/>
          <w:b/>
          <w:bCs/>
          <w:color w:val="000000" w:themeColor="text1"/>
          <w:sz w:val="22"/>
          <w:szCs w:val="22"/>
          <w:lang w:val="es-ES_tradnl"/>
        </w:rPr>
        <w:t>Tipos de rentas vitalicias variables:</w:t>
      </w:r>
    </w:p>
    <w:p w14:paraId="72007A71" w14:textId="77777777" w:rsidR="005503B8" w:rsidRPr="00B831AF" w:rsidRDefault="005503B8" w:rsidP="005503B8">
      <w:pPr>
        <w:jc w:val="both"/>
        <w:rPr>
          <w:rFonts w:ascii="Arial" w:hAnsi="Arial" w:cs="Arial"/>
          <w:color w:val="000000" w:themeColor="text1"/>
          <w:sz w:val="22"/>
          <w:szCs w:val="22"/>
          <w:lang w:val="es-ES_tradnl"/>
        </w:rPr>
      </w:pPr>
    </w:p>
    <w:p w14:paraId="17663C89" w14:textId="5B6F557B" w:rsidR="005503B8" w:rsidRPr="00B831AF" w:rsidRDefault="005503B8"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Anualidades variables diferidas: Le permiten retrasar la percepción de los pagos de ingresos hasta una fecha futura, lo que da más tiempo a sus inversiones para crecer.</w:t>
      </w:r>
    </w:p>
    <w:p w14:paraId="482D146F" w14:textId="174A5B36" w:rsidR="005503B8" w:rsidRPr="00B831AF" w:rsidRDefault="005503B8"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Anualidades Variables Inmediatas: Proporcionan pagos de ingresos inmediatos, normalmente utilizados por jubilados que buscan un flujo de ingresos garantizado.</w:t>
      </w:r>
    </w:p>
    <w:p w14:paraId="0475B6CD" w14:textId="77777777" w:rsidR="005503B8" w:rsidRPr="00B831AF" w:rsidRDefault="005503B8" w:rsidP="005F476C">
      <w:pPr>
        <w:ind w:firstLine="708"/>
        <w:jc w:val="both"/>
        <w:rPr>
          <w:rFonts w:ascii="Arial" w:hAnsi="Arial" w:cs="Arial"/>
          <w:b/>
          <w:bCs/>
          <w:color w:val="000000" w:themeColor="text1"/>
          <w:sz w:val="22"/>
          <w:szCs w:val="22"/>
          <w:lang w:val="es-ES_tradnl"/>
        </w:rPr>
      </w:pPr>
      <w:r w:rsidRPr="00B831AF">
        <w:rPr>
          <w:rFonts w:ascii="Arial" w:hAnsi="Arial" w:cs="Arial"/>
          <w:b/>
          <w:bCs/>
          <w:color w:val="000000" w:themeColor="text1"/>
          <w:sz w:val="22"/>
          <w:szCs w:val="22"/>
          <w:lang w:val="es-ES_tradnl"/>
        </w:rPr>
        <w:t>Ventajas:</w:t>
      </w:r>
    </w:p>
    <w:p w14:paraId="0EE13560" w14:textId="77777777" w:rsidR="00B831AF" w:rsidRDefault="00B831AF" w:rsidP="00C001FD">
      <w:pPr>
        <w:jc w:val="both"/>
        <w:rPr>
          <w:rFonts w:ascii="Arial" w:hAnsi="Arial" w:cs="Arial"/>
          <w:color w:val="000000" w:themeColor="text1"/>
          <w:sz w:val="22"/>
          <w:szCs w:val="22"/>
          <w:lang w:val="es-ES_tradnl"/>
        </w:rPr>
      </w:pPr>
    </w:p>
    <w:p w14:paraId="15AAAB17" w14:textId="3A994259" w:rsidR="00C001FD" w:rsidRPr="00B831AF" w:rsidRDefault="00C001FD"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Posibilidad de mayores rendimientos: Las rentas vitalicias variables pueden ofrecer mayores rendimientos que las fijas, ya que están vinculadas al rendimiento de las inversiones subyacentes.</w:t>
      </w:r>
    </w:p>
    <w:p w14:paraId="4F723C4A" w14:textId="06D0A04C" w:rsidR="00C001FD" w:rsidRPr="00B831AF" w:rsidRDefault="00C001FD"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Crecimiento con impuestos diferidos: Permite que sus inversiones crezcan sin implicaciones fiscales inmediatas.</w:t>
      </w:r>
    </w:p>
    <w:p w14:paraId="6C7FBFCB" w14:textId="583EE666" w:rsidR="00C001FD" w:rsidRPr="00B831AF" w:rsidRDefault="00C001FD"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Ingresos garantizados: Proporciona un flujo de ingresos predecible durante un periodo determinado o de por vida.</w:t>
      </w:r>
    </w:p>
    <w:p w14:paraId="7BEDB193" w14:textId="77777777" w:rsidR="00C001FD" w:rsidRPr="00B831AF" w:rsidRDefault="00C001FD" w:rsidP="005F476C">
      <w:pPr>
        <w:ind w:firstLine="708"/>
        <w:jc w:val="both"/>
        <w:rPr>
          <w:rFonts w:ascii="Arial" w:hAnsi="Arial" w:cs="Arial"/>
          <w:b/>
          <w:bCs/>
          <w:color w:val="000000" w:themeColor="text1"/>
          <w:sz w:val="22"/>
          <w:szCs w:val="22"/>
          <w:lang w:val="es-ES_tradnl"/>
        </w:rPr>
      </w:pPr>
      <w:r w:rsidRPr="00B831AF">
        <w:rPr>
          <w:rFonts w:ascii="Arial" w:hAnsi="Arial" w:cs="Arial"/>
          <w:b/>
          <w:bCs/>
          <w:color w:val="000000" w:themeColor="text1"/>
          <w:sz w:val="22"/>
          <w:szCs w:val="22"/>
          <w:lang w:val="es-ES_tradnl"/>
        </w:rPr>
        <w:t>Riesgos y consideraciones:</w:t>
      </w:r>
    </w:p>
    <w:p w14:paraId="68C244B8" w14:textId="77777777" w:rsidR="00C001FD" w:rsidRPr="00B831AF" w:rsidRDefault="00C001FD" w:rsidP="00C001FD">
      <w:pPr>
        <w:jc w:val="both"/>
        <w:rPr>
          <w:rFonts w:ascii="Arial" w:hAnsi="Arial" w:cs="Arial"/>
          <w:color w:val="000000" w:themeColor="text1"/>
          <w:sz w:val="22"/>
          <w:szCs w:val="22"/>
          <w:lang w:val="es-ES_tradnl"/>
        </w:rPr>
      </w:pPr>
    </w:p>
    <w:p w14:paraId="7FD32B78" w14:textId="4C482263" w:rsidR="00C001FD" w:rsidRPr="00B831AF" w:rsidRDefault="00C001FD"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Volatilidad del mercado: El valor de su renta vitalicia puede fluctuar significativamente en función de la evolución del mercado.</w:t>
      </w:r>
    </w:p>
    <w:p w14:paraId="6337989F" w14:textId="7AE8DF86" w:rsidR="00C001FD" w:rsidRPr="00B831AF" w:rsidRDefault="00C001FD"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Comisiones: Las rentas vitalicias variables suelen conllevar comisiones más elevadas que otros tipos de rentas vitalicias.</w:t>
      </w:r>
    </w:p>
    <w:p w14:paraId="66E6F9AE" w14:textId="1DED0B72" w:rsidR="00C001FD" w:rsidRPr="00B831AF" w:rsidRDefault="00C001FD"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lastRenderedPageBreak/>
        <w:t>Complejidad: Las rentas vitalicias variables pueden ser productos complejos, por lo que es esencial revisar cuidadosamente los términos del contrato y las comisiones antes de invertir.</w:t>
      </w:r>
    </w:p>
    <w:p w14:paraId="460573F5" w14:textId="2F897AEE" w:rsidR="00C001FD" w:rsidRPr="00B831AF" w:rsidRDefault="00C001FD" w:rsidP="005F476C">
      <w:pPr>
        <w:ind w:firstLine="708"/>
        <w:jc w:val="both"/>
        <w:rPr>
          <w:rFonts w:ascii="Arial" w:hAnsi="Arial" w:cs="Arial"/>
          <w:b/>
          <w:bCs/>
          <w:color w:val="000000" w:themeColor="text1"/>
          <w:sz w:val="22"/>
          <w:szCs w:val="22"/>
          <w:lang w:val="es-ES_tradnl"/>
        </w:rPr>
      </w:pPr>
      <w:proofErr w:type="gramStart"/>
      <w:r w:rsidRPr="00B831AF">
        <w:rPr>
          <w:rFonts w:ascii="Arial" w:hAnsi="Arial" w:cs="Arial"/>
          <w:b/>
          <w:bCs/>
          <w:color w:val="000000" w:themeColor="text1"/>
          <w:sz w:val="22"/>
          <w:szCs w:val="22"/>
          <w:lang w:val="es-ES_tradnl"/>
        </w:rPr>
        <w:t>Cuándo considerar una renta vitalicia variable</w:t>
      </w:r>
      <w:r w:rsidR="00B831AF">
        <w:rPr>
          <w:rFonts w:ascii="Arial" w:hAnsi="Arial" w:cs="Arial"/>
          <w:b/>
          <w:bCs/>
          <w:color w:val="000000" w:themeColor="text1"/>
          <w:sz w:val="22"/>
          <w:szCs w:val="22"/>
          <w:lang w:val="es-ES_tradnl"/>
        </w:rPr>
        <w:t>?</w:t>
      </w:r>
      <w:proofErr w:type="gramEnd"/>
      <w:r w:rsidRPr="00B831AF">
        <w:rPr>
          <w:rFonts w:ascii="Arial" w:hAnsi="Arial" w:cs="Arial"/>
          <w:b/>
          <w:bCs/>
          <w:color w:val="000000" w:themeColor="text1"/>
          <w:sz w:val="22"/>
          <w:szCs w:val="22"/>
          <w:lang w:val="es-ES_tradnl"/>
        </w:rPr>
        <w:t>:</w:t>
      </w:r>
    </w:p>
    <w:p w14:paraId="5A3E5F7C" w14:textId="77777777" w:rsidR="00C001FD" w:rsidRPr="00B831AF" w:rsidRDefault="00C001FD" w:rsidP="00C001FD">
      <w:pPr>
        <w:jc w:val="both"/>
        <w:rPr>
          <w:rFonts w:ascii="Arial" w:hAnsi="Arial" w:cs="Arial"/>
          <w:color w:val="000000" w:themeColor="text1"/>
          <w:sz w:val="22"/>
          <w:szCs w:val="22"/>
          <w:lang w:val="es-ES_tradnl"/>
        </w:rPr>
      </w:pPr>
    </w:p>
    <w:p w14:paraId="25E1FDF4" w14:textId="20504951" w:rsidR="00C001FD" w:rsidRPr="00B831AF" w:rsidRDefault="00C001FD"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Inversión a largo plazo: Las rentas vitalicias variables son adecuadas para inversores a largo plazo que buscan aumentar su patrimonio y obtener un flujo de ingresos garantizado durante la jubilación.</w:t>
      </w:r>
    </w:p>
    <w:p w14:paraId="69D82E50" w14:textId="2E88D06B" w:rsidR="00C001FD" w:rsidRPr="00B831AF" w:rsidRDefault="00C001FD" w:rsidP="004F7A62">
      <w:pPr>
        <w:pStyle w:val="Prrafodelista"/>
        <w:numPr>
          <w:ilvl w:val="0"/>
          <w:numId w:val="83"/>
        </w:numPr>
        <w:jc w:val="both"/>
        <w:rPr>
          <w:rFonts w:ascii="Arial" w:hAnsi="Arial" w:cs="Arial"/>
          <w:color w:val="000000" w:themeColor="text1"/>
          <w:sz w:val="22"/>
          <w:szCs w:val="22"/>
          <w:lang w:val="es-ES_tradnl"/>
        </w:rPr>
      </w:pPr>
      <w:r w:rsidRPr="00B831AF">
        <w:rPr>
          <w:rFonts w:ascii="Arial" w:hAnsi="Arial" w:cs="Arial"/>
          <w:color w:val="000000" w:themeColor="text1"/>
          <w:sz w:val="22"/>
          <w:szCs w:val="22"/>
          <w:lang w:val="es-ES_tradnl"/>
        </w:rPr>
        <w:t>Ingresos para la jubilación: Las rentas vitalicias variables pueden utilizarse para crear un flujo de ingresos predecible en la jubilación, ayudando a garantizar unos ingresos sostenibles de por vida.</w:t>
      </w:r>
    </w:p>
    <w:p w14:paraId="2575A781" w14:textId="77777777" w:rsidR="00C001FD" w:rsidRPr="00B831AF" w:rsidRDefault="00C001FD" w:rsidP="005F476C">
      <w:pPr>
        <w:ind w:firstLine="708"/>
        <w:jc w:val="both"/>
        <w:rPr>
          <w:rFonts w:ascii="Arial" w:hAnsi="Arial" w:cs="Arial"/>
          <w:color w:val="000000" w:themeColor="text1"/>
          <w:sz w:val="22"/>
          <w:szCs w:val="22"/>
          <w:lang w:val="es-ES_tradnl"/>
        </w:rPr>
      </w:pPr>
      <w:r w:rsidRPr="00B831AF">
        <w:rPr>
          <w:rFonts w:ascii="Arial" w:hAnsi="Arial" w:cs="Arial"/>
          <w:b/>
          <w:bCs/>
          <w:color w:val="000000" w:themeColor="text1"/>
          <w:sz w:val="22"/>
          <w:szCs w:val="22"/>
          <w:lang w:val="es-ES_tradnl"/>
        </w:rPr>
        <w:t>En conclusión</w:t>
      </w:r>
      <w:r w:rsidRPr="00B831AF">
        <w:rPr>
          <w:rFonts w:ascii="Arial" w:hAnsi="Arial" w:cs="Arial"/>
          <w:color w:val="000000" w:themeColor="text1"/>
          <w:sz w:val="22"/>
          <w:szCs w:val="22"/>
          <w:lang w:val="es-ES_tradnl"/>
        </w:rPr>
        <w:t>:</w:t>
      </w:r>
    </w:p>
    <w:p w14:paraId="2DA7BDAE" w14:textId="77777777" w:rsidR="00C001FD" w:rsidRPr="00B831AF" w:rsidRDefault="00C001FD" w:rsidP="00C001FD">
      <w:pPr>
        <w:jc w:val="both"/>
        <w:rPr>
          <w:rFonts w:ascii="Arial" w:hAnsi="Arial" w:cs="Arial"/>
          <w:color w:val="000000" w:themeColor="text1"/>
          <w:sz w:val="22"/>
          <w:szCs w:val="22"/>
          <w:lang w:val="es-ES_tradnl"/>
        </w:rPr>
      </w:pPr>
    </w:p>
    <w:p w14:paraId="095070B8" w14:textId="1AA9A43C" w:rsidR="00F44CE0" w:rsidRPr="00CF1B34" w:rsidRDefault="00C001FD" w:rsidP="003E64AB">
      <w:pPr>
        <w:ind w:left="708"/>
        <w:jc w:val="both"/>
        <w:rPr>
          <w:rFonts w:ascii="Arial" w:hAnsi="Arial" w:cs="Arial"/>
          <w:color w:val="212529"/>
          <w:sz w:val="22"/>
          <w:szCs w:val="22"/>
          <w:lang w:val="es-ES_tradnl"/>
        </w:rPr>
      </w:pPr>
      <w:r w:rsidRPr="00B831AF">
        <w:rPr>
          <w:rFonts w:ascii="Arial" w:hAnsi="Arial" w:cs="Arial"/>
          <w:color w:val="000000" w:themeColor="text1"/>
          <w:sz w:val="22"/>
          <w:szCs w:val="22"/>
          <w:lang w:val="es-ES_tradnl"/>
        </w:rPr>
        <w:t xml:space="preserve">Las rentas vitalicias variables ofrecen una combinación única de crecimiento de la inversión e ingresos garantizados, lo que las convierte en una opción atractiva para los inversores a largo plazo que buscan asegurar sus ingresos de jubilación. Sin embargo, es esencial evaluar cuidadosamente las comisiones, los riesgos y las condiciones </w:t>
      </w:r>
    </w:p>
    <w:p w14:paraId="71790F41" w14:textId="6E00F737" w:rsidR="005F476C" w:rsidRPr="00CF1B34" w:rsidRDefault="00C001FD" w:rsidP="005F476C">
      <w:pPr>
        <w:pBdr>
          <w:bottom w:val="dotted" w:sz="12" w:space="12" w:color="666666"/>
        </w:pBdr>
        <w:spacing w:after="240"/>
        <w:ind w:left="720"/>
        <w:jc w:val="both"/>
        <w:rPr>
          <w:rFonts w:ascii="Arial" w:hAnsi="Arial" w:cs="Arial"/>
          <w:color w:val="212529"/>
          <w:sz w:val="22"/>
          <w:szCs w:val="22"/>
          <w:lang w:val="es-ES_tradnl"/>
        </w:rPr>
      </w:pPr>
      <w:r w:rsidRPr="00B831AF">
        <w:rPr>
          <w:rFonts w:ascii="Arial" w:hAnsi="Arial" w:cs="Arial"/>
          <w:color w:val="000000" w:themeColor="text1"/>
          <w:sz w:val="22"/>
          <w:szCs w:val="22"/>
          <w:lang w:val="es-ES_tradnl"/>
        </w:rPr>
        <w:t>contractuales antes de invertir en una renta vitalicia variable.</w:t>
      </w:r>
    </w:p>
    <w:p w14:paraId="32A05D9C" w14:textId="52C306EA"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Vencimiento</w:t>
      </w:r>
    </w:p>
    <w:p w14:paraId="32903F10" w14:textId="2199826F" w:rsidR="00FF3483" w:rsidRPr="00FF3483" w:rsidRDefault="009A24B4" w:rsidP="00A612EB">
      <w:pPr>
        <w:ind w:left="708"/>
        <w:rPr>
          <w:rFonts w:ascii="Arial" w:hAnsi="Arial" w:cs="Arial"/>
          <w:sz w:val="22"/>
          <w:szCs w:val="22"/>
        </w:rPr>
      </w:pPr>
      <w:r w:rsidRPr="00FF3483">
        <w:rPr>
          <w:rFonts w:ascii="Arial" w:hAnsi="Arial" w:cs="Arial"/>
          <w:color w:val="212529"/>
          <w:sz w:val="22"/>
          <w:szCs w:val="22"/>
          <w:lang w:val="es-ES_tradnl"/>
        </w:rPr>
        <w:t>Fecha en la que expira un contrato financiero o en la que se devuelve el principal de un valor.</w:t>
      </w:r>
      <w:r w:rsidR="00FF3483" w:rsidRPr="00FF3483">
        <w:rPr>
          <w:rFonts w:ascii="Arial" w:hAnsi="Arial" w:cs="Arial"/>
          <w:sz w:val="22"/>
          <w:szCs w:val="22"/>
        </w:rPr>
        <w:t xml:space="preserve"> En el ámbito financiero, el vencimiento se refiere al </w:t>
      </w:r>
      <w:r w:rsidR="00FF3483" w:rsidRPr="00FF3483">
        <w:rPr>
          <w:rFonts w:ascii="Arial" w:hAnsi="Arial" w:cs="Arial"/>
          <w:b/>
          <w:bCs/>
          <w:sz w:val="22"/>
          <w:szCs w:val="22"/>
        </w:rPr>
        <w:t>plazo límite en que se debe cumplir una obligación contractual</w:t>
      </w:r>
      <w:r w:rsidR="00FF3483" w:rsidRPr="00FF3483">
        <w:rPr>
          <w:rFonts w:ascii="Arial" w:hAnsi="Arial" w:cs="Arial"/>
          <w:sz w:val="22"/>
          <w:szCs w:val="22"/>
        </w:rPr>
        <w:t>, como el pago de una deuda, un préstamo o una cuota. Este concepto es fundamental en la gestión de activos y pasivos financieros, ya que establece la fecha en que una parte debe realizar un pago o entrega de bienes o servicios.</w:t>
      </w:r>
    </w:p>
    <w:p w14:paraId="62D01443" w14:textId="77777777" w:rsidR="00FF3483" w:rsidRPr="00FF3483" w:rsidRDefault="00FF3483" w:rsidP="00A612EB">
      <w:pPr>
        <w:ind w:firstLine="708"/>
        <w:rPr>
          <w:rFonts w:ascii="Arial" w:hAnsi="Arial" w:cs="Arial"/>
          <w:sz w:val="22"/>
          <w:szCs w:val="22"/>
        </w:rPr>
      </w:pPr>
      <w:r w:rsidRPr="00FF3483">
        <w:rPr>
          <w:rFonts w:ascii="Arial" w:hAnsi="Arial" w:cs="Arial"/>
          <w:b/>
          <w:bCs/>
          <w:sz w:val="22"/>
          <w:szCs w:val="22"/>
        </w:rPr>
        <w:t>Características</w:t>
      </w:r>
    </w:p>
    <w:p w14:paraId="63A64B2B" w14:textId="040B354A" w:rsidR="00FF3483" w:rsidRPr="00FF3483" w:rsidRDefault="00FF3483" w:rsidP="004F7A62">
      <w:pPr>
        <w:numPr>
          <w:ilvl w:val="0"/>
          <w:numId w:val="227"/>
        </w:numPr>
        <w:shd w:val="clear" w:color="auto" w:fill="FFFFFF"/>
        <w:spacing w:afterAutospacing="1"/>
        <w:rPr>
          <w:rFonts w:ascii="Arial" w:hAnsi="Arial" w:cs="Arial"/>
          <w:color w:val="000000"/>
          <w:sz w:val="22"/>
          <w:szCs w:val="22"/>
        </w:rPr>
      </w:pPr>
      <w:r w:rsidRPr="00FF3483">
        <w:rPr>
          <w:rFonts w:ascii="Arial" w:hAnsi="Arial" w:cs="Arial"/>
          <w:color w:val="000000"/>
          <w:sz w:val="22"/>
          <w:szCs w:val="22"/>
        </w:rPr>
        <w:t>Es un</w:t>
      </w:r>
      <w:r w:rsidR="003E64AB">
        <w:rPr>
          <w:rFonts w:ascii="Arial" w:hAnsi="Arial" w:cs="Arial"/>
          <w:color w:val="000000"/>
          <w:sz w:val="22"/>
          <w:szCs w:val="22"/>
        </w:rPr>
        <w:t xml:space="preserve"> </w:t>
      </w:r>
      <w:r w:rsidRPr="00FF3483">
        <w:rPr>
          <w:rFonts w:ascii="Arial" w:hAnsi="Arial" w:cs="Arial"/>
          <w:b/>
          <w:bCs/>
          <w:color w:val="000000"/>
          <w:sz w:val="22"/>
          <w:szCs w:val="22"/>
        </w:rPr>
        <w:t>plazo límite para el pago o entrega de una obligación</w:t>
      </w:r>
      <w:r w:rsidRPr="00FF3483">
        <w:rPr>
          <w:rFonts w:ascii="Arial" w:hAnsi="Arial" w:cs="Arial"/>
          <w:color w:val="000000"/>
          <w:sz w:val="22"/>
          <w:szCs w:val="22"/>
        </w:rPr>
        <w:t>.</w:t>
      </w:r>
    </w:p>
    <w:p w14:paraId="7D9EA1FC" w14:textId="77777777" w:rsidR="00FF3483" w:rsidRPr="00FF3483" w:rsidRDefault="00FF3483" w:rsidP="004F7A62">
      <w:pPr>
        <w:numPr>
          <w:ilvl w:val="0"/>
          <w:numId w:val="227"/>
        </w:numPr>
        <w:shd w:val="clear" w:color="auto" w:fill="FFFFFF"/>
        <w:spacing w:before="100" w:beforeAutospacing="1" w:after="100" w:afterAutospacing="1"/>
        <w:rPr>
          <w:rFonts w:ascii="Arial" w:hAnsi="Arial" w:cs="Arial"/>
          <w:color w:val="000000"/>
          <w:sz w:val="22"/>
          <w:szCs w:val="22"/>
        </w:rPr>
      </w:pPr>
      <w:r w:rsidRPr="00FF3483">
        <w:rPr>
          <w:rFonts w:ascii="Arial" w:hAnsi="Arial" w:cs="Arial"/>
          <w:color w:val="000000"/>
          <w:sz w:val="22"/>
          <w:szCs w:val="22"/>
        </w:rPr>
        <w:t>Se utiliza comúnmente para préstamos, créditos, servicios y cuotas.</w:t>
      </w:r>
    </w:p>
    <w:p w14:paraId="49B939EE" w14:textId="77777777" w:rsidR="00FF3483" w:rsidRPr="00FF3483" w:rsidRDefault="00FF3483" w:rsidP="004F7A62">
      <w:pPr>
        <w:numPr>
          <w:ilvl w:val="0"/>
          <w:numId w:val="227"/>
        </w:numPr>
        <w:shd w:val="clear" w:color="auto" w:fill="FFFFFF"/>
        <w:spacing w:before="100" w:beforeAutospacing="1"/>
        <w:rPr>
          <w:rFonts w:ascii="Arial" w:hAnsi="Arial" w:cs="Arial"/>
          <w:color w:val="000000"/>
          <w:sz w:val="22"/>
          <w:szCs w:val="22"/>
        </w:rPr>
      </w:pPr>
      <w:r w:rsidRPr="00FF3483">
        <w:rPr>
          <w:rFonts w:ascii="Arial" w:hAnsi="Arial" w:cs="Arial"/>
          <w:color w:val="000000"/>
          <w:sz w:val="22"/>
          <w:szCs w:val="22"/>
        </w:rPr>
        <w:t>Proporciona previsibilidad para las partes involucradas, permitiendo planificar y organizar adecuadamente sus actividades financieras.</w:t>
      </w:r>
    </w:p>
    <w:p w14:paraId="61F04330" w14:textId="77777777" w:rsidR="00FF3483" w:rsidRPr="00FF3483" w:rsidRDefault="00FF3483" w:rsidP="00A612EB">
      <w:pPr>
        <w:ind w:firstLine="708"/>
        <w:rPr>
          <w:rFonts w:ascii="Arial" w:hAnsi="Arial" w:cs="Arial"/>
          <w:b/>
          <w:bCs/>
          <w:sz w:val="22"/>
          <w:szCs w:val="22"/>
        </w:rPr>
      </w:pPr>
      <w:r w:rsidRPr="00FF3483">
        <w:rPr>
          <w:rFonts w:ascii="Arial" w:hAnsi="Arial" w:cs="Arial"/>
          <w:b/>
          <w:bCs/>
          <w:sz w:val="22"/>
          <w:szCs w:val="22"/>
        </w:rPr>
        <w:t>Tipos de vencimiento</w:t>
      </w:r>
    </w:p>
    <w:p w14:paraId="594E7F92" w14:textId="77777777" w:rsidR="00FF3483" w:rsidRPr="00FF3483" w:rsidRDefault="00FF3483" w:rsidP="004F7A62">
      <w:pPr>
        <w:numPr>
          <w:ilvl w:val="0"/>
          <w:numId w:val="228"/>
        </w:numPr>
        <w:shd w:val="clear" w:color="auto" w:fill="FFFFFF"/>
        <w:spacing w:afterAutospacing="1"/>
        <w:rPr>
          <w:rFonts w:ascii="Arial" w:hAnsi="Arial" w:cs="Arial"/>
          <w:color w:val="000000"/>
          <w:sz w:val="22"/>
          <w:szCs w:val="22"/>
        </w:rPr>
      </w:pPr>
      <w:r w:rsidRPr="00FF3483">
        <w:rPr>
          <w:rFonts w:ascii="Arial" w:hAnsi="Arial" w:cs="Arial"/>
          <w:b/>
          <w:bCs/>
          <w:color w:val="000000"/>
          <w:sz w:val="22"/>
          <w:szCs w:val="22"/>
        </w:rPr>
        <w:t>Vencimiento original</w:t>
      </w:r>
      <w:r w:rsidRPr="00FF3483">
        <w:rPr>
          <w:rFonts w:ascii="Arial" w:hAnsi="Arial" w:cs="Arial"/>
          <w:color w:val="000000"/>
          <w:sz w:val="22"/>
          <w:szCs w:val="22"/>
        </w:rPr>
        <w:t>: El plazo calculado entre la fecha de firma del contrato y la del reembolso final, en el caso de préstamos.</w:t>
      </w:r>
    </w:p>
    <w:p w14:paraId="3380FCE6" w14:textId="77777777" w:rsidR="00FF3483" w:rsidRPr="00FF3483" w:rsidRDefault="00FF3483" w:rsidP="004F7A62">
      <w:pPr>
        <w:numPr>
          <w:ilvl w:val="0"/>
          <w:numId w:val="228"/>
        </w:numPr>
        <w:shd w:val="clear" w:color="auto" w:fill="FFFFFF"/>
        <w:spacing w:beforeAutospacing="1"/>
        <w:rPr>
          <w:rFonts w:ascii="Arial" w:hAnsi="Arial" w:cs="Arial"/>
          <w:color w:val="000000"/>
          <w:sz w:val="22"/>
          <w:szCs w:val="22"/>
        </w:rPr>
      </w:pPr>
      <w:r w:rsidRPr="00FF3483">
        <w:rPr>
          <w:rFonts w:ascii="Arial" w:hAnsi="Arial" w:cs="Arial"/>
          <w:b/>
          <w:bCs/>
          <w:color w:val="000000"/>
          <w:sz w:val="22"/>
          <w:szCs w:val="22"/>
        </w:rPr>
        <w:t>Vencimiento prorrogado</w:t>
      </w:r>
      <w:r w:rsidRPr="00FF3483">
        <w:rPr>
          <w:rFonts w:ascii="Arial" w:hAnsi="Arial" w:cs="Arial"/>
          <w:color w:val="000000"/>
          <w:sz w:val="22"/>
          <w:szCs w:val="22"/>
        </w:rPr>
        <w:t>: El plazo extendido por acuerdo entre las partes, después de la fecha original de vencimiento.</w:t>
      </w:r>
    </w:p>
    <w:p w14:paraId="7672DCDE" w14:textId="77777777" w:rsidR="00FF3483" w:rsidRPr="00FF3483" w:rsidRDefault="00FF3483" w:rsidP="00A612EB">
      <w:pPr>
        <w:ind w:firstLine="708"/>
        <w:rPr>
          <w:rFonts w:ascii="Arial" w:hAnsi="Arial" w:cs="Arial"/>
          <w:b/>
          <w:bCs/>
          <w:sz w:val="22"/>
          <w:szCs w:val="22"/>
        </w:rPr>
      </w:pPr>
      <w:r w:rsidRPr="00FF3483">
        <w:rPr>
          <w:rFonts w:ascii="Arial" w:hAnsi="Arial" w:cs="Arial"/>
          <w:b/>
          <w:bCs/>
          <w:sz w:val="22"/>
          <w:szCs w:val="22"/>
        </w:rPr>
        <w:t>Importancia</w:t>
      </w:r>
    </w:p>
    <w:p w14:paraId="2F901E45" w14:textId="77777777" w:rsidR="00FF3483" w:rsidRPr="00FF3483" w:rsidRDefault="00FF3483" w:rsidP="004F7A62">
      <w:pPr>
        <w:numPr>
          <w:ilvl w:val="0"/>
          <w:numId w:val="229"/>
        </w:numPr>
        <w:shd w:val="clear" w:color="auto" w:fill="FFFFFF"/>
        <w:spacing w:after="100" w:afterAutospacing="1"/>
        <w:rPr>
          <w:rFonts w:ascii="Arial" w:hAnsi="Arial" w:cs="Arial"/>
          <w:color w:val="000000"/>
          <w:sz w:val="22"/>
          <w:szCs w:val="22"/>
        </w:rPr>
      </w:pPr>
      <w:r w:rsidRPr="00FF3483">
        <w:rPr>
          <w:rFonts w:ascii="Arial" w:hAnsi="Arial" w:cs="Arial"/>
          <w:color w:val="000000"/>
          <w:sz w:val="22"/>
          <w:szCs w:val="22"/>
        </w:rPr>
        <w:t>Permite a las partes involucradas planificar y organizar adecuadamente sus actividades financieras.</w:t>
      </w:r>
    </w:p>
    <w:p w14:paraId="46E60D04" w14:textId="77777777" w:rsidR="00FF3483" w:rsidRPr="00FF3483" w:rsidRDefault="00FF3483" w:rsidP="004F7A62">
      <w:pPr>
        <w:numPr>
          <w:ilvl w:val="0"/>
          <w:numId w:val="229"/>
        </w:numPr>
        <w:shd w:val="clear" w:color="auto" w:fill="FFFFFF"/>
        <w:spacing w:before="100" w:beforeAutospacing="1" w:after="100" w:afterAutospacing="1"/>
        <w:rPr>
          <w:rFonts w:ascii="Arial" w:hAnsi="Arial" w:cs="Arial"/>
          <w:color w:val="000000"/>
          <w:sz w:val="22"/>
          <w:szCs w:val="22"/>
        </w:rPr>
      </w:pPr>
      <w:r w:rsidRPr="00FF3483">
        <w:rPr>
          <w:rFonts w:ascii="Arial" w:hAnsi="Arial" w:cs="Arial"/>
          <w:color w:val="000000"/>
          <w:sz w:val="22"/>
          <w:szCs w:val="22"/>
        </w:rPr>
        <w:t>Proporciona seguridad y previsibilidad para los acreedores y deudores.</w:t>
      </w:r>
    </w:p>
    <w:p w14:paraId="028E2507" w14:textId="77777777" w:rsidR="00FF3483" w:rsidRPr="00FF3483" w:rsidRDefault="00FF3483" w:rsidP="004F7A62">
      <w:pPr>
        <w:numPr>
          <w:ilvl w:val="0"/>
          <w:numId w:val="229"/>
        </w:numPr>
        <w:shd w:val="clear" w:color="auto" w:fill="FFFFFF"/>
        <w:spacing w:before="100" w:beforeAutospacing="1"/>
        <w:rPr>
          <w:rFonts w:ascii="Arial" w:hAnsi="Arial" w:cs="Arial"/>
          <w:color w:val="000000"/>
          <w:sz w:val="22"/>
          <w:szCs w:val="22"/>
        </w:rPr>
      </w:pPr>
      <w:r w:rsidRPr="00FF3483">
        <w:rPr>
          <w:rFonts w:ascii="Arial" w:hAnsi="Arial" w:cs="Arial"/>
          <w:color w:val="000000"/>
          <w:sz w:val="22"/>
          <w:szCs w:val="22"/>
        </w:rPr>
        <w:t>Es fundamental para la gestión de riesgos financieros y la toma de decisiones informadas.</w:t>
      </w:r>
    </w:p>
    <w:p w14:paraId="222F3777" w14:textId="77777777" w:rsidR="00FF3483" w:rsidRPr="00FF3483" w:rsidRDefault="00FF3483" w:rsidP="00A612EB">
      <w:pPr>
        <w:ind w:firstLine="708"/>
        <w:rPr>
          <w:rFonts w:ascii="Arial" w:hAnsi="Arial" w:cs="Arial"/>
          <w:b/>
          <w:bCs/>
          <w:sz w:val="22"/>
          <w:szCs w:val="22"/>
        </w:rPr>
      </w:pPr>
      <w:r w:rsidRPr="00FF3483">
        <w:rPr>
          <w:rFonts w:ascii="Arial" w:hAnsi="Arial" w:cs="Arial"/>
          <w:b/>
          <w:bCs/>
          <w:sz w:val="22"/>
          <w:szCs w:val="22"/>
        </w:rPr>
        <w:t>En resumen</w:t>
      </w:r>
    </w:p>
    <w:p w14:paraId="19B6B54D" w14:textId="77777777" w:rsidR="00FF3483" w:rsidRPr="00FF3483" w:rsidRDefault="00FF3483" w:rsidP="00FF3483">
      <w:pPr>
        <w:pBdr>
          <w:bottom w:val="dotted" w:sz="12" w:space="12" w:color="666666"/>
        </w:pBdr>
        <w:spacing w:after="240"/>
        <w:ind w:left="720"/>
        <w:jc w:val="both"/>
        <w:rPr>
          <w:rFonts w:ascii="Arial" w:hAnsi="Arial" w:cs="Arial"/>
          <w:color w:val="212529"/>
          <w:sz w:val="22"/>
          <w:szCs w:val="22"/>
          <w:lang w:val="es-ES_tradnl"/>
        </w:rPr>
      </w:pPr>
      <w:r w:rsidRPr="00FF3483">
        <w:rPr>
          <w:rFonts w:ascii="Arial" w:hAnsi="Arial" w:cs="Arial"/>
          <w:color w:val="000000"/>
          <w:sz w:val="22"/>
          <w:szCs w:val="22"/>
        </w:rPr>
        <w:t>El vencimiento financiero es un </w:t>
      </w:r>
      <w:r w:rsidRPr="00FF3483">
        <w:rPr>
          <w:rFonts w:ascii="Arial" w:hAnsi="Arial" w:cs="Arial"/>
          <w:b/>
          <w:bCs/>
          <w:color w:val="000000"/>
          <w:sz w:val="22"/>
          <w:szCs w:val="22"/>
        </w:rPr>
        <w:t>plazo límite para el pago o entrega de una obligación contractual</w:t>
      </w:r>
      <w:r w:rsidRPr="00FF3483">
        <w:rPr>
          <w:rFonts w:ascii="Arial" w:hAnsi="Arial" w:cs="Arial"/>
          <w:color w:val="000000"/>
          <w:sz w:val="22"/>
          <w:szCs w:val="22"/>
        </w:rPr>
        <w:t>, que proporciona previsibilidad y seguridad para las partes involucradas. Es un concepto clave en la gestión de activos y pasivos financieros, y su comprensión es esencial para tomar decisiones financieras informadas.</w:t>
      </w:r>
    </w:p>
    <w:p w14:paraId="790E5142" w14:textId="77777777" w:rsidR="00F44CE0" w:rsidRPr="00CF1B34" w:rsidRDefault="00F44CE0" w:rsidP="00F44CE0">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Vendo-doy-tuyos</w:t>
      </w:r>
    </w:p>
    <w:p w14:paraId="35504B69" w14:textId="132B4BF8" w:rsidR="00F44CE0" w:rsidRPr="00CF1B34" w:rsidRDefault="00F44CE0" w:rsidP="00F44CE0">
      <w:pPr>
        <w:pBdr>
          <w:bottom w:val="dotted" w:sz="12" w:space="12" w:color="666666"/>
        </w:pBdr>
        <w:spacing w:after="240"/>
        <w:ind w:left="720"/>
        <w:jc w:val="both"/>
        <w:rPr>
          <w:rFonts w:ascii="Arial" w:hAnsi="Arial" w:cs="Arial"/>
          <w:color w:val="212529"/>
          <w:sz w:val="22"/>
          <w:szCs w:val="22"/>
          <w:lang w:val="es-ES_tradnl"/>
        </w:rPr>
      </w:pPr>
      <w:proofErr w:type="gramStart"/>
      <w:r w:rsidRPr="00CF1B34">
        <w:rPr>
          <w:rFonts w:ascii="Arial" w:hAnsi="Arial" w:cs="Arial"/>
          <w:color w:val="000000" w:themeColor="text1"/>
          <w:sz w:val="22"/>
          <w:szCs w:val="22"/>
          <w:lang w:val="es-ES_tradnl"/>
        </w:rPr>
        <w:t xml:space="preserve">Cualquiera de estas tres formas </w:t>
      </w:r>
      <w:r>
        <w:rPr>
          <w:rFonts w:ascii="Arial" w:hAnsi="Arial" w:cs="Arial"/>
          <w:color w:val="000000" w:themeColor="text1"/>
          <w:sz w:val="22"/>
          <w:szCs w:val="22"/>
          <w:lang w:val="es-ES_tradnl"/>
        </w:rPr>
        <w:t>son</w:t>
      </w:r>
      <w:proofErr w:type="gramEnd"/>
      <w:r w:rsidRPr="00CF1B34">
        <w:rPr>
          <w:rFonts w:ascii="Arial" w:hAnsi="Arial" w:cs="Arial"/>
          <w:color w:val="000000" w:themeColor="text1"/>
          <w:sz w:val="22"/>
          <w:szCs w:val="22"/>
          <w:lang w:val="es-ES_tradnl"/>
        </w:rPr>
        <w:t xml:space="preserve"> utilizada</w:t>
      </w:r>
      <w:r>
        <w:rPr>
          <w:rFonts w:ascii="Arial" w:hAnsi="Arial" w:cs="Arial"/>
          <w:color w:val="000000" w:themeColor="text1"/>
          <w:sz w:val="22"/>
          <w:szCs w:val="22"/>
          <w:lang w:val="es-ES_tradnl"/>
        </w:rPr>
        <w:t>s</w:t>
      </w:r>
      <w:r w:rsidRPr="00CF1B34">
        <w:rPr>
          <w:rFonts w:ascii="Arial" w:hAnsi="Arial" w:cs="Arial"/>
          <w:color w:val="000000" w:themeColor="text1"/>
          <w:sz w:val="22"/>
          <w:szCs w:val="22"/>
          <w:lang w:val="es-ES_tradnl"/>
        </w:rPr>
        <w:t xml:space="preserve"> cuando queremos vender al precio bid comprador, que otra entidad cotiza.</w:t>
      </w:r>
    </w:p>
    <w:p w14:paraId="607D1E7E" w14:textId="32B9D325"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Ventana de liquidez</w:t>
      </w:r>
    </w:p>
    <w:p w14:paraId="3B07A9C8" w14:textId="10383379"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Fecha en la que los partícipes de un fondo garantizado pueden reembolsar sin que se les aplique la comisión de reembolso; es una manera de suavizar la falta de liquidez del producto. El folleto del fondo indica cuáles son las ventanas de liquidez y el preaviso necesario para acogerse a ellas. En todo caso, debe tenerse en cuenta que generalmente los reembolsos en ventanas de liquidez se realizan al valor liquidativo aplicable según la fecha de solicitud; es decir, que no se encuentran cubiertos por la garantía del fondo.</w:t>
      </w:r>
    </w:p>
    <w:p w14:paraId="2CA2D6FE" w14:textId="05EE1026" w:rsidR="0016770D" w:rsidRPr="00CF1B34" w:rsidRDefault="0016770D"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Venta al descubierto</w:t>
      </w:r>
    </w:p>
    <w:p w14:paraId="214A19E3" w14:textId="36EFE0D6" w:rsidR="003B5B57" w:rsidRPr="00CF1B34" w:rsidRDefault="006038AC"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000000" w:themeColor="text1"/>
          <w:sz w:val="22"/>
          <w:szCs w:val="22"/>
          <w:lang w:val="es-ES_tradnl"/>
        </w:rPr>
        <w:t>Venta inic</w:t>
      </w:r>
      <w:r w:rsidR="00A869BB" w:rsidRPr="00CF1B34">
        <w:rPr>
          <w:rFonts w:ascii="Arial" w:hAnsi="Arial" w:cs="Arial"/>
          <w:color w:val="000000" w:themeColor="text1"/>
          <w:sz w:val="22"/>
          <w:szCs w:val="22"/>
          <w:lang w:val="es-ES_tradnl"/>
        </w:rPr>
        <w:t>i</w:t>
      </w:r>
      <w:r w:rsidRPr="00CF1B34">
        <w:rPr>
          <w:rFonts w:ascii="Arial" w:hAnsi="Arial" w:cs="Arial"/>
          <w:color w:val="000000" w:themeColor="text1"/>
          <w:sz w:val="22"/>
          <w:szCs w:val="22"/>
          <w:lang w:val="es-ES_tradnl"/>
        </w:rPr>
        <w:t xml:space="preserve">al, sin </w:t>
      </w:r>
      <w:r w:rsidR="003B5B57" w:rsidRPr="00CF1B34">
        <w:rPr>
          <w:rFonts w:ascii="Arial" w:hAnsi="Arial" w:cs="Arial"/>
          <w:color w:val="000000" w:themeColor="text1"/>
          <w:sz w:val="22"/>
          <w:szCs w:val="22"/>
          <w:lang w:val="es-ES_tradnl"/>
        </w:rPr>
        <w:t>compra previa, realizable únicamente en el mercado a plazo. Ulteriormente deben ser liquidada por una recompra.</w:t>
      </w:r>
    </w:p>
    <w:p w14:paraId="6ED7DD2D" w14:textId="25348163" w:rsidR="00F44CE0" w:rsidRDefault="00F44CE0"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Ventanilla única ambiental</w:t>
      </w:r>
    </w:p>
    <w:p w14:paraId="509B04E2" w14:textId="0E631637" w:rsidR="00F44CE0" w:rsidRPr="00F44CE0" w:rsidRDefault="00F44CE0" w:rsidP="005849D1">
      <w:pPr>
        <w:ind w:left="708"/>
        <w:rPr>
          <w:rFonts w:ascii="Arial" w:hAnsi="Arial" w:cs="Arial"/>
          <w:sz w:val="22"/>
          <w:szCs w:val="22"/>
        </w:rPr>
      </w:pPr>
      <w:r w:rsidRPr="00F44CE0">
        <w:rPr>
          <w:rFonts w:ascii="Arial" w:hAnsi="Arial" w:cs="Arial"/>
          <w:b/>
          <w:bCs/>
          <w:color w:val="333333"/>
          <w:sz w:val="22"/>
          <w:szCs w:val="22"/>
          <w:shd w:val="clear" w:color="auto" w:fill="FFFFFF"/>
        </w:rPr>
        <w:t>La</w:t>
      </w:r>
      <w:r w:rsidRPr="005849D1">
        <w:rPr>
          <w:rFonts w:ascii="Arial" w:hAnsi="Arial" w:cs="Arial"/>
          <w:b/>
          <w:bCs/>
          <w:color w:val="333333"/>
          <w:sz w:val="22"/>
          <w:szCs w:val="22"/>
          <w:shd w:val="clear" w:color="auto" w:fill="FFFFFF"/>
        </w:rPr>
        <w:t xml:space="preserve"> ventanilla única ambiental</w:t>
      </w:r>
      <w:r w:rsidR="005849D1">
        <w:rPr>
          <w:rFonts w:ascii="Arial" w:hAnsi="Arial" w:cs="Arial"/>
          <w:b/>
          <w:bCs/>
          <w:color w:val="333333"/>
          <w:sz w:val="22"/>
          <w:szCs w:val="22"/>
          <w:shd w:val="clear" w:color="auto" w:fill="FFFFFF"/>
        </w:rPr>
        <w:t xml:space="preserve"> </w:t>
      </w:r>
      <w:r w:rsidR="005849D1" w:rsidRPr="005849D1">
        <w:rPr>
          <w:rFonts w:ascii="Arial" w:hAnsi="Arial" w:cs="Arial"/>
          <w:color w:val="333333"/>
          <w:sz w:val="22"/>
          <w:szCs w:val="22"/>
          <w:shd w:val="clear" w:color="auto" w:fill="FFFFFF"/>
        </w:rPr>
        <w:t>(iniciativa contenida en el documento de la Estrategia de Desarrollo Sostenible de Castilla y León)</w:t>
      </w:r>
      <w:r w:rsidRPr="005849D1">
        <w:rPr>
          <w:rFonts w:ascii="Arial" w:hAnsi="Arial" w:cs="Arial"/>
          <w:b/>
          <w:bCs/>
          <w:color w:val="333333"/>
          <w:sz w:val="22"/>
          <w:szCs w:val="22"/>
          <w:shd w:val="clear" w:color="auto" w:fill="FFFFFF"/>
        </w:rPr>
        <w:t xml:space="preserve"> </w:t>
      </w:r>
      <w:r w:rsidRPr="00F44CE0">
        <w:rPr>
          <w:rFonts w:ascii="Arial" w:hAnsi="Arial" w:cs="Arial"/>
          <w:b/>
          <w:bCs/>
          <w:color w:val="333333"/>
          <w:sz w:val="22"/>
          <w:szCs w:val="22"/>
          <w:shd w:val="clear" w:color="auto" w:fill="FFFFFF"/>
        </w:rPr>
        <w:t>tiene el objetivo de orientar a empresas sobre materias ambientales</w:t>
      </w:r>
      <w:r w:rsidR="005849D1" w:rsidRPr="005849D1">
        <w:rPr>
          <w:rFonts w:ascii="Arial" w:hAnsi="Arial" w:cs="Arial"/>
          <w:b/>
          <w:bCs/>
          <w:color w:val="333333"/>
          <w:sz w:val="22"/>
          <w:szCs w:val="22"/>
          <w:shd w:val="clear" w:color="auto" w:fill="FFFFFF"/>
        </w:rPr>
        <w:t xml:space="preserve"> </w:t>
      </w:r>
      <w:r w:rsidRPr="00F44CE0">
        <w:rPr>
          <w:rFonts w:ascii="Arial" w:hAnsi="Arial" w:cs="Arial"/>
          <w:color w:val="333333"/>
          <w:sz w:val="22"/>
          <w:szCs w:val="22"/>
          <w:shd w:val="clear" w:color="auto" w:fill="FFFFFF"/>
        </w:rPr>
        <w:t>para que logren equilibrar lo ambiental y el socioeconómico.</w:t>
      </w:r>
    </w:p>
    <w:p w14:paraId="6B986104" w14:textId="77777777" w:rsidR="005849D1" w:rsidRPr="00CF1B34" w:rsidRDefault="005849D1" w:rsidP="005849D1">
      <w:pPr>
        <w:pBdr>
          <w:bottom w:val="dotted" w:sz="12" w:space="12" w:color="666666"/>
        </w:pBdr>
        <w:spacing w:after="240"/>
        <w:ind w:left="720"/>
        <w:jc w:val="both"/>
        <w:rPr>
          <w:rFonts w:ascii="Arial" w:hAnsi="Arial" w:cs="Arial"/>
          <w:color w:val="212529"/>
          <w:sz w:val="22"/>
          <w:szCs w:val="22"/>
          <w:lang w:val="es-ES_tradnl"/>
        </w:rPr>
      </w:pPr>
      <w:r w:rsidRPr="005849D1">
        <w:rPr>
          <w:rFonts w:ascii="Arial" w:hAnsi="Arial" w:cs="Arial"/>
          <w:color w:val="333333"/>
          <w:sz w:val="22"/>
          <w:szCs w:val="22"/>
          <w:shd w:val="clear" w:color="auto" w:fill="FFFFFF"/>
        </w:rPr>
        <w:t>Dentro de las medidas que ponen en marcha,</w:t>
      </w:r>
      <w:r>
        <w:rPr>
          <w:rFonts w:ascii="Arial" w:hAnsi="Arial" w:cs="Arial"/>
          <w:color w:val="333333"/>
          <w:sz w:val="22"/>
          <w:szCs w:val="22"/>
          <w:shd w:val="clear" w:color="auto" w:fill="FFFFFF"/>
        </w:rPr>
        <w:t xml:space="preserve"> </w:t>
      </w:r>
      <w:r w:rsidRPr="005849D1">
        <w:rPr>
          <w:rStyle w:val="Textoennegrita"/>
          <w:rFonts w:ascii="Arial" w:hAnsi="Arial" w:cs="Arial"/>
          <w:color w:val="333333"/>
          <w:sz w:val="22"/>
          <w:szCs w:val="22"/>
          <w:shd w:val="clear" w:color="auto" w:fill="FFFFFF"/>
        </w:rPr>
        <w:t>se encuentra el mantenimiento y el fomento del Servicio de Información y Asesoramiento Medioambiental (Siama);</w:t>
      </w:r>
      <w:r>
        <w:rPr>
          <w:rFonts w:ascii="Arial" w:hAnsi="Arial" w:cs="Arial"/>
          <w:color w:val="333333"/>
          <w:sz w:val="22"/>
          <w:szCs w:val="22"/>
          <w:shd w:val="clear" w:color="auto" w:fill="FFFFFF"/>
        </w:rPr>
        <w:t xml:space="preserve"> </w:t>
      </w:r>
      <w:r w:rsidRPr="005849D1">
        <w:rPr>
          <w:rFonts w:ascii="Arial" w:hAnsi="Arial" w:cs="Arial"/>
          <w:color w:val="333333"/>
          <w:sz w:val="22"/>
          <w:szCs w:val="22"/>
          <w:shd w:val="clear" w:color="auto" w:fill="FFFFFF"/>
        </w:rPr>
        <w:t>así como el apoyo a la orientación, facilitación, cumplimentación y gestión de trámites en la administración a demanda de las empresas por encomienda de la Administración regional, además de un servicio de asesoramiento sobre protocolos de actuación sobre la evaluación ambiental de proyectos empresariales nuevos o en desarrollo.</w:t>
      </w:r>
    </w:p>
    <w:p w14:paraId="04F72EAA" w14:textId="32E877E0"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Verificación registral</w:t>
      </w:r>
    </w:p>
    <w:p w14:paraId="19C5E269"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es la verificación registral?</w:t>
      </w:r>
    </w:p>
    <w:p w14:paraId="578BA7E4"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La verificación registral de un inmueble es una comprobación de la situación de la vivienda que vamos a comprar. Para obtenerla se realiza una consulta al Registro de la propiedad y se verifica que los datos de la vivienda, la situación y la titularidad coincidan con los facilitados por el vendedor,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sobre todo, que esté libre de cargas (que no esté hipotecada).</w:t>
      </w:r>
    </w:p>
    <w:p w14:paraId="23B4B630" w14:textId="0D688EFD"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realidad, solicitar esta verificación es un trámite muy sencillo y a la vez muy recomendable, ya que la</w:t>
      </w:r>
      <w:r w:rsidR="00A869BB" w:rsidRPr="00CF1B34">
        <w:rPr>
          <w:rFonts w:ascii="Arial" w:hAnsi="Arial" w:cs="Arial"/>
          <w:sz w:val="22"/>
          <w:szCs w:val="22"/>
          <w:lang w:val="es-ES_tradnl"/>
        </w:rPr>
        <w:t xml:space="preserve"> </w:t>
      </w:r>
      <w:hyperlink r:id="rId359" w:history="1">
        <w:r w:rsidRPr="00CF1B34">
          <w:rPr>
            <w:rFonts w:ascii="Arial" w:hAnsi="Arial" w:cs="Arial"/>
            <w:b/>
            <w:bCs/>
            <w:color w:val="BD4313"/>
            <w:sz w:val="22"/>
            <w:szCs w:val="22"/>
            <w:lang w:val="es-ES_tradnl"/>
          </w:rPr>
          <w:t>compra de una vivienda</w:t>
        </w:r>
      </w:hyperlink>
      <w:r w:rsidR="00A869BB" w:rsidRPr="00CF1B34">
        <w:rPr>
          <w:rFonts w:ascii="Arial" w:hAnsi="Arial" w:cs="Arial"/>
          <w:sz w:val="22"/>
          <w:szCs w:val="22"/>
          <w:lang w:val="es-ES_tradnl"/>
        </w:rPr>
        <w:t xml:space="preserve"> </w:t>
      </w:r>
      <w:r w:rsidRPr="00CF1B34">
        <w:rPr>
          <w:rFonts w:ascii="Arial" w:hAnsi="Arial" w:cs="Arial"/>
          <w:sz w:val="22"/>
          <w:szCs w:val="22"/>
          <w:lang w:val="es-ES_tradnl"/>
        </w:rPr>
        <w:t>es una operación compleja que implica una gran responsabilidad, hay que asegurarse muy bien y tomar ciertas medidas antes de dar el paso para evitar sorpresas posteriores.</w:t>
      </w:r>
    </w:p>
    <w:p w14:paraId="66BE198A" w14:textId="77777777" w:rsidR="004E69BA" w:rsidRPr="00CF1B34" w:rsidRDefault="004E69BA" w:rsidP="0005621A">
      <w:pPr>
        <w:ind w:left="708"/>
        <w:jc w:val="both"/>
        <w:rPr>
          <w:rFonts w:ascii="Arial" w:hAnsi="Arial" w:cs="Arial"/>
          <w:sz w:val="22"/>
          <w:szCs w:val="22"/>
          <w:lang w:val="es-ES_tradnl"/>
        </w:rPr>
      </w:pPr>
      <w:r w:rsidRPr="00CF1B34">
        <w:rPr>
          <w:rFonts w:ascii="Arial" w:hAnsi="Arial" w:cs="Arial"/>
          <w:sz w:val="22"/>
          <w:szCs w:val="22"/>
          <w:lang w:val="es-ES_tradnl"/>
        </w:rPr>
        <w:t>Además, la verificación puede incluir lun certificado que acredite los datos de la propiedad ante terceras personas, incluso ante un tribunal.</w:t>
      </w:r>
    </w:p>
    <w:p w14:paraId="0D0EB769"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¿Cómo la solicitamos y qué datos tendremos que aportar?</w:t>
      </w:r>
    </w:p>
    <w:p w14:paraId="089EE72D"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Para solicitar una verificación registral, en primer </w:t>
      </w:r>
      <w:proofErr w:type="gramStart"/>
      <w:r w:rsidRPr="00CF1B34">
        <w:rPr>
          <w:rFonts w:ascii="Arial" w:hAnsi="Arial" w:cs="Arial"/>
          <w:sz w:val="22"/>
          <w:szCs w:val="22"/>
          <w:lang w:val="es-ES_tradnl"/>
        </w:rPr>
        <w:t>lugar</w:t>
      </w:r>
      <w:proofErr w:type="gramEnd"/>
      <w:r w:rsidRPr="00CF1B34">
        <w:rPr>
          <w:rFonts w:ascii="Arial" w:hAnsi="Arial" w:cs="Arial"/>
          <w:sz w:val="22"/>
          <w:szCs w:val="22"/>
          <w:lang w:val="es-ES_tradnl"/>
        </w:rPr>
        <w:t xml:space="preserve"> tendremos que conocer en qué registro figura nuestra vivienda, y después examinar los libros de propiedad y pedir nuestro informe, en forma de nota simple o de certificación.</w:t>
      </w:r>
    </w:p>
    <w:p w14:paraId="53176D62"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Los datos que tendremos que facilitar son la identificación del titular de la vivienda; los datos de identificación del inmueble (por ejemplo, su dirección física, o sus características); los datos de la finca (por ejemplo, los bienes afines o el número registral); </w:t>
      </w:r>
      <w:r w:rsidRPr="00CF1B34">
        <w:rPr>
          <w:rFonts w:ascii="Arial" w:hAnsi="Arial" w:cs="Arial"/>
          <w:sz w:val="22"/>
          <w:szCs w:val="22"/>
          <w:lang w:val="es-ES_tradnl"/>
        </w:rPr>
        <w:lastRenderedPageBreak/>
        <w:t>y en general cualquier otra información que pueda ser de utilidad (tal como el número de referencia catastral de la finca o su titular precedente).</w:t>
      </w:r>
    </w:p>
    <w:p w14:paraId="44CC1FBE"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Verificación registral y nota simple: ¿es lo mismo?</w:t>
      </w:r>
    </w:p>
    <w:p w14:paraId="65EA9F60" w14:textId="77777777" w:rsidR="004E69BA" w:rsidRPr="00CF1B34" w:rsidRDefault="004E69BA" w:rsidP="0005621A">
      <w:pPr>
        <w:spacing w:after="100" w:afterAutospacing="1"/>
        <w:ind w:firstLine="708"/>
        <w:jc w:val="both"/>
        <w:rPr>
          <w:rFonts w:ascii="Arial" w:hAnsi="Arial" w:cs="Arial"/>
          <w:sz w:val="22"/>
          <w:szCs w:val="22"/>
          <w:lang w:val="es-ES_tradnl"/>
        </w:rPr>
      </w:pPr>
      <w:r w:rsidRPr="00CF1B34">
        <w:rPr>
          <w:rFonts w:ascii="Arial" w:hAnsi="Arial" w:cs="Arial"/>
          <w:sz w:val="22"/>
          <w:szCs w:val="22"/>
          <w:lang w:val="es-ES_tradnl"/>
        </w:rPr>
        <w:t>Aunque son documentos muy parecidos, también tienen diferencias.</w:t>
      </w:r>
    </w:p>
    <w:p w14:paraId="74F12088"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En primer lugar, ambos reflejan casi la misma información: identificación y descripción, verdadera titularidad, posibles cargos, embargos o hipotecas…. Además, ambas se obtienen directamente del Registro de la propiedad para lo cual, en ambos casos, solicitante tiene que expresar su interés legítimo.</w:t>
      </w:r>
    </w:p>
    <w:p w14:paraId="6179E882"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Pero si bien la nota simple tiene un carácter puramente informativo y refleje una información algo más básica (relativa a titulares, derechos y cargas), la verificación registral va firmada por el registrador, que da fe del contenido del Registro y además contiene una información más extensa, relativa por ejemplo a antiguos titulares y derechos ya cancelados. Además, como hemos apuntado anteriormente, la verificación tiene carácter probatorio frente a terceras personas físicas, jurídicas, tribunales, instituciones y organismos públicos.</w:t>
      </w:r>
    </w:p>
    <w:p w14:paraId="1CD99AAC"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¿Y la nota de localización?</w:t>
      </w:r>
    </w:p>
    <w:p w14:paraId="2AB474C5"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 un tercer documento. Oficial, expedido por el Colegio de Registradores. Este documento refleja los bienes o derechos que una persona física o jurídica ha registrado.</w:t>
      </w:r>
    </w:p>
    <w:p w14:paraId="03A8D4C7" w14:textId="5011CCE1" w:rsidR="005849D1" w:rsidRDefault="005849D1"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t>Vida laboral</w:t>
      </w:r>
    </w:p>
    <w:p w14:paraId="00D222DA" w14:textId="245952FB" w:rsidR="005849D1" w:rsidRPr="005849D1" w:rsidRDefault="005849D1" w:rsidP="003E64AB">
      <w:pPr>
        <w:ind w:left="708"/>
        <w:rPr>
          <w:rFonts w:ascii="Arial" w:hAnsi="Arial" w:cs="Arial"/>
          <w:sz w:val="22"/>
          <w:szCs w:val="22"/>
        </w:rPr>
      </w:pPr>
      <w:r w:rsidRPr="005849D1">
        <w:rPr>
          <w:rFonts w:ascii="Arial" w:hAnsi="Arial" w:cs="Arial"/>
          <w:sz w:val="22"/>
          <w:szCs w:val="22"/>
        </w:rPr>
        <w:t>El</w:t>
      </w:r>
      <w:r>
        <w:rPr>
          <w:rFonts w:ascii="Arial" w:hAnsi="Arial" w:cs="Arial"/>
          <w:sz w:val="22"/>
          <w:szCs w:val="22"/>
        </w:rPr>
        <w:t xml:space="preserve"> </w:t>
      </w:r>
      <w:r w:rsidRPr="005849D1">
        <w:rPr>
          <w:rFonts w:ascii="Arial" w:hAnsi="Arial" w:cs="Arial"/>
          <w:b/>
          <w:bCs/>
          <w:sz w:val="22"/>
          <w:szCs w:val="22"/>
        </w:rPr>
        <w:t>informe de vida laboral de la Seguridad Social</w:t>
      </w:r>
      <w:r>
        <w:rPr>
          <w:rFonts w:ascii="Arial" w:hAnsi="Arial" w:cs="Arial"/>
          <w:sz w:val="22"/>
          <w:szCs w:val="22"/>
        </w:rPr>
        <w:t xml:space="preserve"> </w:t>
      </w:r>
      <w:r w:rsidRPr="005849D1">
        <w:rPr>
          <w:rFonts w:ascii="Arial" w:hAnsi="Arial" w:cs="Arial"/>
          <w:sz w:val="22"/>
          <w:szCs w:val="22"/>
        </w:rPr>
        <w:t>es un resumen de la carrera profesional de cada persona que contiene información respecto a su situación de alta o bajo en el conjunto de regímenes de la</w:t>
      </w:r>
      <w:r>
        <w:rPr>
          <w:rFonts w:ascii="Arial" w:hAnsi="Arial" w:cs="Arial"/>
          <w:sz w:val="22"/>
          <w:szCs w:val="22"/>
        </w:rPr>
        <w:t xml:space="preserve"> Seguridad Social</w:t>
      </w:r>
      <w:r w:rsidRPr="005849D1">
        <w:rPr>
          <w:rFonts w:ascii="Arial" w:hAnsi="Arial" w:cs="Arial"/>
          <w:sz w:val="22"/>
          <w:szCs w:val="22"/>
        </w:rPr>
        <w:t>. Las situaciones que se incluyen en los informes son computables para el acceso, al menos, de una de las prestaciones contributivas del sistema de la Seguridad Social, aunque no todas las situaciones que se incluyen en el informe de vida laboral tienen que ser necesariamente computables para todas las prestaciones económicas contributivas del sistema, aspecto éste que deberá ser determinado por la Entidad Gestora competente sobre la resolución de la solicitud de la correspondiente prestación.</w:t>
      </w:r>
    </w:p>
    <w:p w14:paraId="188FC69C" w14:textId="735B791F" w:rsidR="005849D1" w:rsidRPr="005849D1" w:rsidRDefault="005849D1" w:rsidP="003E64AB">
      <w:pPr>
        <w:ind w:left="708"/>
        <w:rPr>
          <w:rFonts w:ascii="Arial" w:hAnsi="Arial" w:cs="Arial"/>
          <w:sz w:val="22"/>
          <w:szCs w:val="22"/>
        </w:rPr>
      </w:pPr>
      <w:r w:rsidRPr="005849D1">
        <w:rPr>
          <w:rFonts w:ascii="Arial" w:hAnsi="Arial" w:cs="Arial"/>
          <w:sz w:val="22"/>
          <w:szCs w:val="22"/>
        </w:rPr>
        <w:t>En el fondo, el informe de</w:t>
      </w:r>
      <w:r>
        <w:rPr>
          <w:rFonts w:ascii="Arial" w:hAnsi="Arial" w:cs="Arial"/>
          <w:sz w:val="22"/>
          <w:szCs w:val="22"/>
        </w:rPr>
        <w:t xml:space="preserve"> </w:t>
      </w:r>
      <w:r w:rsidRPr="005849D1">
        <w:rPr>
          <w:rFonts w:ascii="Arial" w:hAnsi="Arial" w:cs="Arial"/>
          <w:b/>
          <w:bCs/>
          <w:sz w:val="22"/>
          <w:szCs w:val="22"/>
        </w:rPr>
        <w:t>vida laboral </w:t>
      </w:r>
      <w:r w:rsidRPr="005849D1">
        <w:rPr>
          <w:rFonts w:ascii="Arial" w:hAnsi="Arial" w:cs="Arial"/>
          <w:sz w:val="22"/>
          <w:szCs w:val="22"/>
        </w:rPr>
        <w:t>es el mejor aval sobre la trayectoria profesional de una persona y muchas empresas lo solicitan para poder</w:t>
      </w:r>
      <w:r>
        <w:rPr>
          <w:rFonts w:ascii="Arial" w:hAnsi="Arial" w:cs="Arial"/>
          <w:b/>
          <w:bCs/>
          <w:sz w:val="22"/>
          <w:szCs w:val="22"/>
        </w:rPr>
        <w:t xml:space="preserve"> </w:t>
      </w:r>
      <w:r w:rsidRPr="005849D1">
        <w:rPr>
          <w:rFonts w:ascii="Arial" w:hAnsi="Arial" w:cs="Arial"/>
          <w:b/>
          <w:bCs/>
          <w:sz w:val="22"/>
          <w:szCs w:val="22"/>
        </w:rPr>
        <w:t>acreditar que lo que el can</w:t>
      </w:r>
      <w:r>
        <w:rPr>
          <w:rFonts w:ascii="Arial" w:hAnsi="Arial" w:cs="Arial"/>
          <w:b/>
          <w:bCs/>
          <w:sz w:val="22"/>
          <w:szCs w:val="22"/>
        </w:rPr>
        <w:t>d</w:t>
      </w:r>
      <w:r w:rsidRPr="005849D1">
        <w:rPr>
          <w:rFonts w:ascii="Arial" w:hAnsi="Arial" w:cs="Arial"/>
          <w:b/>
          <w:bCs/>
          <w:sz w:val="22"/>
          <w:szCs w:val="22"/>
        </w:rPr>
        <w:t>idato asegura en su curriculum vitae es cierto</w:t>
      </w:r>
      <w:r w:rsidRPr="005849D1">
        <w:rPr>
          <w:rFonts w:ascii="Arial" w:hAnsi="Arial" w:cs="Arial"/>
          <w:sz w:val="22"/>
          <w:szCs w:val="22"/>
        </w:rPr>
        <w:t>. Y es que el</w:t>
      </w:r>
      <w:r w:rsidR="004E46DE">
        <w:rPr>
          <w:rFonts w:ascii="Arial" w:hAnsi="Arial" w:cs="Arial"/>
          <w:sz w:val="22"/>
          <w:szCs w:val="22"/>
        </w:rPr>
        <w:t xml:space="preserve"> </w:t>
      </w:r>
      <w:r w:rsidRPr="005849D1">
        <w:rPr>
          <w:rFonts w:ascii="Arial" w:hAnsi="Arial" w:cs="Arial"/>
          <w:b/>
          <w:bCs/>
          <w:sz w:val="22"/>
          <w:szCs w:val="22"/>
        </w:rPr>
        <w:t>informe de la vida laboral</w:t>
      </w:r>
      <w:r w:rsidR="004E46DE">
        <w:rPr>
          <w:rFonts w:ascii="Arial" w:hAnsi="Arial" w:cs="Arial"/>
          <w:b/>
          <w:bCs/>
          <w:sz w:val="22"/>
          <w:szCs w:val="22"/>
        </w:rPr>
        <w:t xml:space="preserve"> </w:t>
      </w:r>
      <w:r w:rsidRPr="005849D1">
        <w:rPr>
          <w:rFonts w:ascii="Arial" w:hAnsi="Arial" w:cs="Arial"/>
          <w:sz w:val="22"/>
          <w:szCs w:val="22"/>
        </w:rPr>
        <w:t>identifica de forma explícita el </w:t>
      </w:r>
      <w:r w:rsidRPr="005849D1">
        <w:rPr>
          <w:rFonts w:ascii="Arial" w:hAnsi="Arial" w:cs="Arial"/>
          <w:b/>
          <w:bCs/>
          <w:sz w:val="22"/>
          <w:szCs w:val="22"/>
        </w:rPr>
        <w:t>régimen por el cuál se ha</w:t>
      </w:r>
      <w:r w:rsidR="004E46DE">
        <w:rPr>
          <w:rFonts w:ascii="Arial" w:hAnsi="Arial" w:cs="Arial"/>
          <w:b/>
          <w:bCs/>
          <w:sz w:val="22"/>
          <w:szCs w:val="22"/>
        </w:rPr>
        <w:t xml:space="preserve"> cotizado a la Seguridad Social</w:t>
      </w:r>
      <w:r w:rsidRPr="005849D1">
        <w:rPr>
          <w:rFonts w:ascii="Arial" w:hAnsi="Arial" w:cs="Arial"/>
          <w:sz w:val="22"/>
          <w:szCs w:val="22"/>
        </w:rPr>
        <w:t xml:space="preserve"> cada periodo de actividad, así como</w:t>
      </w:r>
      <w:r w:rsidR="004E46DE">
        <w:rPr>
          <w:rFonts w:ascii="Arial" w:hAnsi="Arial" w:cs="Arial"/>
          <w:sz w:val="22"/>
          <w:szCs w:val="22"/>
        </w:rPr>
        <w:t xml:space="preserve"> </w:t>
      </w:r>
      <w:r w:rsidRPr="005849D1">
        <w:rPr>
          <w:rFonts w:ascii="Arial" w:hAnsi="Arial" w:cs="Arial"/>
          <w:b/>
          <w:bCs/>
          <w:sz w:val="22"/>
          <w:szCs w:val="22"/>
        </w:rPr>
        <w:t>la empresa en la que se ha cotizado</w:t>
      </w:r>
      <w:r w:rsidR="004E46DE">
        <w:rPr>
          <w:rFonts w:ascii="Arial" w:hAnsi="Arial" w:cs="Arial"/>
          <w:sz w:val="22"/>
          <w:szCs w:val="22"/>
        </w:rPr>
        <w:t xml:space="preserve"> </w:t>
      </w:r>
      <w:r w:rsidRPr="005849D1">
        <w:rPr>
          <w:rFonts w:ascii="Arial" w:hAnsi="Arial" w:cs="Arial"/>
          <w:sz w:val="22"/>
          <w:szCs w:val="22"/>
        </w:rPr>
        <w:t>y que se consigna a través de su código de cuenta de cotización o  número de inscripción del empresario utilizado para la individualización de éste en el respectivo Régimen del Sistema de la Seguridad Social, así como la denominación de la empresa u organismo a cuyo nombre figura el código de cuenta de cotización.</w:t>
      </w:r>
    </w:p>
    <w:p w14:paraId="5EC3181A" w14:textId="041F206B" w:rsidR="005849D1" w:rsidRPr="005849D1" w:rsidRDefault="005849D1" w:rsidP="003E64AB">
      <w:pPr>
        <w:ind w:left="708"/>
        <w:rPr>
          <w:rFonts w:ascii="Arial" w:hAnsi="Arial" w:cs="Arial"/>
          <w:sz w:val="22"/>
          <w:szCs w:val="22"/>
        </w:rPr>
      </w:pPr>
      <w:r w:rsidRPr="005849D1">
        <w:rPr>
          <w:rFonts w:ascii="Arial" w:hAnsi="Arial" w:cs="Arial"/>
          <w:sz w:val="22"/>
          <w:szCs w:val="22"/>
        </w:rPr>
        <w:t>Del mismo modo, el</w:t>
      </w:r>
      <w:r w:rsidR="004E46DE">
        <w:rPr>
          <w:rFonts w:ascii="Arial" w:hAnsi="Arial" w:cs="Arial"/>
          <w:sz w:val="22"/>
          <w:szCs w:val="22"/>
        </w:rPr>
        <w:t xml:space="preserve"> </w:t>
      </w:r>
      <w:r w:rsidRPr="004E46DE">
        <w:rPr>
          <w:rFonts w:ascii="Arial" w:hAnsi="Arial" w:cs="Arial"/>
          <w:sz w:val="22"/>
          <w:szCs w:val="22"/>
        </w:rPr>
        <w:t>informe de la vida laboral</w:t>
      </w:r>
      <w:r w:rsidR="004E46DE">
        <w:rPr>
          <w:rFonts w:ascii="Arial" w:hAnsi="Arial" w:cs="Arial"/>
          <w:b/>
          <w:bCs/>
          <w:sz w:val="22"/>
          <w:szCs w:val="22"/>
        </w:rPr>
        <w:t xml:space="preserve"> </w:t>
      </w:r>
      <w:r w:rsidRPr="005849D1">
        <w:rPr>
          <w:rFonts w:ascii="Arial" w:hAnsi="Arial" w:cs="Arial"/>
          <w:sz w:val="22"/>
          <w:szCs w:val="22"/>
        </w:rPr>
        <w:t>también contiene las</w:t>
      </w:r>
      <w:r w:rsidR="004E46DE">
        <w:rPr>
          <w:rFonts w:ascii="Arial" w:hAnsi="Arial" w:cs="Arial"/>
          <w:sz w:val="22"/>
          <w:szCs w:val="22"/>
        </w:rPr>
        <w:t xml:space="preserve"> </w:t>
      </w:r>
      <w:r w:rsidRPr="005849D1">
        <w:rPr>
          <w:rFonts w:ascii="Arial" w:hAnsi="Arial" w:cs="Arial"/>
          <w:b/>
          <w:bCs/>
          <w:sz w:val="22"/>
          <w:szCs w:val="22"/>
        </w:rPr>
        <w:t>fechas de alta y de baja</w:t>
      </w:r>
      <w:r w:rsidR="004E46DE">
        <w:rPr>
          <w:rFonts w:ascii="Arial" w:hAnsi="Arial" w:cs="Arial"/>
          <w:sz w:val="22"/>
          <w:szCs w:val="22"/>
        </w:rPr>
        <w:t xml:space="preserve"> </w:t>
      </w:r>
      <w:r w:rsidRPr="005849D1">
        <w:rPr>
          <w:rFonts w:ascii="Arial" w:hAnsi="Arial" w:cs="Arial"/>
          <w:b/>
          <w:bCs/>
          <w:sz w:val="22"/>
          <w:szCs w:val="22"/>
        </w:rPr>
        <w:t>en cada empresa y el tipo de contrato</w:t>
      </w:r>
      <w:r w:rsidR="004E46DE">
        <w:rPr>
          <w:rFonts w:ascii="Arial" w:hAnsi="Arial" w:cs="Arial"/>
          <w:sz w:val="22"/>
          <w:szCs w:val="22"/>
        </w:rPr>
        <w:t xml:space="preserve"> </w:t>
      </w:r>
      <w:r w:rsidRPr="005849D1">
        <w:rPr>
          <w:rFonts w:ascii="Arial" w:hAnsi="Arial" w:cs="Arial"/>
          <w:sz w:val="22"/>
          <w:szCs w:val="22"/>
        </w:rPr>
        <w:t>(los</w:t>
      </w:r>
      <w:r w:rsidR="004E46DE">
        <w:rPr>
          <w:rFonts w:ascii="Arial" w:hAnsi="Arial" w:cs="Arial"/>
          <w:sz w:val="22"/>
          <w:szCs w:val="22"/>
        </w:rPr>
        <w:t xml:space="preserve"> contratos a tiempo parcial</w:t>
      </w:r>
      <w:r w:rsidR="004E46DE" w:rsidRPr="005849D1">
        <w:rPr>
          <w:rFonts w:ascii="Arial" w:hAnsi="Arial" w:cs="Arial"/>
          <w:sz w:val="22"/>
          <w:szCs w:val="22"/>
        </w:rPr>
        <w:t xml:space="preserve"> </w:t>
      </w:r>
      <w:r w:rsidRPr="005849D1">
        <w:rPr>
          <w:rFonts w:ascii="Arial" w:hAnsi="Arial" w:cs="Arial"/>
          <w:sz w:val="22"/>
          <w:szCs w:val="22"/>
        </w:rPr>
        <w:t>se expresan a través de un porcentaje de la jornada normal). El grupo de cotización y los días de alta son los últimos datos que se incluyen.</w:t>
      </w:r>
    </w:p>
    <w:p w14:paraId="5065A9C9" w14:textId="2213515C" w:rsidR="004E46DE" w:rsidRPr="00CF1B34" w:rsidRDefault="005849D1" w:rsidP="004E46DE">
      <w:pPr>
        <w:pBdr>
          <w:bottom w:val="dotted" w:sz="12" w:space="12" w:color="666666"/>
        </w:pBdr>
        <w:spacing w:after="240"/>
        <w:ind w:left="720"/>
        <w:jc w:val="both"/>
        <w:rPr>
          <w:rFonts w:ascii="Arial" w:hAnsi="Arial" w:cs="Arial"/>
          <w:color w:val="212529"/>
          <w:sz w:val="22"/>
          <w:szCs w:val="22"/>
          <w:lang w:val="es-ES_tradnl"/>
        </w:rPr>
      </w:pPr>
      <w:r w:rsidRPr="005849D1">
        <w:rPr>
          <w:rFonts w:ascii="Arial" w:hAnsi="Arial" w:cs="Arial"/>
          <w:sz w:val="22"/>
          <w:szCs w:val="22"/>
        </w:rPr>
        <w:t>Antiguamente se podía</w:t>
      </w:r>
      <w:hyperlink r:id="rId360" w:history="1"/>
      <w:r w:rsidR="004E46DE">
        <w:rPr>
          <w:rFonts w:ascii="Arial" w:hAnsi="Arial" w:cs="Arial"/>
          <w:sz w:val="22"/>
          <w:szCs w:val="22"/>
        </w:rPr>
        <w:t xml:space="preserve"> </w:t>
      </w:r>
      <w:r w:rsidRPr="005849D1">
        <w:rPr>
          <w:rFonts w:ascii="Arial" w:hAnsi="Arial" w:cs="Arial"/>
          <w:sz w:val="22"/>
          <w:szCs w:val="22"/>
        </w:rPr>
        <w:t>en cualquier oficina de la Seguridad Social y obtenerla al instante, pero ahora sólo se puede tramitar vía telemática. Existen formas para obtener el informe, con certificado digital y</w:t>
      </w:r>
      <w:r w:rsidR="004E46DE">
        <w:rPr>
          <w:rFonts w:ascii="Arial" w:hAnsi="Arial" w:cs="Arial"/>
          <w:sz w:val="22"/>
          <w:szCs w:val="22"/>
        </w:rPr>
        <w:t xml:space="preserve"> sin certificado digital</w:t>
      </w:r>
      <w:r w:rsidRPr="005849D1">
        <w:rPr>
          <w:rFonts w:ascii="Arial" w:hAnsi="Arial" w:cs="Arial"/>
          <w:sz w:val="22"/>
          <w:szCs w:val="22"/>
        </w:rPr>
        <w:t>. En el primero de los casos, gracias al</w:t>
      </w:r>
      <w:r w:rsidR="004E46DE">
        <w:rPr>
          <w:rFonts w:ascii="Arial" w:hAnsi="Arial" w:cs="Arial"/>
          <w:sz w:val="22"/>
          <w:szCs w:val="22"/>
        </w:rPr>
        <w:t xml:space="preserve"> certificado digital</w:t>
      </w:r>
      <w:r w:rsidRPr="005849D1">
        <w:rPr>
          <w:rFonts w:ascii="Arial" w:hAnsi="Arial" w:cs="Arial"/>
          <w:sz w:val="22"/>
          <w:szCs w:val="22"/>
        </w:rPr>
        <w:t xml:space="preserve">, la consulta es inmediata y se puede incluso imprimir el documento, </w:t>
      </w:r>
      <w:r w:rsidRPr="005849D1">
        <w:rPr>
          <w:rFonts w:ascii="Arial" w:hAnsi="Arial" w:cs="Arial"/>
          <w:sz w:val="22"/>
          <w:szCs w:val="22"/>
        </w:rPr>
        <w:lastRenderedPageBreak/>
        <w:t>mientras que</w:t>
      </w:r>
      <w:r w:rsidR="004E46DE">
        <w:rPr>
          <w:rFonts w:ascii="Arial" w:hAnsi="Arial" w:cs="Arial"/>
          <w:sz w:val="22"/>
          <w:szCs w:val="22"/>
        </w:rPr>
        <w:t>,</w:t>
      </w:r>
      <w:r w:rsidRPr="005849D1">
        <w:rPr>
          <w:rFonts w:ascii="Arial" w:hAnsi="Arial" w:cs="Arial"/>
          <w:sz w:val="22"/>
          <w:szCs w:val="22"/>
        </w:rPr>
        <w:t xml:space="preserve"> en el segundo, el informe se envía por correo ordinario al domicilio del solic</w:t>
      </w:r>
      <w:r w:rsidR="004E46DE">
        <w:rPr>
          <w:rFonts w:ascii="Arial" w:hAnsi="Arial" w:cs="Arial"/>
          <w:sz w:val="22"/>
          <w:szCs w:val="22"/>
        </w:rPr>
        <w:t>i</w:t>
      </w:r>
      <w:r w:rsidRPr="005849D1">
        <w:rPr>
          <w:rFonts w:ascii="Arial" w:hAnsi="Arial" w:cs="Arial"/>
          <w:sz w:val="22"/>
          <w:szCs w:val="22"/>
        </w:rPr>
        <w:t>tante, por lo que hay que esperar unos días hasta su recepción.</w:t>
      </w:r>
    </w:p>
    <w:p w14:paraId="12673118" w14:textId="63EE4324"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Vivienda de protección oficial</w:t>
      </w:r>
    </w:p>
    <w:p w14:paraId="1BD330F3"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 vivienda de protección oficial (VPO) es aquella que está promovida por el Gobierno y tiene un precio inferior a una vivienda de semejantes características.</w:t>
      </w:r>
    </w:p>
    <w:p w14:paraId="10099BD8"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Su finalidad principal es un acceso preferente para las personas menos favorecidas (en general quienes perciben rentas más bajas): jóvenes, personas mayores, colectivos minoritarios, etc.</w:t>
      </w:r>
    </w:p>
    <w:p w14:paraId="6B39AE7D"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Estas viviendas tienen que cumplir unos requisitos de dimensiones y precios máximos de renta o alquiler, establecidos en una calificación provisional en un primer momento, y posteriormente en una calificación definitiva. Como contrapartida, el promotor (que podrá ser una empresa pública, privada o de autopromoción o cooperativa) obtendrá ciertas ayudas que compensen estas limitaciones.</w:t>
      </w:r>
    </w:p>
    <w:p w14:paraId="1EE7D9A3"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tipos de VPO hay?</w:t>
      </w:r>
    </w:p>
    <w:p w14:paraId="3F950F2B"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Aunque cada comunidad autónoma fija sus propias variedades, pueden establecerse algunos tipos en función de la calificación. Así, pueden ser viviendas destinadas a la venta; en derecho de superficie; en alquiler general para 10 o 25 años, y en especial para 25; en alquiler con opción a compra; en alquiler para personas mayores; y en alquiler para jóvenes.</w:t>
      </w:r>
    </w:p>
    <w:p w14:paraId="5473AD00"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condiciones debemos reunir para beneficiarnos de una VPO?</w:t>
      </w:r>
    </w:p>
    <w:p w14:paraId="74C0C4AB" w14:textId="7F4243A4"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Ser beneficiario de una vivienda de protección oficial conlleva una serie de requisitos que estarán vigentes durante todo el plazo del régimen de protección.</w:t>
      </w:r>
      <w:r w:rsidR="00A869BB" w:rsidRPr="00CF1B34">
        <w:rPr>
          <w:rFonts w:ascii="Arial" w:hAnsi="Arial" w:cs="Arial"/>
          <w:sz w:val="22"/>
          <w:szCs w:val="22"/>
          <w:lang w:val="es-ES_tradnl"/>
        </w:rPr>
        <w:t xml:space="preserve"> </w:t>
      </w:r>
      <w:r w:rsidRPr="00CF1B34">
        <w:rPr>
          <w:rFonts w:ascii="Arial" w:hAnsi="Arial" w:cs="Arial"/>
          <w:sz w:val="22"/>
          <w:szCs w:val="22"/>
          <w:lang w:val="es-ES_tradnl"/>
        </w:rPr>
        <w:t>Estas condiciones dependerán del municipio y comunidad autónoma donde se ubiquen, y de la legislación vigente en el momento de la calificación provisional.</w:t>
      </w:r>
    </w:p>
    <w:p w14:paraId="2245D500"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 contamos con el Plan Estatal de Vivienda (2008-2021), que también establece unos requisitos generales, como por ejemplo que sean destinadas a vivienda habitual y permanente; que no tenga una finalidad lucrativa (es decir: no se podrán alquilar o vender); que quienes la soliciten no hayan tenido una vivienda protegida anteriormente; que tengan unos ingresos familiares máximos; que no posean una vivienda que esté libre; y que estén empadronadas en la comunidad donde se solicite la VPO, e inscritas en el registro de demandantes de dicha comunidad.</w:t>
      </w:r>
    </w:p>
    <w:p w14:paraId="6C0924A8" w14:textId="77777777" w:rsidR="004E69BA" w:rsidRPr="00CF1B34" w:rsidRDefault="004E69BA" w:rsidP="0005621A">
      <w:pPr>
        <w:spacing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es una VPO descalificada?</w:t>
      </w:r>
    </w:p>
    <w:p w14:paraId="35D0420F"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Pasado el tiempo que establezca el Plan de Vivienda al que esté acogido el inmueble, las viviendas de protección oficial pasan a liberarse. Esto es, que se anulan las condiciones a las que debían ceñirse, convirtiéndose en viviendas libres. Incluso es posible descalificar la vivienda antes de que finalice el periodo de validez (que suele ser de diez años en los que el inmueble no se puede vender ni alquilar).</w:t>
      </w:r>
    </w:p>
    <w:p w14:paraId="0E9A963A"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Para descalificar una vivienda de este tipo habrá que esperar a que concluya el plazo y solicitar la descalificación en la oficina que regule la vivienda en cada comunidad autónoma. Y una vez que esta solicitud se admite, como beneficiarios tendremos que devolver las ayudas recibidas más los intereses generados.</w:t>
      </w:r>
    </w:p>
    <w:p w14:paraId="575E7502" w14:textId="1DF02E91" w:rsidR="004E46DE" w:rsidRDefault="004E46DE" w:rsidP="0005621A">
      <w:pPr>
        <w:jc w:val="both"/>
        <w:outlineLvl w:val="1"/>
        <w:rPr>
          <w:rFonts w:ascii="Arial" w:hAnsi="Arial" w:cs="Arial"/>
          <w:b/>
          <w:bCs/>
          <w:color w:val="2F5496" w:themeColor="accent1" w:themeShade="BF"/>
          <w:sz w:val="22"/>
          <w:szCs w:val="22"/>
          <w:lang w:val="es-ES_tradnl"/>
        </w:rPr>
      </w:pPr>
      <w:r>
        <w:rPr>
          <w:rFonts w:ascii="Arial" w:hAnsi="Arial" w:cs="Arial"/>
          <w:b/>
          <w:bCs/>
          <w:color w:val="2F5496" w:themeColor="accent1" w:themeShade="BF"/>
          <w:sz w:val="22"/>
          <w:szCs w:val="22"/>
          <w:lang w:val="es-ES_tradnl"/>
        </w:rPr>
        <w:lastRenderedPageBreak/>
        <w:t>Vivienda habitual</w:t>
      </w:r>
    </w:p>
    <w:p w14:paraId="201DA560" w14:textId="3B385D8B" w:rsidR="003E64AB" w:rsidRPr="003E64AB" w:rsidRDefault="003E64AB" w:rsidP="003E64AB">
      <w:pPr>
        <w:pStyle w:val="Sinespaciado"/>
        <w:ind w:left="708"/>
      </w:pPr>
      <w:r w:rsidRPr="003E64AB">
        <w:rPr>
          <w:rFonts w:ascii="Arial" w:hAnsi="Arial" w:cs="Arial"/>
          <w:color w:val="000000"/>
          <w:sz w:val="22"/>
          <w:szCs w:val="22"/>
        </w:rPr>
        <w:t xml:space="preserve">La vivienda habitual se define como la edificación que cumple ciertos requisitos </w:t>
      </w:r>
      <w:r w:rsidRPr="003E64AB">
        <w:t>establecidos por la Agencia Tributaria. A continuación, se presentan los puntos clave:</w:t>
      </w:r>
    </w:p>
    <w:p w14:paraId="2C5E239A" w14:textId="77777777" w:rsidR="003E64AB" w:rsidRPr="003E64AB" w:rsidRDefault="003E64AB" w:rsidP="004F7A62">
      <w:pPr>
        <w:numPr>
          <w:ilvl w:val="0"/>
          <w:numId w:val="233"/>
        </w:numPr>
        <w:shd w:val="clear" w:color="auto" w:fill="FFFFFF"/>
        <w:spacing w:afterAutospacing="1"/>
        <w:rPr>
          <w:rFonts w:ascii="Arial" w:hAnsi="Arial" w:cs="Arial"/>
          <w:color w:val="000000"/>
          <w:sz w:val="22"/>
          <w:szCs w:val="22"/>
        </w:rPr>
      </w:pPr>
      <w:r w:rsidRPr="003E64AB">
        <w:rPr>
          <w:rFonts w:ascii="Arial" w:hAnsi="Arial" w:cs="Arial"/>
          <w:b/>
          <w:bCs/>
          <w:color w:val="000000"/>
          <w:sz w:val="22"/>
          <w:szCs w:val="22"/>
        </w:rPr>
        <w:t>Residencia permanente</w:t>
      </w:r>
      <w:r w:rsidRPr="003E64AB">
        <w:rPr>
          <w:rFonts w:ascii="Arial" w:hAnsi="Arial" w:cs="Arial"/>
          <w:color w:val="000000"/>
          <w:sz w:val="22"/>
          <w:szCs w:val="22"/>
        </w:rPr>
        <w:t>: La vivienda habitual es aquella en la que resides de forma permanente durante al menos tres años.</w:t>
      </w:r>
    </w:p>
    <w:p w14:paraId="3288889D" w14:textId="77777777" w:rsidR="003E64AB" w:rsidRPr="003E64AB" w:rsidRDefault="003E64AB" w:rsidP="004F7A62">
      <w:pPr>
        <w:numPr>
          <w:ilvl w:val="0"/>
          <w:numId w:val="233"/>
        </w:numPr>
        <w:shd w:val="clear" w:color="auto" w:fill="FFFFFF"/>
        <w:spacing w:beforeAutospacing="1" w:afterAutospacing="1"/>
        <w:rPr>
          <w:rFonts w:ascii="Arial" w:hAnsi="Arial" w:cs="Arial"/>
          <w:color w:val="000000"/>
          <w:sz w:val="22"/>
          <w:szCs w:val="22"/>
        </w:rPr>
      </w:pPr>
      <w:r w:rsidRPr="003E64AB">
        <w:rPr>
          <w:rFonts w:ascii="Arial" w:hAnsi="Arial" w:cs="Arial"/>
          <w:b/>
          <w:bCs/>
          <w:color w:val="000000"/>
          <w:sz w:val="22"/>
          <w:szCs w:val="22"/>
        </w:rPr>
        <w:t>Uso efectivo</w:t>
      </w:r>
      <w:r w:rsidRPr="003E64AB">
        <w:rPr>
          <w:rFonts w:ascii="Arial" w:hAnsi="Arial" w:cs="Arial"/>
          <w:color w:val="000000"/>
          <w:sz w:val="22"/>
          <w:szCs w:val="22"/>
        </w:rPr>
        <w:t>: La vivienda debe ser habitada en menos de 12 meses tras su compra.</w:t>
      </w:r>
    </w:p>
    <w:p w14:paraId="3AEDB552" w14:textId="77777777" w:rsidR="003E64AB" w:rsidRPr="003E64AB" w:rsidRDefault="003E64AB" w:rsidP="004F7A62">
      <w:pPr>
        <w:numPr>
          <w:ilvl w:val="0"/>
          <w:numId w:val="233"/>
        </w:numPr>
        <w:shd w:val="clear" w:color="auto" w:fill="FFFFFF"/>
        <w:spacing w:beforeAutospacing="1" w:afterAutospacing="1"/>
        <w:rPr>
          <w:rFonts w:ascii="Arial" w:hAnsi="Arial" w:cs="Arial"/>
          <w:color w:val="000000"/>
          <w:sz w:val="22"/>
          <w:szCs w:val="22"/>
        </w:rPr>
      </w:pPr>
      <w:r w:rsidRPr="003E64AB">
        <w:rPr>
          <w:rFonts w:ascii="Arial" w:hAnsi="Arial" w:cs="Arial"/>
          <w:b/>
          <w:bCs/>
          <w:color w:val="000000"/>
          <w:sz w:val="22"/>
          <w:szCs w:val="22"/>
        </w:rPr>
        <w:t>Circunstancias excepcionales</w:t>
      </w:r>
      <w:r w:rsidRPr="003E64AB">
        <w:rPr>
          <w:rFonts w:ascii="Arial" w:hAnsi="Arial" w:cs="Arial"/>
          <w:color w:val="000000"/>
          <w:sz w:val="22"/>
          <w:szCs w:val="22"/>
        </w:rPr>
        <w:t>: Si se producen circunstancias justificadas, como cambio de empleo, matrimonio o separación, la nueva vivienda puede adquirir la condición de habitual.</w:t>
      </w:r>
    </w:p>
    <w:p w14:paraId="4C51CCCD" w14:textId="77777777" w:rsidR="003E64AB" w:rsidRPr="003E64AB" w:rsidRDefault="003E64AB" w:rsidP="004F7A62">
      <w:pPr>
        <w:numPr>
          <w:ilvl w:val="0"/>
          <w:numId w:val="233"/>
        </w:numPr>
        <w:shd w:val="clear" w:color="auto" w:fill="FFFFFF"/>
        <w:spacing w:beforeAutospacing="1"/>
        <w:rPr>
          <w:rFonts w:ascii="Arial" w:hAnsi="Arial" w:cs="Arial"/>
          <w:color w:val="000000"/>
          <w:sz w:val="22"/>
          <w:szCs w:val="22"/>
        </w:rPr>
      </w:pPr>
      <w:r w:rsidRPr="003E64AB">
        <w:rPr>
          <w:rFonts w:ascii="Arial" w:hAnsi="Arial" w:cs="Arial"/>
          <w:b/>
          <w:bCs/>
          <w:color w:val="000000"/>
          <w:sz w:val="22"/>
          <w:szCs w:val="22"/>
        </w:rPr>
        <w:t>No se consideran</w:t>
      </w:r>
      <w:r w:rsidRPr="003E64AB">
        <w:rPr>
          <w:rFonts w:ascii="Arial" w:hAnsi="Arial" w:cs="Arial"/>
          <w:color w:val="000000"/>
          <w:sz w:val="22"/>
          <w:szCs w:val="22"/>
        </w:rPr>
        <w:t>: No se consideran viviendas habituales los anexos o elementos que no constituyen efectivamente la vivienda propiamente dicha, como trasteros, jardines, parques, piscinas e instalaciones deportivas.</w:t>
      </w:r>
    </w:p>
    <w:p w14:paraId="792AAF48" w14:textId="77777777" w:rsidR="003E64AB" w:rsidRPr="003E64AB" w:rsidRDefault="003E64AB" w:rsidP="003E64AB">
      <w:pPr>
        <w:ind w:firstLine="708"/>
        <w:rPr>
          <w:b/>
          <w:bCs/>
        </w:rPr>
      </w:pPr>
      <w:r w:rsidRPr="003E64AB">
        <w:rPr>
          <w:b/>
          <w:bCs/>
        </w:rPr>
        <w:t>Importancia en la declaración de la renta</w:t>
      </w:r>
    </w:p>
    <w:p w14:paraId="7593630D" w14:textId="77777777" w:rsidR="003E64AB" w:rsidRPr="003E64AB" w:rsidRDefault="003E64AB" w:rsidP="003E64AB">
      <w:pPr>
        <w:ind w:left="708"/>
      </w:pPr>
      <w:r w:rsidRPr="003E64AB">
        <w:t>La vivienda habitual tiene implicaciones significativas en materia de impuestos. La Agencia Tributaria otorga beneficios, exenciones o reducciones impositivas a las personas que utilizan una propiedad como su residencia principal o vivienda habitual.</w:t>
      </w:r>
    </w:p>
    <w:p w14:paraId="324BDA57" w14:textId="77777777" w:rsidR="003E64AB" w:rsidRPr="003E64AB" w:rsidRDefault="003E64AB" w:rsidP="003E64AB">
      <w:pPr>
        <w:ind w:firstLine="708"/>
        <w:rPr>
          <w:b/>
          <w:bCs/>
        </w:rPr>
      </w:pPr>
      <w:r w:rsidRPr="003E64AB">
        <w:rPr>
          <w:b/>
          <w:bCs/>
        </w:rPr>
        <w:t>Reconocimiento por Hacienda</w:t>
      </w:r>
    </w:p>
    <w:p w14:paraId="230415BF" w14:textId="77777777" w:rsidR="003E64AB" w:rsidRPr="003E64AB" w:rsidRDefault="003E64AB" w:rsidP="003E64AB">
      <w:pPr>
        <w:ind w:left="708"/>
      </w:pPr>
      <w:r w:rsidRPr="003E64AB">
        <w:t>Hacienda reconoce la vivienda habitual cuando se cumplan los requisitos establecidos y se produzcan circunstancias justificadas. La Agencia Tributaria es la encargada de decidir si una vivienda tiene el carácter de habitual y, en consecuencia, si se aplican o no las ventajas fiscales correspondientes.</w:t>
      </w:r>
    </w:p>
    <w:p w14:paraId="6EC30791" w14:textId="77777777" w:rsidR="003E64AB" w:rsidRPr="003E64AB" w:rsidRDefault="003E64AB" w:rsidP="003E64AB">
      <w:pPr>
        <w:ind w:firstLine="708"/>
        <w:rPr>
          <w:b/>
          <w:bCs/>
        </w:rPr>
      </w:pPr>
      <w:r w:rsidRPr="003E64AB">
        <w:rPr>
          <w:b/>
          <w:bCs/>
        </w:rPr>
        <w:t>Ejemplos de circunstancias que justifican el cambio de vivienda habitual</w:t>
      </w:r>
    </w:p>
    <w:p w14:paraId="4B0634F2" w14:textId="77777777" w:rsidR="003E64AB" w:rsidRPr="003E64AB" w:rsidRDefault="003E64AB" w:rsidP="004F7A62">
      <w:pPr>
        <w:numPr>
          <w:ilvl w:val="0"/>
          <w:numId w:val="234"/>
        </w:numPr>
        <w:shd w:val="clear" w:color="auto" w:fill="FFFFFF"/>
        <w:spacing w:after="100" w:afterAutospacing="1"/>
        <w:rPr>
          <w:rFonts w:ascii="Arial" w:hAnsi="Arial" w:cs="Arial"/>
          <w:color w:val="000000"/>
          <w:sz w:val="22"/>
          <w:szCs w:val="22"/>
        </w:rPr>
      </w:pPr>
      <w:r w:rsidRPr="003E64AB">
        <w:rPr>
          <w:rFonts w:ascii="Arial" w:hAnsi="Arial" w:cs="Arial"/>
          <w:color w:val="000000"/>
          <w:sz w:val="22"/>
          <w:szCs w:val="22"/>
        </w:rPr>
        <w:t>Fallecimiento del contribuyente</w:t>
      </w:r>
    </w:p>
    <w:p w14:paraId="4829F7B6" w14:textId="77777777" w:rsidR="003E64AB" w:rsidRPr="003E64AB" w:rsidRDefault="003E64AB" w:rsidP="004F7A62">
      <w:pPr>
        <w:numPr>
          <w:ilvl w:val="0"/>
          <w:numId w:val="234"/>
        </w:numPr>
        <w:shd w:val="clear" w:color="auto" w:fill="FFFFFF"/>
        <w:spacing w:before="100" w:beforeAutospacing="1" w:after="100" w:afterAutospacing="1"/>
        <w:rPr>
          <w:rFonts w:ascii="Arial" w:hAnsi="Arial" w:cs="Arial"/>
          <w:color w:val="000000"/>
          <w:sz w:val="22"/>
          <w:szCs w:val="22"/>
        </w:rPr>
      </w:pPr>
      <w:r w:rsidRPr="003E64AB">
        <w:rPr>
          <w:rFonts w:ascii="Arial" w:hAnsi="Arial" w:cs="Arial"/>
          <w:color w:val="000000"/>
          <w:sz w:val="22"/>
          <w:szCs w:val="22"/>
        </w:rPr>
        <w:t>Celebración de matrimonio o separación matrimonial</w:t>
      </w:r>
    </w:p>
    <w:p w14:paraId="0D10EC1E" w14:textId="77777777" w:rsidR="003E64AB" w:rsidRPr="003E64AB" w:rsidRDefault="003E64AB" w:rsidP="004F7A62">
      <w:pPr>
        <w:numPr>
          <w:ilvl w:val="0"/>
          <w:numId w:val="234"/>
        </w:numPr>
        <w:shd w:val="clear" w:color="auto" w:fill="FFFFFF"/>
        <w:spacing w:before="100" w:beforeAutospacing="1" w:after="100" w:afterAutospacing="1"/>
        <w:rPr>
          <w:rFonts w:ascii="Arial" w:hAnsi="Arial" w:cs="Arial"/>
          <w:color w:val="000000"/>
          <w:sz w:val="22"/>
          <w:szCs w:val="22"/>
        </w:rPr>
      </w:pPr>
      <w:r w:rsidRPr="003E64AB">
        <w:rPr>
          <w:rFonts w:ascii="Arial" w:hAnsi="Arial" w:cs="Arial"/>
          <w:color w:val="000000"/>
          <w:sz w:val="22"/>
          <w:szCs w:val="22"/>
        </w:rPr>
        <w:t>Traslado laboral</w:t>
      </w:r>
    </w:p>
    <w:p w14:paraId="5D3EFD0F" w14:textId="77777777" w:rsidR="003E64AB" w:rsidRPr="003E64AB" w:rsidRDefault="003E64AB" w:rsidP="004F7A62">
      <w:pPr>
        <w:numPr>
          <w:ilvl w:val="0"/>
          <w:numId w:val="234"/>
        </w:numPr>
        <w:shd w:val="clear" w:color="auto" w:fill="FFFFFF"/>
        <w:spacing w:before="100" w:beforeAutospacing="1" w:after="100" w:afterAutospacing="1"/>
        <w:rPr>
          <w:rFonts w:ascii="Arial" w:hAnsi="Arial" w:cs="Arial"/>
          <w:color w:val="000000"/>
          <w:sz w:val="22"/>
          <w:szCs w:val="22"/>
        </w:rPr>
      </w:pPr>
      <w:r w:rsidRPr="003E64AB">
        <w:rPr>
          <w:rFonts w:ascii="Arial" w:hAnsi="Arial" w:cs="Arial"/>
          <w:color w:val="000000"/>
          <w:sz w:val="22"/>
          <w:szCs w:val="22"/>
        </w:rPr>
        <w:t>Obtención del primer empleo o cambio de empleo</w:t>
      </w:r>
    </w:p>
    <w:p w14:paraId="547F1133" w14:textId="77777777" w:rsidR="003E64AB" w:rsidRPr="003E64AB" w:rsidRDefault="003E64AB" w:rsidP="004F7A62">
      <w:pPr>
        <w:numPr>
          <w:ilvl w:val="0"/>
          <w:numId w:val="234"/>
        </w:numPr>
        <w:shd w:val="clear" w:color="auto" w:fill="FFFFFF"/>
        <w:spacing w:before="100" w:beforeAutospacing="1"/>
        <w:rPr>
          <w:rFonts w:ascii="Arial" w:hAnsi="Arial" w:cs="Arial"/>
          <w:color w:val="000000"/>
          <w:sz w:val="22"/>
          <w:szCs w:val="22"/>
        </w:rPr>
      </w:pPr>
      <w:r w:rsidRPr="003E64AB">
        <w:rPr>
          <w:rFonts w:ascii="Arial" w:hAnsi="Arial" w:cs="Arial"/>
          <w:color w:val="000000"/>
          <w:sz w:val="22"/>
          <w:szCs w:val="22"/>
        </w:rPr>
        <w:t>Otras circunstancias análogas justificadas</w:t>
      </w:r>
    </w:p>
    <w:p w14:paraId="73A9C035" w14:textId="77777777" w:rsidR="003E64AB" w:rsidRPr="00CF1B34" w:rsidRDefault="003E64AB" w:rsidP="003E64AB">
      <w:pPr>
        <w:pBdr>
          <w:bottom w:val="dotted" w:sz="12" w:space="12" w:color="666666"/>
        </w:pBdr>
        <w:spacing w:after="240"/>
        <w:ind w:left="720"/>
        <w:jc w:val="both"/>
        <w:rPr>
          <w:rFonts w:ascii="Arial" w:hAnsi="Arial" w:cs="Arial"/>
          <w:color w:val="212529"/>
          <w:sz w:val="22"/>
          <w:szCs w:val="22"/>
          <w:lang w:val="es-ES_tradnl"/>
        </w:rPr>
      </w:pPr>
      <w:r w:rsidRPr="003E64AB">
        <w:rPr>
          <w:rFonts w:ascii="Arial" w:hAnsi="Arial" w:cs="Arial"/>
          <w:color w:val="000000"/>
          <w:sz w:val="22"/>
          <w:szCs w:val="22"/>
        </w:rPr>
        <w:t>Es importante tener en cuenta que la vivienda habitual se considera como la residencia principal del contribuyente y no como una segunda residencia o propiedad vacacional.</w:t>
      </w:r>
    </w:p>
    <w:p w14:paraId="4F9D3257" w14:textId="3CC8D4F4" w:rsidR="004E69BA" w:rsidRPr="00CF1B34" w:rsidRDefault="004E69BA" w:rsidP="0005621A">
      <w:pPr>
        <w:jc w:val="both"/>
        <w:outlineLvl w:val="1"/>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Vivienda libre de cargas</w:t>
      </w:r>
    </w:p>
    <w:p w14:paraId="5CA10F04" w14:textId="51376C0B"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Refiriéndonos a viviendas, una</w:t>
      </w:r>
      <w:r w:rsidR="007B0CD8">
        <w:rPr>
          <w:rFonts w:ascii="Arial" w:hAnsi="Arial" w:cs="Arial"/>
          <w:sz w:val="22"/>
          <w:szCs w:val="22"/>
          <w:lang w:val="es-ES_tradnl"/>
        </w:rPr>
        <w:t xml:space="preserve"> </w:t>
      </w:r>
      <w:r w:rsidRPr="00CF1B34">
        <w:rPr>
          <w:rFonts w:ascii="Arial" w:hAnsi="Arial" w:cs="Arial"/>
          <w:b/>
          <w:bCs/>
          <w:sz w:val="22"/>
          <w:szCs w:val="22"/>
          <w:lang w:val="es-ES_tradnl"/>
        </w:rPr>
        <w:t>vivienda libre de cargas</w:t>
      </w:r>
      <w:r w:rsidR="007B0CD8">
        <w:rPr>
          <w:rFonts w:ascii="Arial" w:hAnsi="Arial" w:cs="Arial"/>
          <w:sz w:val="22"/>
          <w:szCs w:val="22"/>
          <w:lang w:val="es-ES_tradnl"/>
        </w:rPr>
        <w:t xml:space="preserve"> </w:t>
      </w:r>
      <w:r w:rsidRPr="00CF1B34">
        <w:rPr>
          <w:rFonts w:ascii="Arial" w:hAnsi="Arial" w:cs="Arial"/>
          <w:sz w:val="22"/>
          <w:szCs w:val="22"/>
          <w:lang w:val="es-ES_tradnl"/>
        </w:rPr>
        <w:t>es aquella sobre la que no pesa ningún tipo de embargo, deuda, cláusula resolutoria o hipoteca.</w:t>
      </w:r>
    </w:p>
    <w:p w14:paraId="29C9FD5F" w14:textId="4C631E6D"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Es la primera condición que tenemos que tener en cuenta a la hora de adquirir un inmueble, ya que</w:t>
      </w:r>
      <w:r w:rsidR="007B0CD8">
        <w:rPr>
          <w:rFonts w:ascii="Arial" w:hAnsi="Arial" w:cs="Arial"/>
          <w:sz w:val="22"/>
          <w:szCs w:val="22"/>
          <w:lang w:val="es-ES_tradnl"/>
        </w:rPr>
        <w:t>,</w:t>
      </w:r>
      <w:r w:rsidRPr="00CF1B34">
        <w:rPr>
          <w:rFonts w:ascii="Arial" w:hAnsi="Arial" w:cs="Arial"/>
          <w:sz w:val="22"/>
          <w:szCs w:val="22"/>
          <w:lang w:val="es-ES_tradnl"/>
        </w:rPr>
        <w:t xml:space="preserve"> al</w:t>
      </w:r>
      <w:r w:rsidR="007B0CD8">
        <w:rPr>
          <w:rFonts w:ascii="Arial" w:hAnsi="Arial" w:cs="Arial"/>
          <w:sz w:val="22"/>
          <w:szCs w:val="22"/>
          <w:lang w:val="es-ES_tradnl"/>
        </w:rPr>
        <w:t xml:space="preserve"> </w:t>
      </w:r>
      <w:r w:rsidRPr="00CF1B34">
        <w:rPr>
          <w:rFonts w:ascii="Arial" w:hAnsi="Arial" w:cs="Arial"/>
          <w:b/>
          <w:bCs/>
          <w:sz w:val="22"/>
          <w:szCs w:val="22"/>
          <w:lang w:val="es-ES_tradnl"/>
        </w:rPr>
        <w:t>comprar una vivienda</w:t>
      </w:r>
      <w:r w:rsidRPr="00CF1B34">
        <w:rPr>
          <w:rFonts w:ascii="Arial" w:hAnsi="Arial" w:cs="Arial"/>
          <w:sz w:val="22"/>
          <w:szCs w:val="22"/>
          <w:lang w:val="es-ES_tradnl"/>
        </w:rPr>
        <w:t>, lo hacemos con todas las deudas que pueda tener, y si viene con</w:t>
      </w:r>
      <w:r w:rsidR="00A869BB" w:rsidRPr="00CF1B34">
        <w:rPr>
          <w:rFonts w:ascii="Arial" w:hAnsi="Arial" w:cs="Arial"/>
          <w:sz w:val="22"/>
          <w:szCs w:val="22"/>
          <w:lang w:val="es-ES_tradnl"/>
        </w:rPr>
        <w:t xml:space="preserve"> </w:t>
      </w:r>
      <w:hyperlink r:id="rId361" w:history="1">
        <w:r w:rsidRPr="00CF1B34">
          <w:rPr>
            <w:rFonts w:ascii="Arial" w:hAnsi="Arial" w:cs="Arial"/>
            <w:color w:val="BD4313"/>
            <w:sz w:val="22"/>
            <w:szCs w:val="22"/>
            <w:u w:val="single"/>
            <w:lang w:val="es-ES_tradnl"/>
          </w:rPr>
          <w:t>hipoteca</w:t>
        </w:r>
      </w:hyperlink>
      <w:r w:rsidR="00A869BB" w:rsidRPr="00CF1B34">
        <w:rPr>
          <w:rFonts w:ascii="Arial" w:hAnsi="Arial" w:cs="Arial"/>
          <w:sz w:val="22"/>
          <w:szCs w:val="22"/>
          <w:lang w:val="es-ES_tradnl"/>
        </w:rPr>
        <w:t xml:space="preserve"> </w:t>
      </w:r>
      <w:r w:rsidRPr="00CF1B34">
        <w:rPr>
          <w:rFonts w:ascii="Arial" w:hAnsi="Arial" w:cs="Arial"/>
          <w:sz w:val="22"/>
          <w:szCs w:val="22"/>
          <w:lang w:val="es-ES_tradnl"/>
        </w:rPr>
        <w:t>tendremos que responder por esa carga.</w:t>
      </w:r>
    </w:p>
    <w:p w14:paraId="4509F516"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este motivo, antes de llevar a cabo cualquier compra tendremos que ir al Registro de la propiedad y realizar esta comprobación, solicitando una nota simple (también podemos hacerlo desde la página web del Colegio de Registradores.). Este dato tiene carácter público (todo el mundo puede consultarlo), y tiene un importe de 4€.</w:t>
      </w:r>
    </w:p>
    <w:p w14:paraId="2A0C2316"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Si nos encontramos que la vivienda tiene una hipoteca podemos pedirle al vendedor que la cancele (es decir, que salde la deuda antes de vender); que descuente la cantidad pendiente de pago de precio del inmueble; o que subrogue la hipoteca para cambiar de deudor (en este caso, nosotros), siempre que el banco esté de acuerdo.</w:t>
      </w:r>
    </w:p>
    <w:p w14:paraId="2EAAD185"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 xml:space="preserve">Una vez que tengamos la nota simple, además tendremos que comprobar que no haya impagos en la comunidad de vecinos. Para ello conviene pedir un justificante de pagos al administrador de la finca o al presidente de la comunidad; así podremos asegurarnos de que el actual propietario esté al corriente de pagos en los recibos y las posibles derramas </w:t>
      </w:r>
      <w:r w:rsidRPr="00CF1B34">
        <w:rPr>
          <w:rFonts w:ascii="Arial" w:hAnsi="Arial" w:cs="Arial"/>
          <w:sz w:val="22"/>
          <w:szCs w:val="22"/>
          <w:lang w:val="es-ES_tradnl"/>
        </w:rPr>
        <w:lastRenderedPageBreak/>
        <w:t>de la comunidad. Podremos pedirle que nos entregue un certificado que lo acredite, porque en caso contrario podríamos asumir las posibles deudas que hubiera contraído con la comunidad.</w:t>
      </w:r>
    </w:p>
    <w:p w14:paraId="6A349C94"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Por último, tendremos que comprobar que haya abonado los tributos municipales, como el Impuesto de Bienes Inmuebles (IBI).</w:t>
      </w:r>
    </w:p>
    <w:p w14:paraId="7F67BB9E"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supondría comprar un inmueble que no esté libre de cargas?</w:t>
      </w:r>
    </w:p>
    <w:p w14:paraId="4995A524" w14:textId="77777777" w:rsidR="004E69BA" w:rsidRPr="00CF1B34" w:rsidRDefault="004E69BA" w:rsidP="0005621A">
      <w:pPr>
        <w:spacing w:after="100" w:afterAutospacing="1"/>
        <w:ind w:left="708"/>
        <w:jc w:val="both"/>
        <w:rPr>
          <w:rFonts w:ascii="Arial" w:hAnsi="Arial" w:cs="Arial"/>
          <w:sz w:val="22"/>
          <w:szCs w:val="22"/>
          <w:lang w:val="es-ES_tradnl"/>
        </w:rPr>
      </w:pPr>
      <w:proofErr w:type="gramStart"/>
      <w:r w:rsidRPr="00CF1B34">
        <w:rPr>
          <w:rFonts w:ascii="Arial" w:hAnsi="Arial" w:cs="Arial"/>
          <w:sz w:val="22"/>
          <w:szCs w:val="22"/>
          <w:lang w:val="es-ES_tradnl"/>
        </w:rPr>
        <w:t>Pues</w:t>
      </w:r>
      <w:proofErr w:type="gramEnd"/>
      <w:r w:rsidRPr="00CF1B34">
        <w:rPr>
          <w:rFonts w:ascii="Arial" w:hAnsi="Arial" w:cs="Arial"/>
          <w:sz w:val="22"/>
          <w:szCs w:val="22"/>
          <w:lang w:val="es-ES_tradnl"/>
        </w:rPr>
        <w:t xml:space="preserve"> en primer lugar, supone que tendríamos que hacer frente a todas ellas. Al comprar un inmueble se nos transmitirán todas las deudas que el vendedor no hubiera finiquitado. En caso de que estuviéramos dispuestos a asumirlas, tendríamos que llegar a un acuerdo con el vendedor.</w:t>
      </w:r>
    </w:p>
    <w:p w14:paraId="0CED42F4" w14:textId="77777777" w:rsidR="004E69BA" w:rsidRPr="00CF1B34" w:rsidRDefault="004E69BA" w:rsidP="0005621A">
      <w:pPr>
        <w:spacing w:before="100" w:beforeAutospacing="1" w:after="100" w:afterAutospacing="1"/>
        <w:ind w:firstLine="708"/>
        <w:jc w:val="both"/>
        <w:outlineLvl w:val="1"/>
        <w:rPr>
          <w:rFonts w:ascii="Arial" w:hAnsi="Arial" w:cs="Arial"/>
          <w:sz w:val="22"/>
          <w:szCs w:val="22"/>
          <w:lang w:val="es-ES_tradnl"/>
        </w:rPr>
      </w:pPr>
      <w:r w:rsidRPr="00CF1B34">
        <w:rPr>
          <w:rFonts w:ascii="Arial" w:hAnsi="Arial" w:cs="Arial"/>
          <w:b/>
          <w:bCs/>
          <w:sz w:val="22"/>
          <w:szCs w:val="22"/>
          <w:lang w:val="es-ES_tradnl"/>
        </w:rPr>
        <w:t>¿Qué otros tipos de cargas existen?</w:t>
      </w:r>
    </w:p>
    <w:p w14:paraId="052E3B33"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 de las que ya hemos visto (las hipotecas, las cargas de la finca y las cargas registrales, que son las que se pueden comprobar en el Registro de la propiedad), una vivienda que no esté libre de cargas podrá arrastrar:</w:t>
      </w:r>
    </w:p>
    <w:p w14:paraId="59A1BB9D" w14:textId="2EDE517D"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w:t>
      </w:r>
      <w:r w:rsidR="007B0CD8">
        <w:rPr>
          <w:rFonts w:ascii="Arial" w:hAnsi="Arial" w:cs="Arial"/>
          <w:sz w:val="22"/>
          <w:szCs w:val="22"/>
          <w:lang w:val="es-ES_tradnl"/>
        </w:rPr>
        <w:t xml:space="preserve"> </w:t>
      </w:r>
      <w:r w:rsidRPr="00CF1B34">
        <w:rPr>
          <w:rFonts w:ascii="Arial" w:hAnsi="Arial" w:cs="Arial"/>
          <w:b/>
          <w:bCs/>
          <w:sz w:val="22"/>
          <w:szCs w:val="22"/>
          <w:lang w:val="es-ES_tradnl"/>
        </w:rPr>
        <w:t>nota marginal de la ejecución hipotecaria</w:t>
      </w:r>
      <w:r w:rsidRPr="00CF1B34">
        <w:rPr>
          <w:rFonts w:ascii="Arial" w:hAnsi="Arial" w:cs="Arial"/>
          <w:sz w:val="22"/>
          <w:szCs w:val="22"/>
          <w:lang w:val="es-ES_tradnl"/>
        </w:rPr>
        <w:t>, que es un escrito en el que el banco informa de que va a embargar la vivienda por impago. Así que, si fuéramos a comprar el inmueble, antes tendríamos que pedir la cancelación de dicha ejecución y proceder a la compraventa una vez que obtuviéramos la aprobación de un juez.</w:t>
      </w:r>
    </w:p>
    <w:p w14:paraId="2CA756B2" w14:textId="21E907B9"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Además</w:t>
      </w:r>
      <w:r w:rsidR="007B0CD8">
        <w:rPr>
          <w:rFonts w:ascii="Arial" w:hAnsi="Arial" w:cs="Arial"/>
          <w:sz w:val="22"/>
          <w:szCs w:val="22"/>
          <w:lang w:val="es-ES_tradnl"/>
        </w:rPr>
        <w:t>,</w:t>
      </w:r>
      <w:r w:rsidRPr="00CF1B34">
        <w:rPr>
          <w:rFonts w:ascii="Arial" w:hAnsi="Arial" w:cs="Arial"/>
          <w:sz w:val="22"/>
          <w:szCs w:val="22"/>
          <w:lang w:val="es-ES_tradnl"/>
        </w:rPr>
        <w:t xml:space="preserve"> los</w:t>
      </w:r>
      <w:r w:rsidR="007B0CD8">
        <w:rPr>
          <w:rFonts w:ascii="Arial" w:hAnsi="Arial" w:cs="Arial"/>
          <w:sz w:val="22"/>
          <w:szCs w:val="22"/>
          <w:lang w:val="es-ES_tradnl"/>
        </w:rPr>
        <w:t xml:space="preserve"> </w:t>
      </w:r>
      <w:r w:rsidRPr="00CF1B34">
        <w:rPr>
          <w:rFonts w:ascii="Arial" w:hAnsi="Arial" w:cs="Arial"/>
          <w:b/>
          <w:bCs/>
          <w:sz w:val="22"/>
          <w:szCs w:val="22"/>
          <w:lang w:val="es-ES_tradnl"/>
        </w:rPr>
        <w:t>usufructos y servidumbres</w:t>
      </w:r>
      <w:r w:rsidRPr="00CF1B34">
        <w:rPr>
          <w:rFonts w:ascii="Arial" w:hAnsi="Arial" w:cs="Arial"/>
          <w:sz w:val="22"/>
          <w:szCs w:val="22"/>
          <w:lang w:val="es-ES_tradnl"/>
        </w:rPr>
        <w:t>, que no implican pagos, pero sí restricciones de la vivienda. Es decir, los derechos que un tercero pudiera tener sobre ella.</w:t>
      </w:r>
    </w:p>
    <w:p w14:paraId="2AB5AA48" w14:textId="77777777" w:rsidR="004E69BA" w:rsidRPr="00CF1B34" w:rsidRDefault="004E69BA" w:rsidP="0005621A">
      <w:pPr>
        <w:spacing w:after="100" w:afterAutospacing="1"/>
        <w:ind w:left="708"/>
        <w:jc w:val="both"/>
        <w:rPr>
          <w:rFonts w:ascii="Arial" w:hAnsi="Arial" w:cs="Arial"/>
          <w:sz w:val="22"/>
          <w:szCs w:val="22"/>
          <w:lang w:val="es-ES_tradnl"/>
        </w:rPr>
      </w:pPr>
      <w:r w:rsidRPr="00CF1B34">
        <w:rPr>
          <w:rFonts w:ascii="Arial" w:hAnsi="Arial" w:cs="Arial"/>
          <w:sz w:val="22"/>
          <w:szCs w:val="22"/>
          <w:lang w:val="es-ES_tradnl"/>
        </w:rPr>
        <w:t>Las </w:t>
      </w:r>
      <w:r w:rsidRPr="00CF1B34">
        <w:rPr>
          <w:rFonts w:ascii="Arial" w:hAnsi="Arial" w:cs="Arial"/>
          <w:b/>
          <w:bCs/>
          <w:sz w:val="22"/>
          <w:szCs w:val="22"/>
          <w:lang w:val="es-ES_tradnl"/>
        </w:rPr>
        <w:t>anotaciones de embargo</w:t>
      </w:r>
      <w:r w:rsidRPr="00CF1B34">
        <w:rPr>
          <w:rFonts w:ascii="Arial" w:hAnsi="Arial" w:cs="Arial"/>
          <w:sz w:val="22"/>
          <w:szCs w:val="22"/>
          <w:lang w:val="es-ES_tradnl"/>
        </w:rPr>
        <w:t xml:space="preserve">, que existen si el vendedor ha contraído una deuda con un tercero y está pendiente de un juicio; sus bienes podrían. Er la garantía de pago de su deuda. </w:t>
      </w:r>
      <w:proofErr w:type="gramStart"/>
      <w:r w:rsidRPr="00CF1B34">
        <w:rPr>
          <w:rFonts w:ascii="Arial" w:hAnsi="Arial" w:cs="Arial"/>
          <w:sz w:val="22"/>
          <w:szCs w:val="22"/>
          <w:lang w:val="es-ES_tradnl"/>
        </w:rPr>
        <w:t>Y</w:t>
      </w:r>
      <w:proofErr w:type="gramEnd"/>
      <w:r w:rsidRPr="00CF1B34">
        <w:rPr>
          <w:rFonts w:ascii="Arial" w:hAnsi="Arial" w:cs="Arial"/>
          <w:sz w:val="22"/>
          <w:szCs w:val="22"/>
          <w:lang w:val="es-ES_tradnl"/>
        </w:rPr>
        <w:t xml:space="preserve"> por último, el concurso de acreedores.</w:t>
      </w:r>
    </w:p>
    <w:p w14:paraId="79833003"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En caso de que el inmueble haya pasado a ser propiedad de una empresa, tendríamos que asegurarnos de que no estuviera en bancarrota ya que, de estar embargada, no podríamos comprar la vivienda.</w:t>
      </w:r>
    </w:p>
    <w:p w14:paraId="3009279D" w14:textId="41DACD4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Vocación inversora</w:t>
      </w:r>
    </w:p>
    <w:p w14:paraId="6A417039" w14:textId="54B135CC"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Ver</w:t>
      </w:r>
      <w:r w:rsidR="00A869BB" w:rsidRPr="00CF1B34">
        <w:rPr>
          <w:rFonts w:ascii="Arial" w:hAnsi="Arial" w:cs="Arial"/>
          <w:color w:val="212529"/>
          <w:sz w:val="22"/>
          <w:szCs w:val="22"/>
          <w:lang w:val="es-ES_tradnl"/>
        </w:rPr>
        <w:t xml:space="preserve"> </w:t>
      </w:r>
      <w:hyperlink r:id="rId362" w:tgtFrame="_self" w:history="1">
        <w:r w:rsidRPr="00CF1B34">
          <w:rPr>
            <w:rFonts w:ascii="Arial" w:hAnsi="Arial" w:cs="Arial"/>
            <w:b/>
            <w:bCs/>
            <w:color w:val="2F5496" w:themeColor="accent1" w:themeShade="BF"/>
            <w:sz w:val="22"/>
            <w:szCs w:val="22"/>
            <w:u w:val="single"/>
            <w:lang w:val="es-ES_tradnl"/>
          </w:rPr>
          <w:t>Política de inversión</w:t>
        </w:r>
      </w:hyperlink>
      <w:r w:rsidRPr="00CF1B34">
        <w:rPr>
          <w:rFonts w:ascii="Arial" w:hAnsi="Arial" w:cs="Arial"/>
          <w:color w:val="212529"/>
          <w:sz w:val="22"/>
          <w:szCs w:val="22"/>
          <w:lang w:val="es-ES_tradnl"/>
        </w:rPr>
        <w:t>.</w:t>
      </w:r>
    </w:p>
    <w:p w14:paraId="06D9B6D4" w14:textId="5EBD6368" w:rsidR="008F1575" w:rsidRPr="00CF1B34" w:rsidRDefault="008F1575"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Volatilidad </w:t>
      </w:r>
    </w:p>
    <w:p w14:paraId="412B3282" w14:textId="66D0B7C8" w:rsidR="007B0CD8" w:rsidRPr="007B0CD8" w:rsidRDefault="003B5B57" w:rsidP="007B0CD8">
      <w:pPr>
        <w:pStyle w:val="Sinespaciado"/>
        <w:ind w:left="708"/>
        <w:rPr>
          <w:rFonts w:ascii="Arial" w:hAnsi="Arial" w:cs="Arial"/>
          <w:sz w:val="22"/>
          <w:szCs w:val="22"/>
        </w:rPr>
      </w:pPr>
      <w:r w:rsidRPr="007B0CD8">
        <w:rPr>
          <w:rFonts w:ascii="Arial" w:hAnsi="Arial" w:cs="Arial"/>
          <w:color w:val="000000" w:themeColor="text1"/>
          <w:sz w:val="22"/>
          <w:szCs w:val="22"/>
          <w:lang w:val="es-ES_tradnl"/>
        </w:rPr>
        <w:t>Una acción se considera volátil cuando su p</w:t>
      </w:r>
      <w:r w:rsidR="007B0CD8" w:rsidRPr="007B0CD8">
        <w:rPr>
          <w:rFonts w:ascii="Arial" w:hAnsi="Arial" w:cs="Arial"/>
          <w:color w:val="000000" w:themeColor="text1"/>
          <w:sz w:val="22"/>
          <w:szCs w:val="22"/>
          <w:lang w:val="es-ES_tradnl"/>
        </w:rPr>
        <w:t>r</w:t>
      </w:r>
      <w:r w:rsidRPr="007B0CD8">
        <w:rPr>
          <w:rFonts w:ascii="Arial" w:hAnsi="Arial" w:cs="Arial"/>
          <w:color w:val="000000" w:themeColor="text1"/>
          <w:sz w:val="22"/>
          <w:szCs w:val="22"/>
          <w:lang w:val="es-ES_tradnl"/>
        </w:rPr>
        <w:t>ecio</w:t>
      </w:r>
      <w:r w:rsidR="007B0CD8" w:rsidRPr="007B0CD8">
        <w:rPr>
          <w:rFonts w:ascii="Arial" w:hAnsi="Arial" w:cs="Arial"/>
          <w:color w:val="000000" w:themeColor="text1"/>
          <w:sz w:val="22"/>
          <w:szCs w:val="22"/>
          <w:lang w:val="es-ES_tradnl"/>
        </w:rPr>
        <w:t xml:space="preserve">, </w:t>
      </w:r>
      <w:r w:rsidRPr="007B0CD8">
        <w:rPr>
          <w:rFonts w:ascii="Arial" w:hAnsi="Arial" w:cs="Arial"/>
          <w:color w:val="000000" w:themeColor="text1"/>
          <w:sz w:val="22"/>
          <w:szCs w:val="22"/>
          <w:lang w:val="es-ES_tradnl"/>
        </w:rPr>
        <w:t>varia con una gran amplitud en relación con la variación el mercado.</w:t>
      </w:r>
      <w:r w:rsidR="007B0CD8" w:rsidRPr="007B0CD8">
        <w:rPr>
          <w:rFonts w:ascii="Arial" w:hAnsi="Arial" w:cs="Arial"/>
          <w:color w:val="000000" w:themeColor="text1"/>
          <w:sz w:val="22"/>
          <w:szCs w:val="22"/>
          <w:lang w:val="es-ES_tradnl"/>
        </w:rPr>
        <w:t xml:space="preserve"> Por lo tanto, </w:t>
      </w:r>
      <w:r w:rsidR="007B0CD8" w:rsidRPr="007B0CD8">
        <w:rPr>
          <w:rFonts w:ascii="Arial" w:hAnsi="Arial" w:cs="Arial"/>
          <w:sz w:val="22"/>
          <w:szCs w:val="22"/>
        </w:rPr>
        <w:t xml:space="preserve">La volatilidad financiera se refiere a la </w:t>
      </w:r>
      <w:r w:rsidR="007B0CD8" w:rsidRPr="007B0CD8">
        <w:rPr>
          <w:rFonts w:ascii="Arial" w:hAnsi="Arial" w:cs="Arial"/>
          <w:b/>
          <w:bCs/>
          <w:sz w:val="22"/>
          <w:szCs w:val="22"/>
        </w:rPr>
        <w:t>variabilidad de los precios de un activo financiero, como acciones, bonos o índices bursátiles, en el tiempo</w:t>
      </w:r>
      <w:r w:rsidR="007B0CD8" w:rsidRPr="007B0CD8">
        <w:rPr>
          <w:rFonts w:ascii="Arial" w:hAnsi="Arial" w:cs="Arial"/>
          <w:sz w:val="22"/>
          <w:szCs w:val="22"/>
        </w:rPr>
        <w:t>. Esta variabilidad se mide a través de la desviación estándar de los cambios en el precio del activo, lo que representa la probabilidad de que el precio cambie significativamente en un breve plazo.</w:t>
      </w:r>
    </w:p>
    <w:p w14:paraId="313D87FC" w14:textId="77777777" w:rsidR="007B0CD8" w:rsidRPr="007B0CD8" w:rsidRDefault="007B0CD8" w:rsidP="007B0CD8">
      <w:pPr>
        <w:ind w:firstLine="708"/>
        <w:rPr>
          <w:rFonts w:ascii="Arial" w:hAnsi="Arial" w:cs="Arial"/>
          <w:b/>
          <w:bCs/>
          <w:sz w:val="22"/>
          <w:szCs w:val="22"/>
        </w:rPr>
      </w:pPr>
      <w:r w:rsidRPr="007B0CD8">
        <w:rPr>
          <w:rFonts w:ascii="Arial" w:hAnsi="Arial" w:cs="Arial"/>
          <w:b/>
          <w:bCs/>
          <w:sz w:val="22"/>
          <w:szCs w:val="22"/>
        </w:rPr>
        <w:t>Componentes de la Volatilidad</w:t>
      </w:r>
    </w:p>
    <w:p w14:paraId="20969176" w14:textId="77777777" w:rsidR="007B0CD8" w:rsidRPr="007B0CD8" w:rsidRDefault="007B0CD8" w:rsidP="007B0CD8">
      <w:pPr>
        <w:ind w:firstLine="708"/>
        <w:rPr>
          <w:rFonts w:ascii="Arial" w:hAnsi="Arial" w:cs="Arial"/>
          <w:color w:val="000000"/>
          <w:sz w:val="22"/>
          <w:szCs w:val="22"/>
        </w:rPr>
      </w:pPr>
      <w:r w:rsidRPr="007B0CD8">
        <w:rPr>
          <w:rFonts w:ascii="Arial" w:hAnsi="Arial" w:cs="Arial"/>
          <w:color w:val="000000"/>
          <w:sz w:val="22"/>
          <w:szCs w:val="22"/>
        </w:rPr>
        <w:t>La volatilidad financiera se compone de dos tipos de riesgos:</w:t>
      </w:r>
    </w:p>
    <w:p w14:paraId="4B571736" w14:textId="77777777" w:rsidR="007B0CD8" w:rsidRPr="007B0CD8" w:rsidRDefault="007B0CD8" w:rsidP="004F7A62">
      <w:pPr>
        <w:numPr>
          <w:ilvl w:val="0"/>
          <w:numId w:val="230"/>
        </w:numPr>
        <w:shd w:val="clear" w:color="auto" w:fill="FFFFFF"/>
        <w:spacing w:afterAutospacing="1"/>
        <w:rPr>
          <w:rFonts w:ascii="Arial" w:hAnsi="Arial" w:cs="Arial"/>
          <w:color w:val="000000"/>
          <w:sz w:val="22"/>
          <w:szCs w:val="22"/>
        </w:rPr>
      </w:pPr>
      <w:r w:rsidRPr="007B0CD8">
        <w:rPr>
          <w:rFonts w:ascii="Arial" w:hAnsi="Arial" w:cs="Arial"/>
          <w:b/>
          <w:bCs/>
          <w:color w:val="000000"/>
          <w:sz w:val="22"/>
          <w:szCs w:val="22"/>
        </w:rPr>
        <w:t>Riesgos internos</w:t>
      </w:r>
      <w:r w:rsidRPr="007B0CD8">
        <w:rPr>
          <w:rFonts w:ascii="Arial" w:hAnsi="Arial" w:cs="Arial"/>
          <w:color w:val="000000"/>
          <w:sz w:val="22"/>
          <w:szCs w:val="22"/>
        </w:rPr>
        <w:t>: Provocados por la actuación de la propia empresa, como cambios en la estrategia, la producción o la solvencia financiera.</w:t>
      </w:r>
    </w:p>
    <w:p w14:paraId="6722470F" w14:textId="77777777" w:rsidR="007B0CD8" w:rsidRPr="007B0CD8" w:rsidRDefault="007B0CD8" w:rsidP="004F7A62">
      <w:pPr>
        <w:numPr>
          <w:ilvl w:val="0"/>
          <w:numId w:val="230"/>
        </w:numPr>
        <w:shd w:val="clear" w:color="auto" w:fill="FFFFFF"/>
        <w:spacing w:beforeAutospacing="1"/>
        <w:rPr>
          <w:rFonts w:ascii="Arial" w:hAnsi="Arial" w:cs="Arial"/>
          <w:color w:val="000000"/>
          <w:sz w:val="22"/>
          <w:szCs w:val="22"/>
        </w:rPr>
      </w:pPr>
      <w:r w:rsidRPr="007B0CD8">
        <w:rPr>
          <w:rFonts w:ascii="Arial" w:hAnsi="Arial" w:cs="Arial"/>
          <w:b/>
          <w:bCs/>
          <w:color w:val="000000"/>
          <w:sz w:val="22"/>
          <w:szCs w:val="22"/>
        </w:rPr>
        <w:t>Riesgos externos</w:t>
      </w:r>
      <w:r w:rsidRPr="007B0CD8">
        <w:rPr>
          <w:rFonts w:ascii="Arial" w:hAnsi="Arial" w:cs="Arial"/>
          <w:color w:val="000000"/>
          <w:sz w:val="22"/>
          <w:szCs w:val="22"/>
        </w:rPr>
        <w:t>: Derivados del entorno económico, político y sectorial, como cambios en la política monetaria, la tasa de interés o la situación económica general.</w:t>
      </w:r>
    </w:p>
    <w:p w14:paraId="290CFF7D" w14:textId="77777777" w:rsidR="007B0CD8" w:rsidRPr="007B0CD8" w:rsidRDefault="007B0CD8" w:rsidP="007B0CD8">
      <w:pPr>
        <w:ind w:firstLine="708"/>
        <w:rPr>
          <w:rFonts w:ascii="Arial" w:hAnsi="Arial" w:cs="Arial"/>
          <w:b/>
          <w:bCs/>
          <w:sz w:val="22"/>
          <w:szCs w:val="22"/>
        </w:rPr>
      </w:pPr>
      <w:r w:rsidRPr="007B0CD8">
        <w:rPr>
          <w:rFonts w:ascii="Arial" w:hAnsi="Arial" w:cs="Arial"/>
          <w:b/>
          <w:bCs/>
          <w:sz w:val="22"/>
          <w:szCs w:val="22"/>
        </w:rPr>
        <w:lastRenderedPageBreak/>
        <w:t>Importancia de la Volatilidad</w:t>
      </w:r>
    </w:p>
    <w:p w14:paraId="72B22D9B" w14:textId="77777777" w:rsidR="007B0CD8" w:rsidRPr="007B0CD8" w:rsidRDefault="007B0CD8" w:rsidP="007B0CD8">
      <w:pPr>
        <w:ind w:firstLine="708"/>
        <w:rPr>
          <w:rFonts w:ascii="Arial" w:hAnsi="Arial" w:cs="Arial"/>
          <w:sz w:val="22"/>
          <w:szCs w:val="22"/>
        </w:rPr>
      </w:pPr>
      <w:r w:rsidRPr="007B0CD8">
        <w:rPr>
          <w:rFonts w:ascii="Arial" w:hAnsi="Arial" w:cs="Arial"/>
          <w:sz w:val="22"/>
          <w:szCs w:val="22"/>
        </w:rPr>
        <w:t>La volatilidad financiera es importante porque:</w:t>
      </w:r>
    </w:p>
    <w:p w14:paraId="388C9349" w14:textId="77777777" w:rsidR="007B0CD8" w:rsidRPr="007B0CD8" w:rsidRDefault="007B0CD8" w:rsidP="004F7A62">
      <w:pPr>
        <w:numPr>
          <w:ilvl w:val="0"/>
          <w:numId w:val="231"/>
        </w:numPr>
        <w:shd w:val="clear" w:color="auto" w:fill="FFFFFF"/>
        <w:spacing w:afterAutospacing="1"/>
        <w:rPr>
          <w:rFonts w:ascii="Arial" w:hAnsi="Arial" w:cs="Arial"/>
          <w:color w:val="000000"/>
          <w:sz w:val="22"/>
          <w:szCs w:val="22"/>
        </w:rPr>
      </w:pPr>
      <w:r w:rsidRPr="007B0CD8">
        <w:rPr>
          <w:rFonts w:ascii="Arial" w:hAnsi="Arial" w:cs="Arial"/>
          <w:b/>
          <w:bCs/>
          <w:color w:val="000000"/>
          <w:sz w:val="22"/>
          <w:szCs w:val="22"/>
        </w:rPr>
        <w:t>Influye en el riesgo de inversión</w:t>
      </w:r>
      <w:r w:rsidRPr="007B0CD8">
        <w:rPr>
          <w:rFonts w:ascii="Arial" w:hAnsi="Arial" w:cs="Arial"/>
          <w:color w:val="000000"/>
          <w:sz w:val="22"/>
          <w:szCs w:val="22"/>
        </w:rPr>
        <w:t>: Una alta volatilidad trae mayor riesgo de inversión, mientras que una baja implica menor riesgo.</w:t>
      </w:r>
    </w:p>
    <w:p w14:paraId="03FB3AA7" w14:textId="77777777" w:rsidR="007B0CD8" w:rsidRPr="007B0CD8" w:rsidRDefault="007B0CD8" w:rsidP="004F7A62">
      <w:pPr>
        <w:numPr>
          <w:ilvl w:val="0"/>
          <w:numId w:val="231"/>
        </w:numPr>
        <w:shd w:val="clear" w:color="auto" w:fill="FFFFFF"/>
        <w:spacing w:beforeAutospacing="1" w:afterAutospacing="1"/>
        <w:rPr>
          <w:rFonts w:ascii="Arial" w:hAnsi="Arial" w:cs="Arial"/>
          <w:color w:val="000000"/>
          <w:sz w:val="22"/>
          <w:szCs w:val="22"/>
        </w:rPr>
      </w:pPr>
      <w:r w:rsidRPr="007B0CD8">
        <w:rPr>
          <w:rFonts w:ascii="Arial" w:hAnsi="Arial" w:cs="Arial"/>
          <w:b/>
          <w:bCs/>
          <w:color w:val="000000"/>
          <w:sz w:val="22"/>
          <w:szCs w:val="22"/>
        </w:rPr>
        <w:t>Puede afectar la rentabilidad</w:t>
      </w:r>
      <w:r w:rsidRPr="007B0CD8">
        <w:rPr>
          <w:rFonts w:ascii="Arial" w:hAnsi="Arial" w:cs="Arial"/>
          <w:color w:val="000000"/>
          <w:sz w:val="22"/>
          <w:szCs w:val="22"/>
        </w:rPr>
        <w:t>: Las variaciones en los mercados financieros pueden influir negativamente o positivamente en la rentabilidad de una inversión.</w:t>
      </w:r>
    </w:p>
    <w:p w14:paraId="5805D80E" w14:textId="77777777" w:rsidR="007B0CD8" w:rsidRPr="007B0CD8" w:rsidRDefault="007B0CD8" w:rsidP="004F7A62">
      <w:pPr>
        <w:numPr>
          <w:ilvl w:val="0"/>
          <w:numId w:val="231"/>
        </w:numPr>
        <w:shd w:val="clear" w:color="auto" w:fill="FFFFFF"/>
        <w:spacing w:beforeAutospacing="1"/>
        <w:rPr>
          <w:rFonts w:ascii="Arial" w:hAnsi="Arial" w:cs="Arial"/>
          <w:color w:val="000000"/>
          <w:sz w:val="22"/>
          <w:szCs w:val="22"/>
        </w:rPr>
      </w:pPr>
      <w:r w:rsidRPr="007B0CD8">
        <w:rPr>
          <w:rFonts w:ascii="Arial" w:hAnsi="Arial" w:cs="Arial"/>
          <w:b/>
          <w:bCs/>
          <w:color w:val="000000"/>
          <w:sz w:val="22"/>
          <w:szCs w:val="22"/>
        </w:rPr>
        <w:t>Se utiliza para calcular la volatilidad histórica</w:t>
      </w:r>
      <w:r w:rsidRPr="007B0CD8">
        <w:rPr>
          <w:rFonts w:ascii="Arial" w:hAnsi="Arial" w:cs="Arial"/>
          <w:color w:val="000000"/>
          <w:sz w:val="22"/>
          <w:szCs w:val="22"/>
        </w:rPr>
        <w:t>: La volatilidad histórica se basa en la variabilidad de la rentabilidad (no del precio) de un activo financiero en un período de tiempo respecto a la rentabilidad promedio en ese período.</w:t>
      </w:r>
    </w:p>
    <w:p w14:paraId="733E848C" w14:textId="77777777" w:rsidR="007B0CD8" w:rsidRPr="007B0CD8" w:rsidRDefault="007B0CD8" w:rsidP="007B0CD8">
      <w:pPr>
        <w:ind w:firstLine="708"/>
        <w:rPr>
          <w:rFonts w:ascii="Arial" w:hAnsi="Arial" w:cs="Arial"/>
          <w:b/>
          <w:bCs/>
          <w:sz w:val="22"/>
          <w:szCs w:val="22"/>
        </w:rPr>
      </w:pPr>
      <w:r w:rsidRPr="007B0CD8">
        <w:rPr>
          <w:rFonts w:ascii="Arial" w:hAnsi="Arial" w:cs="Arial"/>
          <w:b/>
          <w:bCs/>
          <w:sz w:val="22"/>
          <w:szCs w:val="22"/>
        </w:rPr>
        <w:t>Estrategias para Manejar la Volatilidad</w:t>
      </w:r>
    </w:p>
    <w:p w14:paraId="406FEB8A" w14:textId="77777777" w:rsidR="007B0CD8" w:rsidRPr="007B0CD8" w:rsidRDefault="007B0CD8" w:rsidP="007B0CD8">
      <w:pPr>
        <w:ind w:firstLine="708"/>
        <w:rPr>
          <w:rFonts w:ascii="Arial" w:hAnsi="Arial" w:cs="Arial"/>
          <w:sz w:val="22"/>
          <w:szCs w:val="22"/>
        </w:rPr>
      </w:pPr>
      <w:r w:rsidRPr="007B0CD8">
        <w:rPr>
          <w:rFonts w:ascii="Arial" w:hAnsi="Arial" w:cs="Arial"/>
          <w:sz w:val="22"/>
          <w:szCs w:val="22"/>
        </w:rPr>
        <w:t>Para minimizar el impacto de la volatilidad financiera en una inversión:</w:t>
      </w:r>
    </w:p>
    <w:p w14:paraId="20ABF091" w14:textId="77777777" w:rsidR="007B0CD8" w:rsidRPr="007B0CD8" w:rsidRDefault="007B0CD8" w:rsidP="004F7A62">
      <w:pPr>
        <w:numPr>
          <w:ilvl w:val="0"/>
          <w:numId w:val="232"/>
        </w:numPr>
        <w:shd w:val="clear" w:color="auto" w:fill="FFFFFF"/>
        <w:spacing w:afterAutospacing="1"/>
        <w:rPr>
          <w:rFonts w:ascii="Arial" w:hAnsi="Arial" w:cs="Arial"/>
          <w:color w:val="000000"/>
          <w:sz w:val="22"/>
          <w:szCs w:val="22"/>
        </w:rPr>
      </w:pPr>
      <w:r w:rsidRPr="007B0CD8">
        <w:rPr>
          <w:rFonts w:ascii="Arial" w:hAnsi="Arial" w:cs="Arial"/>
          <w:b/>
          <w:bCs/>
          <w:color w:val="000000"/>
          <w:sz w:val="22"/>
          <w:szCs w:val="22"/>
        </w:rPr>
        <w:t>Diversificación</w:t>
      </w:r>
      <w:r w:rsidRPr="007B0CD8">
        <w:rPr>
          <w:rFonts w:ascii="Arial" w:hAnsi="Arial" w:cs="Arial"/>
          <w:color w:val="000000"/>
          <w:sz w:val="22"/>
          <w:szCs w:val="22"/>
        </w:rPr>
        <w:t>: Distribuir el portafolio entre diferentes activos y mercados para reducir la exposición a riesgos específicos.</w:t>
      </w:r>
    </w:p>
    <w:p w14:paraId="7F389F92" w14:textId="77777777" w:rsidR="007B0CD8" w:rsidRPr="007B0CD8" w:rsidRDefault="007B0CD8" w:rsidP="004F7A62">
      <w:pPr>
        <w:numPr>
          <w:ilvl w:val="0"/>
          <w:numId w:val="232"/>
        </w:numPr>
        <w:shd w:val="clear" w:color="auto" w:fill="FFFFFF"/>
        <w:spacing w:beforeAutospacing="1" w:afterAutospacing="1"/>
        <w:rPr>
          <w:rFonts w:ascii="Arial" w:hAnsi="Arial" w:cs="Arial"/>
          <w:color w:val="000000"/>
          <w:sz w:val="22"/>
          <w:szCs w:val="22"/>
        </w:rPr>
      </w:pPr>
      <w:r w:rsidRPr="007B0CD8">
        <w:rPr>
          <w:rFonts w:ascii="Arial" w:hAnsi="Arial" w:cs="Arial"/>
          <w:b/>
          <w:bCs/>
          <w:color w:val="000000"/>
          <w:sz w:val="22"/>
          <w:szCs w:val="22"/>
        </w:rPr>
        <w:t>Selección de activos</w:t>
      </w:r>
      <w:r w:rsidRPr="007B0CD8">
        <w:rPr>
          <w:rFonts w:ascii="Arial" w:hAnsi="Arial" w:cs="Arial"/>
          <w:color w:val="000000"/>
          <w:sz w:val="22"/>
          <w:szCs w:val="22"/>
        </w:rPr>
        <w:t>: Elegir activos con una volatilidad histórica baja o moderada.</w:t>
      </w:r>
    </w:p>
    <w:p w14:paraId="3A4EAD62" w14:textId="77777777" w:rsidR="007B0CD8" w:rsidRPr="007B0CD8" w:rsidRDefault="007B0CD8" w:rsidP="004F7A62">
      <w:pPr>
        <w:numPr>
          <w:ilvl w:val="0"/>
          <w:numId w:val="232"/>
        </w:numPr>
        <w:shd w:val="clear" w:color="auto" w:fill="FFFFFF"/>
        <w:spacing w:beforeAutospacing="1"/>
        <w:rPr>
          <w:rFonts w:ascii="Arial" w:hAnsi="Arial" w:cs="Arial"/>
          <w:color w:val="000000"/>
          <w:sz w:val="22"/>
          <w:szCs w:val="22"/>
        </w:rPr>
      </w:pPr>
      <w:r w:rsidRPr="007B0CD8">
        <w:rPr>
          <w:rFonts w:ascii="Arial" w:hAnsi="Arial" w:cs="Arial"/>
          <w:b/>
          <w:bCs/>
          <w:color w:val="000000"/>
          <w:sz w:val="22"/>
          <w:szCs w:val="22"/>
        </w:rPr>
        <w:t>Tácticas de gestión de riesgo</w:t>
      </w:r>
      <w:r w:rsidRPr="007B0CD8">
        <w:rPr>
          <w:rFonts w:ascii="Arial" w:hAnsi="Arial" w:cs="Arial"/>
          <w:color w:val="000000"/>
          <w:sz w:val="22"/>
          <w:szCs w:val="22"/>
        </w:rPr>
        <w:t>: Utilizar estrategias como la stop-loss o la rebalancing para gestionar el riesgo y ajustar el portafolio según sea necesario.</w:t>
      </w:r>
    </w:p>
    <w:p w14:paraId="6CBBCF0E" w14:textId="77777777" w:rsidR="007B0CD8" w:rsidRPr="00CF1B34" w:rsidRDefault="007B0CD8" w:rsidP="007B0CD8">
      <w:pPr>
        <w:pBdr>
          <w:bottom w:val="dotted" w:sz="12" w:space="12" w:color="666666"/>
        </w:pBdr>
        <w:spacing w:after="240"/>
        <w:ind w:left="720"/>
        <w:jc w:val="both"/>
        <w:rPr>
          <w:rFonts w:ascii="Arial" w:hAnsi="Arial" w:cs="Arial"/>
          <w:color w:val="212529"/>
          <w:sz w:val="22"/>
          <w:szCs w:val="22"/>
          <w:lang w:val="es-ES_tradnl"/>
        </w:rPr>
      </w:pPr>
      <w:r w:rsidRPr="007B0CD8">
        <w:rPr>
          <w:rFonts w:ascii="Arial" w:hAnsi="Arial" w:cs="Arial"/>
          <w:color w:val="000000"/>
          <w:sz w:val="22"/>
          <w:szCs w:val="22"/>
        </w:rPr>
        <w:t>En resumen, la volatilidad financiera es un concepto fundamental en finanzas que se refiere a la </w:t>
      </w:r>
      <w:r w:rsidRPr="007B0CD8">
        <w:rPr>
          <w:rFonts w:ascii="Arial" w:hAnsi="Arial" w:cs="Arial"/>
          <w:b/>
          <w:bCs/>
          <w:color w:val="000000"/>
          <w:sz w:val="22"/>
          <w:szCs w:val="22"/>
        </w:rPr>
        <w:t>variabilidad de los precios de los activos financieros</w:t>
      </w:r>
      <w:r w:rsidRPr="007B0CD8">
        <w:rPr>
          <w:rFonts w:ascii="Arial" w:hAnsi="Arial" w:cs="Arial"/>
          <w:color w:val="000000"/>
          <w:sz w:val="22"/>
          <w:szCs w:val="22"/>
        </w:rPr>
        <w:t>. Es importante considerar la volatilidad al tomar decisiones de inversión y utilizar estrategias para manejar el riesgo asociado.</w:t>
      </w:r>
    </w:p>
    <w:p w14:paraId="6B7B31C4" w14:textId="41253104"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Volatilidad histórica</w:t>
      </w:r>
    </w:p>
    <w:p w14:paraId="70311E17" w14:textId="4E4727F8" w:rsidR="009A24B4" w:rsidRPr="00CF1B34" w:rsidRDefault="009A24B4" w:rsidP="0005621A">
      <w:pPr>
        <w:pBdr>
          <w:bottom w:val="dotted" w:sz="12" w:space="12" w:color="666666"/>
        </w:pBdr>
        <w:spacing w:after="240"/>
        <w:ind w:left="720"/>
        <w:jc w:val="both"/>
        <w:rPr>
          <w:rFonts w:ascii="Arial" w:hAnsi="Arial" w:cs="Arial"/>
          <w:color w:val="2F5496" w:themeColor="accent1" w:themeShade="BF"/>
          <w:sz w:val="22"/>
          <w:szCs w:val="22"/>
          <w:lang w:val="es-ES_tradnl"/>
        </w:rPr>
      </w:pPr>
      <w:r w:rsidRPr="00CF1B34">
        <w:rPr>
          <w:rFonts w:ascii="Arial" w:hAnsi="Arial" w:cs="Arial"/>
          <w:color w:val="212529"/>
          <w:sz w:val="22"/>
          <w:szCs w:val="22"/>
          <w:lang w:val="es-ES_tradnl"/>
        </w:rPr>
        <w:t>Indica el riesgo de un valor en un período, a través del análisis estadístico de la serie histórica de sus cotizaciones. La volatilidad nos permite evaluar el riesgo: si un valor es muy volátil, es más difícil predecir su comportamiento, por lo que incorpora mayor incertidumbre para el inversor. Por lo tanto, a mayor volatilidad, mayor riesgo. Ver</w:t>
      </w:r>
      <w:r w:rsidR="00A869BB" w:rsidRPr="00CF1B34">
        <w:rPr>
          <w:rFonts w:ascii="Arial" w:hAnsi="Arial" w:cs="Arial"/>
          <w:color w:val="212529"/>
          <w:sz w:val="22"/>
          <w:szCs w:val="22"/>
          <w:lang w:val="es-ES_tradnl"/>
        </w:rPr>
        <w:t xml:space="preserve"> </w:t>
      </w:r>
      <w:hyperlink r:id="rId363" w:tgtFrame="_self" w:history="1">
        <w:r w:rsidRPr="00CF1B34">
          <w:rPr>
            <w:rFonts w:ascii="Arial" w:hAnsi="Arial" w:cs="Arial"/>
            <w:b/>
            <w:bCs/>
            <w:color w:val="2F5496" w:themeColor="accent1" w:themeShade="BF"/>
            <w:sz w:val="22"/>
            <w:szCs w:val="22"/>
            <w:u w:val="single"/>
            <w:lang w:val="es-ES_tradnl"/>
          </w:rPr>
          <w:t>Riesgo</w:t>
        </w:r>
      </w:hyperlink>
      <w:r w:rsidRPr="00CF1B34">
        <w:rPr>
          <w:rFonts w:ascii="Arial" w:hAnsi="Arial" w:cs="Arial"/>
          <w:color w:val="2F5496" w:themeColor="accent1" w:themeShade="BF"/>
          <w:sz w:val="22"/>
          <w:szCs w:val="22"/>
          <w:lang w:val="es-ES_tradnl"/>
        </w:rPr>
        <w:t>.</w:t>
      </w:r>
    </w:p>
    <w:p w14:paraId="330EA1C5" w14:textId="77777777" w:rsidR="004E69BA" w:rsidRPr="00CF1B34" w:rsidRDefault="004E69BA" w:rsidP="0005621A">
      <w:pPr>
        <w:pStyle w:val="Ttulo2"/>
        <w:spacing w:before="0" w:beforeAutospacing="0" w:after="0" w:afterAutospacing="0"/>
        <w:jc w:val="both"/>
        <w:rPr>
          <w:rFonts w:ascii="Arial" w:hAnsi="Arial" w:cs="Arial"/>
          <w:color w:val="2F5496" w:themeColor="accent1" w:themeShade="BF"/>
          <w:sz w:val="22"/>
          <w:szCs w:val="22"/>
          <w:lang w:val="es-ES_tradnl"/>
        </w:rPr>
      </w:pPr>
      <w:r w:rsidRPr="00CF1B34">
        <w:rPr>
          <w:rFonts w:ascii="Arial" w:hAnsi="Arial" w:cs="Arial"/>
          <w:color w:val="2F5496" w:themeColor="accent1" w:themeShade="BF"/>
          <w:sz w:val="22"/>
          <w:szCs w:val="22"/>
          <w:lang w:val="es-ES_tradnl"/>
        </w:rPr>
        <w:t>Volatilidad o desviación estándar</w:t>
      </w:r>
    </w:p>
    <w:p w14:paraId="6CC4ABDA" w14:textId="63164249"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La volatilidad es una medida de oscilación que tiene como objeto de estudio alguna variable. En términos financieros, el objeto de estudio está relacionado con los precios del mercado, calculando la desviación que sufre dicha variable en un periodo de tiempo determinado.</w:t>
      </w:r>
    </w:p>
    <w:p w14:paraId="5001CC0C" w14:textId="77777777" w:rsidR="004E69BA" w:rsidRPr="00CF1B34" w:rsidRDefault="004E69BA" w:rsidP="0005621A">
      <w:pPr>
        <w:pStyle w:val="NormalWeb"/>
        <w:spacing w:before="0" w:beforeAutospacing="0"/>
        <w:ind w:left="708"/>
        <w:jc w:val="both"/>
        <w:rPr>
          <w:rFonts w:ascii="Arial" w:hAnsi="Arial" w:cs="Arial"/>
          <w:sz w:val="22"/>
          <w:szCs w:val="22"/>
          <w:lang w:val="es-ES_tradnl"/>
        </w:rPr>
      </w:pPr>
      <w:r w:rsidRPr="00CF1B34">
        <w:rPr>
          <w:rFonts w:ascii="Arial" w:hAnsi="Arial" w:cs="Arial"/>
          <w:sz w:val="22"/>
          <w:szCs w:val="22"/>
          <w:lang w:val="es-ES_tradnl"/>
        </w:rPr>
        <w:t>Por tanto, mide el grado de variación/dispersión de las rentabilidades de un fondo con respecto a su rentabilidad media. Mide el riesgo asumido en las inversiones en base al histórico de rentabilidades que ha obtenido el fondo.</w:t>
      </w:r>
    </w:p>
    <w:p w14:paraId="6FFDB9F4" w14:textId="77777777" w:rsidR="004E69BA" w:rsidRPr="00CF1B34" w:rsidRDefault="004E69BA" w:rsidP="0005621A">
      <w:pPr>
        <w:pStyle w:val="Ttulo2"/>
        <w:spacing w:before="0" w:beforeAutospacing="0"/>
        <w:ind w:firstLine="708"/>
        <w:jc w:val="both"/>
        <w:rPr>
          <w:rFonts w:ascii="Arial" w:hAnsi="Arial" w:cs="Arial"/>
          <w:b w:val="0"/>
          <w:bCs w:val="0"/>
          <w:sz w:val="22"/>
          <w:szCs w:val="22"/>
          <w:lang w:val="es-ES_tradnl"/>
        </w:rPr>
      </w:pPr>
      <w:r w:rsidRPr="00CF1B34">
        <w:rPr>
          <w:rStyle w:val="Textoennegrita"/>
          <w:rFonts w:ascii="Arial" w:hAnsi="Arial" w:cs="Arial"/>
          <w:b/>
          <w:bCs/>
          <w:sz w:val="22"/>
          <w:szCs w:val="22"/>
          <w:lang w:val="es-ES_tradnl"/>
        </w:rPr>
        <w:t>La volatilidad se puede expresar:</w:t>
      </w:r>
    </w:p>
    <w:p w14:paraId="73D3BE6C" w14:textId="77777777" w:rsidR="004E69BA" w:rsidRPr="00CF1B34" w:rsidRDefault="004E69BA" w:rsidP="004F7A62">
      <w:pPr>
        <w:pStyle w:val="listitem"/>
        <w:numPr>
          <w:ilvl w:val="0"/>
          <w:numId w:val="86"/>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En términos absolutos, con cifras monetarias concretas</w:t>
      </w:r>
    </w:p>
    <w:p w14:paraId="1D3D2DF2" w14:textId="77777777" w:rsidR="004E69BA" w:rsidRPr="00CF1B34" w:rsidRDefault="004E69BA" w:rsidP="004F7A62">
      <w:pPr>
        <w:pStyle w:val="listitem"/>
        <w:numPr>
          <w:ilvl w:val="0"/>
          <w:numId w:val="86"/>
        </w:numPr>
        <w:spacing w:after="240" w:afterAutospacing="0"/>
        <w:jc w:val="both"/>
        <w:rPr>
          <w:rFonts w:ascii="Arial" w:hAnsi="Arial" w:cs="Arial"/>
          <w:sz w:val="22"/>
          <w:szCs w:val="22"/>
          <w:lang w:val="es-ES_tradnl"/>
        </w:rPr>
      </w:pPr>
      <w:r w:rsidRPr="00CF1B34">
        <w:rPr>
          <w:rFonts w:ascii="Arial" w:hAnsi="Arial" w:cs="Arial"/>
          <w:sz w:val="22"/>
          <w:szCs w:val="22"/>
          <w:lang w:val="es-ES_tradnl"/>
        </w:rPr>
        <w:t>En términos relativos, haciendo mención de forma porcentual sobre el valor inicial o sobre el que se está comparando en el estudio.</w:t>
      </w:r>
    </w:p>
    <w:p w14:paraId="1F04E933" w14:textId="77777777" w:rsidR="004E69BA" w:rsidRPr="00CF1B34" w:rsidRDefault="004E69BA"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Este concepto se utiliza cada vez más en el mundo financiero, ya que, por ejemplo, nos muestra si la rentabilidad de un fondo se ha desviado de su media. Cuando la desviación es alta significa que ese fondo ha sufrido grandes variaciones, mientras que si la desviación es baja significa que las rentabilidades han sido más estables a lo largo de ese periodo de tiempo estudiado. Por tanto, cuanto mayor sea la desviación, o cuanto más volátil sea, mayor será el riesgo.</w:t>
      </w:r>
    </w:p>
    <w:p w14:paraId="275C5C28" w14:textId="50D8930E"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lastRenderedPageBreak/>
        <w:t>Volumen de contratación de efectivo</w:t>
      </w:r>
    </w:p>
    <w:p w14:paraId="1D48317E"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Importe efectivo contratado durante un periodo. Es frecuente utilizar este dato en el análisis bursátil, ya que tanto una subida como una bajada de los precios se consideran en general una tendencia del mercado si van acompañadas de volúmenes significativos. Se suele calcular como el agregado del volumen de efectivo de todos los valores que se negocian en un mercado.</w:t>
      </w:r>
    </w:p>
    <w:p w14:paraId="759F62C5" w14:textId="797967A1"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 xml:space="preserve">Volumen de contratación de </w:t>
      </w:r>
      <w:r w:rsidR="00FB5E59" w:rsidRPr="00CF1B34">
        <w:rPr>
          <w:rFonts w:ascii="Arial" w:hAnsi="Arial" w:cs="Arial"/>
          <w:b/>
          <w:bCs/>
          <w:color w:val="004773"/>
          <w:sz w:val="22"/>
          <w:szCs w:val="22"/>
          <w:lang w:val="es-ES_tradnl"/>
        </w:rPr>
        <w:t xml:space="preserve">títulos </w:t>
      </w:r>
    </w:p>
    <w:p w14:paraId="7E9D2203" w14:textId="77777777" w:rsidR="009A24B4" w:rsidRPr="00CF1B34" w:rsidRDefault="009A24B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color w:val="212529"/>
          <w:sz w:val="22"/>
          <w:szCs w:val="22"/>
          <w:lang w:val="es-ES_tradnl"/>
        </w:rPr>
        <w:t>Se refiere al número de valores contratados en un periodo de tiempo. Se calcula habitualmente como el agregado del volumen de títulos de todos los valores que se negocian en el mercado.</w:t>
      </w:r>
    </w:p>
    <w:p w14:paraId="05355798" w14:textId="7E2C2128" w:rsidR="009A24B4" w:rsidRPr="00CF1B34" w:rsidRDefault="008F1575" w:rsidP="0005621A">
      <w:pPr>
        <w:jc w:val="both"/>
        <w:rPr>
          <w:rFonts w:ascii="Arial" w:hAnsi="Arial" w:cs="Arial"/>
          <w:b/>
          <w:bCs/>
          <w:color w:val="2F5496" w:themeColor="accent1" w:themeShade="BF"/>
          <w:sz w:val="22"/>
          <w:szCs w:val="22"/>
          <w:lang w:val="es-ES_tradnl"/>
        </w:rPr>
      </w:pPr>
      <w:r w:rsidRPr="00CF1B34">
        <w:rPr>
          <w:rFonts w:ascii="Arial" w:hAnsi="Arial" w:cs="Arial"/>
          <w:b/>
          <w:bCs/>
          <w:color w:val="2F5496" w:themeColor="accent1" w:themeShade="BF"/>
          <w:sz w:val="22"/>
          <w:szCs w:val="22"/>
          <w:lang w:val="es-ES_tradnl"/>
        </w:rPr>
        <w:t>Volumen de negocio</w:t>
      </w:r>
    </w:p>
    <w:p w14:paraId="47740AE4" w14:textId="77777777" w:rsidR="00BC0C94" w:rsidRPr="00CF1B34" w:rsidRDefault="00BC0C94" w:rsidP="0005621A">
      <w:pPr>
        <w:pBdr>
          <w:bottom w:val="dotted" w:sz="12" w:space="12" w:color="666666"/>
        </w:pBdr>
        <w:spacing w:after="240"/>
        <w:ind w:left="720"/>
        <w:jc w:val="both"/>
        <w:rPr>
          <w:rFonts w:ascii="Arial" w:hAnsi="Arial" w:cs="Arial"/>
          <w:color w:val="212529"/>
          <w:sz w:val="22"/>
          <w:szCs w:val="22"/>
          <w:lang w:val="es-ES_tradnl"/>
        </w:rPr>
      </w:pPr>
      <w:r w:rsidRPr="00CF1B34">
        <w:rPr>
          <w:rFonts w:ascii="Arial" w:hAnsi="Arial" w:cs="Arial"/>
          <w:sz w:val="22"/>
          <w:szCs w:val="22"/>
          <w:lang w:val="es-ES_tradnl"/>
        </w:rPr>
        <w:t>Es la cantidad de dinero que se cruza sobre un determinado valor o mercado.</w:t>
      </w:r>
    </w:p>
    <w:p w14:paraId="49D2A46B" w14:textId="77777777" w:rsidR="00BC0C94" w:rsidRPr="00CF1B34" w:rsidRDefault="00BC0C94" w:rsidP="0005621A">
      <w:pPr>
        <w:jc w:val="both"/>
        <w:rPr>
          <w:rFonts w:ascii="Arial" w:hAnsi="Arial" w:cs="Arial"/>
          <w:b/>
          <w:bCs/>
          <w:color w:val="004773"/>
          <w:sz w:val="22"/>
          <w:szCs w:val="22"/>
          <w:lang w:val="es-ES_tradnl"/>
        </w:rPr>
      </w:pPr>
    </w:p>
    <w:p w14:paraId="40D35B61" w14:textId="30FA83AD" w:rsidR="008F1575" w:rsidRPr="00CF1B34" w:rsidRDefault="008F1575" w:rsidP="0005621A">
      <w:pPr>
        <w:jc w:val="both"/>
        <w:rPr>
          <w:rFonts w:ascii="Arial" w:hAnsi="Arial" w:cs="Arial"/>
          <w:sz w:val="22"/>
          <w:szCs w:val="22"/>
          <w:lang w:val="es-ES_tradnl"/>
        </w:rPr>
      </w:pPr>
    </w:p>
    <w:p w14:paraId="1E6B0682" w14:textId="6D2ED66E" w:rsidR="009A24B4" w:rsidRPr="00CF1B34" w:rsidRDefault="009A24B4" w:rsidP="0005621A">
      <w:pPr>
        <w:jc w:val="both"/>
        <w:rPr>
          <w:rFonts w:ascii="Arial" w:hAnsi="Arial" w:cs="Arial"/>
          <w:b/>
          <w:bCs/>
          <w:color w:val="1F3864" w:themeColor="accent1" w:themeShade="80"/>
          <w:sz w:val="32"/>
          <w:szCs w:val="32"/>
          <w:lang w:val="es-ES_tradnl"/>
        </w:rPr>
      </w:pPr>
      <w:r w:rsidRPr="00CF1B34">
        <w:rPr>
          <w:rFonts w:ascii="Arial" w:hAnsi="Arial" w:cs="Arial"/>
          <w:b/>
          <w:bCs/>
          <w:color w:val="1F3864" w:themeColor="accent1" w:themeShade="80"/>
          <w:sz w:val="32"/>
          <w:szCs w:val="32"/>
          <w:lang w:val="es-ES_tradnl"/>
        </w:rPr>
        <w:t>W</w:t>
      </w:r>
    </w:p>
    <w:p w14:paraId="1E38DF03" w14:textId="159A3F6B" w:rsidR="009A24B4" w:rsidRPr="00CF1B34" w:rsidRDefault="009A24B4" w:rsidP="0005621A">
      <w:pPr>
        <w:jc w:val="both"/>
        <w:rPr>
          <w:rFonts w:ascii="Arial" w:hAnsi="Arial" w:cs="Arial"/>
          <w:sz w:val="22"/>
          <w:szCs w:val="22"/>
          <w:lang w:val="es-ES_tradnl"/>
        </w:rPr>
      </w:pPr>
    </w:p>
    <w:p w14:paraId="597FAEDB" w14:textId="77777777" w:rsidR="00BC0C94" w:rsidRPr="00CF1B34" w:rsidRDefault="00BC0C94" w:rsidP="0005621A">
      <w:pPr>
        <w:jc w:val="both"/>
        <w:rPr>
          <w:rFonts w:ascii="Arial" w:hAnsi="Arial" w:cs="Arial"/>
          <w:sz w:val="22"/>
          <w:szCs w:val="22"/>
          <w:lang w:val="es-ES_tradnl"/>
        </w:rPr>
      </w:pPr>
    </w:p>
    <w:p w14:paraId="7194954F" w14:textId="77777777" w:rsidR="009A24B4" w:rsidRPr="00CF1B34" w:rsidRDefault="009A24B4" w:rsidP="0005621A">
      <w:pPr>
        <w:jc w:val="both"/>
        <w:rPr>
          <w:rFonts w:ascii="Arial" w:hAnsi="Arial" w:cs="Arial"/>
          <w:b/>
          <w:bCs/>
          <w:color w:val="004773"/>
          <w:sz w:val="22"/>
          <w:szCs w:val="22"/>
          <w:lang w:val="es-ES_tradnl"/>
        </w:rPr>
      </w:pPr>
      <w:r w:rsidRPr="00CF1B34">
        <w:rPr>
          <w:rFonts w:ascii="Arial" w:hAnsi="Arial" w:cs="Arial"/>
          <w:b/>
          <w:bCs/>
          <w:color w:val="004773"/>
          <w:sz w:val="22"/>
          <w:szCs w:val="22"/>
          <w:lang w:val="es-ES_tradnl"/>
        </w:rPr>
        <w:t>Warrants</w:t>
      </w:r>
    </w:p>
    <w:p w14:paraId="026999B2" w14:textId="3EDF914D" w:rsidR="00FB5E59" w:rsidRPr="00CF1B34" w:rsidRDefault="009A24B4" w:rsidP="0005621A">
      <w:pPr>
        <w:pStyle w:val="Sinespaciado"/>
        <w:ind w:left="708"/>
        <w:jc w:val="both"/>
        <w:rPr>
          <w:rFonts w:ascii="Arial" w:hAnsi="Arial" w:cs="Arial"/>
          <w:lang w:val="es-ES_tradnl"/>
        </w:rPr>
      </w:pPr>
      <w:r w:rsidRPr="00CF1B34">
        <w:rPr>
          <w:rFonts w:ascii="Arial" w:hAnsi="Arial" w:cs="Arial"/>
          <w:lang w:val="es-ES_tradnl"/>
        </w:rPr>
        <w:t xml:space="preserve">Valores negociables que incorporan el derecho de comprar o vender un activo subyacente, a un precio de ejercicio determinado. </w:t>
      </w:r>
    </w:p>
    <w:p w14:paraId="7F7EF59D" w14:textId="77777777" w:rsidR="00FB5E59" w:rsidRPr="00CF1B34" w:rsidRDefault="00FB5E59" w:rsidP="0005621A">
      <w:pPr>
        <w:pStyle w:val="Sinespaciado"/>
        <w:ind w:left="708"/>
        <w:jc w:val="both"/>
        <w:rPr>
          <w:rFonts w:ascii="Arial" w:hAnsi="Arial" w:cs="Arial"/>
          <w:color w:val="212529"/>
          <w:spacing w:val="7"/>
          <w:lang w:val="es-ES_tradnl"/>
        </w:rPr>
      </w:pPr>
      <w:r w:rsidRPr="00CF1B34">
        <w:rPr>
          <w:rFonts w:ascii="Arial" w:hAnsi="Arial" w:cs="Arial"/>
          <w:color w:val="212529"/>
          <w:spacing w:val="7"/>
          <w:lang w:val="es-ES_tradnl"/>
        </w:rPr>
        <w:t xml:space="preserve">El que adquiere un warrant tiene el </w:t>
      </w:r>
      <w:proofErr w:type="gramStart"/>
      <w:r w:rsidRPr="00CF1B34">
        <w:rPr>
          <w:rFonts w:ascii="Arial" w:hAnsi="Arial" w:cs="Arial"/>
          <w:color w:val="212529"/>
          <w:spacing w:val="7"/>
          <w:lang w:val="es-ES_tradnl"/>
        </w:rPr>
        <w:t>derecho</w:t>
      </w:r>
      <w:proofErr w:type="gramEnd"/>
      <w:r w:rsidRPr="00CF1B34">
        <w:rPr>
          <w:rFonts w:ascii="Arial" w:hAnsi="Arial" w:cs="Arial"/>
          <w:color w:val="212529"/>
          <w:spacing w:val="7"/>
          <w:lang w:val="es-ES_tradnl"/>
        </w:rPr>
        <w:t xml:space="preserve"> pero no la obligación de comprar o vender el subyacente en la fecha de vencimiento. Que ejerza o no ese derecho dependerá de cuál sea en ese momento el precio del subyacente (precio de liquidación) en relación con el precio de ejercicio.</w:t>
      </w:r>
      <w:r w:rsidRPr="00CF1B34">
        <w:rPr>
          <w:rStyle w:val="apple-converted-space"/>
          <w:rFonts w:ascii="Arial" w:hAnsi="Arial" w:cs="Arial"/>
          <w:color w:val="212529"/>
          <w:spacing w:val="7"/>
          <w:sz w:val="22"/>
          <w:szCs w:val="22"/>
          <w:lang w:val="es-ES_tradnl"/>
        </w:rPr>
        <w:t> </w:t>
      </w:r>
    </w:p>
    <w:p w14:paraId="44A184F1" w14:textId="77777777" w:rsidR="00FB5E59" w:rsidRPr="00CF1B34" w:rsidRDefault="00FB5E59" w:rsidP="0005621A">
      <w:pPr>
        <w:pStyle w:val="Sinespaciado"/>
        <w:ind w:firstLine="708"/>
        <w:jc w:val="both"/>
        <w:rPr>
          <w:rFonts w:ascii="Arial" w:hAnsi="Arial" w:cs="Arial"/>
          <w:color w:val="212529"/>
          <w:spacing w:val="7"/>
          <w:lang w:val="es-ES_tradnl"/>
        </w:rPr>
      </w:pPr>
      <w:r w:rsidRPr="00CF1B34">
        <w:rPr>
          <w:rFonts w:ascii="Arial" w:hAnsi="Arial" w:cs="Arial"/>
          <w:color w:val="212529"/>
          <w:spacing w:val="7"/>
          <w:lang w:val="es-ES_tradnl"/>
        </w:rPr>
        <w:t>Existen warrants de compra (call) y de venta (put):</w:t>
      </w:r>
      <w:r w:rsidRPr="00CF1B34">
        <w:rPr>
          <w:rStyle w:val="apple-converted-space"/>
          <w:rFonts w:ascii="Arial" w:hAnsi="Arial" w:cs="Arial"/>
          <w:color w:val="212529"/>
          <w:spacing w:val="7"/>
          <w:sz w:val="22"/>
          <w:szCs w:val="22"/>
          <w:lang w:val="es-ES_tradnl"/>
        </w:rPr>
        <w:t> </w:t>
      </w:r>
    </w:p>
    <w:p w14:paraId="0375E39A" w14:textId="3D6C1E09" w:rsidR="00FB5E59" w:rsidRPr="00CF1B34" w:rsidRDefault="00FB5E59" w:rsidP="004F7A62">
      <w:pPr>
        <w:pStyle w:val="Sinespaciado"/>
        <w:numPr>
          <w:ilvl w:val="1"/>
          <w:numId w:val="83"/>
        </w:numPr>
        <w:jc w:val="both"/>
        <w:rPr>
          <w:rFonts w:ascii="Arial" w:hAnsi="Arial" w:cs="Arial"/>
          <w:color w:val="212529"/>
          <w:lang w:val="es-ES_tradnl"/>
        </w:rPr>
      </w:pPr>
      <w:r w:rsidRPr="00CF1B34">
        <w:rPr>
          <w:rStyle w:val="negrita"/>
          <w:rFonts w:ascii="Arial" w:hAnsi="Arial" w:cs="Arial"/>
          <w:b/>
          <w:bCs/>
          <w:color w:val="212529"/>
          <w:sz w:val="22"/>
          <w:szCs w:val="22"/>
          <w:lang w:val="es-ES_tradnl"/>
        </w:rPr>
        <w:t>Warrants de compra (call warrant)</w:t>
      </w:r>
      <w:r w:rsidRPr="00CF1B34">
        <w:rPr>
          <w:rFonts w:ascii="Arial" w:hAnsi="Arial" w:cs="Arial"/>
          <w:color w:val="212529"/>
          <w:lang w:val="es-ES_tradnl"/>
        </w:rPr>
        <w:t>: otorgan al titular el derecho a comprar el activo subyacente al precio de ejercicio. Si el precio del subyacente (precio de liquidación) es superior al de ejercicio, el contrato se liquidará por abono al titular de la diferencia resultante.</w:t>
      </w:r>
    </w:p>
    <w:p w14:paraId="5CA93A73" w14:textId="29F4A814" w:rsidR="00FB5E59" w:rsidRPr="00CF1B34" w:rsidRDefault="00FB5E59" w:rsidP="004F7A62">
      <w:pPr>
        <w:pStyle w:val="Sinespaciado"/>
        <w:numPr>
          <w:ilvl w:val="1"/>
          <w:numId w:val="83"/>
        </w:numPr>
        <w:jc w:val="both"/>
        <w:rPr>
          <w:rFonts w:ascii="Arial" w:hAnsi="Arial" w:cs="Arial"/>
          <w:color w:val="212529"/>
          <w:lang w:val="es-ES_tradnl"/>
        </w:rPr>
      </w:pPr>
      <w:r w:rsidRPr="00CF1B34">
        <w:rPr>
          <w:rStyle w:val="negrita"/>
          <w:rFonts w:ascii="Arial" w:hAnsi="Arial" w:cs="Arial"/>
          <w:b/>
          <w:bCs/>
          <w:color w:val="212529"/>
          <w:sz w:val="22"/>
          <w:szCs w:val="22"/>
          <w:lang w:val="es-ES_tradnl"/>
        </w:rPr>
        <w:t>Warrants de venta (put warrant)</w:t>
      </w:r>
      <w:r w:rsidRPr="00CF1B34">
        <w:rPr>
          <w:rFonts w:ascii="Arial" w:hAnsi="Arial" w:cs="Arial"/>
          <w:color w:val="212529"/>
          <w:lang w:val="es-ES_tradnl"/>
        </w:rPr>
        <w:t>: el titular adquiere el derecho a vender el activo subyacente al precio de ejercicio. Si el precio de liquidación es inferior al de ejercicio, el contrato se liquidará abonando al titular la diferencia resultante.</w:t>
      </w:r>
    </w:p>
    <w:p w14:paraId="63342DC2" w14:textId="77777777" w:rsidR="00FB5E59" w:rsidRPr="00CF1B34" w:rsidRDefault="00FB5E59" w:rsidP="0005621A">
      <w:pPr>
        <w:pStyle w:val="Sinespaciado"/>
        <w:ind w:left="708"/>
        <w:jc w:val="both"/>
        <w:rPr>
          <w:rFonts w:ascii="Arial" w:hAnsi="Arial" w:cs="Arial"/>
          <w:color w:val="212529"/>
          <w:spacing w:val="7"/>
          <w:lang w:val="es-ES_tradnl"/>
        </w:rPr>
      </w:pPr>
      <w:r w:rsidRPr="00CF1B34">
        <w:rPr>
          <w:rFonts w:ascii="Arial" w:hAnsi="Arial" w:cs="Arial"/>
          <w:color w:val="212529"/>
          <w:spacing w:val="7"/>
          <w:lang w:val="es-ES_tradnl"/>
        </w:rPr>
        <w:t>Los activos subyacentes pueden ser muy diversos: hay warrants sobre valores de renta variable (acción o cesta de acciones), negociados en mercados españoles o extranjeros; warrants sobre índices nacionales o extranjeros, sobre tipos de interés, divisas, materias primas, etc.</w:t>
      </w:r>
    </w:p>
    <w:p w14:paraId="63CC5F77" w14:textId="77777777" w:rsidR="00FB5E59" w:rsidRPr="00CF1B34" w:rsidRDefault="00FB5E59" w:rsidP="0005621A">
      <w:pPr>
        <w:pStyle w:val="Sinespaciado"/>
        <w:ind w:left="708"/>
        <w:jc w:val="both"/>
        <w:rPr>
          <w:rFonts w:ascii="Arial" w:hAnsi="Arial" w:cs="Arial"/>
          <w:color w:val="212529"/>
          <w:spacing w:val="7"/>
          <w:lang w:val="es-ES_tradnl"/>
        </w:rPr>
      </w:pPr>
      <w:r w:rsidRPr="00CF1B34">
        <w:rPr>
          <w:rFonts w:ascii="Arial" w:hAnsi="Arial" w:cs="Arial"/>
          <w:color w:val="212529"/>
          <w:spacing w:val="7"/>
          <w:lang w:val="es-ES_tradnl"/>
        </w:rPr>
        <w:t>Según las posibilidades de ejercicio, los warrants pueden ser de</w:t>
      </w:r>
      <w:r w:rsidRPr="00CF1B34">
        <w:rPr>
          <w:rStyle w:val="apple-converted-space"/>
          <w:rFonts w:ascii="Arial" w:hAnsi="Arial" w:cs="Arial"/>
          <w:color w:val="212529"/>
          <w:spacing w:val="7"/>
          <w:sz w:val="22"/>
          <w:szCs w:val="22"/>
          <w:lang w:val="es-ES_tradnl"/>
        </w:rPr>
        <w:t> </w:t>
      </w:r>
      <w:r w:rsidRPr="00CF1B34">
        <w:rPr>
          <w:rStyle w:val="negrita"/>
          <w:rFonts w:ascii="Arial" w:hAnsi="Arial" w:cs="Arial"/>
          <w:b/>
          <w:bCs/>
          <w:color w:val="212529"/>
          <w:spacing w:val="7"/>
          <w:sz w:val="22"/>
          <w:szCs w:val="22"/>
          <w:lang w:val="es-ES_tradnl"/>
        </w:rPr>
        <w:t>tipo americano</w:t>
      </w:r>
      <w:r w:rsidRPr="00CF1B34">
        <w:rPr>
          <w:rStyle w:val="apple-converted-space"/>
          <w:rFonts w:ascii="Arial" w:hAnsi="Arial" w:cs="Arial"/>
          <w:b/>
          <w:bCs/>
          <w:color w:val="212529"/>
          <w:spacing w:val="7"/>
          <w:sz w:val="22"/>
          <w:szCs w:val="22"/>
          <w:lang w:val="es-ES_tradnl"/>
        </w:rPr>
        <w:t> </w:t>
      </w:r>
      <w:r w:rsidRPr="00CF1B34">
        <w:rPr>
          <w:rFonts w:ascii="Arial" w:hAnsi="Arial" w:cs="Arial"/>
          <w:color w:val="212529"/>
          <w:spacing w:val="7"/>
          <w:lang w:val="es-ES_tradnl"/>
        </w:rPr>
        <w:t>(es posible ejercerlos durante toda la vida del warrant, hasta vencimiento) o de</w:t>
      </w:r>
      <w:r w:rsidRPr="00CF1B34">
        <w:rPr>
          <w:rStyle w:val="apple-converted-space"/>
          <w:rFonts w:ascii="Arial" w:hAnsi="Arial" w:cs="Arial"/>
          <w:color w:val="212529"/>
          <w:spacing w:val="7"/>
          <w:sz w:val="22"/>
          <w:szCs w:val="22"/>
          <w:lang w:val="es-ES_tradnl"/>
        </w:rPr>
        <w:t> </w:t>
      </w:r>
      <w:r w:rsidRPr="00CF1B34">
        <w:rPr>
          <w:rStyle w:val="negrita"/>
          <w:rFonts w:ascii="Arial" w:hAnsi="Arial" w:cs="Arial"/>
          <w:b/>
          <w:bCs/>
          <w:color w:val="212529"/>
          <w:spacing w:val="7"/>
          <w:sz w:val="22"/>
          <w:szCs w:val="22"/>
          <w:lang w:val="es-ES_tradnl"/>
        </w:rPr>
        <w:t>tipo europeo</w:t>
      </w:r>
      <w:r w:rsidRPr="00CF1B34">
        <w:rPr>
          <w:rStyle w:val="apple-converted-space"/>
          <w:rFonts w:ascii="Arial" w:hAnsi="Arial" w:cs="Arial"/>
          <w:b/>
          <w:bCs/>
          <w:color w:val="212529"/>
          <w:spacing w:val="7"/>
          <w:sz w:val="22"/>
          <w:szCs w:val="22"/>
          <w:lang w:val="es-ES_tradnl"/>
        </w:rPr>
        <w:t> </w:t>
      </w:r>
      <w:r w:rsidRPr="00CF1B34">
        <w:rPr>
          <w:rFonts w:ascii="Arial" w:hAnsi="Arial" w:cs="Arial"/>
          <w:color w:val="212529"/>
          <w:spacing w:val="7"/>
          <w:lang w:val="es-ES_tradnl"/>
        </w:rPr>
        <w:t>(sólo se pueden ejercer en la fecha de vencimiento). En España, los warrants más complejos sólo se dirigen a inversores cualificados.</w:t>
      </w:r>
      <w:r w:rsidRPr="00CF1B34">
        <w:rPr>
          <w:rStyle w:val="apple-converted-space"/>
          <w:rFonts w:ascii="Arial" w:hAnsi="Arial" w:cs="Arial"/>
          <w:color w:val="212529"/>
          <w:spacing w:val="7"/>
          <w:sz w:val="22"/>
          <w:szCs w:val="22"/>
          <w:lang w:val="es-ES_tradnl"/>
        </w:rPr>
        <w:t> </w:t>
      </w:r>
    </w:p>
    <w:p w14:paraId="4AD593D5" w14:textId="1E9B74AB" w:rsidR="00FB5E59" w:rsidRPr="00CF1B34" w:rsidRDefault="00FB5E59" w:rsidP="0005621A">
      <w:pPr>
        <w:pBdr>
          <w:bottom w:val="dotted" w:sz="12" w:space="12" w:color="666666"/>
        </w:pBdr>
        <w:spacing w:after="240"/>
        <w:ind w:left="720"/>
        <w:jc w:val="both"/>
        <w:rPr>
          <w:rFonts w:ascii="Arial" w:hAnsi="Arial" w:cs="Arial"/>
          <w:color w:val="212529"/>
          <w:sz w:val="22"/>
          <w:szCs w:val="22"/>
          <w:lang w:val="es-ES_tradnl"/>
        </w:rPr>
      </w:pPr>
      <w:r w:rsidRPr="00CF1B34">
        <w:rPr>
          <w:rStyle w:val="negrita"/>
          <w:rFonts w:ascii="Arial" w:hAnsi="Arial" w:cs="Arial"/>
          <w:b/>
          <w:bCs/>
          <w:color w:val="212529"/>
          <w:spacing w:val="7"/>
          <w:sz w:val="22"/>
          <w:szCs w:val="22"/>
          <w:lang w:val="es-ES_tradnl"/>
        </w:rPr>
        <w:t>En España, las emisiones de warrants se registran en la CNMV</w:t>
      </w:r>
      <w:r w:rsidRPr="00CF1B34">
        <w:rPr>
          <w:rStyle w:val="apple-converted-space"/>
          <w:rFonts w:ascii="Arial" w:hAnsi="Arial" w:cs="Arial"/>
          <w:color w:val="212529"/>
          <w:spacing w:val="7"/>
          <w:sz w:val="22"/>
          <w:szCs w:val="22"/>
          <w:lang w:val="es-ES_tradnl"/>
        </w:rPr>
        <w:t> </w:t>
      </w:r>
      <w:r w:rsidRPr="00CF1B34">
        <w:rPr>
          <w:rFonts w:ascii="Arial" w:hAnsi="Arial" w:cs="Arial"/>
          <w:color w:val="212529"/>
          <w:spacing w:val="7"/>
          <w:lang w:val="es-ES_tradnl"/>
        </w:rPr>
        <w:t>y sus folletos informativos pueden consultarse en los</w:t>
      </w:r>
      <w:r w:rsidR="008A6622" w:rsidRPr="00CF1B34">
        <w:rPr>
          <w:rStyle w:val="apple-converted-space"/>
          <w:rFonts w:ascii="Arial" w:hAnsi="Arial" w:cs="Arial"/>
          <w:color w:val="212529"/>
          <w:spacing w:val="7"/>
          <w:sz w:val="22"/>
          <w:szCs w:val="22"/>
          <w:lang w:val="es-ES_tradnl"/>
        </w:rPr>
        <w:t xml:space="preserve"> </w:t>
      </w:r>
      <w:hyperlink r:id="rId364" w:tgtFrame="_self" w:history="1">
        <w:r w:rsidRPr="00CF1B34">
          <w:rPr>
            <w:rStyle w:val="Hipervnculo"/>
            <w:rFonts w:ascii="Arial" w:hAnsi="Arial" w:cs="Arial"/>
            <w:b/>
            <w:bCs/>
            <w:color w:val="AD2144"/>
            <w:spacing w:val="7"/>
            <w:sz w:val="22"/>
            <w:szCs w:val="22"/>
            <w:lang w:val="es-ES_tradnl"/>
          </w:rPr>
          <w:t>Registros Oficiales</w:t>
        </w:r>
      </w:hyperlink>
      <w:r w:rsidRPr="00CF1B34">
        <w:rPr>
          <w:rFonts w:ascii="Arial" w:hAnsi="Arial" w:cs="Arial"/>
          <w:color w:val="212529"/>
          <w:spacing w:val="7"/>
          <w:lang w:val="es-ES_tradnl"/>
        </w:rPr>
        <w:t xml:space="preserve">. La contratación se realiza en la bolsa española, en un segmento especial del mercado continuo. Puede consultarse en la bolsa las características de negociación </w:t>
      </w:r>
      <w:r w:rsidRPr="00CF1B34">
        <w:rPr>
          <w:rFonts w:ascii="Arial" w:hAnsi="Arial" w:cs="Arial"/>
          <w:color w:val="212529"/>
          <w:spacing w:val="7"/>
          <w:lang w:val="es-ES_tradnl"/>
        </w:rPr>
        <w:lastRenderedPageBreak/>
        <w:t>de los diferentes warrants. Tenga en cuenta que para comprar o vender, el inversor tiene que transmitir la orden a un</w:t>
      </w:r>
      <w:r w:rsidRPr="00CF1B34">
        <w:rPr>
          <w:rStyle w:val="apple-converted-space"/>
          <w:rFonts w:ascii="Arial" w:hAnsi="Arial" w:cs="Arial"/>
          <w:color w:val="212529"/>
          <w:spacing w:val="7"/>
          <w:sz w:val="22"/>
          <w:szCs w:val="22"/>
          <w:lang w:val="es-ES_tradnl"/>
        </w:rPr>
        <w:t> </w:t>
      </w:r>
      <w:r w:rsidRPr="00CF1B34">
        <w:rPr>
          <w:rStyle w:val="negrita"/>
          <w:rFonts w:ascii="Arial" w:hAnsi="Arial" w:cs="Arial"/>
          <w:b/>
          <w:bCs/>
          <w:color w:val="212529"/>
          <w:spacing w:val="7"/>
          <w:sz w:val="22"/>
          <w:szCs w:val="22"/>
          <w:lang w:val="es-ES_tradnl"/>
        </w:rPr>
        <w:t>intermediario financiero</w:t>
      </w:r>
      <w:r w:rsidRPr="00CF1B34">
        <w:rPr>
          <w:rFonts w:ascii="Arial" w:hAnsi="Arial" w:cs="Arial"/>
          <w:color w:val="212529"/>
          <w:spacing w:val="7"/>
          <w:lang w:val="es-ES_tradnl"/>
        </w:rPr>
        <w:t>.</w:t>
      </w:r>
    </w:p>
    <w:p w14:paraId="7E951D9A" w14:textId="77777777" w:rsidR="00FB5E59" w:rsidRPr="00CF1B34" w:rsidRDefault="00FB5E59" w:rsidP="0005621A">
      <w:pPr>
        <w:jc w:val="both"/>
        <w:rPr>
          <w:rFonts w:ascii="Arial" w:hAnsi="Arial" w:cs="Arial"/>
          <w:b/>
          <w:bCs/>
          <w:color w:val="004773"/>
          <w:sz w:val="22"/>
          <w:szCs w:val="22"/>
          <w:lang w:val="es-ES_tradnl"/>
        </w:rPr>
      </w:pPr>
    </w:p>
    <w:p w14:paraId="5299DC17" w14:textId="739D42FB" w:rsidR="00FB5E59" w:rsidRPr="00CF1B34" w:rsidRDefault="00FB5E59" w:rsidP="0005621A">
      <w:pPr>
        <w:pStyle w:val="Sinespaciado"/>
        <w:jc w:val="both"/>
        <w:rPr>
          <w:rFonts w:ascii="Arial" w:hAnsi="Arial" w:cs="Arial"/>
          <w:lang w:val="es-ES_tradnl"/>
        </w:rPr>
      </w:pPr>
    </w:p>
    <w:sectPr w:rsidR="00FB5E59" w:rsidRPr="00CF1B34" w:rsidSect="00840F8B">
      <w:type w:val="continuous"/>
      <w:pgSz w:w="11900" w:h="16840"/>
      <w:pgMar w:top="1417" w:right="1701" w:bottom="1417" w:left="85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7449" w14:textId="77777777" w:rsidR="004F7A62" w:rsidRDefault="004F7A62" w:rsidP="00840F8B">
      <w:r>
        <w:separator/>
      </w:r>
    </w:p>
  </w:endnote>
  <w:endnote w:type="continuationSeparator" w:id="0">
    <w:p w14:paraId="2C8CA562" w14:textId="77777777" w:rsidR="004F7A62" w:rsidRDefault="004F7A62" w:rsidP="0084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K-Sans">
    <w:altName w:val="Cambria"/>
    <w:panose1 w:val="020B0604020202020204"/>
    <w:charset w:val="00"/>
    <w:family w:val="roman"/>
    <w:notTrueType/>
    <w:pitch w:val="default"/>
  </w:font>
  <w:font w:name="BK-Tex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C1EF" w14:textId="2FBA8825" w:rsidR="00840F8B" w:rsidRDefault="00840F8B" w:rsidP="00840F8B">
    <w:pPr>
      <w:ind w:right="360"/>
    </w:pPr>
    <w:r w:rsidRPr="00363A19">
      <w:rPr>
        <w:noProof/>
        <w:lang w:eastAsia="es-ES"/>
      </w:rPr>
      <w:drawing>
        <wp:inline distT="0" distB="0" distL="0" distR="0" wp14:anchorId="014501AE" wp14:editId="4F5E1C45">
          <wp:extent cx="2042795" cy="330200"/>
          <wp:effectExtent l="0" t="0" r="1905" b="0"/>
          <wp:docPr id="1" name="Imagen 1" descr="Ministerio de Educación y Formación Profesio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inisterio de Educación y Formación Profesio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99" cy="331122"/>
                  </a:xfrm>
                  <a:prstGeom prst="rect">
                    <a:avLst/>
                  </a:prstGeom>
                  <a:noFill/>
                  <a:ln>
                    <a:noFill/>
                  </a:ln>
                </pic:spPr>
              </pic:pic>
            </a:graphicData>
          </a:graphic>
        </wp:inline>
      </w:drawing>
    </w:r>
    <w:r w:rsidRPr="00363A19">
      <w:fldChar w:fldCharType="begin"/>
    </w:r>
    <w:r>
      <w:instrText xml:space="preserve"> INCLUDEPICTURE "D:\\var\\folders\\n6\\9t_5022n6hl75yt26jqry18h0000gn\\T\\com.microsoft.Word\\WebArchiveCopyPasteTempFiles\\escudo-mefp.gif" \* MERGEFORMAT </w:instrText>
    </w:r>
    <w:r w:rsidRPr="00363A19">
      <w:fldChar w:fldCharType="end"/>
    </w:r>
    <w:r w:rsidRPr="00363A19">
      <w:fldChar w:fldCharType="begin"/>
    </w:r>
    <w:r>
      <w:instrText xml:space="preserve"> INCLUDEPICTURE "D:\\var\\folders\\n6\\9t_5022n6hl75yt26jqry18h0000gn\\T\\com.microsoft.Word\\WebArchiveCopyPasteTempFiles\\logo-rtr.gif" \* MERGEFORMAT </w:instrText>
    </w:r>
    <w:r w:rsidRPr="00363A19">
      <w:fldChar w:fldCharType="separate"/>
    </w:r>
    <w:r w:rsidRPr="00363A19">
      <w:rPr>
        <w:noProof/>
        <w:lang w:eastAsia="es-ES"/>
      </w:rPr>
      <w:drawing>
        <wp:inline distT="0" distB="0" distL="0" distR="0" wp14:anchorId="686F5569" wp14:editId="122C9A5A">
          <wp:extent cx="892810" cy="321733"/>
          <wp:effectExtent l="0" t="0" r="0" b="0"/>
          <wp:docPr id="6" name="Imagen 6" descr="Plan de Recuperación, Transformación y Resilenc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lan de Recuperación, Transformación y Resilenci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144" cy="322214"/>
                  </a:xfrm>
                  <a:prstGeom prst="rect">
                    <a:avLst/>
                  </a:prstGeom>
                  <a:noFill/>
                  <a:ln>
                    <a:noFill/>
                  </a:ln>
                </pic:spPr>
              </pic:pic>
            </a:graphicData>
          </a:graphic>
        </wp:inline>
      </w:drawing>
    </w:r>
    <w:r w:rsidRPr="00363A19">
      <w:fldChar w:fldCharType="end"/>
    </w:r>
    <w:r>
      <w:rPr>
        <w:noProof/>
        <w:lang w:eastAsia="es-ES"/>
      </w:rPr>
      <w:drawing>
        <wp:inline distT="0" distB="0" distL="0" distR="0" wp14:anchorId="542A362D" wp14:editId="726D4120">
          <wp:extent cx="563209" cy="313266"/>
          <wp:effectExtent l="0" t="0" r="0" b="4445"/>
          <wp:docPr id="5" name="Imagen 5" descr="Next generation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generation U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0640" cy="3452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7039" w14:textId="77777777" w:rsidR="004F7A62" w:rsidRDefault="004F7A62" w:rsidP="00840F8B">
      <w:r>
        <w:separator/>
      </w:r>
    </w:p>
  </w:footnote>
  <w:footnote w:type="continuationSeparator" w:id="0">
    <w:p w14:paraId="43CD9953" w14:textId="77777777" w:rsidR="004F7A62" w:rsidRDefault="004F7A62" w:rsidP="0084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48" w:type="dxa"/>
      <w:tblInd w:w="-756" w:type="dxa"/>
      <w:tblLook w:val="04A0" w:firstRow="1" w:lastRow="0" w:firstColumn="1" w:lastColumn="0" w:noHBand="0" w:noVBand="1"/>
    </w:tblPr>
    <w:tblGrid>
      <w:gridCol w:w="3828"/>
      <w:gridCol w:w="4536"/>
      <w:gridCol w:w="1984"/>
    </w:tblGrid>
    <w:tr w:rsidR="00840F8B" w14:paraId="28D03984" w14:textId="77777777" w:rsidTr="002D574A">
      <w:tc>
        <w:tcPr>
          <w:tcW w:w="3828" w:type="dxa"/>
        </w:tcPr>
        <w:p w14:paraId="67F4EB3F" w14:textId="77777777" w:rsidR="00840F8B" w:rsidRDefault="00840F8B" w:rsidP="00840F8B">
          <w:pPr>
            <w:pStyle w:val="Encabezado"/>
          </w:pPr>
          <w:r>
            <w:rPr>
              <w:rFonts w:ascii="Helvetica" w:hAnsi="Helvetica" w:cs="Helvetica"/>
              <w:noProof/>
              <w:lang w:eastAsia="es-ES"/>
            </w:rPr>
            <w:drawing>
              <wp:inline distT="0" distB="0" distL="0" distR="0" wp14:anchorId="180AD79D" wp14:editId="72FE6518">
                <wp:extent cx="1670414" cy="49953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42" cy="570595"/>
                        </a:xfrm>
                        <a:prstGeom prst="rect">
                          <a:avLst/>
                        </a:prstGeom>
                        <a:noFill/>
                        <a:ln>
                          <a:noFill/>
                        </a:ln>
                      </pic:spPr>
                    </pic:pic>
                  </a:graphicData>
                </a:graphic>
              </wp:inline>
            </w:drawing>
          </w:r>
          <w:r>
            <w:rPr>
              <w:noProof/>
              <w:lang w:eastAsia="es-ES"/>
            </w:rPr>
            <w:drawing>
              <wp:inline distT="0" distB="0" distL="0" distR="0" wp14:anchorId="2479395D" wp14:editId="599A7123">
                <wp:extent cx="540141" cy="498898"/>
                <wp:effectExtent l="0" t="0" r="0" b="0"/>
                <wp:docPr id="3" name="Imagen 3" descr="Resultado de imagen de ricardo mella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de ricardo mella fo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105" cy="503483"/>
                        </a:xfrm>
                        <a:prstGeom prst="rect">
                          <a:avLst/>
                        </a:prstGeom>
                        <a:noFill/>
                        <a:ln>
                          <a:noFill/>
                        </a:ln>
                      </pic:spPr>
                    </pic:pic>
                  </a:graphicData>
                </a:graphic>
              </wp:inline>
            </w:drawing>
          </w:r>
        </w:p>
      </w:tc>
      <w:tc>
        <w:tcPr>
          <w:tcW w:w="4536" w:type="dxa"/>
        </w:tcPr>
        <w:p w14:paraId="39F1B591" w14:textId="77777777" w:rsidR="00840F8B" w:rsidRPr="00877F9F" w:rsidRDefault="00840F8B" w:rsidP="00840F8B">
          <w:pPr>
            <w:pStyle w:val="Encabezado"/>
            <w:rPr>
              <w:sz w:val="20"/>
              <w:szCs w:val="20"/>
            </w:rPr>
          </w:pPr>
          <w:r w:rsidRPr="00877F9F">
            <w:rPr>
              <w:rFonts w:ascii="Arial" w:hAnsi="Arial" w:cs="Arial"/>
              <w:noProof/>
              <w:sz w:val="20"/>
              <w:szCs w:val="20"/>
              <w:lang w:eastAsia="es-ES"/>
            </w:rPr>
            <w:drawing>
              <wp:anchor distT="0" distB="0" distL="114935" distR="114935" simplePos="0" relativeHeight="251659264" behindDoc="1" locked="0" layoutInCell="1" allowOverlap="1" wp14:anchorId="14F32914" wp14:editId="4F7BA42E">
                <wp:simplePos x="0" y="0"/>
                <wp:positionH relativeFrom="column">
                  <wp:posOffset>2258907</wp:posOffset>
                </wp:positionH>
                <wp:positionV relativeFrom="paragraph">
                  <wp:posOffset>42545</wp:posOffset>
                </wp:positionV>
                <wp:extent cx="448733" cy="498097"/>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450193" cy="499718"/>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877F9F">
            <w:rPr>
              <w:sz w:val="20"/>
              <w:szCs w:val="20"/>
            </w:rPr>
            <w:t>I.E.S. RICARDO MELLA</w:t>
          </w:r>
        </w:p>
        <w:p w14:paraId="08CF41D0" w14:textId="77777777" w:rsidR="00840F8B" w:rsidRPr="00E6106D" w:rsidRDefault="00840F8B" w:rsidP="00840F8B">
          <w:pPr>
            <w:pStyle w:val="Encabezado"/>
            <w:rPr>
              <w:rFonts w:ascii="Arial" w:hAnsi="Arial" w:cs="Arial"/>
              <w:sz w:val="13"/>
              <w:szCs w:val="13"/>
            </w:rPr>
          </w:pPr>
          <w:r w:rsidRPr="00E6106D">
            <w:rPr>
              <w:rFonts w:ascii="Arial" w:hAnsi="Arial" w:cs="Arial"/>
              <w:sz w:val="13"/>
              <w:szCs w:val="13"/>
            </w:rPr>
            <w:t>Estrada Vella Madrid 177 – 36214 Vigo. Pontevedra.</w:t>
          </w:r>
        </w:p>
        <w:p w14:paraId="121C7CA4" w14:textId="77777777" w:rsidR="00840F8B" w:rsidRPr="00E6106D" w:rsidRDefault="00840F8B" w:rsidP="00840F8B">
          <w:pPr>
            <w:pStyle w:val="Encabezado"/>
            <w:rPr>
              <w:rFonts w:ascii="Arial" w:hAnsi="Arial" w:cs="Arial"/>
              <w:sz w:val="13"/>
              <w:szCs w:val="13"/>
            </w:rPr>
          </w:pPr>
          <w:r w:rsidRPr="00E6106D">
            <w:rPr>
              <w:rFonts w:ascii="Arial" w:hAnsi="Arial" w:cs="Arial"/>
              <w:sz w:val="13"/>
              <w:szCs w:val="13"/>
            </w:rPr>
            <w:t>Teléfono: 886121100 – Fax: 886121026</w:t>
          </w:r>
        </w:p>
        <w:p w14:paraId="69E65C45" w14:textId="77777777" w:rsidR="00840F8B" w:rsidRPr="00E6106D" w:rsidRDefault="00840F8B" w:rsidP="00840F8B">
          <w:pPr>
            <w:pStyle w:val="Encabezado"/>
            <w:rPr>
              <w:rFonts w:ascii="Arial" w:hAnsi="Arial" w:cs="Arial"/>
              <w:sz w:val="13"/>
              <w:szCs w:val="13"/>
            </w:rPr>
          </w:pPr>
          <w:r w:rsidRPr="00E6106D">
            <w:rPr>
              <w:rFonts w:ascii="Arial" w:hAnsi="Arial" w:cs="Arial"/>
              <w:sz w:val="13"/>
              <w:szCs w:val="13"/>
            </w:rPr>
            <w:t xml:space="preserve">Web: </w:t>
          </w:r>
          <w:r w:rsidRPr="00E6106D">
            <w:rPr>
              <w:rFonts w:ascii="Arial" w:hAnsi="Arial" w:cs="Arial"/>
              <w:color w:val="FF0000"/>
              <w:sz w:val="13"/>
              <w:szCs w:val="13"/>
            </w:rPr>
            <w:t>http://edu.xunta,es/centros/iesricardomella</w:t>
          </w:r>
        </w:p>
        <w:p w14:paraId="456EA1DA" w14:textId="77777777" w:rsidR="00840F8B" w:rsidRPr="003D3A28" w:rsidRDefault="00840F8B" w:rsidP="00840F8B">
          <w:pPr>
            <w:pStyle w:val="Encabezado"/>
            <w:rPr>
              <w:sz w:val="16"/>
              <w:szCs w:val="16"/>
            </w:rPr>
          </w:pPr>
          <w:r w:rsidRPr="00E6106D">
            <w:rPr>
              <w:rFonts w:ascii="Arial" w:hAnsi="Arial" w:cs="Arial"/>
              <w:sz w:val="13"/>
              <w:szCs w:val="13"/>
            </w:rPr>
            <w:t xml:space="preserve">Correo Electrónico: </w:t>
          </w:r>
          <w:r w:rsidRPr="00E6106D">
            <w:rPr>
              <w:rFonts w:ascii="Arial" w:hAnsi="Arial" w:cs="Arial"/>
              <w:color w:val="2F5496" w:themeColor="accent1" w:themeShade="BF"/>
              <w:sz w:val="13"/>
              <w:szCs w:val="13"/>
            </w:rPr>
            <w:t>ies.ricardo.mella@edu.xunta.es</w:t>
          </w:r>
        </w:p>
      </w:tc>
      <w:tc>
        <w:tcPr>
          <w:tcW w:w="1984" w:type="dxa"/>
        </w:tcPr>
        <w:p w14:paraId="4043F96B" w14:textId="77777777" w:rsidR="00840F8B" w:rsidRPr="00E6106D" w:rsidRDefault="00840F8B" w:rsidP="00840F8B">
          <w:pPr>
            <w:pStyle w:val="Encabezado"/>
            <w:jc w:val="center"/>
            <w:rPr>
              <w:rFonts w:ascii="Arial" w:hAnsi="Arial" w:cs="Arial"/>
              <w:b/>
              <w:i/>
              <w:sz w:val="22"/>
              <w:szCs w:val="22"/>
            </w:rPr>
          </w:pPr>
          <w:r w:rsidRPr="00E6106D">
            <w:rPr>
              <w:rFonts w:ascii="Arial" w:hAnsi="Arial" w:cs="Arial"/>
              <w:b/>
              <w:i/>
              <w:sz w:val="22"/>
              <w:szCs w:val="22"/>
            </w:rPr>
            <w:t>Departamento de</w:t>
          </w:r>
          <w:r>
            <w:rPr>
              <w:rFonts w:ascii="Arial" w:hAnsi="Arial" w:cs="Arial"/>
              <w:b/>
              <w:i/>
              <w:sz w:val="22"/>
              <w:szCs w:val="22"/>
            </w:rPr>
            <w:t xml:space="preserve"> </w:t>
          </w:r>
          <w:r w:rsidRPr="00E6106D">
            <w:rPr>
              <w:rFonts w:ascii="Arial" w:hAnsi="Arial" w:cs="Arial"/>
              <w:b/>
              <w:i/>
              <w:sz w:val="22"/>
              <w:szCs w:val="22"/>
            </w:rPr>
            <w:t>Inglés</w:t>
          </w:r>
        </w:p>
        <w:p w14:paraId="0AC453D1" w14:textId="77777777" w:rsidR="00840F8B" w:rsidRPr="00680E83" w:rsidRDefault="00840F8B" w:rsidP="00840F8B">
          <w:pPr>
            <w:pStyle w:val="Encabezado"/>
            <w:rPr>
              <w:b/>
              <w:i/>
              <w:sz w:val="22"/>
              <w:szCs w:val="22"/>
            </w:rPr>
          </w:pPr>
          <w:r>
            <w:rPr>
              <w:noProof/>
              <w:lang w:eastAsia="es-ES"/>
            </w:rPr>
            <w:drawing>
              <wp:anchor distT="0" distB="0" distL="114300" distR="114300" simplePos="0" relativeHeight="251660288" behindDoc="1" locked="0" layoutInCell="1" allowOverlap="1" wp14:anchorId="5556503A" wp14:editId="6B50A0E7">
                <wp:simplePos x="0" y="0"/>
                <wp:positionH relativeFrom="page">
                  <wp:posOffset>62018</wp:posOffset>
                </wp:positionH>
                <wp:positionV relativeFrom="page">
                  <wp:posOffset>347345</wp:posOffset>
                </wp:positionV>
                <wp:extent cx="1052840" cy="193040"/>
                <wp:effectExtent l="0" t="0" r="127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9287" cy="19605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B768F1" w14:textId="77777777" w:rsidR="00840F8B" w:rsidRDefault="00840F8B" w:rsidP="00840F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D44"/>
    <w:multiLevelType w:val="multilevel"/>
    <w:tmpl w:val="F2D0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C184D"/>
    <w:multiLevelType w:val="hybridMultilevel"/>
    <w:tmpl w:val="F39EBA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0C248F8"/>
    <w:multiLevelType w:val="multilevel"/>
    <w:tmpl w:val="2226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71393"/>
    <w:multiLevelType w:val="multilevel"/>
    <w:tmpl w:val="27B2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77ECF"/>
    <w:multiLevelType w:val="multilevel"/>
    <w:tmpl w:val="53CE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6118C"/>
    <w:multiLevelType w:val="hybridMultilevel"/>
    <w:tmpl w:val="B8366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17808EF"/>
    <w:multiLevelType w:val="hybridMultilevel"/>
    <w:tmpl w:val="E6CA9AE0"/>
    <w:lvl w:ilvl="0" w:tplc="040A000B">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2452EFA"/>
    <w:multiLevelType w:val="multilevel"/>
    <w:tmpl w:val="C8CC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224F28"/>
    <w:multiLevelType w:val="multilevel"/>
    <w:tmpl w:val="CDA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2B3A7F"/>
    <w:multiLevelType w:val="multilevel"/>
    <w:tmpl w:val="D358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ED4DAA"/>
    <w:multiLevelType w:val="multilevel"/>
    <w:tmpl w:val="729A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C4F70"/>
    <w:multiLevelType w:val="hybridMultilevel"/>
    <w:tmpl w:val="51E2AF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05262E9E"/>
    <w:multiLevelType w:val="multilevel"/>
    <w:tmpl w:val="3368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75C5C"/>
    <w:multiLevelType w:val="multilevel"/>
    <w:tmpl w:val="1DD60A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895235"/>
    <w:multiLevelType w:val="multilevel"/>
    <w:tmpl w:val="E642F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3203A8"/>
    <w:multiLevelType w:val="multilevel"/>
    <w:tmpl w:val="D5A6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26471"/>
    <w:multiLevelType w:val="multilevel"/>
    <w:tmpl w:val="242E5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884B87"/>
    <w:multiLevelType w:val="multilevel"/>
    <w:tmpl w:val="94BC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F47D5F"/>
    <w:multiLevelType w:val="multilevel"/>
    <w:tmpl w:val="0C4E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D82BBF"/>
    <w:multiLevelType w:val="multilevel"/>
    <w:tmpl w:val="0A44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FA5A6D"/>
    <w:multiLevelType w:val="multilevel"/>
    <w:tmpl w:val="86C8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5743A5"/>
    <w:multiLevelType w:val="multilevel"/>
    <w:tmpl w:val="9A02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5B4E0E"/>
    <w:multiLevelType w:val="hybridMultilevel"/>
    <w:tmpl w:val="5BEA86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0D260F7F"/>
    <w:multiLevelType w:val="multilevel"/>
    <w:tmpl w:val="7F1A6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7319D4"/>
    <w:multiLevelType w:val="multilevel"/>
    <w:tmpl w:val="3F52B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924409"/>
    <w:multiLevelType w:val="hybridMultilevel"/>
    <w:tmpl w:val="824294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0D971C90"/>
    <w:multiLevelType w:val="multilevel"/>
    <w:tmpl w:val="05E8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A059E1"/>
    <w:multiLevelType w:val="multilevel"/>
    <w:tmpl w:val="B780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B564F6"/>
    <w:multiLevelType w:val="multilevel"/>
    <w:tmpl w:val="D7DC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CB2294"/>
    <w:multiLevelType w:val="multilevel"/>
    <w:tmpl w:val="8A9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415106"/>
    <w:multiLevelType w:val="multilevel"/>
    <w:tmpl w:val="323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93046B"/>
    <w:multiLevelType w:val="multilevel"/>
    <w:tmpl w:val="43DCD6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AF6E7B"/>
    <w:multiLevelType w:val="multilevel"/>
    <w:tmpl w:val="6684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403398"/>
    <w:multiLevelType w:val="multilevel"/>
    <w:tmpl w:val="F44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4916E3"/>
    <w:multiLevelType w:val="multilevel"/>
    <w:tmpl w:val="64FA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7E6FD2"/>
    <w:multiLevelType w:val="multilevel"/>
    <w:tmpl w:val="45C8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0836AB"/>
    <w:multiLevelType w:val="multilevel"/>
    <w:tmpl w:val="1D4A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3574BD"/>
    <w:multiLevelType w:val="multilevel"/>
    <w:tmpl w:val="7000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8B504E"/>
    <w:multiLevelType w:val="multilevel"/>
    <w:tmpl w:val="0B16BE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E37BED"/>
    <w:multiLevelType w:val="multilevel"/>
    <w:tmpl w:val="0484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EC15EE"/>
    <w:multiLevelType w:val="multilevel"/>
    <w:tmpl w:val="E36E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CD3F39"/>
    <w:multiLevelType w:val="multilevel"/>
    <w:tmpl w:val="725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E60A66"/>
    <w:multiLevelType w:val="multilevel"/>
    <w:tmpl w:val="47A8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E82372"/>
    <w:multiLevelType w:val="multilevel"/>
    <w:tmpl w:val="F2A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9005897"/>
    <w:multiLevelType w:val="multilevel"/>
    <w:tmpl w:val="A59CE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0E6EF4"/>
    <w:multiLevelType w:val="multilevel"/>
    <w:tmpl w:val="9D321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57616B"/>
    <w:multiLevelType w:val="hybridMultilevel"/>
    <w:tmpl w:val="1ABE3A92"/>
    <w:lvl w:ilvl="0" w:tplc="040A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195D3942"/>
    <w:multiLevelType w:val="multilevel"/>
    <w:tmpl w:val="C56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96A3C60"/>
    <w:multiLevelType w:val="multilevel"/>
    <w:tmpl w:val="ED0A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6C0648"/>
    <w:multiLevelType w:val="multilevel"/>
    <w:tmpl w:val="2ADE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C4369A"/>
    <w:multiLevelType w:val="multilevel"/>
    <w:tmpl w:val="BBF2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0606E3"/>
    <w:multiLevelType w:val="multilevel"/>
    <w:tmpl w:val="D966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1C5375"/>
    <w:multiLevelType w:val="multilevel"/>
    <w:tmpl w:val="12B4E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475918"/>
    <w:multiLevelType w:val="multilevel"/>
    <w:tmpl w:val="BEA2ED9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Open Sans" w:eastAsia="Times New Roman" w:hAnsi="Open Sans" w:cs="Open Sans" w:hint="default"/>
      </w:rPr>
    </w:lvl>
    <w:lvl w:ilvl="2">
      <w:start w:val="2"/>
      <w:numFmt w:val="bullet"/>
      <w:lvlText w:val="-"/>
      <w:lvlJc w:val="left"/>
      <w:pPr>
        <w:ind w:left="2160" w:hanging="360"/>
      </w:pPr>
      <w:rPr>
        <w:rFonts w:ascii="Open Sans" w:eastAsia="Times New Roman" w:hAnsi="Open Sans" w:cs="Open San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B0130D6"/>
    <w:multiLevelType w:val="multilevel"/>
    <w:tmpl w:val="606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B147F5D"/>
    <w:multiLevelType w:val="multilevel"/>
    <w:tmpl w:val="C8F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B8454BF"/>
    <w:multiLevelType w:val="multilevel"/>
    <w:tmpl w:val="D20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95507D"/>
    <w:multiLevelType w:val="multilevel"/>
    <w:tmpl w:val="2BE8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051845"/>
    <w:multiLevelType w:val="multilevel"/>
    <w:tmpl w:val="859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411B70"/>
    <w:multiLevelType w:val="multilevel"/>
    <w:tmpl w:val="8E50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870BCB"/>
    <w:multiLevelType w:val="multilevel"/>
    <w:tmpl w:val="2D185E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883FAD"/>
    <w:multiLevelType w:val="multilevel"/>
    <w:tmpl w:val="40C2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84042B"/>
    <w:multiLevelType w:val="multilevel"/>
    <w:tmpl w:val="0C463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830A1F"/>
    <w:multiLevelType w:val="multilevel"/>
    <w:tmpl w:val="E91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23032E"/>
    <w:multiLevelType w:val="hybridMultilevel"/>
    <w:tmpl w:val="EEC804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5" w15:restartNumberingAfterBreak="0">
    <w:nsid w:val="215B486E"/>
    <w:multiLevelType w:val="multilevel"/>
    <w:tmpl w:val="EE82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29E458C"/>
    <w:multiLevelType w:val="multilevel"/>
    <w:tmpl w:val="81FE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BA663A"/>
    <w:multiLevelType w:val="multilevel"/>
    <w:tmpl w:val="FFF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2901ED"/>
    <w:multiLevelType w:val="multilevel"/>
    <w:tmpl w:val="28EA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33311E1"/>
    <w:multiLevelType w:val="multilevel"/>
    <w:tmpl w:val="2302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B05044"/>
    <w:multiLevelType w:val="multilevel"/>
    <w:tmpl w:val="FE8E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B5215B"/>
    <w:multiLevelType w:val="multilevel"/>
    <w:tmpl w:val="9E2C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6745EA"/>
    <w:multiLevelType w:val="multilevel"/>
    <w:tmpl w:val="B8A8ACB0"/>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3" w15:restartNumberingAfterBreak="0">
    <w:nsid w:val="24A92748"/>
    <w:multiLevelType w:val="multilevel"/>
    <w:tmpl w:val="4EE66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5061EDD"/>
    <w:multiLevelType w:val="multilevel"/>
    <w:tmpl w:val="7F02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5347D59"/>
    <w:multiLevelType w:val="multilevel"/>
    <w:tmpl w:val="28FCB8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ascii="Times New Roman" w:hAnsi="Times New Roman" w:cs="Times New Roman" w:hint="default"/>
        <w:sz w:val="24"/>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3D1D14"/>
    <w:multiLevelType w:val="multilevel"/>
    <w:tmpl w:val="732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E306B0"/>
    <w:multiLevelType w:val="multilevel"/>
    <w:tmpl w:val="6C72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7D31500"/>
    <w:multiLevelType w:val="hybridMultilevel"/>
    <w:tmpl w:val="B45247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9" w15:restartNumberingAfterBreak="0">
    <w:nsid w:val="28212D25"/>
    <w:multiLevelType w:val="multilevel"/>
    <w:tmpl w:val="4242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905D7C"/>
    <w:multiLevelType w:val="multilevel"/>
    <w:tmpl w:val="3A960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89E6226"/>
    <w:multiLevelType w:val="multilevel"/>
    <w:tmpl w:val="34BA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8A86B2B"/>
    <w:multiLevelType w:val="multilevel"/>
    <w:tmpl w:val="1D943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B842A1"/>
    <w:multiLevelType w:val="multilevel"/>
    <w:tmpl w:val="C31C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99616D2"/>
    <w:multiLevelType w:val="multilevel"/>
    <w:tmpl w:val="405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9A14199"/>
    <w:multiLevelType w:val="multilevel"/>
    <w:tmpl w:val="7EF4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A0836B6"/>
    <w:multiLevelType w:val="hybridMultilevel"/>
    <w:tmpl w:val="2E4A4116"/>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7" w15:restartNumberingAfterBreak="0">
    <w:nsid w:val="2A2A373D"/>
    <w:multiLevelType w:val="multilevel"/>
    <w:tmpl w:val="D768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A763489"/>
    <w:multiLevelType w:val="multilevel"/>
    <w:tmpl w:val="69F09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AC05234"/>
    <w:multiLevelType w:val="multilevel"/>
    <w:tmpl w:val="A234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982E55"/>
    <w:multiLevelType w:val="multilevel"/>
    <w:tmpl w:val="3AD8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D136DA"/>
    <w:multiLevelType w:val="multilevel"/>
    <w:tmpl w:val="121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1D0225"/>
    <w:multiLevelType w:val="multilevel"/>
    <w:tmpl w:val="D110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C7C5C61"/>
    <w:multiLevelType w:val="multilevel"/>
    <w:tmpl w:val="993E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D0A0F74"/>
    <w:multiLevelType w:val="multilevel"/>
    <w:tmpl w:val="0DEA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D1130EC"/>
    <w:multiLevelType w:val="multilevel"/>
    <w:tmpl w:val="02A613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9F5A69"/>
    <w:multiLevelType w:val="multilevel"/>
    <w:tmpl w:val="9094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DF24F15"/>
    <w:multiLevelType w:val="multilevel"/>
    <w:tmpl w:val="3308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E0125A5"/>
    <w:multiLevelType w:val="multilevel"/>
    <w:tmpl w:val="A53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E1E6DDC"/>
    <w:multiLevelType w:val="multilevel"/>
    <w:tmpl w:val="C9346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E3A2DD6"/>
    <w:multiLevelType w:val="hybridMultilevel"/>
    <w:tmpl w:val="47C4B82C"/>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1" w15:restartNumberingAfterBreak="0">
    <w:nsid w:val="2F092F38"/>
    <w:multiLevelType w:val="multilevel"/>
    <w:tmpl w:val="75F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F115E0A"/>
    <w:multiLevelType w:val="multilevel"/>
    <w:tmpl w:val="FB38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F3A721A"/>
    <w:multiLevelType w:val="multilevel"/>
    <w:tmpl w:val="5562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C234E8"/>
    <w:multiLevelType w:val="multilevel"/>
    <w:tmpl w:val="EF90F5B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Arial" w:hAnsi="Arial" w:cs="Arial" w:hint="default"/>
        <w:b/>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1373ED4"/>
    <w:multiLevelType w:val="multilevel"/>
    <w:tmpl w:val="1A686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F352F"/>
    <w:multiLevelType w:val="multilevel"/>
    <w:tmpl w:val="289E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1AA12F7"/>
    <w:multiLevelType w:val="multilevel"/>
    <w:tmpl w:val="9006E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1F427F0"/>
    <w:multiLevelType w:val="multilevel"/>
    <w:tmpl w:val="C200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3516DE6"/>
    <w:multiLevelType w:val="multilevel"/>
    <w:tmpl w:val="D9D0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4A2D01"/>
    <w:multiLevelType w:val="multilevel"/>
    <w:tmpl w:val="88A2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D16DD2"/>
    <w:multiLevelType w:val="multilevel"/>
    <w:tmpl w:val="BB74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54855C5"/>
    <w:multiLevelType w:val="multilevel"/>
    <w:tmpl w:val="50DC6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B57EBF"/>
    <w:multiLevelType w:val="multilevel"/>
    <w:tmpl w:val="6A96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7834ABE"/>
    <w:multiLevelType w:val="multilevel"/>
    <w:tmpl w:val="5B30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813692E"/>
    <w:multiLevelType w:val="multilevel"/>
    <w:tmpl w:val="C4B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751F96"/>
    <w:multiLevelType w:val="multilevel"/>
    <w:tmpl w:val="EDD2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8D16436"/>
    <w:multiLevelType w:val="multilevel"/>
    <w:tmpl w:val="95A6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9245156"/>
    <w:multiLevelType w:val="multilevel"/>
    <w:tmpl w:val="20B4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9407D2A"/>
    <w:multiLevelType w:val="multilevel"/>
    <w:tmpl w:val="243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A38376A"/>
    <w:multiLevelType w:val="multilevel"/>
    <w:tmpl w:val="303A8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7556D0"/>
    <w:multiLevelType w:val="multilevel"/>
    <w:tmpl w:val="8792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AA62D47"/>
    <w:multiLevelType w:val="hybridMultilevel"/>
    <w:tmpl w:val="74241E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3" w15:restartNumberingAfterBreak="0">
    <w:nsid w:val="3B1F6231"/>
    <w:multiLevelType w:val="hybridMultilevel"/>
    <w:tmpl w:val="2680874A"/>
    <w:lvl w:ilvl="0" w:tplc="E2184DC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4" w15:restartNumberingAfterBreak="0">
    <w:nsid w:val="3C943A41"/>
    <w:multiLevelType w:val="multilevel"/>
    <w:tmpl w:val="3930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CE14197"/>
    <w:multiLevelType w:val="multilevel"/>
    <w:tmpl w:val="1C0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EC70ED6"/>
    <w:multiLevelType w:val="multilevel"/>
    <w:tmpl w:val="D6CA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01A6349"/>
    <w:multiLevelType w:val="hybridMultilevel"/>
    <w:tmpl w:val="741251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8" w15:restartNumberingAfterBreak="0">
    <w:nsid w:val="40996C6B"/>
    <w:multiLevelType w:val="multilevel"/>
    <w:tmpl w:val="2C02D2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B35078"/>
    <w:multiLevelType w:val="multilevel"/>
    <w:tmpl w:val="7FA2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B92D7D"/>
    <w:multiLevelType w:val="multilevel"/>
    <w:tmpl w:val="8460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0C3281B"/>
    <w:multiLevelType w:val="hybridMultilevel"/>
    <w:tmpl w:val="8BD027A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2" w15:restartNumberingAfterBreak="0">
    <w:nsid w:val="415B7A18"/>
    <w:multiLevelType w:val="multilevel"/>
    <w:tmpl w:val="818EC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1BC78FA"/>
    <w:multiLevelType w:val="multilevel"/>
    <w:tmpl w:val="C832E3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4" w15:restartNumberingAfterBreak="0">
    <w:nsid w:val="4281241C"/>
    <w:multiLevelType w:val="multilevel"/>
    <w:tmpl w:val="E1DE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28B0714"/>
    <w:multiLevelType w:val="multilevel"/>
    <w:tmpl w:val="959C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3CF1E67"/>
    <w:multiLevelType w:val="multilevel"/>
    <w:tmpl w:val="3716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3EF59B4"/>
    <w:multiLevelType w:val="multilevel"/>
    <w:tmpl w:val="0F6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4C4631F"/>
    <w:multiLevelType w:val="multilevel"/>
    <w:tmpl w:val="F3C0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51B56B9"/>
    <w:multiLevelType w:val="multilevel"/>
    <w:tmpl w:val="6090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5656F8A"/>
    <w:multiLevelType w:val="multilevel"/>
    <w:tmpl w:val="AF7A4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56860E0"/>
    <w:multiLevelType w:val="multilevel"/>
    <w:tmpl w:val="77C4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58002D3"/>
    <w:multiLevelType w:val="multilevel"/>
    <w:tmpl w:val="1316723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3" w15:restartNumberingAfterBreak="0">
    <w:nsid w:val="458E1FC4"/>
    <w:multiLevelType w:val="multilevel"/>
    <w:tmpl w:val="930E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62C4FBA"/>
    <w:multiLevelType w:val="multilevel"/>
    <w:tmpl w:val="944A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2F2DEF"/>
    <w:multiLevelType w:val="multilevel"/>
    <w:tmpl w:val="AFF2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474A18"/>
    <w:multiLevelType w:val="multilevel"/>
    <w:tmpl w:val="864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6DE7CA5"/>
    <w:multiLevelType w:val="hybridMultilevel"/>
    <w:tmpl w:val="423AFB5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8" w15:restartNumberingAfterBreak="0">
    <w:nsid w:val="47E31255"/>
    <w:multiLevelType w:val="multilevel"/>
    <w:tmpl w:val="E774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8214F3D"/>
    <w:multiLevelType w:val="multilevel"/>
    <w:tmpl w:val="56D6C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84D7FE3"/>
    <w:multiLevelType w:val="multilevel"/>
    <w:tmpl w:val="1DCA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8924655"/>
    <w:multiLevelType w:val="multilevel"/>
    <w:tmpl w:val="C4B6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989601F"/>
    <w:multiLevelType w:val="multilevel"/>
    <w:tmpl w:val="C4B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9B15E2B"/>
    <w:multiLevelType w:val="multilevel"/>
    <w:tmpl w:val="A844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A61282B"/>
    <w:multiLevelType w:val="multilevel"/>
    <w:tmpl w:val="8AAE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B5C4557"/>
    <w:multiLevelType w:val="multilevel"/>
    <w:tmpl w:val="BF20D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B7747BB"/>
    <w:multiLevelType w:val="multilevel"/>
    <w:tmpl w:val="47D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B890BB3"/>
    <w:multiLevelType w:val="multilevel"/>
    <w:tmpl w:val="086C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B9E3004"/>
    <w:multiLevelType w:val="multilevel"/>
    <w:tmpl w:val="7AA2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C226F99"/>
    <w:multiLevelType w:val="multilevel"/>
    <w:tmpl w:val="43D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C563306"/>
    <w:multiLevelType w:val="hybridMultilevel"/>
    <w:tmpl w:val="37B486D4"/>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1" w15:restartNumberingAfterBreak="0">
    <w:nsid w:val="4CE5426F"/>
    <w:multiLevelType w:val="hybridMultilevel"/>
    <w:tmpl w:val="DA9C181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2" w15:restartNumberingAfterBreak="0">
    <w:nsid w:val="4CE65197"/>
    <w:multiLevelType w:val="multilevel"/>
    <w:tmpl w:val="8610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D4774F3"/>
    <w:multiLevelType w:val="multilevel"/>
    <w:tmpl w:val="9A3A3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D590469"/>
    <w:multiLevelType w:val="multilevel"/>
    <w:tmpl w:val="E1F05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DEF0D3B"/>
    <w:multiLevelType w:val="multilevel"/>
    <w:tmpl w:val="6DA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DF44FD1"/>
    <w:multiLevelType w:val="multilevel"/>
    <w:tmpl w:val="987E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E026700"/>
    <w:multiLevelType w:val="multilevel"/>
    <w:tmpl w:val="64B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E8A3BAB"/>
    <w:multiLevelType w:val="multilevel"/>
    <w:tmpl w:val="8E2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EFD094B"/>
    <w:multiLevelType w:val="hybridMultilevel"/>
    <w:tmpl w:val="545250E2"/>
    <w:lvl w:ilvl="0" w:tplc="040A000B">
      <w:start w:val="1"/>
      <w:numFmt w:val="bullet"/>
      <w:lvlText w:val=""/>
      <w:lvlJc w:val="left"/>
      <w:pPr>
        <w:ind w:left="1428" w:hanging="360"/>
      </w:pPr>
      <w:rPr>
        <w:rFonts w:ascii="Wingdings" w:hAnsi="Wingdings"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70" w15:restartNumberingAfterBreak="0">
    <w:nsid w:val="4F012359"/>
    <w:multiLevelType w:val="multilevel"/>
    <w:tmpl w:val="9748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0F2A61"/>
    <w:multiLevelType w:val="multilevel"/>
    <w:tmpl w:val="F8DC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F60578F"/>
    <w:multiLevelType w:val="multilevel"/>
    <w:tmpl w:val="C78C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F62192A"/>
    <w:multiLevelType w:val="multilevel"/>
    <w:tmpl w:val="0788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FC87B25"/>
    <w:multiLevelType w:val="multilevel"/>
    <w:tmpl w:val="10A85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00522B2"/>
    <w:multiLevelType w:val="multilevel"/>
    <w:tmpl w:val="91E6A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08A10F7"/>
    <w:multiLevelType w:val="multilevel"/>
    <w:tmpl w:val="0400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10332C3"/>
    <w:multiLevelType w:val="multilevel"/>
    <w:tmpl w:val="2798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12B15C6"/>
    <w:multiLevelType w:val="multilevel"/>
    <w:tmpl w:val="0092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1E61C12"/>
    <w:multiLevelType w:val="multilevel"/>
    <w:tmpl w:val="12BA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1EC1ECA"/>
    <w:multiLevelType w:val="multilevel"/>
    <w:tmpl w:val="A5A0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1ED4727"/>
    <w:multiLevelType w:val="multilevel"/>
    <w:tmpl w:val="A726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1FF7712"/>
    <w:multiLevelType w:val="multilevel"/>
    <w:tmpl w:val="6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33D0F6B"/>
    <w:multiLevelType w:val="multilevel"/>
    <w:tmpl w:val="38B2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3B224BF"/>
    <w:multiLevelType w:val="multilevel"/>
    <w:tmpl w:val="B836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3DE3027"/>
    <w:multiLevelType w:val="multilevel"/>
    <w:tmpl w:val="FBF0B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3E703D4"/>
    <w:multiLevelType w:val="multilevel"/>
    <w:tmpl w:val="2F8E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4FD4025"/>
    <w:multiLevelType w:val="multilevel"/>
    <w:tmpl w:val="2054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52C2FFE"/>
    <w:multiLevelType w:val="multilevel"/>
    <w:tmpl w:val="E3DA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59A33AD"/>
    <w:multiLevelType w:val="multilevel"/>
    <w:tmpl w:val="547A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688624E"/>
    <w:multiLevelType w:val="multilevel"/>
    <w:tmpl w:val="4AA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6B223AD"/>
    <w:multiLevelType w:val="multilevel"/>
    <w:tmpl w:val="94449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6B64987"/>
    <w:multiLevelType w:val="multilevel"/>
    <w:tmpl w:val="FB1C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7D12727"/>
    <w:multiLevelType w:val="multilevel"/>
    <w:tmpl w:val="648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97772D6"/>
    <w:multiLevelType w:val="multilevel"/>
    <w:tmpl w:val="983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9833154"/>
    <w:multiLevelType w:val="multilevel"/>
    <w:tmpl w:val="1D24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9A8488F"/>
    <w:multiLevelType w:val="multilevel"/>
    <w:tmpl w:val="CC18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A4F4DFC"/>
    <w:multiLevelType w:val="multilevel"/>
    <w:tmpl w:val="0052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B701FD6"/>
    <w:multiLevelType w:val="multilevel"/>
    <w:tmpl w:val="0998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B9C2C73"/>
    <w:multiLevelType w:val="multilevel"/>
    <w:tmpl w:val="DEA6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BAC1FF9"/>
    <w:multiLevelType w:val="multilevel"/>
    <w:tmpl w:val="91EA6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BB45C7E"/>
    <w:multiLevelType w:val="multilevel"/>
    <w:tmpl w:val="3152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BB56DC2"/>
    <w:multiLevelType w:val="multilevel"/>
    <w:tmpl w:val="D926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B8477C"/>
    <w:multiLevelType w:val="multilevel"/>
    <w:tmpl w:val="6800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E1774E2"/>
    <w:multiLevelType w:val="hybridMultilevel"/>
    <w:tmpl w:val="B18E37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5" w15:restartNumberingAfterBreak="0">
    <w:nsid w:val="60876317"/>
    <w:multiLevelType w:val="multilevel"/>
    <w:tmpl w:val="4EC4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088088E"/>
    <w:multiLevelType w:val="multilevel"/>
    <w:tmpl w:val="ABAA0F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920CC0"/>
    <w:multiLevelType w:val="multilevel"/>
    <w:tmpl w:val="B9DE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0D47CA2"/>
    <w:multiLevelType w:val="multilevel"/>
    <w:tmpl w:val="62FA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2B80170"/>
    <w:multiLevelType w:val="multilevel"/>
    <w:tmpl w:val="BA6069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481690F"/>
    <w:multiLevelType w:val="multilevel"/>
    <w:tmpl w:val="70781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4DF7DDE"/>
    <w:multiLevelType w:val="multilevel"/>
    <w:tmpl w:val="12F80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5C15DD5"/>
    <w:multiLevelType w:val="multilevel"/>
    <w:tmpl w:val="0AE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6330A5E"/>
    <w:multiLevelType w:val="multilevel"/>
    <w:tmpl w:val="BCAA7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63C665F"/>
    <w:multiLevelType w:val="multilevel"/>
    <w:tmpl w:val="3FFC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6A34F97"/>
    <w:multiLevelType w:val="multilevel"/>
    <w:tmpl w:val="33BE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7771717"/>
    <w:multiLevelType w:val="multilevel"/>
    <w:tmpl w:val="F6F8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79C18FB"/>
    <w:multiLevelType w:val="multilevel"/>
    <w:tmpl w:val="F22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7A27BFC"/>
    <w:multiLevelType w:val="multilevel"/>
    <w:tmpl w:val="71E87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8137DDE"/>
    <w:multiLevelType w:val="hybridMultilevel"/>
    <w:tmpl w:val="0C4AC7EC"/>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0" w15:restartNumberingAfterBreak="0">
    <w:nsid w:val="68706684"/>
    <w:multiLevelType w:val="multilevel"/>
    <w:tmpl w:val="2698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91A5A30"/>
    <w:multiLevelType w:val="multilevel"/>
    <w:tmpl w:val="7ACA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99952EB"/>
    <w:multiLevelType w:val="multilevel"/>
    <w:tmpl w:val="717C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9CC79B6"/>
    <w:multiLevelType w:val="multilevel"/>
    <w:tmpl w:val="213A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A050F6D"/>
    <w:multiLevelType w:val="multilevel"/>
    <w:tmpl w:val="11C4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A1753BC"/>
    <w:multiLevelType w:val="hybridMultilevel"/>
    <w:tmpl w:val="BA1A23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6" w15:restartNumberingAfterBreak="0">
    <w:nsid w:val="6A615827"/>
    <w:multiLevelType w:val="multilevel"/>
    <w:tmpl w:val="539C1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A8702D2"/>
    <w:multiLevelType w:val="multilevel"/>
    <w:tmpl w:val="B446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B1602E7"/>
    <w:multiLevelType w:val="hybridMultilevel"/>
    <w:tmpl w:val="2AA8D9B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9" w15:restartNumberingAfterBreak="0">
    <w:nsid w:val="6B7E0592"/>
    <w:multiLevelType w:val="multilevel"/>
    <w:tmpl w:val="A8A0A7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BF617BE"/>
    <w:multiLevelType w:val="hybridMultilevel"/>
    <w:tmpl w:val="1CEE2846"/>
    <w:lvl w:ilvl="0" w:tplc="040A000B">
      <w:start w:val="1"/>
      <w:numFmt w:val="bullet"/>
      <w:lvlText w:val=""/>
      <w:lvlJc w:val="left"/>
      <w:pPr>
        <w:ind w:left="1423" w:hanging="360"/>
      </w:pPr>
      <w:rPr>
        <w:rFonts w:ascii="Wingdings" w:hAnsi="Wingdings" w:hint="default"/>
      </w:rPr>
    </w:lvl>
    <w:lvl w:ilvl="1" w:tplc="040A0003" w:tentative="1">
      <w:start w:val="1"/>
      <w:numFmt w:val="bullet"/>
      <w:lvlText w:val="o"/>
      <w:lvlJc w:val="left"/>
      <w:pPr>
        <w:ind w:left="2143" w:hanging="360"/>
      </w:pPr>
      <w:rPr>
        <w:rFonts w:ascii="Courier New" w:hAnsi="Courier New" w:cs="Courier New" w:hint="default"/>
      </w:rPr>
    </w:lvl>
    <w:lvl w:ilvl="2" w:tplc="040A0005" w:tentative="1">
      <w:start w:val="1"/>
      <w:numFmt w:val="bullet"/>
      <w:lvlText w:val=""/>
      <w:lvlJc w:val="left"/>
      <w:pPr>
        <w:ind w:left="2863" w:hanging="360"/>
      </w:pPr>
      <w:rPr>
        <w:rFonts w:ascii="Wingdings" w:hAnsi="Wingdings" w:hint="default"/>
      </w:rPr>
    </w:lvl>
    <w:lvl w:ilvl="3" w:tplc="040A0001" w:tentative="1">
      <w:start w:val="1"/>
      <w:numFmt w:val="bullet"/>
      <w:lvlText w:val=""/>
      <w:lvlJc w:val="left"/>
      <w:pPr>
        <w:ind w:left="3583" w:hanging="360"/>
      </w:pPr>
      <w:rPr>
        <w:rFonts w:ascii="Symbol" w:hAnsi="Symbol" w:hint="default"/>
      </w:rPr>
    </w:lvl>
    <w:lvl w:ilvl="4" w:tplc="040A0003" w:tentative="1">
      <w:start w:val="1"/>
      <w:numFmt w:val="bullet"/>
      <w:lvlText w:val="o"/>
      <w:lvlJc w:val="left"/>
      <w:pPr>
        <w:ind w:left="4303" w:hanging="360"/>
      </w:pPr>
      <w:rPr>
        <w:rFonts w:ascii="Courier New" w:hAnsi="Courier New" w:cs="Courier New" w:hint="default"/>
      </w:rPr>
    </w:lvl>
    <w:lvl w:ilvl="5" w:tplc="040A0005" w:tentative="1">
      <w:start w:val="1"/>
      <w:numFmt w:val="bullet"/>
      <w:lvlText w:val=""/>
      <w:lvlJc w:val="left"/>
      <w:pPr>
        <w:ind w:left="5023" w:hanging="360"/>
      </w:pPr>
      <w:rPr>
        <w:rFonts w:ascii="Wingdings" w:hAnsi="Wingdings" w:hint="default"/>
      </w:rPr>
    </w:lvl>
    <w:lvl w:ilvl="6" w:tplc="040A0001" w:tentative="1">
      <w:start w:val="1"/>
      <w:numFmt w:val="bullet"/>
      <w:lvlText w:val=""/>
      <w:lvlJc w:val="left"/>
      <w:pPr>
        <w:ind w:left="5743" w:hanging="360"/>
      </w:pPr>
      <w:rPr>
        <w:rFonts w:ascii="Symbol" w:hAnsi="Symbol" w:hint="default"/>
      </w:rPr>
    </w:lvl>
    <w:lvl w:ilvl="7" w:tplc="040A0003" w:tentative="1">
      <w:start w:val="1"/>
      <w:numFmt w:val="bullet"/>
      <w:lvlText w:val="o"/>
      <w:lvlJc w:val="left"/>
      <w:pPr>
        <w:ind w:left="6463" w:hanging="360"/>
      </w:pPr>
      <w:rPr>
        <w:rFonts w:ascii="Courier New" w:hAnsi="Courier New" w:cs="Courier New" w:hint="default"/>
      </w:rPr>
    </w:lvl>
    <w:lvl w:ilvl="8" w:tplc="040A0005" w:tentative="1">
      <w:start w:val="1"/>
      <w:numFmt w:val="bullet"/>
      <w:lvlText w:val=""/>
      <w:lvlJc w:val="left"/>
      <w:pPr>
        <w:ind w:left="7183" w:hanging="360"/>
      </w:pPr>
      <w:rPr>
        <w:rFonts w:ascii="Wingdings" w:hAnsi="Wingdings" w:hint="default"/>
      </w:rPr>
    </w:lvl>
  </w:abstractNum>
  <w:abstractNum w:abstractNumId="231" w15:restartNumberingAfterBreak="0">
    <w:nsid w:val="6C7F06B9"/>
    <w:multiLevelType w:val="multilevel"/>
    <w:tmpl w:val="304A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C9E3698"/>
    <w:multiLevelType w:val="multilevel"/>
    <w:tmpl w:val="27569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CB23D13"/>
    <w:multiLevelType w:val="multilevel"/>
    <w:tmpl w:val="8852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DC73141"/>
    <w:multiLevelType w:val="multilevel"/>
    <w:tmpl w:val="95A6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EF0358A"/>
    <w:multiLevelType w:val="multilevel"/>
    <w:tmpl w:val="5232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F53055A"/>
    <w:multiLevelType w:val="multilevel"/>
    <w:tmpl w:val="FD1E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F9A2FF3"/>
    <w:multiLevelType w:val="multilevel"/>
    <w:tmpl w:val="4E96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FCA739C"/>
    <w:multiLevelType w:val="multilevel"/>
    <w:tmpl w:val="091E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0193559"/>
    <w:multiLevelType w:val="multilevel"/>
    <w:tmpl w:val="AB62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01B18CF"/>
    <w:multiLevelType w:val="multilevel"/>
    <w:tmpl w:val="0340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028751B"/>
    <w:multiLevelType w:val="hybridMultilevel"/>
    <w:tmpl w:val="CA9C406E"/>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2" w15:restartNumberingAfterBreak="0">
    <w:nsid w:val="70343E0F"/>
    <w:multiLevelType w:val="hybridMultilevel"/>
    <w:tmpl w:val="2DD835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3" w15:restartNumberingAfterBreak="0">
    <w:nsid w:val="709678BA"/>
    <w:multiLevelType w:val="multilevel"/>
    <w:tmpl w:val="B792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12B5BBB"/>
    <w:multiLevelType w:val="hybridMultilevel"/>
    <w:tmpl w:val="B9D002E0"/>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5" w15:restartNumberingAfterBreak="0">
    <w:nsid w:val="71DA7AF8"/>
    <w:multiLevelType w:val="multilevel"/>
    <w:tmpl w:val="C12A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2212B5C"/>
    <w:multiLevelType w:val="hybridMultilevel"/>
    <w:tmpl w:val="651E8D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7" w15:restartNumberingAfterBreak="0">
    <w:nsid w:val="723F1C6B"/>
    <w:multiLevelType w:val="hybridMultilevel"/>
    <w:tmpl w:val="CC80E1C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8" w15:restartNumberingAfterBreak="0">
    <w:nsid w:val="72561146"/>
    <w:multiLevelType w:val="multilevel"/>
    <w:tmpl w:val="9AC0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2E46675"/>
    <w:multiLevelType w:val="multilevel"/>
    <w:tmpl w:val="A856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2F20197"/>
    <w:multiLevelType w:val="multilevel"/>
    <w:tmpl w:val="4C48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3CD3F70"/>
    <w:multiLevelType w:val="multilevel"/>
    <w:tmpl w:val="CA04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4B34FD8"/>
    <w:multiLevelType w:val="multilevel"/>
    <w:tmpl w:val="B6CA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68D4153"/>
    <w:multiLevelType w:val="multilevel"/>
    <w:tmpl w:val="AF5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6B9620D"/>
    <w:multiLevelType w:val="multilevel"/>
    <w:tmpl w:val="A1ACD6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7AD707C"/>
    <w:multiLevelType w:val="multilevel"/>
    <w:tmpl w:val="29C60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8CD1BDD"/>
    <w:multiLevelType w:val="multilevel"/>
    <w:tmpl w:val="27DA2C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8E24164"/>
    <w:multiLevelType w:val="multilevel"/>
    <w:tmpl w:val="CE30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9283A6C"/>
    <w:multiLevelType w:val="multilevel"/>
    <w:tmpl w:val="1B444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93779A2"/>
    <w:multiLevelType w:val="multilevel"/>
    <w:tmpl w:val="0942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944661D"/>
    <w:multiLevelType w:val="multilevel"/>
    <w:tmpl w:val="6B52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A88191F"/>
    <w:multiLevelType w:val="multilevel"/>
    <w:tmpl w:val="F36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AE50543"/>
    <w:multiLevelType w:val="multilevel"/>
    <w:tmpl w:val="14B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B054684"/>
    <w:multiLevelType w:val="multilevel"/>
    <w:tmpl w:val="CF9A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B692F5D"/>
    <w:multiLevelType w:val="hybridMultilevel"/>
    <w:tmpl w:val="6E345D90"/>
    <w:lvl w:ilvl="0" w:tplc="040A0001">
      <w:start w:val="1"/>
      <w:numFmt w:val="bullet"/>
      <w:lvlText w:val=""/>
      <w:lvlJc w:val="left"/>
      <w:pPr>
        <w:ind w:left="1433" w:hanging="360"/>
      </w:pPr>
      <w:rPr>
        <w:rFonts w:ascii="Symbol" w:hAnsi="Symbol" w:hint="default"/>
      </w:rPr>
    </w:lvl>
    <w:lvl w:ilvl="1" w:tplc="040A0003" w:tentative="1">
      <w:start w:val="1"/>
      <w:numFmt w:val="bullet"/>
      <w:lvlText w:val="o"/>
      <w:lvlJc w:val="left"/>
      <w:pPr>
        <w:ind w:left="2153" w:hanging="360"/>
      </w:pPr>
      <w:rPr>
        <w:rFonts w:ascii="Courier New" w:hAnsi="Courier New" w:cs="Courier New" w:hint="default"/>
      </w:rPr>
    </w:lvl>
    <w:lvl w:ilvl="2" w:tplc="040A0005" w:tentative="1">
      <w:start w:val="1"/>
      <w:numFmt w:val="bullet"/>
      <w:lvlText w:val=""/>
      <w:lvlJc w:val="left"/>
      <w:pPr>
        <w:ind w:left="2873" w:hanging="360"/>
      </w:pPr>
      <w:rPr>
        <w:rFonts w:ascii="Wingdings" w:hAnsi="Wingdings" w:hint="default"/>
      </w:rPr>
    </w:lvl>
    <w:lvl w:ilvl="3" w:tplc="040A0001" w:tentative="1">
      <w:start w:val="1"/>
      <w:numFmt w:val="bullet"/>
      <w:lvlText w:val=""/>
      <w:lvlJc w:val="left"/>
      <w:pPr>
        <w:ind w:left="3593" w:hanging="360"/>
      </w:pPr>
      <w:rPr>
        <w:rFonts w:ascii="Symbol" w:hAnsi="Symbol" w:hint="default"/>
      </w:rPr>
    </w:lvl>
    <w:lvl w:ilvl="4" w:tplc="040A0003" w:tentative="1">
      <w:start w:val="1"/>
      <w:numFmt w:val="bullet"/>
      <w:lvlText w:val="o"/>
      <w:lvlJc w:val="left"/>
      <w:pPr>
        <w:ind w:left="4313" w:hanging="360"/>
      </w:pPr>
      <w:rPr>
        <w:rFonts w:ascii="Courier New" w:hAnsi="Courier New" w:cs="Courier New" w:hint="default"/>
      </w:rPr>
    </w:lvl>
    <w:lvl w:ilvl="5" w:tplc="040A0005" w:tentative="1">
      <w:start w:val="1"/>
      <w:numFmt w:val="bullet"/>
      <w:lvlText w:val=""/>
      <w:lvlJc w:val="left"/>
      <w:pPr>
        <w:ind w:left="5033" w:hanging="360"/>
      </w:pPr>
      <w:rPr>
        <w:rFonts w:ascii="Wingdings" w:hAnsi="Wingdings" w:hint="default"/>
      </w:rPr>
    </w:lvl>
    <w:lvl w:ilvl="6" w:tplc="040A0001" w:tentative="1">
      <w:start w:val="1"/>
      <w:numFmt w:val="bullet"/>
      <w:lvlText w:val=""/>
      <w:lvlJc w:val="left"/>
      <w:pPr>
        <w:ind w:left="5753" w:hanging="360"/>
      </w:pPr>
      <w:rPr>
        <w:rFonts w:ascii="Symbol" w:hAnsi="Symbol" w:hint="default"/>
      </w:rPr>
    </w:lvl>
    <w:lvl w:ilvl="7" w:tplc="040A0003" w:tentative="1">
      <w:start w:val="1"/>
      <w:numFmt w:val="bullet"/>
      <w:lvlText w:val="o"/>
      <w:lvlJc w:val="left"/>
      <w:pPr>
        <w:ind w:left="6473" w:hanging="360"/>
      </w:pPr>
      <w:rPr>
        <w:rFonts w:ascii="Courier New" w:hAnsi="Courier New" w:cs="Courier New" w:hint="default"/>
      </w:rPr>
    </w:lvl>
    <w:lvl w:ilvl="8" w:tplc="040A0005" w:tentative="1">
      <w:start w:val="1"/>
      <w:numFmt w:val="bullet"/>
      <w:lvlText w:val=""/>
      <w:lvlJc w:val="left"/>
      <w:pPr>
        <w:ind w:left="7193" w:hanging="360"/>
      </w:pPr>
      <w:rPr>
        <w:rFonts w:ascii="Wingdings" w:hAnsi="Wingdings" w:hint="default"/>
      </w:rPr>
    </w:lvl>
  </w:abstractNum>
  <w:abstractNum w:abstractNumId="265" w15:restartNumberingAfterBreak="0">
    <w:nsid w:val="7BEC7197"/>
    <w:multiLevelType w:val="multilevel"/>
    <w:tmpl w:val="07D01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C035ECB"/>
    <w:multiLevelType w:val="multilevel"/>
    <w:tmpl w:val="A702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C632DC6"/>
    <w:multiLevelType w:val="multilevel"/>
    <w:tmpl w:val="A6CA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CAE73CF"/>
    <w:multiLevelType w:val="multilevel"/>
    <w:tmpl w:val="222E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CB20300"/>
    <w:multiLevelType w:val="multilevel"/>
    <w:tmpl w:val="9CC4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DC66771"/>
    <w:multiLevelType w:val="multilevel"/>
    <w:tmpl w:val="3EA2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E265E46"/>
    <w:multiLevelType w:val="multilevel"/>
    <w:tmpl w:val="0026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F45430D"/>
    <w:multiLevelType w:val="multilevel"/>
    <w:tmpl w:val="2154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2"/>
  </w:num>
  <w:num w:numId="2">
    <w:abstractNumId w:val="156"/>
  </w:num>
  <w:num w:numId="3">
    <w:abstractNumId w:val="138"/>
  </w:num>
  <w:num w:numId="4">
    <w:abstractNumId w:val="133"/>
  </w:num>
  <w:num w:numId="5">
    <w:abstractNumId w:val="3"/>
  </w:num>
  <w:num w:numId="6">
    <w:abstractNumId w:val="253"/>
  </w:num>
  <w:num w:numId="7">
    <w:abstractNumId w:val="142"/>
  </w:num>
  <w:num w:numId="8">
    <w:abstractNumId w:val="196"/>
  </w:num>
  <w:num w:numId="9">
    <w:abstractNumId w:val="192"/>
  </w:num>
  <w:num w:numId="10">
    <w:abstractNumId w:val="24"/>
  </w:num>
  <w:num w:numId="11">
    <w:abstractNumId w:val="108"/>
  </w:num>
  <w:num w:numId="12">
    <w:abstractNumId w:val="112"/>
  </w:num>
  <w:num w:numId="13">
    <w:abstractNumId w:val="232"/>
  </w:num>
  <w:num w:numId="14">
    <w:abstractNumId w:val="176"/>
  </w:num>
  <w:num w:numId="15">
    <w:abstractNumId w:val="16"/>
  </w:num>
  <w:num w:numId="16">
    <w:abstractNumId w:val="70"/>
  </w:num>
  <w:num w:numId="17">
    <w:abstractNumId w:val="19"/>
  </w:num>
  <w:num w:numId="18">
    <w:abstractNumId w:val="18"/>
  </w:num>
  <w:num w:numId="19">
    <w:abstractNumId w:val="256"/>
  </w:num>
  <w:num w:numId="20">
    <w:abstractNumId w:val="75"/>
  </w:num>
  <w:num w:numId="21">
    <w:abstractNumId w:val="26"/>
  </w:num>
  <w:num w:numId="22">
    <w:abstractNumId w:val="130"/>
  </w:num>
  <w:num w:numId="23">
    <w:abstractNumId w:val="42"/>
  </w:num>
  <w:num w:numId="24">
    <w:abstractNumId w:val="13"/>
  </w:num>
  <w:num w:numId="25">
    <w:abstractNumId w:val="80"/>
  </w:num>
  <w:num w:numId="26">
    <w:abstractNumId w:val="88"/>
  </w:num>
  <w:num w:numId="27">
    <w:abstractNumId w:val="128"/>
  </w:num>
  <w:num w:numId="28">
    <w:abstractNumId w:val="52"/>
  </w:num>
  <w:num w:numId="29">
    <w:abstractNumId w:val="175"/>
  </w:num>
  <w:num w:numId="30">
    <w:abstractNumId w:val="164"/>
  </w:num>
  <w:num w:numId="31">
    <w:abstractNumId w:val="0"/>
  </w:num>
  <w:num w:numId="32">
    <w:abstractNumId w:val="248"/>
  </w:num>
  <w:num w:numId="33">
    <w:abstractNumId w:val="268"/>
  </w:num>
  <w:num w:numId="34">
    <w:abstractNumId w:val="36"/>
  </w:num>
  <w:num w:numId="35">
    <w:abstractNumId w:val="107"/>
  </w:num>
  <w:num w:numId="36">
    <w:abstractNumId w:val="223"/>
  </w:num>
  <w:num w:numId="37">
    <w:abstractNumId w:val="72"/>
  </w:num>
  <w:num w:numId="38">
    <w:abstractNumId w:val="209"/>
  </w:num>
  <w:num w:numId="39">
    <w:abstractNumId w:val="254"/>
  </w:num>
  <w:num w:numId="40">
    <w:abstractNumId w:val="191"/>
  </w:num>
  <w:num w:numId="41">
    <w:abstractNumId w:val="149"/>
  </w:num>
  <w:num w:numId="42">
    <w:abstractNumId w:val="222"/>
  </w:num>
  <w:num w:numId="43">
    <w:abstractNumId w:val="61"/>
  </w:num>
  <w:num w:numId="44">
    <w:abstractNumId w:val="94"/>
  </w:num>
  <w:num w:numId="45">
    <w:abstractNumId w:val="178"/>
  </w:num>
  <w:num w:numId="46">
    <w:abstractNumId w:val="60"/>
  </w:num>
  <w:num w:numId="47">
    <w:abstractNumId w:val="21"/>
  </w:num>
  <w:num w:numId="48">
    <w:abstractNumId w:val="48"/>
  </w:num>
  <w:num w:numId="49">
    <w:abstractNumId w:val="252"/>
  </w:num>
  <w:num w:numId="50">
    <w:abstractNumId w:val="198"/>
  </w:num>
  <w:num w:numId="51">
    <w:abstractNumId w:val="205"/>
  </w:num>
  <w:num w:numId="52">
    <w:abstractNumId w:val="97"/>
  </w:num>
  <w:num w:numId="53">
    <w:abstractNumId w:val="194"/>
  </w:num>
  <w:num w:numId="54">
    <w:abstractNumId w:val="132"/>
  </w:num>
  <w:num w:numId="55">
    <w:abstractNumId w:val="73"/>
  </w:num>
  <w:num w:numId="56">
    <w:abstractNumId w:val="77"/>
  </w:num>
  <w:num w:numId="57">
    <w:abstractNumId w:val="185"/>
  </w:num>
  <w:num w:numId="58">
    <w:abstractNumId w:val="120"/>
  </w:num>
  <w:num w:numId="59">
    <w:abstractNumId w:val="155"/>
  </w:num>
  <w:num w:numId="60">
    <w:abstractNumId w:val="200"/>
  </w:num>
  <w:num w:numId="61">
    <w:abstractNumId w:val="23"/>
  </w:num>
  <w:num w:numId="62">
    <w:abstractNumId w:val="210"/>
  </w:num>
  <w:num w:numId="63">
    <w:abstractNumId w:val="62"/>
  </w:num>
  <w:num w:numId="64">
    <w:abstractNumId w:val="229"/>
  </w:num>
  <w:num w:numId="65">
    <w:abstractNumId w:val="226"/>
  </w:num>
  <w:num w:numId="66">
    <w:abstractNumId w:val="163"/>
  </w:num>
  <w:num w:numId="67">
    <w:abstractNumId w:val="99"/>
  </w:num>
  <w:num w:numId="68">
    <w:abstractNumId w:val="258"/>
  </w:num>
  <w:num w:numId="69">
    <w:abstractNumId w:val="255"/>
  </w:num>
  <w:num w:numId="70">
    <w:abstractNumId w:val="211"/>
  </w:num>
  <w:num w:numId="71">
    <w:abstractNumId w:val="14"/>
  </w:num>
  <w:num w:numId="72">
    <w:abstractNumId w:val="206"/>
  </w:num>
  <w:num w:numId="73">
    <w:abstractNumId w:val="265"/>
  </w:num>
  <w:num w:numId="74">
    <w:abstractNumId w:val="31"/>
  </w:num>
  <w:num w:numId="75">
    <w:abstractNumId w:val="10"/>
  </w:num>
  <w:num w:numId="76">
    <w:abstractNumId w:val="95"/>
  </w:num>
  <w:num w:numId="77">
    <w:abstractNumId w:val="179"/>
  </w:num>
  <w:num w:numId="78">
    <w:abstractNumId w:val="105"/>
  </w:num>
  <w:num w:numId="79">
    <w:abstractNumId w:val="150"/>
  </w:num>
  <w:num w:numId="80">
    <w:abstractNumId w:val="218"/>
  </w:num>
  <w:num w:numId="81">
    <w:abstractNumId w:val="213"/>
  </w:num>
  <w:num w:numId="82">
    <w:abstractNumId w:val="44"/>
  </w:num>
  <w:num w:numId="83">
    <w:abstractNumId w:val="104"/>
  </w:num>
  <w:num w:numId="84">
    <w:abstractNumId w:val="45"/>
  </w:num>
  <w:num w:numId="85">
    <w:abstractNumId w:val="140"/>
  </w:num>
  <w:num w:numId="86">
    <w:abstractNumId w:val="29"/>
  </w:num>
  <w:num w:numId="87">
    <w:abstractNumId w:val="123"/>
  </w:num>
  <w:num w:numId="88">
    <w:abstractNumId w:val="32"/>
  </w:num>
  <w:num w:numId="89">
    <w:abstractNumId w:val="158"/>
  </w:num>
  <w:num w:numId="90">
    <w:abstractNumId w:val="114"/>
  </w:num>
  <w:num w:numId="91">
    <w:abstractNumId w:val="148"/>
  </w:num>
  <w:num w:numId="92">
    <w:abstractNumId w:val="90"/>
  </w:num>
  <w:num w:numId="93">
    <w:abstractNumId w:val="56"/>
  </w:num>
  <w:num w:numId="94">
    <w:abstractNumId w:val="68"/>
  </w:num>
  <w:num w:numId="95">
    <w:abstractNumId w:val="134"/>
  </w:num>
  <w:num w:numId="96">
    <w:abstractNumId w:val="53"/>
  </w:num>
  <w:num w:numId="97">
    <w:abstractNumId w:val="166"/>
  </w:num>
  <w:num w:numId="98">
    <w:abstractNumId w:val="55"/>
  </w:num>
  <w:num w:numId="99">
    <w:abstractNumId w:val="188"/>
  </w:num>
  <w:num w:numId="100">
    <w:abstractNumId w:val="239"/>
  </w:num>
  <w:num w:numId="101">
    <w:abstractNumId w:val="67"/>
  </w:num>
  <w:num w:numId="102">
    <w:abstractNumId w:val="119"/>
  </w:num>
  <w:num w:numId="103">
    <w:abstractNumId w:val="7"/>
  </w:num>
  <w:num w:numId="104">
    <w:abstractNumId w:val="66"/>
  </w:num>
  <w:num w:numId="105">
    <w:abstractNumId w:val="139"/>
  </w:num>
  <w:num w:numId="106">
    <w:abstractNumId w:val="153"/>
  </w:num>
  <w:num w:numId="107">
    <w:abstractNumId w:val="83"/>
  </w:num>
  <w:num w:numId="108">
    <w:abstractNumId w:val="22"/>
  </w:num>
  <w:num w:numId="109">
    <w:abstractNumId w:val="230"/>
  </w:num>
  <w:num w:numId="110">
    <w:abstractNumId w:val="37"/>
  </w:num>
  <w:num w:numId="111">
    <w:abstractNumId w:val="266"/>
  </w:num>
  <w:num w:numId="112">
    <w:abstractNumId w:val="47"/>
  </w:num>
  <w:num w:numId="113">
    <w:abstractNumId w:val="121"/>
  </w:num>
  <w:num w:numId="114">
    <w:abstractNumId w:val="201"/>
  </w:num>
  <w:num w:numId="115">
    <w:abstractNumId w:val="214"/>
  </w:num>
  <w:num w:numId="116">
    <w:abstractNumId w:val="71"/>
  </w:num>
  <w:num w:numId="117">
    <w:abstractNumId w:val="145"/>
  </w:num>
  <w:num w:numId="118">
    <w:abstractNumId w:val="180"/>
  </w:num>
  <w:num w:numId="119">
    <w:abstractNumId w:val="233"/>
  </w:num>
  <w:num w:numId="120">
    <w:abstractNumId w:val="129"/>
  </w:num>
  <w:num w:numId="121">
    <w:abstractNumId w:val="109"/>
  </w:num>
  <w:num w:numId="122">
    <w:abstractNumId w:val="170"/>
  </w:num>
  <w:num w:numId="123">
    <w:abstractNumId w:val="197"/>
  </w:num>
  <w:num w:numId="124">
    <w:abstractNumId w:val="259"/>
  </w:num>
  <w:num w:numId="125">
    <w:abstractNumId w:val="249"/>
  </w:num>
  <w:num w:numId="126">
    <w:abstractNumId w:val="110"/>
  </w:num>
  <w:num w:numId="127">
    <w:abstractNumId w:val="2"/>
  </w:num>
  <w:num w:numId="128">
    <w:abstractNumId w:val="51"/>
  </w:num>
  <w:num w:numId="129">
    <w:abstractNumId w:val="235"/>
  </w:num>
  <w:num w:numId="130">
    <w:abstractNumId w:val="124"/>
  </w:num>
  <w:num w:numId="131">
    <w:abstractNumId w:val="157"/>
  </w:num>
  <w:num w:numId="132">
    <w:abstractNumId w:val="181"/>
  </w:num>
  <w:num w:numId="133">
    <w:abstractNumId w:val="257"/>
  </w:num>
  <w:num w:numId="134">
    <w:abstractNumId w:val="84"/>
  </w:num>
  <w:num w:numId="135">
    <w:abstractNumId w:val="54"/>
  </w:num>
  <w:num w:numId="136">
    <w:abstractNumId w:val="50"/>
  </w:num>
  <w:num w:numId="137">
    <w:abstractNumId w:val="212"/>
  </w:num>
  <w:num w:numId="138">
    <w:abstractNumId w:val="184"/>
  </w:num>
  <w:num w:numId="139">
    <w:abstractNumId w:val="102"/>
  </w:num>
  <w:num w:numId="140">
    <w:abstractNumId w:val="115"/>
  </w:num>
  <w:num w:numId="141">
    <w:abstractNumId w:val="190"/>
  </w:num>
  <w:num w:numId="142">
    <w:abstractNumId w:val="49"/>
  </w:num>
  <w:num w:numId="143">
    <w:abstractNumId w:val="260"/>
  </w:num>
  <w:num w:numId="144">
    <w:abstractNumId w:val="92"/>
  </w:num>
  <w:num w:numId="145">
    <w:abstractNumId w:val="17"/>
  </w:num>
  <w:num w:numId="146">
    <w:abstractNumId w:val="195"/>
  </w:num>
  <w:num w:numId="147">
    <w:abstractNumId w:val="65"/>
  </w:num>
  <w:num w:numId="148">
    <w:abstractNumId w:val="30"/>
  </w:num>
  <w:num w:numId="149">
    <w:abstractNumId w:val="117"/>
  </w:num>
  <w:num w:numId="150">
    <w:abstractNumId w:val="199"/>
  </w:num>
  <w:num w:numId="151">
    <w:abstractNumId w:val="245"/>
  </w:num>
  <w:num w:numId="152">
    <w:abstractNumId w:val="271"/>
  </w:num>
  <w:num w:numId="153">
    <w:abstractNumId w:val="236"/>
  </w:num>
  <w:num w:numId="154">
    <w:abstractNumId w:val="9"/>
  </w:num>
  <w:num w:numId="155">
    <w:abstractNumId w:val="38"/>
  </w:num>
  <w:num w:numId="156">
    <w:abstractNumId w:val="15"/>
  </w:num>
  <w:num w:numId="157">
    <w:abstractNumId w:val="78"/>
  </w:num>
  <w:num w:numId="158">
    <w:abstractNumId w:val="100"/>
  </w:num>
  <w:num w:numId="159">
    <w:abstractNumId w:val="144"/>
  </w:num>
  <w:num w:numId="160">
    <w:abstractNumId w:val="263"/>
  </w:num>
  <w:num w:numId="161">
    <w:abstractNumId w:val="251"/>
  </w:num>
  <w:num w:numId="162">
    <w:abstractNumId w:val="220"/>
  </w:num>
  <w:num w:numId="163">
    <w:abstractNumId w:val="79"/>
  </w:num>
  <w:num w:numId="164">
    <w:abstractNumId w:val="189"/>
  </w:num>
  <w:num w:numId="165">
    <w:abstractNumId w:val="33"/>
  </w:num>
  <w:num w:numId="166">
    <w:abstractNumId w:val="58"/>
  </w:num>
  <w:num w:numId="167">
    <w:abstractNumId w:val="118"/>
  </w:num>
  <w:num w:numId="168">
    <w:abstractNumId w:val="240"/>
  </w:num>
  <w:num w:numId="169">
    <w:abstractNumId w:val="165"/>
  </w:num>
  <w:num w:numId="170">
    <w:abstractNumId w:val="111"/>
  </w:num>
  <w:num w:numId="171">
    <w:abstractNumId w:val="154"/>
  </w:num>
  <w:num w:numId="172">
    <w:abstractNumId w:val="69"/>
  </w:num>
  <w:num w:numId="173">
    <w:abstractNumId w:val="93"/>
  </w:num>
  <w:num w:numId="174">
    <w:abstractNumId w:val="143"/>
  </w:num>
  <w:num w:numId="175">
    <w:abstractNumId w:val="151"/>
  </w:num>
  <w:num w:numId="176">
    <w:abstractNumId w:val="159"/>
  </w:num>
  <w:num w:numId="177">
    <w:abstractNumId w:val="186"/>
  </w:num>
  <w:num w:numId="178">
    <w:abstractNumId w:val="238"/>
  </w:num>
  <w:num w:numId="179">
    <w:abstractNumId w:val="74"/>
  </w:num>
  <w:num w:numId="180">
    <w:abstractNumId w:val="57"/>
  </w:num>
  <w:num w:numId="181">
    <w:abstractNumId w:val="161"/>
  </w:num>
  <w:num w:numId="182">
    <w:abstractNumId w:val="1"/>
  </w:num>
  <w:num w:numId="183">
    <w:abstractNumId w:val="172"/>
  </w:num>
  <w:num w:numId="184">
    <w:abstractNumId w:val="135"/>
  </w:num>
  <w:num w:numId="185">
    <w:abstractNumId w:val="270"/>
  </w:num>
  <w:num w:numId="186">
    <w:abstractNumId w:val="246"/>
  </w:num>
  <w:num w:numId="187">
    <w:abstractNumId w:val="34"/>
  </w:num>
  <w:num w:numId="188">
    <w:abstractNumId w:val="91"/>
  </w:num>
  <w:num w:numId="189">
    <w:abstractNumId w:val="82"/>
  </w:num>
  <w:num w:numId="190">
    <w:abstractNumId w:val="25"/>
  </w:num>
  <w:num w:numId="191">
    <w:abstractNumId w:val="160"/>
  </w:num>
  <w:num w:numId="192">
    <w:abstractNumId w:val="46"/>
  </w:num>
  <w:num w:numId="193">
    <w:abstractNumId w:val="231"/>
  </w:num>
  <w:num w:numId="194">
    <w:abstractNumId w:val="137"/>
  </w:num>
  <w:num w:numId="195">
    <w:abstractNumId w:val="28"/>
  </w:num>
  <w:num w:numId="196">
    <w:abstractNumId w:val="87"/>
  </w:num>
  <w:num w:numId="197">
    <w:abstractNumId w:val="224"/>
  </w:num>
  <w:num w:numId="198">
    <w:abstractNumId w:val="27"/>
  </w:num>
  <w:num w:numId="199">
    <w:abstractNumId w:val="43"/>
  </w:num>
  <w:num w:numId="200">
    <w:abstractNumId w:val="96"/>
  </w:num>
  <w:num w:numId="201">
    <w:abstractNumId w:val="221"/>
  </w:num>
  <w:num w:numId="202">
    <w:abstractNumId w:val="242"/>
  </w:num>
  <w:num w:numId="203">
    <w:abstractNumId w:val="81"/>
  </w:num>
  <w:num w:numId="204">
    <w:abstractNumId w:val="173"/>
  </w:num>
  <w:num w:numId="205">
    <w:abstractNumId w:val="20"/>
  </w:num>
  <w:num w:numId="206">
    <w:abstractNumId w:val="171"/>
  </w:num>
  <w:num w:numId="207">
    <w:abstractNumId w:val="4"/>
  </w:num>
  <w:num w:numId="208">
    <w:abstractNumId w:val="5"/>
  </w:num>
  <w:num w:numId="209">
    <w:abstractNumId w:val="241"/>
  </w:num>
  <w:num w:numId="210">
    <w:abstractNumId w:val="122"/>
  </w:num>
  <w:num w:numId="211">
    <w:abstractNumId w:val="136"/>
  </w:num>
  <w:num w:numId="212">
    <w:abstractNumId w:val="250"/>
  </w:num>
  <w:num w:numId="213">
    <w:abstractNumId w:val="76"/>
  </w:num>
  <w:num w:numId="214">
    <w:abstractNumId w:val="243"/>
  </w:num>
  <w:num w:numId="215">
    <w:abstractNumId w:val="86"/>
  </w:num>
  <w:num w:numId="216">
    <w:abstractNumId w:val="169"/>
  </w:num>
  <w:num w:numId="217">
    <w:abstractNumId w:val="85"/>
  </w:num>
  <w:num w:numId="218">
    <w:abstractNumId w:val="103"/>
  </w:num>
  <w:num w:numId="219">
    <w:abstractNumId w:val="267"/>
  </w:num>
  <w:num w:numId="220">
    <w:abstractNumId w:val="127"/>
  </w:num>
  <w:num w:numId="221">
    <w:abstractNumId w:val="207"/>
  </w:num>
  <w:num w:numId="222">
    <w:abstractNumId w:val="39"/>
  </w:num>
  <w:num w:numId="223">
    <w:abstractNumId w:val="208"/>
  </w:num>
  <w:num w:numId="224">
    <w:abstractNumId w:val="204"/>
  </w:num>
  <w:num w:numId="225">
    <w:abstractNumId w:val="202"/>
  </w:num>
  <w:num w:numId="226">
    <w:abstractNumId w:val="59"/>
  </w:num>
  <w:num w:numId="227">
    <w:abstractNumId w:val="168"/>
  </w:num>
  <w:num w:numId="228">
    <w:abstractNumId w:val="261"/>
  </w:num>
  <w:num w:numId="229">
    <w:abstractNumId w:val="8"/>
  </w:num>
  <w:num w:numId="230">
    <w:abstractNumId w:val="187"/>
  </w:num>
  <w:num w:numId="231">
    <w:abstractNumId w:val="35"/>
  </w:num>
  <w:num w:numId="232">
    <w:abstractNumId w:val="40"/>
  </w:num>
  <w:num w:numId="233">
    <w:abstractNumId w:val="116"/>
  </w:num>
  <w:num w:numId="234">
    <w:abstractNumId w:val="12"/>
  </w:num>
  <w:num w:numId="235">
    <w:abstractNumId w:val="167"/>
  </w:num>
  <w:num w:numId="236">
    <w:abstractNumId w:val="203"/>
  </w:num>
  <w:num w:numId="237">
    <w:abstractNumId w:val="269"/>
  </w:num>
  <w:num w:numId="238">
    <w:abstractNumId w:val="41"/>
  </w:num>
  <w:num w:numId="239">
    <w:abstractNumId w:val="63"/>
  </w:num>
  <w:num w:numId="240">
    <w:abstractNumId w:val="162"/>
  </w:num>
  <w:num w:numId="241">
    <w:abstractNumId w:val="106"/>
  </w:num>
  <w:num w:numId="242">
    <w:abstractNumId w:val="177"/>
  </w:num>
  <w:num w:numId="243">
    <w:abstractNumId w:val="113"/>
  </w:num>
  <w:num w:numId="244">
    <w:abstractNumId w:val="183"/>
  </w:num>
  <w:num w:numId="245">
    <w:abstractNumId w:val="64"/>
  </w:num>
  <w:num w:numId="246">
    <w:abstractNumId w:val="225"/>
  </w:num>
  <w:num w:numId="247">
    <w:abstractNumId w:val="11"/>
  </w:num>
  <w:num w:numId="248">
    <w:abstractNumId w:val="247"/>
  </w:num>
  <w:num w:numId="249">
    <w:abstractNumId w:val="125"/>
  </w:num>
  <w:num w:numId="250">
    <w:abstractNumId w:val="98"/>
  </w:num>
  <w:num w:numId="251">
    <w:abstractNumId w:val="227"/>
  </w:num>
  <w:num w:numId="252">
    <w:abstractNumId w:val="101"/>
  </w:num>
  <w:num w:numId="253">
    <w:abstractNumId w:val="89"/>
  </w:num>
  <w:num w:numId="254">
    <w:abstractNumId w:val="147"/>
  </w:num>
  <w:num w:numId="255">
    <w:abstractNumId w:val="264"/>
  </w:num>
  <w:num w:numId="256">
    <w:abstractNumId w:val="216"/>
  </w:num>
  <w:num w:numId="257">
    <w:abstractNumId w:val="131"/>
  </w:num>
  <w:num w:numId="258">
    <w:abstractNumId w:val="244"/>
  </w:num>
  <w:num w:numId="259">
    <w:abstractNumId w:val="219"/>
  </w:num>
  <w:num w:numId="260">
    <w:abstractNumId w:val="152"/>
  </w:num>
  <w:num w:numId="261">
    <w:abstractNumId w:val="193"/>
  </w:num>
  <w:num w:numId="262">
    <w:abstractNumId w:val="262"/>
  </w:num>
  <w:num w:numId="263">
    <w:abstractNumId w:val="146"/>
  </w:num>
  <w:num w:numId="264">
    <w:abstractNumId w:val="237"/>
  </w:num>
  <w:num w:numId="265">
    <w:abstractNumId w:val="217"/>
  </w:num>
  <w:num w:numId="266">
    <w:abstractNumId w:val="228"/>
  </w:num>
  <w:num w:numId="267">
    <w:abstractNumId w:val="174"/>
  </w:num>
  <w:num w:numId="268">
    <w:abstractNumId w:val="141"/>
  </w:num>
  <w:num w:numId="269">
    <w:abstractNumId w:val="215"/>
  </w:num>
  <w:num w:numId="270">
    <w:abstractNumId w:val="234"/>
  </w:num>
  <w:num w:numId="271">
    <w:abstractNumId w:val="126"/>
  </w:num>
  <w:num w:numId="272">
    <w:abstractNumId w:val="272"/>
  </w:num>
  <w:num w:numId="273">
    <w:abstractNumId w:val="6"/>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_tradnl" w:vendorID="64" w:dllVersion="4096" w:nlCheck="1" w:checkStyle="0"/>
  <w:activeWritingStyle w:appName="MSWord" w:lang="es-ES" w:vendorID="64" w:dllVersion="4096" w:nlCheck="1" w:checkStyle="0"/>
  <w:activeWritingStyle w:appName="MSWord" w:lang="en-GB"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66"/>
    <w:rsid w:val="00000B9E"/>
    <w:rsid w:val="000015D3"/>
    <w:rsid w:val="00001E5E"/>
    <w:rsid w:val="0000290C"/>
    <w:rsid w:val="00003C60"/>
    <w:rsid w:val="00006DF1"/>
    <w:rsid w:val="00011712"/>
    <w:rsid w:val="00011A9E"/>
    <w:rsid w:val="00011CD6"/>
    <w:rsid w:val="00012569"/>
    <w:rsid w:val="00012942"/>
    <w:rsid w:val="00014B56"/>
    <w:rsid w:val="00014BD9"/>
    <w:rsid w:val="0002157B"/>
    <w:rsid w:val="0002696A"/>
    <w:rsid w:val="00027981"/>
    <w:rsid w:val="0003078B"/>
    <w:rsid w:val="00032A3B"/>
    <w:rsid w:val="000334D9"/>
    <w:rsid w:val="00033A19"/>
    <w:rsid w:val="00034BAE"/>
    <w:rsid w:val="00034DA0"/>
    <w:rsid w:val="0003591D"/>
    <w:rsid w:val="00035D27"/>
    <w:rsid w:val="000379CF"/>
    <w:rsid w:val="00037B63"/>
    <w:rsid w:val="00040F97"/>
    <w:rsid w:val="0004120A"/>
    <w:rsid w:val="00041C08"/>
    <w:rsid w:val="00045965"/>
    <w:rsid w:val="0004609D"/>
    <w:rsid w:val="0005154A"/>
    <w:rsid w:val="000516D1"/>
    <w:rsid w:val="00052075"/>
    <w:rsid w:val="0005494D"/>
    <w:rsid w:val="0005621A"/>
    <w:rsid w:val="00067718"/>
    <w:rsid w:val="000702E4"/>
    <w:rsid w:val="00070D74"/>
    <w:rsid w:val="00071324"/>
    <w:rsid w:val="0007212C"/>
    <w:rsid w:val="0007740B"/>
    <w:rsid w:val="0008109F"/>
    <w:rsid w:val="00082A9F"/>
    <w:rsid w:val="00085D1F"/>
    <w:rsid w:val="00096277"/>
    <w:rsid w:val="000A0A26"/>
    <w:rsid w:val="000A468F"/>
    <w:rsid w:val="000A4F69"/>
    <w:rsid w:val="000A54A8"/>
    <w:rsid w:val="000B1506"/>
    <w:rsid w:val="000B1F0A"/>
    <w:rsid w:val="000B24BA"/>
    <w:rsid w:val="000B4092"/>
    <w:rsid w:val="000B4DC9"/>
    <w:rsid w:val="000B61DA"/>
    <w:rsid w:val="000B7611"/>
    <w:rsid w:val="000C042B"/>
    <w:rsid w:val="000C0A2A"/>
    <w:rsid w:val="000C22F4"/>
    <w:rsid w:val="000C3F01"/>
    <w:rsid w:val="000C48AB"/>
    <w:rsid w:val="000C7CF7"/>
    <w:rsid w:val="000C7E35"/>
    <w:rsid w:val="000D09C4"/>
    <w:rsid w:val="000D1B50"/>
    <w:rsid w:val="000D206A"/>
    <w:rsid w:val="000D2CBB"/>
    <w:rsid w:val="000E201E"/>
    <w:rsid w:val="000E2BBE"/>
    <w:rsid w:val="000E2D5A"/>
    <w:rsid w:val="000E3A10"/>
    <w:rsid w:val="000E7730"/>
    <w:rsid w:val="000F23AB"/>
    <w:rsid w:val="000F4100"/>
    <w:rsid w:val="0010005E"/>
    <w:rsid w:val="0010255D"/>
    <w:rsid w:val="00103070"/>
    <w:rsid w:val="00103BEA"/>
    <w:rsid w:val="00104206"/>
    <w:rsid w:val="0010431C"/>
    <w:rsid w:val="0010608C"/>
    <w:rsid w:val="00110682"/>
    <w:rsid w:val="001138CD"/>
    <w:rsid w:val="00113A57"/>
    <w:rsid w:val="0011501E"/>
    <w:rsid w:val="00115036"/>
    <w:rsid w:val="001151C2"/>
    <w:rsid w:val="00116CAC"/>
    <w:rsid w:val="001207B8"/>
    <w:rsid w:val="00120EE2"/>
    <w:rsid w:val="001236AB"/>
    <w:rsid w:val="0012474B"/>
    <w:rsid w:val="00125954"/>
    <w:rsid w:val="00136343"/>
    <w:rsid w:val="00137388"/>
    <w:rsid w:val="00140753"/>
    <w:rsid w:val="00144041"/>
    <w:rsid w:val="00145433"/>
    <w:rsid w:val="00146999"/>
    <w:rsid w:val="00146C19"/>
    <w:rsid w:val="00146CBE"/>
    <w:rsid w:val="001477F9"/>
    <w:rsid w:val="001500D1"/>
    <w:rsid w:val="00151B77"/>
    <w:rsid w:val="001528DB"/>
    <w:rsid w:val="0015446E"/>
    <w:rsid w:val="001559DE"/>
    <w:rsid w:val="00156713"/>
    <w:rsid w:val="00163793"/>
    <w:rsid w:val="00163A46"/>
    <w:rsid w:val="00165B53"/>
    <w:rsid w:val="0016770D"/>
    <w:rsid w:val="001737E5"/>
    <w:rsid w:val="00175C0D"/>
    <w:rsid w:val="00177850"/>
    <w:rsid w:val="0018171E"/>
    <w:rsid w:val="0018211F"/>
    <w:rsid w:val="0018403B"/>
    <w:rsid w:val="0018549F"/>
    <w:rsid w:val="001876C7"/>
    <w:rsid w:val="001925B5"/>
    <w:rsid w:val="00193737"/>
    <w:rsid w:val="0019449F"/>
    <w:rsid w:val="001947F4"/>
    <w:rsid w:val="001969A8"/>
    <w:rsid w:val="00196E42"/>
    <w:rsid w:val="00197B8B"/>
    <w:rsid w:val="001A2346"/>
    <w:rsid w:val="001A3FF6"/>
    <w:rsid w:val="001A4F5F"/>
    <w:rsid w:val="001A553F"/>
    <w:rsid w:val="001A6A41"/>
    <w:rsid w:val="001A7937"/>
    <w:rsid w:val="001A7944"/>
    <w:rsid w:val="001B0FE1"/>
    <w:rsid w:val="001B1E9B"/>
    <w:rsid w:val="001B3F81"/>
    <w:rsid w:val="001B448C"/>
    <w:rsid w:val="001B67B6"/>
    <w:rsid w:val="001C126B"/>
    <w:rsid w:val="001C40F8"/>
    <w:rsid w:val="001C47C5"/>
    <w:rsid w:val="001C58A9"/>
    <w:rsid w:val="001C5950"/>
    <w:rsid w:val="001D1932"/>
    <w:rsid w:val="001D28D5"/>
    <w:rsid w:val="001D3D3C"/>
    <w:rsid w:val="001D6035"/>
    <w:rsid w:val="001E0728"/>
    <w:rsid w:val="001E5515"/>
    <w:rsid w:val="001E6532"/>
    <w:rsid w:val="001E6B01"/>
    <w:rsid w:val="001F0B73"/>
    <w:rsid w:val="001F1172"/>
    <w:rsid w:val="001F1C58"/>
    <w:rsid w:val="001F4DBF"/>
    <w:rsid w:val="001F5C9E"/>
    <w:rsid w:val="001F5E16"/>
    <w:rsid w:val="001F6547"/>
    <w:rsid w:val="001F7E3B"/>
    <w:rsid w:val="00200D91"/>
    <w:rsid w:val="002017AB"/>
    <w:rsid w:val="002023AF"/>
    <w:rsid w:val="00204080"/>
    <w:rsid w:val="00204216"/>
    <w:rsid w:val="0020546D"/>
    <w:rsid w:val="00205EDB"/>
    <w:rsid w:val="0020626E"/>
    <w:rsid w:val="00210C2D"/>
    <w:rsid w:val="00213D5F"/>
    <w:rsid w:val="00213EB4"/>
    <w:rsid w:val="00214FE6"/>
    <w:rsid w:val="002164A3"/>
    <w:rsid w:val="002173ED"/>
    <w:rsid w:val="00221087"/>
    <w:rsid w:val="00222759"/>
    <w:rsid w:val="00223CB5"/>
    <w:rsid w:val="00233E29"/>
    <w:rsid w:val="00235D79"/>
    <w:rsid w:val="00236FEC"/>
    <w:rsid w:val="002418A1"/>
    <w:rsid w:val="002436EC"/>
    <w:rsid w:val="00243883"/>
    <w:rsid w:val="00243930"/>
    <w:rsid w:val="00243E7E"/>
    <w:rsid w:val="00245E1E"/>
    <w:rsid w:val="00246E79"/>
    <w:rsid w:val="0024710D"/>
    <w:rsid w:val="0025076D"/>
    <w:rsid w:val="00250942"/>
    <w:rsid w:val="00250C5B"/>
    <w:rsid w:val="00252C0D"/>
    <w:rsid w:val="002535E3"/>
    <w:rsid w:val="00253AAB"/>
    <w:rsid w:val="00262240"/>
    <w:rsid w:val="00263741"/>
    <w:rsid w:val="0026429D"/>
    <w:rsid w:val="00265720"/>
    <w:rsid w:val="00266359"/>
    <w:rsid w:val="00280BA8"/>
    <w:rsid w:val="00282FB0"/>
    <w:rsid w:val="00283BB4"/>
    <w:rsid w:val="0028441E"/>
    <w:rsid w:val="002910DE"/>
    <w:rsid w:val="002924B1"/>
    <w:rsid w:val="0029282D"/>
    <w:rsid w:val="00294AB1"/>
    <w:rsid w:val="00295107"/>
    <w:rsid w:val="002963E1"/>
    <w:rsid w:val="002A0322"/>
    <w:rsid w:val="002A0AB1"/>
    <w:rsid w:val="002A2390"/>
    <w:rsid w:val="002A2D2D"/>
    <w:rsid w:val="002A3942"/>
    <w:rsid w:val="002A3E61"/>
    <w:rsid w:val="002A4B1A"/>
    <w:rsid w:val="002B17FC"/>
    <w:rsid w:val="002B32D6"/>
    <w:rsid w:val="002C0A35"/>
    <w:rsid w:val="002C1036"/>
    <w:rsid w:val="002C285E"/>
    <w:rsid w:val="002C2CC3"/>
    <w:rsid w:val="002C302C"/>
    <w:rsid w:val="002C519E"/>
    <w:rsid w:val="002D0FAD"/>
    <w:rsid w:val="002D2475"/>
    <w:rsid w:val="002D2A80"/>
    <w:rsid w:val="002D5614"/>
    <w:rsid w:val="002D574A"/>
    <w:rsid w:val="002E1C83"/>
    <w:rsid w:val="002E5C34"/>
    <w:rsid w:val="002E7440"/>
    <w:rsid w:val="002F005F"/>
    <w:rsid w:val="002F0BCC"/>
    <w:rsid w:val="002F4591"/>
    <w:rsid w:val="002F5697"/>
    <w:rsid w:val="002F67AC"/>
    <w:rsid w:val="00306374"/>
    <w:rsid w:val="0030664C"/>
    <w:rsid w:val="003066F7"/>
    <w:rsid w:val="00306A54"/>
    <w:rsid w:val="0030770A"/>
    <w:rsid w:val="00310C67"/>
    <w:rsid w:val="003142C5"/>
    <w:rsid w:val="00323803"/>
    <w:rsid w:val="00323918"/>
    <w:rsid w:val="00330AC2"/>
    <w:rsid w:val="003333D5"/>
    <w:rsid w:val="00333CCF"/>
    <w:rsid w:val="00335A14"/>
    <w:rsid w:val="003402BC"/>
    <w:rsid w:val="003420E2"/>
    <w:rsid w:val="00342AF0"/>
    <w:rsid w:val="003478FC"/>
    <w:rsid w:val="00350603"/>
    <w:rsid w:val="00351517"/>
    <w:rsid w:val="00352CED"/>
    <w:rsid w:val="00354EFE"/>
    <w:rsid w:val="00355307"/>
    <w:rsid w:val="0035560E"/>
    <w:rsid w:val="00355E56"/>
    <w:rsid w:val="00356F05"/>
    <w:rsid w:val="00357026"/>
    <w:rsid w:val="003577DE"/>
    <w:rsid w:val="00357A83"/>
    <w:rsid w:val="003643C1"/>
    <w:rsid w:val="003658B7"/>
    <w:rsid w:val="003666A9"/>
    <w:rsid w:val="003702DB"/>
    <w:rsid w:val="00370FB4"/>
    <w:rsid w:val="003736AA"/>
    <w:rsid w:val="00373764"/>
    <w:rsid w:val="00373D2E"/>
    <w:rsid w:val="003748D2"/>
    <w:rsid w:val="00380693"/>
    <w:rsid w:val="003869DA"/>
    <w:rsid w:val="00391A3B"/>
    <w:rsid w:val="003934F4"/>
    <w:rsid w:val="00395BBF"/>
    <w:rsid w:val="003A05B8"/>
    <w:rsid w:val="003A0CAB"/>
    <w:rsid w:val="003A241E"/>
    <w:rsid w:val="003A2580"/>
    <w:rsid w:val="003A3B59"/>
    <w:rsid w:val="003A41C3"/>
    <w:rsid w:val="003A4CD6"/>
    <w:rsid w:val="003A56FC"/>
    <w:rsid w:val="003A5AD2"/>
    <w:rsid w:val="003A6DD8"/>
    <w:rsid w:val="003A740B"/>
    <w:rsid w:val="003B34A5"/>
    <w:rsid w:val="003B5B57"/>
    <w:rsid w:val="003B716C"/>
    <w:rsid w:val="003C0CD2"/>
    <w:rsid w:val="003C2E8C"/>
    <w:rsid w:val="003C2F4F"/>
    <w:rsid w:val="003C3778"/>
    <w:rsid w:val="003C601D"/>
    <w:rsid w:val="003C6783"/>
    <w:rsid w:val="003C715B"/>
    <w:rsid w:val="003C7258"/>
    <w:rsid w:val="003D0A06"/>
    <w:rsid w:val="003D0B1C"/>
    <w:rsid w:val="003D2835"/>
    <w:rsid w:val="003D2D89"/>
    <w:rsid w:val="003D59A6"/>
    <w:rsid w:val="003E00F6"/>
    <w:rsid w:val="003E3593"/>
    <w:rsid w:val="003E64AB"/>
    <w:rsid w:val="003E6CC0"/>
    <w:rsid w:val="003F0983"/>
    <w:rsid w:val="003F1088"/>
    <w:rsid w:val="003F13C5"/>
    <w:rsid w:val="003F1C76"/>
    <w:rsid w:val="003F4649"/>
    <w:rsid w:val="003F5238"/>
    <w:rsid w:val="003F713C"/>
    <w:rsid w:val="004017FC"/>
    <w:rsid w:val="00404399"/>
    <w:rsid w:val="00411795"/>
    <w:rsid w:val="00411BBA"/>
    <w:rsid w:val="004149C8"/>
    <w:rsid w:val="0041503E"/>
    <w:rsid w:val="00416C9F"/>
    <w:rsid w:val="00425CC2"/>
    <w:rsid w:val="00426BE4"/>
    <w:rsid w:val="00427744"/>
    <w:rsid w:val="00427DB6"/>
    <w:rsid w:val="00431A5D"/>
    <w:rsid w:val="00433535"/>
    <w:rsid w:val="0043491B"/>
    <w:rsid w:val="00434F6B"/>
    <w:rsid w:val="00436349"/>
    <w:rsid w:val="00440D15"/>
    <w:rsid w:val="00441433"/>
    <w:rsid w:val="00443153"/>
    <w:rsid w:val="00444FF4"/>
    <w:rsid w:val="00445B65"/>
    <w:rsid w:val="00454F8C"/>
    <w:rsid w:val="00457454"/>
    <w:rsid w:val="00457F95"/>
    <w:rsid w:val="00464557"/>
    <w:rsid w:val="00466B7F"/>
    <w:rsid w:val="00481532"/>
    <w:rsid w:val="00485998"/>
    <w:rsid w:val="00485E1D"/>
    <w:rsid w:val="0048624B"/>
    <w:rsid w:val="004865A3"/>
    <w:rsid w:val="00487062"/>
    <w:rsid w:val="00490040"/>
    <w:rsid w:val="004919ED"/>
    <w:rsid w:val="00493367"/>
    <w:rsid w:val="00493D99"/>
    <w:rsid w:val="00494F17"/>
    <w:rsid w:val="004968AA"/>
    <w:rsid w:val="0049694F"/>
    <w:rsid w:val="00497BA7"/>
    <w:rsid w:val="004A12C5"/>
    <w:rsid w:val="004A380F"/>
    <w:rsid w:val="004A4C62"/>
    <w:rsid w:val="004A6028"/>
    <w:rsid w:val="004A61DB"/>
    <w:rsid w:val="004B0B23"/>
    <w:rsid w:val="004B3369"/>
    <w:rsid w:val="004B3617"/>
    <w:rsid w:val="004B60B3"/>
    <w:rsid w:val="004C0986"/>
    <w:rsid w:val="004C3D50"/>
    <w:rsid w:val="004C5502"/>
    <w:rsid w:val="004D1AF7"/>
    <w:rsid w:val="004D1D60"/>
    <w:rsid w:val="004D2C3D"/>
    <w:rsid w:val="004D345A"/>
    <w:rsid w:val="004D44AB"/>
    <w:rsid w:val="004D5811"/>
    <w:rsid w:val="004E2166"/>
    <w:rsid w:val="004E25E8"/>
    <w:rsid w:val="004E2DC0"/>
    <w:rsid w:val="004E367E"/>
    <w:rsid w:val="004E46DE"/>
    <w:rsid w:val="004E550D"/>
    <w:rsid w:val="004E6027"/>
    <w:rsid w:val="004E69BA"/>
    <w:rsid w:val="004E7F52"/>
    <w:rsid w:val="004F1118"/>
    <w:rsid w:val="004F3D6F"/>
    <w:rsid w:val="004F4050"/>
    <w:rsid w:val="004F5620"/>
    <w:rsid w:val="004F63B5"/>
    <w:rsid w:val="004F71FB"/>
    <w:rsid w:val="004F7A62"/>
    <w:rsid w:val="00502A54"/>
    <w:rsid w:val="00507B6E"/>
    <w:rsid w:val="00512CF3"/>
    <w:rsid w:val="005139AD"/>
    <w:rsid w:val="00515166"/>
    <w:rsid w:val="005162C3"/>
    <w:rsid w:val="00516A81"/>
    <w:rsid w:val="00520EA9"/>
    <w:rsid w:val="005221B0"/>
    <w:rsid w:val="00523ED0"/>
    <w:rsid w:val="00525988"/>
    <w:rsid w:val="00525AB6"/>
    <w:rsid w:val="00527332"/>
    <w:rsid w:val="00533665"/>
    <w:rsid w:val="005356A7"/>
    <w:rsid w:val="00537FCD"/>
    <w:rsid w:val="00540EB1"/>
    <w:rsid w:val="00542A70"/>
    <w:rsid w:val="00550018"/>
    <w:rsid w:val="005503B8"/>
    <w:rsid w:val="00554D8F"/>
    <w:rsid w:val="00557720"/>
    <w:rsid w:val="005616FB"/>
    <w:rsid w:val="005621BC"/>
    <w:rsid w:val="0056294C"/>
    <w:rsid w:val="00562DB3"/>
    <w:rsid w:val="00566F1E"/>
    <w:rsid w:val="0057235D"/>
    <w:rsid w:val="00573743"/>
    <w:rsid w:val="00574D83"/>
    <w:rsid w:val="00580230"/>
    <w:rsid w:val="005849D1"/>
    <w:rsid w:val="00585DBB"/>
    <w:rsid w:val="00586E62"/>
    <w:rsid w:val="00587BF1"/>
    <w:rsid w:val="00590828"/>
    <w:rsid w:val="00592E8B"/>
    <w:rsid w:val="0059334D"/>
    <w:rsid w:val="0059480C"/>
    <w:rsid w:val="00595A91"/>
    <w:rsid w:val="00595D96"/>
    <w:rsid w:val="005A081F"/>
    <w:rsid w:val="005A5C56"/>
    <w:rsid w:val="005A5F08"/>
    <w:rsid w:val="005A67D1"/>
    <w:rsid w:val="005A788F"/>
    <w:rsid w:val="005B242C"/>
    <w:rsid w:val="005B28E7"/>
    <w:rsid w:val="005B301C"/>
    <w:rsid w:val="005B5C35"/>
    <w:rsid w:val="005B6C90"/>
    <w:rsid w:val="005B733C"/>
    <w:rsid w:val="005C0363"/>
    <w:rsid w:val="005C05E7"/>
    <w:rsid w:val="005C067D"/>
    <w:rsid w:val="005C2790"/>
    <w:rsid w:val="005C2F02"/>
    <w:rsid w:val="005C5CA2"/>
    <w:rsid w:val="005C723E"/>
    <w:rsid w:val="005C789F"/>
    <w:rsid w:val="005C7AAD"/>
    <w:rsid w:val="005D0792"/>
    <w:rsid w:val="005D1351"/>
    <w:rsid w:val="005D3C62"/>
    <w:rsid w:val="005D6F0E"/>
    <w:rsid w:val="005E0DF0"/>
    <w:rsid w:val="005E1DC9"/>
    <w:rsid w:val="005E39A8"/>
    <w:rsid w:val="005E5178"/>
    <w:rsid w:val="005E605A"/>
    <w:rsid w:val="005E60F5"/>
    <w:rsid w:val="005E69D7"/>
    <w:rsid w:val="005F1D01"/>
    <w:rsid w:val="005F1F81"/>
    <w:rsid w:val="005F2172"/>
    <w:rsid w:val="005F2805"/>
    <w:rsid w:val="005F34F0"/>
    <w:rsid w:val="005F3C92"/>
    <w:rsid w:val="005F40C2"/>
    <w:rsid w:val="005F476C"/>
    <w:rsid w:val="005F57EB"/>
    <w:rsid w:val="0060186F"/>
    <w:rsid w:val="00601C98"/>
    <w:rsid w:val="00602DF7"/>
    <w:rsid w:val="006038AC"/>
    <w:rsid w:val="00603C7D"/>
    <w:rsid w:val="00604261"/>
    <w:rsid w:val="00606955"/>
    <w:rsid w:val="00607A5F"/>
    <w:rsid w:val="006119B9"/>
    <w:rsid w:val="00612655"/>
    <w:rsid w:val="00612FED"/>
    <w:rsid w:val="00616C8F"/>
    <w:rsid w:val="00624E13"/>
    <w:rsid w:val="00632538"/>
    <w:rsid w:val="00636009"/>
    <w:rsid w:val="0063725C"/>
    <w:rsid w:val="00637889"/>
    <w:rsid w:val="00637B94"/>
    <w:rsid w:val="00637D33"/>
    <w:rsid w:val="00640EFA"/>
    <w:rsid w:val="0064122D"/>
    <w:rsid w:val="006417B4"/>
    <w:rsid w:val="00642154"/>
    <w:rsid w:val="006462FD"/>
    <w:rsid w:val="00650E8C"/>
    <w:rsid w:val="00653B57"/>
    <w:rsid w:val="00656D5D"/>
    <w:rsid w:val="00656F56"/>
    <w:rsid w:val="00660201"/>
    <w:rsid w:val="00660A68"/>
    <w:rsid w:val="00661AD8"/>
    <w:rsid w:val="00662FA1"/>
    <w:rsid w:val="00664924"/>
    <w:rsid w:val="00664A9D"/>
    <w:rsid w:val="00666991"/>
    <w:rsid w:val="006724D4"/>
    <w:rsid w:val="00673E75"/>
    <w:rsid w:val="00674C5D"/>
    <w:rsid w:val="0068117D"/>
    <w:rsid w:val="00682568"/>
    <w:rsid w:val="0068280F"/>
    <w:rsid w:val="0068373D"/>
    <w:rsid w:val="00683C0B"/>
    <w:rsid w:val="00683CDD"/>
    <w:rsid w:val="00685E8C"/>
    <w:rsid w:val="00686163"/>
    <w:rsid w:val="0068627F"/>
    <w:rsid w:val="006909B9"/>
    <w:rsid w:val="00693DCA"/>
    <w:rsid w:val="00696A3C"/>
    <w:rsid w:val="00696F07"/>
    <w:rsid w:val="00697F0A"/>
    <w:rsid w:val="006A0B05"/>
    <w:rsid w:val="006A1294"/>
    <w:rsid w:val="006A31C3"/>
    <w:rsid w:val="006A4B5C"/>
    <w:rsid w:val="006A5B9B"/>
    <w:rsid w:val="006A5E2F"/>
    <w:rsid w:val="006A635D"/>
    <w:rsid w:val="006A6D80"/>
    <w:rsid w:val="006A70EE"/>
    <w:rsid w:val="006A71DA"/>
    <w:rsid w:val="006A7452"/>
    <w:rsid w:val="006A7DFF"/>
    <w:rsid w:val="006B2145"/>
    <w:rsid w:val="006B271B"/>
    <w:rsid w:val="006B440F"/>
    <w:rsid w:val="006B565B"/>
    <w:rsid w:val="006B66E7"/>
    <w:rsid w:val="006C2790"/>
    <w:rsid w:val="006C2F50"/>
    <w:rsid w:val="006C3A46"/>
    <w:rsid w:val="006D0888"/>
    <w:rsid w:val="006D4CC8"/>
    <w:rsid w:val="006D558E"/>
    <w:rsid w:val="006D633B"/>
    <w:rsid w:val="006D6983"/>
    <w:rsid w:val="006D6C18"/>
    <w:rsid w:val="006D786B"/>
    <w:rsid w:val="006E03F3"/>
    <w:rsid w:val="006E1828"/>
    <w:rsid w:val="006E3448"/>
    <w:rsid w:val="006E5C2A"/>
    <w:rsid w:val="006E6A56"/>
    <w:rsid w:val="006F0C93"/>
    <w:rsid w:val="006F48A0"/>
    <w:rsid w:val="006F63D6"/>
    <w:rsid w:val="006F6C30"/>
    <w:rsid w:val="006F769C"/>
    <w:rsid w:val="006F7BD6"/>
    <w:rsid w:val="007022D4"/>
    <w:rsid w:val="00703C08"/>
    <w:rsid w:val="007052B6"/>
    <w:rsid w:val="007052D9"/>
    <w:rsid w:val="00705300"/>
    <w:rsid w:val="0070633D"/>
    <w:rsid w:val="00707B98"/>
    <w:rsid w:val="00711E7D"/>
    <w:rsid w:val="00711F2F"/>
    <w:rsid w:val="00716FC1"/>
    <w:rsid w:val="007209F8"/>
    <w:rsid w:val="0072469B"/>
    <w:rsid w:val="00732C02"/>
    <w:rsid w:val="00733067"/>
    <w:rsid w:val="00735013"/>
    <w:rsid w:val="00735BB0"/>
    <w:rsid w:val="00736451"/>
    <w:rsid w:val="00737303"/>
    <w:rsid w:val="007401AE"/>
    <w:rsid w:val="007412EB"/>
    <w:rsid w:val="00742D63"/>
    <w:rsid w:val="007433B4"/>
    <w:rsid w:val="007439F9"/>
    <w:rsid w:val="00744669"/>
    <w:rsid w:val="00744F5F"/>
    <w:rsid w:val="007456E9"/>
    <w:rsid w:val="0074615B"/>
    <w:rsid w:val="00746A46"/>
    <w:rsid w:val="0074736B"/>
    <w:rsid w:val="007478C5"/>
    <w:rsid w:val="007530A1"/>
    <w:rsid w:val="00754DC2"/>
    <w:rsid w:val="007558E2"/>
    <w:rsid w:val="00757175"/>
    <w:rsid w:val="00760A4D"/>
    <w:rsid w:val="0076582D"/>
    <w:rsid w:val="007661A5"/>
    <w:rsid w:val="0076673B"/>
    <w:rsid w:val="007675AF"/>
    <w:rsid w:val="0077122F"/>
    <w:rsid w:val="00771C70"/>
    <w:rsid w:val="00771E42"/>
    <w:rsid w:val="00771FE6"/>
    <w:rsid w:val="00772AE2"/>
    <w:rsid w:val="00773163"/>
    <w:rsid w:val="0077484E"/>
    <w:rsid w:val="00774BF7"/>
    <w:rsid w:val="007756C9"/>
    <w:rsid w:val="0078016B"/>
    <w:rsid w:val="0078069E"/>
    <w:rsid w:val="007842A4"/>
    <w:rsid w:val="007868E6"/>
    <w:rsid w:val="00787873"/>
    <w:rsid w:val="00790CDE"/>
    <w:rsid w:val="00795922"/>
    <w:rsid w:val="007A3BE6"/>
    <w:rsid w:val="007A480C"/>
    <w:rsid w:val="007A4B2C"/>
    <w:rsid w:val="007A6C09"/>
    <w:rsid w:val="007B04D5"/>
    <w:rsid w:val="007B0CD8"/>
    <w:rsid w:val="007B1477"/>
    <w:rsid w:val="007B1B18"/>
    <w:rsid w:val="007B39C9"/>
    <w:rsid w:val="007B5332"/>
    <w:rsid w:val="007C0670"/>
    <w:rsid w:val="007C1994"/>
    <w:rsid w:val="007C5315"/>
    <w:rsid w:val="007C57FD"/>
    <w:rsid w:val="007D09FB"/>
    <w:rsid w:val="007D0F99"/>
    <w:rsid w:val="007D3B3C"/>
    <w:rsid w:val="007D4231"/>
    <w:rsid w:val="007D7AB9"/>
    <w:rsid w:val="007E2BD9"/>
    <w:rsid w:val="007E2D30"/>
    <w:rsid w:val="007E387F"/>
    <w:rsid w:val="007F1C39"/>
    <w:rsid w:val="007F225F"/>
    <w:rsid w:val="007F261D"/>
    <w:rsid w:val="007F4546"/>
    <w:rsid w:val="007F52A8"/>
    <w:rsid w:val="007F6230"/>
    <w:rsid w:val="007F72C5"/>
    <w:rsid w:val="007F7AD7"/>
    <w:rsid w:val="007F7CCF"/>
    <w:rsid w:val="008009A5"/>
    <w:rsid w:val="00802636"/>
    <w:rsid w:val="00802E9A"/>
    <w:rsid w:val="00802F1D"/>
    <w:rsid w:val="00804DA5"/>
    <w:rsid w:val="00806FC5"/>
    <w:rsid w:val="008127C6"/>
    <w:rsid w:val="00812AC3"/>
    <w:rsid w:val="00813E7E"/>
    <w:rsid w:val="00814B72"/>
    <w:rsid w:val="0081595A"/>
    <w:rsid w:val="00815C08"/>
    <w:rsid w:val="00820FD1"/>
    <w:rsid w:val="008213BD"/>
    <w:rsid w:val="0083008C"/>
    <w:rsid w:val="00830265"/>
    <w:rsid w:val="008318C7"/>
    <w:rsid w:val="00832A66"/>
    <w:rsid w:val="00832E84"/>
    <w:rsid w:val="00832FCC"/>
    <w:rsid w:val="00834480"/>
    <w:rsid w:val="00835D03"/>
    <w:rsid w:val="00836DFF"/>
    <w:rsid w:val="00840F8B"/>
    <w:rsid w:val="00843CE9"/>
    <w:rsid w:val="008472D9"/>
    <w:rsid w:val="00847A33"/>
    <w:rsid w:val="0085182C"/>
    <w:rsid w:val="0085417C"/>
    <w:rsid w:val="00857610"/>
    <w:rsid w:val="00861FC3"/>
    <w:rsid w:val="0086379D"/>
    <w:rsid w:val="0086474A"/>
    <w:rsid w:val="0086522F"/>
    <w:rsid w:val="00865349"/>
    <w:rsid w:val="008666E0"/>
    <w:rsid w:val="00867D6B"/>
    <w:rsid w:val="00871D2D"/>
    <w:rsid w:val="00872D7D"/>
    <w:rsid w:val="008754CA"/>
    <w:rsid w:val="00875707"/>
    <w:rsid w:val="008764D7"/>
    <w:rsid w:val="00880E57"/>
    <w:rsid w:val="008862C4"/>
    <w:rsid w:val="0088640C"/>
    <w:rsid w:val="00886B17"/>
    <w:rsid w:val="008872A9"/>
    <w:rsid w:val="00887855"/>
    <w:rsid w:val="00894717"/>
    <w:rsid w:val="00895BBD"/>
    <w:rsid w:val="00896D1C"/>
    <w:rsid w:val="00897738"/>
    <w:rsid w:val="008A00A3"/>
    <w:rsid w:val="008A09B0"/>
    <w:rsid w:val="008A1A13"/>
    <w:rsid w:val="008A56B1"/>
    <w:rsid w:val="008A5F72"/>
    <w:rsid w:val="008A6622"/>
    <w:rsid w:val="008B1CEC"/>
    <w:rsid w:val="008B2512"/>
    <w:rsid w:val="008B3C69"/>
    <w:rsid w:val="008B5C17"/>
    <w:rsid w:val="008B5DEA"/>
    <w:rsid w:val="008B67C6"/>
    <w:rsid w:val="008B788C"/>
    <w:rsid w:val="008C0CF9"/>
    <w:rsid w:val="008C57C0"/>
    <w:rsid w:val="008C67E9"/>
    <w:rsid w:val="008C6FA2"/>
    <w:rsid w:val="008C7036"/>
    <w:rsid w:val="008C73F1"/>
    <w:rsid w:val="008C7ACE"/>
    <w:rsid w:val="008D0312"/>
    <w:rsid w:val="008D40B0"/>
    <w:rsid w:val="008E25B6"/>
    <w:rsid w:val="008E5189"/>
    <w:rsid w:val="008E5451"/>
    <w:rsid w:val="008E62EC"/>
    <w:rsid w:val="008F0986"/>
    <w:rsid w:val="008F1575"/>
    <w:rsid w:val="008F18BF"/>
    <w:rsid w:val="008F225D"/>
    <w:rsid w:val="008F4E4B"/>
    <w:rsid w:val="008F76B3"/>
    <w:rsid w:val="00900C46"/>
    <w:rsid w:val="00902883"/>
    <w:rsid w:val="0090562C"/>
    <w:rsid w:val="009103CA"/>
    <w:rsid w:val="00914CF8"/>
    <w:rsid w:val="009231D1"/>
    <w:rsid w:val="00924A79"/>
    <w:rsid w:val="00924B59"/>
    <w:rsid w:val="00924BE5"/>
    <w:rsid w:val="0092560F"/>
    <w:rsid w:val="009266C2"/>
    <w:rsid w:val="0092695F"/>
    <w:rsid w:val="00927814"/>
    <w:rsid w:val="00932D9E"/>
    <w:rsid w:val="00935971"/>
    <w:rsid w:val="00936AC8"/>
    <w:rsid w:val="00943ECD"/>
    <w:rsid w:val="00944EF5"/>
    <w:rsid w:val="00951C3D"/>
    <w:rsid w:val="00952D89"/>
    <w:rsid w:val="00954C17"/>
    <w:rsid w:val="009570E7"/>
    <w:rsid w:val="00957163"/>
    <w:rsid w:val="00961FB5"/>
    <w:rsid w:val="0096238F"/>
    <w:rsid w:val="009632A3"/>
    <w:rsid w:val="00965A10"/>
    <w:rsid w:val="009660F4"/>
    <w:rsid w:val="009661B9"/>
    <w:rsid w:val="00970AF9"/>
    <w:rsid w:val="00970DC5"/>
    <w:rsid w:val="00974417"/>
    <w:rsid w:val="00975FCC"/>
    <w:rsid w:val="00977050"/>
    <w:rsid w:val="00977CD8"/>
    <w:rsid w:val="009852E7"/>
    <w:rsid w:val="00987BA2"/>
    <w:rsid w:val="0099440C"/>
    <w:rsid w:val="0099592A"/>
    <w:rsid w:val="00995A69"/>
    <w:rsid w:val="00995F31"/>
    <w:rsid w:val="00996328"/>
    <w:rsid w:val="009A02A7"/>
    <w:rsid w:val="009A24B4"/>
    <w:rsid w:val="009A630A"/>
    <w:rsid w:val="009A638B"/>
    <w:rsid w:val="009A6BBD"/>
    <w:rsid w:val="009A73BE"/>
    <w:rsid w:val="009B2B63"/>
    <w:rsid w:val="009B5569"/>
    <w:rsid w:val="009B6724"/>
    <w:rsid w:val="009B6C64"/>
    <w:rsid w:val="009C082D"/>
    <w:rsid w:val="009C09FA"/>
    <w:rsid w:val="009C206B"/>
    <w:rsid w:val="009C2F49"/>
    <w:rsid w:val="009C5621"/>
    <w:rsid w:val="009C7E77"/>
    <w:rsid w:val="009D4545"/>
    <w:rsid w:val="009D52E8"/>
    <w:rsid w:val="009D62CA"/>
    <w:rsid w:val="009D6995"/>
    <w:rsid w:val="009D7399"/>
    <w:rsid w:val="009E07FD"/>
    <w:rsid w:val="009E11D7"/>
    <w:rsid w:val="009E19E9"/>
    <w:rsid w:val="009E6D5E"/>
    <w:rsid w:val="009F086C"/>
    <w:rsid w:val="009F1335"/>
    <w:rsid w:val="009F47F5"/>
    <w:rsid w:val="009F69BF"/>
    <w:rsid w:val="00A03136"/>
    <w:rsid w:val="00A038A4"/>
    <w:rsid w:val="00A039F6"/>
    <w:rsid w:val="00A0436D"/>
    <w:rsid w:val="00A056E0"/>
    <w:rsid w:val="00A06043"/>
    <w:rsid w:val="00A06AC1"/>
    <w:rsid w:val="00A06F6A"/>
    <w:rsid w:val="00A11E1C"/>
    <w:rsid w:val="00A15320"/>
    <w:rsid w:val="00A20B94"/>
    <w:rsid w:val="00A220AD"/>
    <w:rsid w:val="00A2223F"/>
    <w:rsid w:val="00A23A19"/>
    <w:rsid w:val="00A25547"/>
    <w:rsid w:val="00A25F6F"/>
    <w:rsid w:val="00A30051"/>
    <w:rsid w:val="00A338E9"/>
    <w:rsid w:val="00A33938"/>
    <w:rsid w:val="00A33A50"/>
    <w:rsid w:val="00A343B2"/>
    <w:rsid w:val="00A3652C"/>
    <w:rsid w:val="00A41157"/>
    <w:rsid w:val="00A433A4"/>
    <w:rsid w:val="00A4523B"/>
    <w:rsid w:val="00A46834"/>
    <w:rsid w:val="00A47284"/>
    <w:rsid w:val="00A50254"/>
    <w:rsid w:val="00A5158B"/>
    <w:rsid w:val="00A52DDD"/>
    <w:rsid w:val="00A537F8"/>
    <w:rsid w:val="00A60473"/>
    <w:rsid w:val="00A612EB"/>
    <w:rsid w:val="00A623BD"/>
    <w:rsid w:val="00A62B01"/>
    <w:rsid w:val="00A64715"/>
    <w:rsid w:val="00A6594A"/>
    <w:rsid w:val="00A671B6"/>
    <w:rsid w:val="00A67B48"/>
    <w:rsid w:val="00A718FC"/>
    <w:rsid w:val="00A71DC9"/>
    <w:rsid w:val="00A72D2F"/>
    <w:rsid w:val="00A764BB"/>
    <w:rsid w:val="00A772AA"/>
    <w:rsid w:val="00A800E3"/>
    <w:rsid w:val="00A811A8"/>
    <w:rsid w:val="00A825CA"/>
    <w:rsid w:val="00A85777"/>
    <w:rsid w:val="00A85F6D"/>
    <w:rsid w:val="00A869BB"/>
    <w:rsid w:val="00A916A2"/>
    <w:rsid w:val="00A94FD8"/>
    <w:rsid w:val="00A951B7"/>
    <w:rsid w:val="00A95258"/>
    <w:rsid w:val="00A95539"/>
    <w:rsid w:val="00A95B78"/>
    <w:rsid w:val="00AA28CC"/>
    <w:rsid w:val="00AB2EE5"/>
    <w:rsid w:val="00AB3200"/>
    <w:rsid w:val="00AB3690"/>
    <w:rsid w:val="00AB4CC9"/>
    <w:rsid w:val="00AB6C0F"/>
    <w:rsid w:val="00AB7911"/>
    <w:rsid w:val="00AC0518"/>
    <w:rsid w:val="00AC436F"/>
    <w:rsid w:val="00AC6ECB"/>
    <w:rsid w:val="00AC74DD"/>
    <w:rsid w:val="00AD23E3"/>
    <w:rsid w:val="00AD2B66"/>
    <w:rsid w:val="00AD5BDE"/>
    <w:rsid w:val="00AD646A"/>
    <w:rsid w:val="00AE01E4"/>
    <w:rsid w:val="00AE3DB5"/>
    <w:rsid w:val="00AE5CAA"/>
    <w:rsid w:val="00AF04F2"/>
    <w:rsid w:val="00AF1A52"/>
    <w:rsid w:val="00AF2C97"/>
    <w:rsid w:val="00AF3038"/>
    <w:rsid w:val="00AF389E"/>
    <w:rsid w:val="00AF4228"/>
    <w:rsid w:val="00B02895"/>
    <w:rsid w:val="00B03067"/>
    <w:rsid w:val="00B131A5"/>
    <w:rsid w:val="00B145E2"/>
    <w:rsid w:val="00B1504F"/>
    <w:rsid w:val="00B15BF2"/>
    <w:rsid w:val="00B21B88"/>
    <w:rsid w:val="00B23F27"/>
    <w:rsid w:val="00B2678A"/>
    <w:rsid w:val="00B31F71"/>
    <w:rsid w:val="00B3205D"/>
    <w:rsid w:val="00B32177"/>
    <w:rsid w:val="00B339C6"/>
    <w:rsid w:val="00B3684E"/>
    <w:rsid w:val="00B36A31"/>
    <w:rsid w:val="00B36DF8"/>
    <w:rsid w:val="00B378AC"/>
    <w:rsid w:val="00B42231"/>
    <w:rsid w:val="00B43DC5"/>
    <w:rsid w:val="00B45A7C"/>
    <w:rsid w:val="00B55402"/>
    <w:rsid w:val="00B56B0A"/>
    <w:rsid w:val="00B57D50"/>
    <w:rsid w:val="00B6139E"/>
    <w:rsid w:val="00B61AFD"/>
    <w:rsid w:val="00B61EAE"/>
    <w:rsid w:val="00B6339D"/>
    <w:rsid w:val="00B65466"/>
    <w:rsid w:val="00B65CD4"/>
    <w:rsid w:val="00B72150"/>
    <w:rsid w:val="00B7314B"/>
    <w:rsid w:val="00B73555"/>
    <w:rsid w:val="00B74D10"/>
    <w:rsid w:val="00B75E6A"/>
    <w:rsid w:val="00B819A8"/>
    <w:rsid w:val="00B81AD2"/>
    <w:rsid w:val="00B81BD2"/>
    <w:rsid w:val="00B824B5"/>
    <w:rsid w:val="00B831AF"/>
    <w:rsid w:val="00B8436E"/>
    <w:rsid w:val="00B84657"/>
    <w:rsid w:val="00B90406"/>
    <w:rsid w:val="00B90893"/>
    <w:rsid w:val="00B90A44"/>
    <w:rsid w:val="00B953FB"/>
    <w:rsid w:val="00B95601"/>
    <w:rsid w:val="00BA66B0"/>
    <w:rsid w:val="00BA74E9"/>
    <w:rsid w:val="00BB20AF"/>
    <w:rsid w:val="00BB3153"/>
    <w:rsid w:val="00BB35CF"/>
    <w:rsid w:val="00BB786F"/>
    <w:rsid w:val="00BB7951"/>
    <w:rsid w:val="00BC0C94"/>
    <w:rsid w:val="00BC15A4"/>
    <w:rsid w:val="00BC17CA"/>
    <w:rsid w:val="00BC3D05"/>
    <w:rsid w:val="00BC40AA"/>
    <w:rsid w:val="00BC5043"/>
    <w:rsid w:val="00BD0C4A"/>
    <w:rsid w:val="00BD4C94"/>
    <w:rsid w:val="00BE0646"/>
    <w:rsid w:val="00BE72EA"/>
    <w:rsid w:val="00BE75FF"/>
    <w:rsid w:val="00BF10A4"/>
    <w:rsid w:val="00BF38B3"/>
    <w:rsid w:val="00BF617D"/>
    <w:rsid w:val="00C001FD"/>
    <w:rsid w:val="00C02409"/>
    <w:rsid w:val="00C0265A"/>
    <w:rsid w:val="00C05640"/>
    <w:rsid w:val="00C101D4"/>
    <w:rsid w:val="00C11E77"/>
    <w:rsid w:val="00C13645"/>
    <w:rsid w:val="00C14695"/>
    <w:rsid w:val="00C14A9E"/>
    <w:rsid w:val="00C151BD"/>
    <w:rsid w:val="00C224CF"/>
    <w:rsid w:val="00C22CB1"/>
    <w:rsid w:val="00C24E54"/>
    <w:rsid w:val="00C26652"/>
    <w:rsid w:val="00C274B0"/>
    <w:rsid w:val="00C27521"/>
    <w:rsid w:val="00C30204"/>
    <w:rsid w:val="00C31864"/>
    <w:rsid w:val="00C3291D"/>
    <w:rsid w:val="00C34BEB"/>
    <w:rsid w:val="00C35436"/>
    <w:rsid w:val="00C37F4B"/>
    <w:rsid w:val="00C40348"/>
    <w:rsid w:val="00C41AC8"/>
    <w:rsid w:val="00C4214B"/>
    <w:rsid w:val="00C42ADE"/>
    <w:rsid w:val="00C4315A"/>
    <w:rsid w:val="00C44D51"/>
    <w:rsid w:val="00C4720B"/>
    <w:rsid w:val="00C4749E"/>
    <w:rsid w:val="00C47810"/>
    <w:rsid w:val="00C5131F"/>
    <w:rsid w:val="00C52246"/>
    <w:rsid w:val="00C5237C"/>
    <w:rsid w:val="00C5262A"/>
    <w:rsid w:val="00C56933"/>
    <w:rsid w:val="00C6178D"/>
    <w:rsid w:val="00C618C8"/>
    <w:rsid w:val="00C63798"/>
    <w:rsid w:val="00C64CA3"/>
    <w:rsid w:val="00C65EB7"/>
    <w:rsid w:val="00C676B0"/>
    <w:rsid w:val="00C73466"/>
    <w:rsid w:val="00C7373E"/>
    <w:rsid w:val="00C73AA3"/>
    <w:rsid w:val="00C75BA4"/>
    <w:rsid w:val="00C765C8"/>
    <w:rsid w:val="00C76630"/>
    <w:rsid w:val="00C77A88"/>
    <w:rsid w:val="00C82B5B"/>
    <w:rsid w:val="00C844B8"/>
    <w:rsid w:val="00C85D17"/>
    <w:rsid w:val="00C879E9"/>
    <w:rsid w:val="00C9057C"/>
    <w:rsid w:val="00C914BF"/>
    <w:rsid w:val="00C91826"/>
    <w:rsid w:val="00C92189"/>
    <w:rsid w:val="00C93278"/>
    <w:rsid w:val="00C97DD8"/>
    <w:rsid w:val="00CA08E3"/>
    <w:rsid w:val="00CA0B6B"/>
    <w:rsid w:val="00CA1163"/>
    <w:rsid w:val="00CA1458"/>
    <w:rsid w:val="00CA2A3C"/>
    <w:rsid w:val="00CA58CB"/>
    <w:rsid w:val="00CB04D7"/>
    <w:rsid w:val="00CB0F4E"/>
    <w:rsid w:val="00CB2BBE"/>
    <w:rsid w:val="00CB66B4"/>
    <w:rsid w:val="00CB6A6F"/>
    <w:rsid w:val="00CC0443"/>
    <w:rsid w:val="00CC400B"/>
    <w:rsid w:val="00CC7591"/>
    <w:rsid w:val="00CC7B9D"/>
    <w:rsid w:val="00CD0C14"/>
    <w:rsid w:val="00CD127F"/>
    <w:rsid w:val="00CD461E"/>
    <w:rsid w:val="00CE031C"/>
    <w:rsid w:val="00CE1C46"/>
    <w:rsid w:val="00CE5590"/>
    <w:rsid w:val="00CE67D6"/>
    <w:rsid w:val="00CE75A5"/>
    <w:rsid w:val="00CF1B34"/>
    <w:rsid w:val="00CF22FC"/>
    <w:rsid w:val="00CF242C"/>
    <w:rsid w:val="00CF75F7"/>
    <w:rsid w:val="00D01FFC"/>
    <w:rsid w:val="00D03103"/>
    <w:rsid w:val="00D039E1"/>
    <w:rsid w:val="00D046A3"/>
    <w:rsid w:val="00D0487A"/>
    <w:rsid w:val="00D04C0D"/>
    <w:rsid w:val="00D0661A"/>
    <w:rsid w:val="00D071FB"/>
    <w:rsid w:val="00D07B22"/>
    <w:rsid w:val="00D11866"/>
    <w:rsid w:val="00D11AF4"/>
    <w:rsid w:val="00D12C27"/>
    <w:rsid w:val="00D13778"/>
    <w:rsid w:val="00D15D45"/>
    <w:rsid w:val="00D169FF"/>
    <w:rsid w:val="00D171B7"/>
    <w:rsid w:val="00D17922"/>
    <w:rsid w:val="00D21EC8"/>
    <w:rsid w:val="00D25ECD"/>
    <w:rsid w:val="00D26C14"/>
    <w:rsid w:val="00D275FE"/>
    <w:rsid w:val="00D32E1E"/>
    <w:rsid w:val="00D4229C"/>
    <w:rsid w:val="00D42CC5"/>
    <w:rsid w:val="00D42EE2"/>
    <w:rsid w:val="00D440EC"/>
    <w:rsid w:val="00D46C06"/>
    <w:rsid w:val="00D46F9C"/>
    <w:rsid w:val="00D47C95"/>
    <w:rsid w:val="00D50EC2"/>
    <w:rsid w:val="00D516C9"/>
    <w:rsid w:val="00D51AD9"/>
    <w:rsid w:val="00D54576"/>
    <w:rsid w:val="00D550C3"/>
    <w:rsid w:val="00D60BDD"/>
    <w:rsid w:val="00D620DD"/>
    <w:rsid w:val="00D63F39"/>
    <w:rsid w:val="00D64273"/>
    <w:rsid w:val="00D642E4"/>
    <w:rsid w:val="00D6649E"/>
    <w:rsid w:val="00D667B3"/>
    <w:rsid w:val="00D6751D"/>
    <w:rsid w:val="00D70EFC"/>
    <w:rsid w:val="00D72960"/>
    <w:rsid w:val="00D8078B"/>
    <w:rsid w:val="00D80839"/>
    <w:rsid w:val="00D80975"/>
    <w:rsid w:val="00D81BCC"/>
    <w:rsid w:val="00D830ED"/>
    <w:rsid w:val="00D83530"/>
    <w:rsid w:val="00D8525C"/>
    <w:rsid w:val="00D85DFE"/>
    <w:rsid w:val="00D86024"/>
    <w:rsid w:val="00D8764F"/>
    <w:rsid w:val="00D9164E"/>
    <w:rsid w:val="00D925CE"/>
    <w:rsid w:val="00D92D2A"/>
    <w:rsid w:val="00D94260"/>
    <w:rsid w:val="00D95FFB"/>
    <w:rsid w:val="00D969AC"/>
    <w:rsid w:val="00D973A4"/>
    <w:rsid w:val="00DB1112"/>
    <w:rsid w:val="00DB1AEF"/>
    <w:rsid w:val="00DB1CB5"/>
    <w:rsid w:val="00DB3E4F"/>
    <w:rsid w:val="00DC0324"/>
    <w:rsid w:val="00DC233D"/>
    <w:rsid w:val="00DC2801"/>
    <w:rsid w:val="00DC376E"/>
    <w:rsid w:val="00DC3930"/>
    <w:rsid w:val="00DC5C6C"/>
    <w:rsid w:val="00DC67BF"/>
    <w:rsid w:val="00DC68B5"/>
    <w:rsid w:val="00DD05D2"/>
    <w:rsid w:val="00DD166B"/>
    <w:rsid w:val="00DD1B7F"/>
    <w:rsid w:val="00DD3181"/>
    <w:rsid w:val="00DD44D8"/>
    <w:rsid w:val="00DD4A41"/>
    <w:rsid w:val="00DD61C1"/>
    <w:rsid w:val="00DE072F"/>
    <w:rsid w:val="00DE29B5"/>
    <w:rsid w:val="00DE42D6"/>
    <w:rsid w:val="00DE577D"/>
    <w:rsid w:val="00DE7314"/>
    <w:rsid w:val="00DF08C1"/>
    <w:rsid w:val="00DF429D"/>
    <w:rsid w:val="00DF4A23"/>
    <w:rsid w:val="00DF4BF6"/>
    <w:rsid w:val="00DF5DC0"/>
    <w:rsid w:val="00DF606B"/>
    <w:rsid w:val="00DF6236"/>
    <w:rsid w:val="00DF63F9"/>
    <w:rsid w:val="00DF6B31"/>
    <w:rsid w:val="00E040E8"/>
    <w:rsid w:val="00E042E3"/>
    <w:rsid w:val="00E06170"/>
    <w:rsid w:val="00E06AA4"/>
    <w:rsid w:val="00E0766A"/>
    <w:rsid w:val="00E107F2"/>
    <w:rsid w:val="00E10E38"/>
    <w:rsid w:val="00E1173D"/>
    <w:rsid w:val="00E124CE"/>
    <w:rsid w:val="00E12F67"/>
    <w:rsid w:val="00E14279"/>
    <w:rsid w:val="00E15816"/>
    <w:rsid w:val="00E15E94"/>
    <w:rsid w:val="00E16491"/>
    <w:rsid w:val="00E16EE1"/>
    <w:rsid w:val="00E20744"/>
    <w:rsid w:val="00E21809"/>
    <w:rsid w:val="00E21C08"/>
    <w:rsid w:val="00E247F9"/>
    <w:rsid w:val="00E24BA2"/>
    <w:rsid w:val="00E256E0"/>
    <w:rsid w:val="00E30543"/>
    <w:rsid w:val="00E31F0B"/>
    <w:rsid w:val="00E3365A"/>
    <w:rsid w:val="00E3439F"/>
    <w:rsid w:val="00E40CC2"/>
    <w:rsid w:val="00E4134E"/>
    <w:rsid w:val="00E42808"/>
    <w:rsid w:val="00E42B2B"/>
    <w:rsid w:val="00E42E75"/>
    <w:rsid w:val="00E432E1"/>
    <w:rsid w:val="00E440F4"/>
    <w:rsid w:val="00E44704"/>
    <w:rsid w:val="00E44831"/>
    <w:rsid w:val="00E52088"/>
    <w:rsid w:val="00E569C0"/>
    <w:rsid w:val="00E5781D"/>
    <w:rsid w:val="00E62E8D"/>
    <w:rsid w:val="00E66FCB"/>
    <w:rsid w:val="00E74456"/>
    <w:rsid w:val="00E75329"/>
    <w:rsid w:val="00E80762"/>
    <w:rsid w:val="00E809BB"/>
    <w:rsid w:val="00E81AC5"/>
    <w:rsid w:val="00E8232B"/>
    <w:rsid w:val="00E85946"/>
    <w:rsid w:val="00E92970"/>
    <w:rsid w:val="00E9303D"/>
    <w:rsid w:val="00E946F2"/>
    <w:rsid w:val="00E94FAF"/>
    <w:rsid w:val="00E957EF"/>
    <w:rsid w:val="00E965DD"/>
    <w:rsid w:val="00EA397E"/>
    <w:rsid w:val="00EA41EF"/>
    <w:rsid w:val="00EB0C9D"/>
    <w:rsid w:val="00EB2DEF"/>
    <w:rsid w:val="00EB59FE"/>
    <w:rsid w:val="00EB5A57"/>
    <w:rsid w:val="00EC49AF"/>
    <w:rsid w:val="00EC5169"/>
    <w:rsid w:val="00EC6564"/>
    <w:rsid w:val="00EC7912"/>
    <w:rsid w:val="00ED0FEB"/>
    <w:rsid w:val="00ED284D"/>
    <w:rsid w:val="00ED28F2"/>
    <w:rsid w:val="00ED34F1"/>
    <w:rsid w:val="00ED3542"/>
    <w:rsid w:val="00ED3E4E"/>
    <w:rsid w:val="00EE01B7"/>
    <w:rsid w:val="00EE03A5"/>
    <w:rsid w:val="00EE1E4E"/>
    <w:rsid w:val="00EE51B3"/>
    <w:rsid w:val="00EE686B"/>
    <w:rsid w:val="00EE68D7"/>
    <w:rsid w:val="00EE7071"/>
    <w:rsid w:val="00EE7B23"/>
    <w:rsid w:val="00EE7F23"/>
    <w:rsid w:val="00EF1572"/>
    <w:rsid w:val="00EF2163"/>
    <w:rsid w:val="00EF2501"/>
    <w:rsid w:val="00EF269B"/>
    <w:rsid w:val="00EF572C"/>
    <w:rsid w:val="00EF6023"/>
    <w:rsid w:val="00EF672B"/>
    <w:rsid w:val="00EF7D93"/>
    <w:rsid w:val="00F0025D"/>
    <w:rsid w:val="00F008BC"/>
    <w:rsid w:val="00F0168D"/>
    <w:rsid w:val="00F040D8"/>
    <w:rsid w:val="00F05A89"/>
    <w:rsid w:val="00F10802"/>
    <w:rsid w:val="00F12E79"/>
    <w:rsid w:val="00F1387D"/>
    <w:rsid w:val="00F13C42"/>
    <w:rsid w:val="00F13FDB"/>
    <w:rsid w:val="00F15211"/>
    <w:rsid w:val="00F15B44"/>
    <w:rsid w:val="00F17AF5"/>
    <w:rsid w:val="00F22DD7"/>
    <w:rsid w:val="00F24F1E"/>
    <w:rsid w:val="00F25CB3"/>
    <w:rsid w:val="00F26C00"/>
    <w:rsid w:val="00F27157"/>
    <w:rsid w:val="00F3022A"/>
    <w:rsid w:val="00F3054D"/>
    <w:rsid w:val="00F316E3"/>
    <w:rsid w:val="00F37C5F"/>
    <w:rsid w:val="00F44CE0"/>
    <w:rsid w:val="00F476FC"/>
    <w:rsid w:val="00F47E98"/>
    <w:rsid w:val="00F50489"/>
    <w:rsid w:val="00F50E35"/>
    <w:rsid w:val="00F50FB3"/>
    <w:rsid w:val="00F51750"/>
    <w:rsid w:val="00F54CF4"/>
    <w:rsid w:val="00F54D49"/>
    <w:rsid w:val="00F61F81"/>
    <w:rsid w:val="00F62DA1"/>
    <w:rsid w:val="00F63C64"/>
    <w:rsid w:val="00F6599B"/>
    <w:rsid w:val="00F714EC"/>
    <w:rsid w:val="00F72EBD"/>
    <w:rsid w:val="00F81383"/>
    <w:rsid w:val="00F865B3"/>
    <w:rsid w:val="00F867AA"/>
    <w:rsid w:val="00F874DF"/>
    <w:rsid w:val="00F90540"/>
    <w:rsid w:val="00F906A7"/>
    <w:rsid w:val="00F913FA"/>
    <w:rsid w:val="00F96362"/>
    <w:rsid w:val="00FA01F8"/>
    <w:rsid w:val="00FA3BDF"/>
    <w:rsid w:val="00FA6534"/>
    <w:rsid w:val="00FB0A9F"/>
    <w:rsid w:val="00FB3572"/>
    <w:rsid w:val="00FB5E59"/>
    <w:rsid w:val="00FB6550"/>
    <w:rsid w:val="00FB678D"/>
    <w:rsid w:val="00FC419D"/>
    <w:rsid w:val="00FD3581"/>
    <w:rsid w:val="00FD4007"/>
    <w:rsid w:val="00FD5AB0"/>
    <w:rsid w:val="00FD757C"/>
    <w:rsid w:val="00FD790B"/>
    <w:rsid w:val="00FD7D7E"/>
    <w:rsid w:val="00FD7E12"/>
    <w:rsid w:val="00FE22D0"/>
    <w:rsid w:val="00FE22E8"/>
    <w:rsid w:val="00FE43A1"/>
    <w:rsid w:val="00FE47C2"/>
    <w:rsid w:val="00FE5BE0"/>
    <w:rsid w:val="00FE66DD"/>
    <w:rsid w:val="00FF1D19"/>
    <w:rsid w:val="00FF283D"/>
    <w:rsid w:val="00FF2AEB"/>
    <w:rsid w:val="00FF2E8B"/>
    <w:rsid w:val="00FF3483"/>
    <w:rsid w:val="00FF56EB"/>
    <w:rsid w:val="00FF7341"/>
    <w:rsid w:val="00FF74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0F70"/>
  <w15:docId w15:val="{D394B9D8-7C88-BE43-9D28-B2370E88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EC8"/>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EC51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F13FDB"/>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unhideWhenUsed/>
    <w:qFormat/>
    <w:rsid w:val="002017AB"/>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952D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DefinicinHTML">
    <w:name w:val="HTML Definition"/>
    <w:basedOn w:val="Fuentedeprrafopredeter"/>
    <w:uiPriority w:val="99"/>
    <w:semiHidden/>
    <w:unhideWhenUsed/>
    <w:rsid w:val="000B61DA"/>
    <w:rPr>
      <w:i/>
      <w:iCs/>
    </w:rPr>
  </w:style>
  <w:style w:type="character" w:customStyle="1" w:styleId="apple-converted-space">
    <w:name w:val="apple-converted-space"/>
    <w:basedOn w:val="Fuentedeprrafopredeter"/>
    <w:rsid w:val="000B61DA"/>
  </w:style>
  <w:style w:type="character" w:styleId="Hipervnculo">
    <w:name w:val="Hyperlink"/>
    <w:basedOn w:val="Fuentedeprrafopredeter"/>
    <w:uiPriority w:val="99"/>
    <w:semiHidden/>
    <w:unhideWhenUsed/>
    <w:rsid w:val="000B61DA"/>
    <w:rPr>
      <w:color w:val="0000FF"/>
      <w:u w:val="single"/>
    </w:rPr>
  </w:style>
  <w:style w:type="character" w:customStyle="1" w:styleId="fuente2">
    <w:name w:val="fuente2"/>
    <w:basedOn w:val="Fuentedeprrafopredeter"/>
    <w:rsid w:val="000B61DA"/>
  </w:style>
  <w:style w:type="character" w:customStyle="1" w:styleId="Ttulo2Car">
    <w:name w:val="Título 2 Car"/>
    <w:basedOn w:val="Fuentedeprrafopredeter"/>
    <w:link w:val="Ttulo2"/>
    <w:uiPriority w:val="9"/>
    <w:rsid w:val="00F13FDB"/>
    <w:rPr>
      <w:rFonts w:ascii="Times New Roman" w:eastAsia="Times New Roman" w:hAnsi="Times New Roman" w:cs="Times New Roman"/>
      <w:b/>
      <w:bCs/>
      <w:sz w:val="36"/>
      <w:szCs w:val="36"/>
      <w:lang w:eastAsia="es-ES_tradnl"/>
    </w:rPr>
  </w:style>
  <w:style w:type="character" w:styleId="Textoennegrita">
    <w:name w:val="Strong"/>
    <w:basedOn w:val="Fuentedeprrafopredeter"/>
    <w:uiPriority w:val="22"/>
    <w:qFormat/>
    <w:rsid w:val="00F13FDB"/>
    <w:rPr>
      <w:b/>
      <w:bCs/>
    </w:rPr>
  </w:style>
  <w:style w:type="paragraph" w:styleId="Sinespaciado">
    <w:name w:val="No Spacing"/>
    <w:uiPriority w:val="1"/>
    <w:qFormat/>
    <w:rsid w:val="00F13FDB"/>
    <w:rPr>
      <w:lang w:val="en-GB"/>
    </w:rPr>
  </w:style>
  <w:style w:type="paragraph" w:styleId="NormalWeb">
    <w:name w:val="Normal (Web)"/>
    <w:basedOn w:val="Normal"/>
    <w:uiPriority w:val="99"/>
    <w:unhideWhenUsed/>
    <w:rsid w:val="00FD7E12"/>
    <w:pPr>
      <w:spacing w:before="100" w:beforeAutospacing="1" w:after="100" w:afterAutospacing="1"/>
    </w:pPr>
  </w:style>
  <w:style w:type="character" w:styleId="nfasis">
    <w:name w:val="Emphasis"/>
    <w:basedOn w:val="Fuentedeprrafopredeter"/>
    <w:uiPriority w:val="20"/>
    <w:qFormat/>
    <w:rsid w:val="00FD7E12"/>
    <w:rPr>
      <w:i/>
      <w:iCs/>
    </w:rPr>
  </w:style>
  <w:style w:type="character" w:customStyle="1" w:styleId="Ttulo3Car">
    <w:name w:val="Título 3 Car"/>
    <w:basedOn w:val="Fuentedeprrafopredeter"/>
    <w:link w:val="Ttulo3"/>
    <w:uiPriority w:val="9"/>
    <w:rsid w:val="002017AB"/>
    <w:rPr>
      <w:rFonts w:asciiTheme="majorHAnsi" w:eastAsiaTheme="majorEastAsia" w:hAnsiTheme="majorHAnsi" w:cstheme="majorBidi"/>
      <w:color w:val="1F3763" w:themeColor="accent1" w:themeShade="7F"/>
      <w:lang w:eastAsia="es-ES_tradnl"/>
    </w:rPr>
  </w:style>
  <w:style w:type="paragraph" w:customStyle="1" w:styleId="listitem">
    <w:name w:val="list__item"/>
    <w:basedOn w:val="Normal"/>
    <w:rsid w:val="00B23F27"/>
    <w:pPr>
      <w:spacing w:before="100" w:beforeAutospacing="1" w:after="100" w:afterAutospacing="1"/>
    </w:pPr>
  </w:style>
  <w:style w:type="paragraph" w:styleId="Prrafodelista">
    <w:name w:val="List Paragraph"/>
    <w:basedOn w:val="Normal"/>
    <w:uiPriority w:val="34"/>
    <w:qFormat/>
    <w:rsid w:val="00000B9E"/>
    <w:pPr>
      <w:ind w:left="720"/>
      <w:contextualSpacing/>
    </w:pPr>
  </w:style>
  <w:style w:type="character" w:styleId="Hipervnculovisitado">
    <w:name w:val="FollowedHyperlink"/>
    <w:basedOn w:val="Fuentedeprrafopredeter"/>
    <w:uiPriority w:val="99"/>
    <w:semiHidden/>
    <w:unhideWhenUsed/>
    <w:rsid w:val="00245E1E"/>
    <w:rPr>
      <w:color w:val="954F72" w:themeColor="followedHyperlink"/>
      <w:u w:val="single"/>
    </w:rPr>
  </w:style>
  <w:style w:type="character" w:customStyle="1" w:styleId="sr-only">
    <w:name w:val="sr-only"/>
    <w:basedOn w:val="Fuentedeprrafopredeter"/>
    <w:rsid w:val="00431A5D"/>
  </w:style>
  <w:style w:type="character" w:customStyle="1" w:styleId="Ttulo4Car">
    <w:name w:val="Título 4 Car"/>
    <w:basedOn w:val="Fuentedeprrafopredeter"/>
    <w:link w:val="Ttulo4"/>
    <w:uiPriority w:val="9"/>
    <w:semiHidden/>
    <w:rsid w:val="00952D89"/>
    <w:rPr>
      <w:rFonts w:asciiTheme="majorHAnsi" w:eastAsiaTheme="majorEastAsia" w:hAnsiTheme="majorHAnsi" w:cstheme="majorBidi"/>
      <w:i/>
      <w:iCs/>
      <w:color w:val="2F5496" w:themeColor="accent1" w:themeShade="BF"/>
      <w:lang w:eastAsia="es-ES_tradnl"/>
    </w:rPr>
  </w:style>
  <w:style w:type="character" w:styleId="Refdecomentario">
    <w:name w:val="annotation reference"/>
    <w:basedOn w:val="Fuentedeprrafopredeter"/>
    <w:uiPriority w:val="99"/>
    <w:semiHidden/>
    <w:unhideWhenUsed/>
    <w:rsid w:val="004A4C62"/>
    <w:rPr>
      <w:sz w:val="16"/>
      <w:szCs w:val="16"/>
    </w:rPr>
  </w:style>
  <w:style w:type="paragraph" w:styleId="Textocomentario">
    <w:name w:val="annotation text"/>
    <w:basedOn w:val="Normal"/>
    <w:link w:val="TextocomentarioCar"/>
    <w:uiPriority w:val="99"/>
    <w:semiHidden/>
    <w:unhideWhenUsed/>
    <w:rsid w:val="004A4C62"/>
    <w:rPr>
      <w:sz w:val="20"/>
      <w:szCs w:val="20"/>
    </w:rPr>
  </w:style>
  <w:style w:type="character" w:customStyle="1" w:styleId="TextocomentarioCar">
    <w:name w:val="Texto comentario Car"/>
    <w:basedOn w:val="Fuentedeprrafopredeter"/>
    <w:link w:val="Textocomentario"/>
    <w:uiPriority w:val="99"/>
    <w:semiHidden/>
    <w:rsid w:val="004A4C62"/>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4A4C62"/>
    <w:rPr>
      <w:b/>
      <w:bCs/>
    </w:rPr>
  </w:style>
  <w:style w:type="character" w:customStyle="1" w:styleId="AsuntodelcomentarioCar">
    <w:name w:val="Asunto del comentario Car"/>
    <w:basedOn w:val="TextocomentarioCar"/>
    <w:link w:val="Asuntodelcomentario"/>
    <w:uiPriority w:val="99"/>
    <w:semiHidden/>
    <w:rsid w:val="004A4C62"/>
    <w:rPr>
      <w:rFonts w:ascii="Times New Roman" w:eastAsia="Times New Roman" w:hAnsi="Times New Roman" w:cs="Times New Roman"/>
      <w:b/>
      <w:bCs/>
      <w:sz w:val="20"/>
      <w:szCs w:val="20"/>
      <w:lang w:eastAsia="es-ES_tradnl"/>
    </w:rPr>
  </w:style>
  <w:style w:type="character" w:customStyle="1" w:styleId="negrita">
    <w:name w:val="negrita"/>
    <w:basedOn w:val="Fuentedeprrafopredeter"/>
    <w:rsid w:val="00FB5E59"/>
  </w:style>
  <w:style w:type="character" w:customStyle="1" w:styleId="highlight-answer">
    <w:name w:val="highlight-answer"/>
    <w:basedOn w:val="Fuentedeprrafopredeter"/>
    <w:rsid w:val="004865A3"/>
  </w:style>
  <w:style w:type="character" w:customStyle="1" w:styleId="mw-redirect">
    <w:name w:val="mw-redirect"/>
    <w:basedOn w:val="Fuentedeprrafopredeter"/>
    <w:rsid w:val="00802F1D"/>
  </w:style>
  <w:style w:type="paragraph" w:customStyle="1" w:styleId="lista1">
    <w:name w:val="lista1"/>
    <w:basedOn w:val="Normal"/>
    <w:rsid w:val="00B31F71"/>
    <w:pPr>
      <w:spacing w:before="100" w:beforeAutospacing="1" w:after="100" w:afterAutospacing="1"/>
    </w:pPr>
  </w:style>
  <w:style w:type="character" w:styleId="Textodelmarcadordeposicin">
    <w:name w:val="Placeholder Text"/>
    <w:basedOn w:val="Fuentedeprrafopredeter"/>
    <w:uiPriority w:val="99"/>
    <w:semiHidden/>
    <w:rsid w:val="00936AC8"/>
    <w:rPr>
      <w:color w:val="808080"/>
    </w:rPr>
  </w:style>
  <w:style w:type="character" w:customStyle="1" w:styleId="Ttulo1Car">
    <w:name w:val="Título 1 Car"/>
    <w:basedOn w:val="Fuentedeprrafopredeter"/>
    <w:link w:val="Ttulo1"/>
    <w:uiPriority w:val="9"/>
    <w:rsid w:val="00EC5169"/>
    <w:rPr>
      <w:rFonts w:asciiTheme="majorHAnsi" w:eastAsiaTheme="majorEastAsia" w:hAnsiTheme="majorHAnsi" w:cstheme="majorBidi"/>
      <w:color w:val="2F5496" w:themeColor="accent1" w:themeShade="BF"/>
      <w:sz w:val="32"/>
      <w:szCs w:val="32"/>
      <w:lang w:eastAsia="es-ES_tradnl"/>
    </w:rPr>
  </w:style>
  <w:style w:type="paragraph" w:customStyle="1" w:styleId="parrafo-regular">
    <w:name w:val="parrafo-regular"/>
    <w:basedOn w:val="Normal"/>
    <w:rsid w:val="008C67E9"/>
    <w:pPr>
      <w:spacing w:before="100" w:beforeAutospacing="1" w:after="100" w:afterAutospacing="1"/>
    </w:pPr>
  </w:style>
  <w:style w:type="paragraph" w:styleId="Encabezado">
    <w:name w:val="header"/>
    <w:basedOn w:val="Normal"/>
    <w:link w:val="EncabezadoCar"/>
    <w:uiPriority w:val="99"/>
    <w:unhideWhenUsed/>
    <w:rsid w:val="00840F8B"/>
    <w:pPr>
      <w:tabs>
        <w:tab w:val="center" w:pos="4419"/>
        <w:tab w:val="right" w:pos="8838"/>
      </w:tabs>
    </w:pPr>
  </w:style>
  <w:style w:type="character" w:customStyle="1" w:styleId="EncabezadoCar">
    <w:name w:val="Encabezado Car"/>
    <w:basedOn w:val="Fuentedeprrafopredeter"/>
    <w:link w:val="Encabezado"/>
    <w:uiPriority w:val="99"/>
    <w:rsid w:val="00840F8B"/>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840F8B"/>
    <w:pPr>
      <w:tabs>
        <w:tab w:val="center" w:pos="4419"/>
        <w:tab w:val="right" w:pos="8838"/>
      </w:tabs>
    </w:pPr>
  </w:style>
  <w:style w:type="character" w:customStyle="1" w:styleId="PiedepginaCar">
    <w:name w:val="Pie de página Car"/>
    <w:basedOn w:val="Fuentedeprrafopredeter"/>
    <w:link w:val="Piedepgina"/>
    <w:uiPriority w:val="99"/>
    <w:rsid w:val="00840F8B"/>
    <w:rPr>
      <w:rFonts w:ascii="Times New Roman" w:eastAsia="Times New Roman" w:hAnsi="Times New Roman" w:cs="Times New Roman"/>
      <w:lang w:eastAsia="es-ES_tradnl"/>
    </w:rPr>
  </w:style>
  <w:style w:type="table" w:styleId="Tablaconcuadrcula">
    <w:name w:val="Table Grid"/>
    <w:basedOn w:val="Tablanormal"/>
    <w:uiPriority w:val="39"/>
    <w:rsid w:val="0084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uentedeprrafopredeter"/>
    <w:rsid w:val="00DD166B"/>
  </w:style>
  <w:style w:type="character" w:customStyle="1" w:styleId="kx21rb">
    <w:name w:val="kx21rb"/>
    <w:basedOn w:val="Fuentedeprrafopredeter"/>
    <w:rsid w:val="00DD166B"/>
  </w:style>
  <w:style w:type="paragraph" w:customStyle="1" w:styleId="stynormal">
    <w:name w:val="stynormal"/>
    <w:basedOn w:val="Normal"/>
    <w:rsid w:val="00E24B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243">
      <w:bodyDiv w:val="1"/>
      <w:marLeft w:val="0"/>
      <w:marRight w:val="0"/>
      <w:marTop w:val="0"/>
      <w:marBottom w:val="0"/>
      <w:divBdr>
        <w:top w:val="none" w:sz="0" w:space="0" w:color="auto"/>
        <w:left w:val="none" w:sz="0" w:space="0" w:color="auto"/>
        <w:bottom w:val="none" w:sz="0" w:space="0" w:color="auto"/>
        <w:right w:val="none" w:sz="0" w:space="0" w:color="auto"/>
      </w:divBdr>
      <w:divsChild>
        <w:div w:id="578294794">
          <w:marLeft w:val="0"/>
          <w:marRight w:val="0"/>
          <w:marTop w:val="0"/>
          <w:marBottom w:val="0"/>
          <w:divBdr>
            <w:top w:val="none" w:sz="0" w:space="0" w:color="auto"/>
            <w:left w:val="none" w:sz="0" w:space="0" w:color="auto"/>
            <w:bottom w:val="none" w:sz="0" w:space="0" w:color="auto"/>
            <w:right w:val="none" w:sz="0" w:space="0" w:color="auto"/>
          </w:divBdr>
          <w:divsChild>
            <w:div w:id="1172841525">
              <w:marLeft w:val="-225"/>
              <w:marRight w:val="-225"/>
              <w:marTop w:val="0"/>
              <w:marBottom w:val="0"/>
              <w:divBdr>
                <w:top w:val="none" w:sz="0" w:space="0" w:color="auto"/>
                <w:left w:val="none" w:sz="0" w:space="0" w:color="auto"/>
                <w:bottom w:val="none" w:sz="0" w:space="0" w:color="auto"/>
                <w:right w:val="none" w:sz="0" w:space="0" w:color="auto"/>
              </w:divBdr>
              <w:divsChild>
                <w:div w:id="843058352">
                  <w:marLeft w:val="0"/>
                  <w:marRight w:val="0"/>
                  <w:marTop w:val="0"/>
                  <w:marBottom w:val="0"/>
                  <w:divBdr>
                    <w:top w:val="none" w:sz="0" w:space="0" w:color="auto"/>
                    <w:left w:val="none" w:sz="0" w:space="0" w:color="auto"/>
                    <w:bottom w:val="none" w:sz="0" w:space="0" w:color="auto"/>
                    <w:right w:val="none" w:sz="0" w:space="0" w:color="auto"/>
                  </w:divBdr>
                  <w:divsChild>
                    <w:div w:id="18825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54482">
          <w:marLeft w:val="0"/>
          <w:marRight w:val="0"/>
          <w:marTop w:val="0"/>
          <w:marBottom w:val="0"/>
          <w:divBdr>
            <w:top w:val="none" w:sz="0" w:space="0" w:color="auto"/>
            <w:left w:val="none" w:sz="0" w:space="0" w:color="auto"/>
            <w:bottom w:val="none" w:sz="0" w:space="0" w:color="auto"/>
            <w:right w:val="none" w:sz="0" w:space="0" w:color="auto"/>
          </w:divBdr>
        </w:div>
        <w:div w:id="1579630456">
          <w:marLeft w:val="0"/>
          <w:marRight w:val="0"/>
          <w:marTop w:val="0"/>
          <w:marBottom w:val="0"/>
          <w:divBdr>
            <w:top w:val="none" w:sz="0" w:space="0" w:color="auto"/>
            <w:left w:val="none" w:sz="0" w:space="0" w:color="auto"/>
            <w:bottom w:val="none" w:sz="0" w:space="0" w:color="auto"/>
            <w:right w:val="none" w:sz="0" w:space="0" w:color="auto"/>
          </w:divBdr>
          <w:divsChild>
            <w:div w:id="305010779">
              <w:marLeft w:val="-225"/>
              <w:marRight w:val="-225"/>
              <w:marTop w:val="0"/>
              <w:marBottom w:val="0"/>
              <w:divBdr>
                <w:top w:val="none" w:sz="0" w:space="0" w:color="auto"/>
                <w:left w:val="none" w:sz="0" w:space="0" w:color="auto"/>
                <w:bottom w:val="none" w:sz="0" w:space="0" w:color="auto"/>
                <w:right w:val="none" w:sz="0" w:space="0" w:color="auto"/>
              </w:divBdr>
              <w:divsChild>
                <w:div w:id="1823547775">
                  <w:marLeft w:val="0"/>
                  <w:marRight w:val="0"/>
                  <w:marTop w:val="0"/>
                  <w:marBottom w:val="0"/>
                  <w:divBdr>
                    <w:top w:val="none" w:sz="0" w:space="0" w:color="auto"/>
                    <w:left w:val="none" w:sz="0" w:space="0" w:color="auto"/>
                    <w:bottom w:val="none" w:sz="0" w:space="0" w:color="auto"/>
                    <w:right w:val="none" w:sz="0" w:space="0" w:color="auto"/>
                  </w:divBdr>
                  <w:divsChild>
                    <w:div w:id="36079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8963">
          <w:marLeft w:val="0"/>
          <w:marRight w:val="0"/>
          <w:marTop w:val="0"/>
          <w:marBottom w:val="0"/>
          <w:divBdr>
            <w:top w:val="none" w:sz="0" w:space="0" w:color="auto"/>
            <w:left w:val="none" w:sz="0" w:space="0" w:color="auto"/>
            <w:bottom w:val="none" w:sz="0" w:space="0" w:color="auto"/>
            <w:right w:val="none" w:sz="0" w:space="0" w:color="auto"/>
          </w:divBdr>
          <w:divsChild>
            <w:div w:id="1626545550">
              <w:marLeft w:val="0"/>
              <w:marRight w:val="0"/>
              <w:marTop w:val="0"/>
              <w:marBottom w:val="0"/>
              <w:divBdr>
                <w:top w:val="single" w:sz="6" w:space="24" w:color="EBEEF5"/>
                <w:left w:val="none" w:sz="0" w:space="0" w:color="auto"/>
                <w:bottom w:val="single" w:sz="6" w:space="18" w:color="EBEEF5"/>
                <w:right w:val="none" w:sz="0" w:space="0" w:color="auto"/>
              </w:divBdr>
              <w:divsChild>
                <w:div w:id="1550150559">
                  <w:marLeft w:val="0"/>
                  <w:marRight w:val="0"/>
                  <w:marTop w:val="0"/>
                  <w:marBottom w:val="0"/>
                  <w:divBdr>
                    <w:top w:val="none" w:sz="0" w:space="0" w:color="auto"/>
                    <w:left w:val="none" w:sz="0" w:space="0" w:color="auto"/>
                    <w:bottom w:val="none" w:sz="0" w:space="0" w:color="auto"/>
                    <w:right w:val="none" w:sz="0" w:space="0" w:color="auto"/>
                  </w:divBdr>
                  <w:divsChild>
                    <w:div w:id="997072036">
                      <w:marLeft w:val="0"/>
                      <w:marRight w:val="0"/>
                      <w:marTop w:val="0"/>
                      <w:marBottom w:val="0"/>
                      <w:divBdr>
                        <w:top w:val="none" w:sz="0" w:space="0" w:color="auto"/>
                        <w:left w:val="none" w:sz="0" w:space="0" w:color="auto"/>
                        <w:bottom w:val="none" w:sz="0" w:space="0" w:color="auto"/>
                        <w:right w:val="none" w:sz="0" w:space="0" w:color="auto"/>
                      </w:divBdr>
                      <w:divsChild>
                        <w:div w:id="1311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563">
      <w:bodyDiv w:val="1"/>
      <w:marLeft w:val="0"/>
      <w:marRight w:val="0"/>
      <w:marTop w:val="0"/>
      <w:marBottom w:val="0"/>
      <w:divBdr>
        <w:top w:val="none" w:sz="0" w:space="0" w:color="auto"/>
        <w:left w:val="none" w:sz="0" w:space="0" w:color="auto"/>
        <w:bottom w:val="none" w:sz="0" w:space="0" w:color="auto"/>
        <w:right w:val="none" w:sz="0" w:space="0" w:color="auto"/>
      </w:divBdr>
    </w:div>
    <w:div w:id="6913232">
      <w:bodyDiv w:val="1"/>
      <w:marLeft w:val="0"/>
      <w:marRight w:val="0"/>
      <w:marTop w:val="0"/>
      <w:marBottom w:val="0"/>
      <w:divBdr>
        <w:top w:val="none" w:sz="0" w:space="0" w:color="auto"/>
        <w:left w:val="none" w:sz="0" w:space="0" w:color="auto"/>
        <w:bottom w:val="none" w:sz="0" w:space="0" w:color="auto"/>
        <w:right w:val="none" w:sz="0" w:space="0" w:color="auto"/>
      </w:divBdr>
    </w:div>
    <w:div w:id="9845437">
      <w:bodyDiv w:val="1"/>
      <w:marLeft w:val="0"/>
      <w:marRight w:val="0"/>
      <w:marTop w:val="0"/>
      <w:marBottom w:val="0"/>
      <w:divBdr>
        <w:top w:val="none" w:sz="0" w:space="0" w:color="auto"/>
        <w:left w:val="none" w:sz="0" w:space="0" w:color="auto"/>
        <w:bottom w:val="none" w:sz="0" w:space="0" w:color="auto"/>
        <w:right w:val="none" w:sz="0" w:space="0" w:color="auto"/>
      </w:divBdr>
    </w:div>
    <w:div w:id="11031621">
      <w:bodyDiv w:val="1"/>
      <w:marLeft w:val="0"/>
      <w:marRight w:val="0"/>
      <w:marTop w:val="0"/>
      <w:marBottom w:val="0"/>
      <w:divBdr>
        <w:top w:val="none" w:sz="0" w:space="0" w:color="auto"/>
        <w:left w:val="none" w:sz="0" w:space="0" w:color="auto"/>
        <w:bottom w:val="none" w:sz="0" w:space="0" w:color="auto"/>
        <w:right w:val="none" w:sz="0" w:space="0" w:color="auto"/>
      </w:divBdr>
    </w:div>
    <w:div w:id="13700819">
      <w:bodyDiv w:val="1"/>
      <w:marLeft w:val="0"/>
      <w:marRight w:val="0"/>
      <w:marTop w:val="0"/>
      <w:marBottom w:val="0"/>
      <w:divBdr>
        <w:top w:val="none" w:sz="0" w:space="0" w:color="auto"/>
        <w:left w:val="none" w:sz="0" w:space="0" w:color="auto"/>
        <w:bottom w:val="none" w:sz="0" w:space="0" w:color="auto"/>
        <w:right w:val="none" w:sz="0" w:space="0" w:color="auto"/>
      </w:divBdr>
    </w:div>
    <w:div w:id="14113302">
      <w:bodyDiv w:val="1"/>
      <w:marLeft w:val="0"/>
      <w:marRight w:val="0"/>
      <w:marTop w:val="0"/>
      <w:marBottom w:val="0"/>
      <w:divBdr>
        <w:top w:val="none" w:sz="0" w:space="0" w:color="auto"/>
        <w:left w:val="none" w:sz="0" w:space="0" w:color="auto"/>
        <w:bottom w:val="none" w:sz="0" w:space="0" w:color="auto"/>
        <w:right w:val="none" w:sz="0" w:space="0" w:color="auto"/>
      </w:divBdr>
    </w:div>
    <w:div w:id="18433349">
      <w:bodyDiv w:val="1"/>
      <w:marLeft w:val="0"/>
      <w:marRight w:val="0"/>
      <w:marTop w:val="0"/>
      <w:marBottom w:val="0"/>
      <w:divBdr>
        <w:top w:val="none" w:sz="0" w:space="0" w:color="auto"/>
        <w:left w:val="none" w:sz="0" w:space="0" w:color="auto"/>
        <w:bottom w:val="none" w:sz="0" w:space="0" w:color="auto"/>
        <w:right w:val="none" w:sz="0" w:space="0" w:color="auto"/>
      </w:divBdr>
    </w:div>
    <w:div w:id="19472832">
      <w:bodyDiv w:val="1"/>
      <w:marLeft w:val="0"/>
      <w:marRight w:val="0"/>
      <w:marTop w:val="0"/>
      <w:marBottom w:val="0"/>
      <w:divBdr>
        <w:top w:val="none" w:sz="0" w:space="0" w:color="auto"/>
        <w:left w:val="none" w:sz="0" w:space="0" w:color="auto"/>
        <w:bottom w:val="none" w:sz="0" w:space="0" w:color="auto"/>
        <w:right w:val="none" w:sz="0" w:space="0" w:color="auto"/>
      </w:divBdr>
    </w:div>
    <w:div w:id="19627927">
      <w:bodyDiv w:val="1"/>
      <w:marLeft w:val="0"/>
      <w:marRight w:val="0"/>
      <w:marTop w:val="0"/>
      <w:marBottom w:val="0"/>
      <w:divBdr>
        <w:top w:val="none" w:sz="0" w:space="0" w:color="auto"/>
        <w:left w:val="none" w:sz="0" w:space="0" w:color="auto"/>
        <w:bottom w:val="none" w:sz="0" w:space="0" w:color="auto"/>
        <w:right w:val="none" w:sz="0" w:space="0" w:color="auto"/>
      </w:divBdr>
    </w:div>
    <w:div w:id="20791006">
      <w:bodyDiv w:val="1"/>
      <w:marLeft w:val="0"/>
      <w:marRight w:val="0"/>
      <w:marTop w:val="0"/>
      <w:marBottom w:val="0"/>
      <w:divBdr>
        <w:top w:val="none" w:sz="0" w:space="0" w:color="auto"/>
        <w:left w:val="none" w:sz="0" w:space="0" w:color="auto"/>
        <w:bottom w:val="none" w:sz="0" w:space="0" w:color="auto"/>
        <w:right w:val="none" w:sz="0" w:space="0" w:color="auto"/>
      </w:divBdr>
    </w:div>
    <w:div w:id="28457280">
      <w:bodyDiv w:val="1"/>
      <w:marLeft w:val="0"/>
      <w:marRight w:val="0"/>
      <w:marTop w:val="0"/>
      <w:marBottom w:val="0"/>
      <w:divBdr>
        <w:top w:val="none" w:sz="0" w:space="0" w:color="auto"/>
        <w:left w:val="none" w:sz="0" w:space="0" w:color="auto"/>
        <w:bottom w:val="none" w:sz="0" w:space="0" w:color="auto"/>
        <w:right w:val="none" w:sz="0" w:space="0" w:color="auto"/>
      </w:divBdr>
    </w:div>
    <w:div w:id="29305698">
      <w:bodyDiv w:val="1"/>
      <w:marLeft w:val="0"/>
      <w:marRight w:val="0"/>
      <w:marTop w:val="0"/>
      <w:marBottom w:val="0"/>
      <w:divBdr>
        <w:top w:val="none" w:sz="0" w:space="0" w:color="auto"/>
        <w:left w:val="none" w:sz="0" w:space="0" w:color="auto"/>
        <w:bottom w:val="none" w:sz="0" w:space="0" w:color="auto"/>
        <w:right w:val="none" w:sz="0" w:space="0" w:color="auto"/>
      </w:divBdr>
    </w:div>
    <w:div w:id="31541283">
      <w:bodyDiv w:val="1"/>
      <w:marLeft w:val="0"/>
      <w:marRight w:val="0"/>
      <w:marTop w:val="0"/>
      <w:marBottom w:val="0"/>
      <w:divBdr>
        <w:top w:val="none" w:sz="0" w:space="0" w:color="auto"/>
        <w:left w:val="none" w:sz="0" w:space="0" w:color="auto"/>
        <w:bottom w:val="none" w:sz="0" w:space="0" w:color="auto"/>
        <w:right w:val="none" w:sz="0" w:space="0" w:color="auto"/>
      </w:divBdr>
    </w:div>
    <w:div w:id="34359294">
      <w:bodyDiv w:val="1"/>
      <w:marLeft w:val="0"/>
      <w:marRight w:val="0"/>
      <w:marTop w:val="0"/>
      <w:marBottom w:val="0"/>
      <w:divBdr>
        <w:top w:val="none" w:sz="0" w:space="0" w:color="auto"/>
        <w:left w:val="none" w:sz="0" w:space="0" w:color="auto"/>
        <w:bottom w:val="none" w:sz="0" w:space="0" w:color="auto"/>
        <w:right w:val="none" w:sz="0" w:space="0" w:color="auto"/>
      </w:divBdr>
    </w:div>
    <w:div w:id="36205423">
      <w:bodyDiv w:val="1"/>
      <w:marLeft w:val="0"/>
      <w:marRight w:val="0"/>
      <w:marTop w:val="0"/>
      <w:marBottom w:val="0"/>
      <w:divBdr>
        <w:top w:val="none" w:sz="0" w:space="0" w:color="auto"/>
        <w:left w:val="none" w:sz="0" w:space="0" w:color="auto"/>
        <w:bottom w:val="none" w:sz="0" w:space="0" w:color="auto"/>
        <w:right w:val="none" w:sz="0" w:space="0" w:color="auto"/>
      </w:divBdr>
      <w:divsChild>
        <w:div w:id="1913808092">
          <w:marLeft w:val="-225"/>
          <w:marRight w:val="-225"/>
          <w:marTop w:val="0"/>
          <w:marBottom w:val="0"/>
          <w:divBdr>
            <w:top w:val="none" w:sz="0" w:space="0" w:color="auto"/>
            <w:left w:val="none" w:sz="0" w:space="0" w:color="auto"/>
            <w:bottom w:val="none" w:sz="0" w:space="0" w:color="auto"/>
            <w:right w:val="none" w:sz="0" w:space="0" w:color="auto"/>
          </w:divBdr>
          <w:divsChild>
            <w:div w:id="2123264414">
              <w:marLeft w:val="0"/>
              <w:marRight w:val="0"/>
              <w:marTop w:val="0"/>
              <w:marBottom w:val="0"/>
              <w:divBdr>
                <w:top w:val="none" w:sz="0" w:space="0" w:color="auto"/>
                <w:left w:val="none" w:sz="0" w:space="0" w:color="auto"/>
                <w:bottom w:val="none" w:sz="0" w:space="0" w:color="auto"/>
                <w:right w:val="none" w:sz="0" w:space="0" w:color="auto"/>
              </w:divBdr>
              <w:divsChild>
                <w:div w:id="15707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1649">
      <w:bodyDiv w:val="1"/>
      <w:marLeft w:val="0"/>
      <w:marRight w:val="0"/>
      <w:marTop w:val="0"/>
      <w:marBottom w:val="0"/>
      <w:divBdr>
        <w:top w:val="none" w:sz="0" w:space="0" w:color="auto"/>
        <w:left w:val="none" w:sz="0" w:space="0" w:color="auto"/>
        <w:bottom w:val="none" w:sz="0" w:space="0" w:color="auto"/>
        <w:right w:val="none" w:sz="0" w:space="0" w:color="auto"/>
      </w:divBdr>
    </w:div>
    <w:div w:id="36704285">
      <w:bodyDiv w:val="1"/>
      <w:marLeft w:val="0"/>
      <w:marRight w:val="0"/>
      <w:marTop w:val="0"/>
      <w:marBottom w:val="0"/>
      <w:divBdr>
        <w:top w:val="none" w:sz="0" w:space="0" w:color="auto"/>
        <w:left w:val="none" w:sz="0" w:space="0" w:color="auto"/>
        <w:bottom w:val="none" w:sz="0" w:space="0" w:color="auto"/>
        <w:right w:val="none" w:sz="0" w:space="0" w:color="auto"/>
      </w:divBdr>
      <w:divsChild>
        <w:div w:id="1543398993">
          <w:marLeft w:val="0"/>
          <w:marRight w:val="0"/>
          <w:marTop w:val="0"/>
          <w:marBottom w:val="0"/>
          <w:divBdr>
            <w:top w:val="none" w:sz="0" w:space="0" w:color="auto"/>
            <w:left w:val="none" w:sz="0" w:space="0" w:color="auto"/>
            <w:bottom w:val="none" w:sz="0" w:space="0" w:color="auto"/>
            <w:right w:val="none" w:sz="0" w:space="0" w:color="auto"/>
          </w:divBdr>
          <w:divsChild>
            <w:div w:id="1780294437">
              <w:marLeft w:val="0"/>
              <w:marRight w:val="0"/>
              <w:marTop w:val="0"/>
              <w:marBottom w:val="0"/>
              <w:divBdr>
                <w:top w:val="none" w:sz="0" w:space="0" w:color="auto"/>
                <w:left w:val="none" w:sz="0" w:space="0" w:color="auto"/>
                <w:bottom w:val="none" w:sz="0" w:space="0" w:color="auto"/>
                <w:right w:val="none" w:sz="0" w:space="0" w:color="auto"/>
              </w:divBdr>
            </w:div>
          </w:divsChild>
        </w:div>
        <w:div w:id="960765784">
          <w:marLeft w:val="0"/>
          <w:marRight w:val="0"/>
          <w:marTop w:val="0"/>
          <w:marBottom w:val="0"/>
          <w:divBdr>
            <w:top w:val="none" w:sz="0" w:space="0" w:color="auto"/>
            <w:left w:val="none" w:sz="0" w:space="0" w:color="auto"/>
            <w:bottom w:val="none" w:sz="0" w:space="0" w:color="auto"/>
            <w:right w:val="none" w:sz="0" w:space="0" w:color="auto"/>
          </w:divBdr>
          <w:divsChild>
            <w:div w:id="17918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414">
      <w:bodyDiv w:val="1"/>
      <w:marLeft w:val="0"/>
      <w:marRight w:val="0"/>
      <w:marTop w:val="0"/>
      <w:marBottom w:val="0"/>
      <w:divBdr>
        <w:top w:val="none" w:sz="0" w:space="0" w:color="auto"/>
        <w:left w:val="none" w:sz="0" w:space="0" w:color="auto"/>
        <w:bottom w:val="none" w:sz="0" w:space="0" w:color="auto"/>
        <w:right w:val="none" w:sz="0" w:space="0" w:color="auto"/>
      </w:divBdr>
    </w:div>
    <w:div w:id="41907027">
      <w:bodyDiv w:val="1"/>
      <w:marLeft w:val="0"/>
      <w:marRight w:val="0"/>
      <w:marTop w:val="0"/>
      <w:marBottom w:val="0"/>
      <w:divBdr>
        <w:top w:val="none" w:sz="0" w:space="0" w:color="auto"/>
        <w:left w:val="none" w:sz="0" w:space="0" w:color="auto"/>
        <w:bottom w:val="none" w:sz="0" w:space="0" w:color="auto"/>
        <w:right w:val="none" w:sz="0" w:space="0" w:color="auto"/>
      </w:divBdr>
    </w:div>
    <w:div w:id="42485844">
      <w:bodyDiv w:val="1"/>
      <w:marLeft w:val="0"/>
      <w:marRight w:val="0"/>
      <w:marTop w:val="0"/>
      <w:marBottom w:val="0"/>
      <w:divBdr>
        <w:top w:val="none" w:sz="0" w:space="0" w:color="auto"/>
        <w:left w:val="none" w:sz="0" w:space="0" w:color="auto"/>
        <w:bottom w:val="none" w:sz="0" w:space="0" w:color="auto"/>
        <w:right w:val="none" w:sz="0" w:space="0" w:color="auto"/>
      </w:divBdr>
      <w:divsChild>
        <w:div w:id="833180604">
          <w:marLeft w:val="0"/>
          <w:marRight w:val="0"/>
          <w:marTop w:val="0"/>
          <w:marBottom w:val="0"/>
          <w:divBdr>
            <w:top w:val="none" w:sz="0" w:space="0" w:color="auto"/>
            <w:left w:val="none" w:sz="0" w:space="0" w:color="auto"/>
            <w:bottom w:val="none" w:sz="0" w:space="0" w:color="auto"/>
            <w:right w:val="none" w:sz="0" w:space="0" w:color="auto"/>
          </w:divBdr>
          <w:divsChild>
            <w:div w:id="547257824">
              <w:marLeft w:val="-225"/>
              <w:marRight w:val="-225"/>
              <w:marTop w:val="0"/>
              <w:marBottom w:val="0"/>
              <w:divBdr>
                <w:top w:val="none" w:sz="0" w:space="0" w:color="auto"/>
                <w:left w:val="none" w:sz="0" w:space="0" w:color="auto"/>
                <w:bottom w:val="none" w:sz="0" w:space="0" w:color="auto"/>
                <w:right w:val="none" w:sz="0" w:space="0" w:color="auto"/>
              </w:divBdr>
              <w:divsChild>
                <w:div w:id="1856112091">
                  <w:marLeft w:val="0"/>
                  <w:marRight w:val="0"/>
                  <w:marTop w:val="0"/>
                  <w:marBottom w:val="0"/>
                  <w:divBdr>
                    <w:top w:val="none" w:sz="0" w:space="0" w:color="auto"/>
                    <w:left w:val="none" w:sz="0" w:space="0" w:color="auto"/>
                    <w:bottom w:val="none" w:sz="0" w:space="0" w:color="auto"/>
                    <w:right w:val="none" w:sz="0" w:space="0" w:color="auto"/>
                  </w:divBdr>
                  <w:divsChild>
                    <w:div w:id="14093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6451">
          <w:marLeft w:val="0"/>
          <w:marRight w:val="0"/>
          <w:marTop w:val="0"/>
          <w:marBottom w:val="0"/>
          <w:divBdr>
            <w:top w:val="none" w:sz="0" w:space="0" w:color="auto"/>
            <w:left w:val="none" w:sz="0" w:space="0" w:color="auto"/>
            <w:bottom w:val="none" w:sz="0" w:space="0" w:color="auto"/>
            <w:right w:val="none" w:sz="0" w:space="0" w:color="auto"/>
          </w:divBdr>
        </w:div>
        <w:div w:id="1192184153">
          <w:marLeft w:val="0"/>
          <w:marRight w:val="0"/>
          <w:marTop w:val="0"/>
          <w:marBottom w:val="0"/>
          <w:divBdr>
            <w:top w:val="none" w:sz="0" w:space="0" w:color="auto"/>
            <w:left w:val="none" w:sz="0" w:space="0" w:color="auto"/>
            <w:bottom w:val="none" w:sz="0" w:space="0" w:color="auto"/>
            <w:right w:val="none" w:sz="0" w:space="0" w:color="auto"/>
          </w:divBdr>
          <w:divsChild>
            <w:div w:id="1089695020">
              <w:marLeft w:val="-225"/>
              <w:marRight w:val="-225"/>
              <w:marTop w:val="0"/>
              <w:marBottom w:val="0"/>
              <w:divBdr>
                <w:top w:val="none" w:sz="0" w:space="0" w:color="auto"/>
                <w:left w:val="none" w:sz="0" w:space="0" w:color="auto"/>
                <w:bottom w:val="none" w:sz="0" w:space="0" w:color="auto"/>
                <w:right w:val="none" w:sz="0" w:space="0" w:color="auto"/>
              </w:divBdr>
              <w:divsChild>
                <w:div w:id="1631938148">
                  <w:marLeft w:val="0"/>
                  <w:marRight w:val="0"/>
                  <w:marTop w:val="0"/>
                  <w:marBottom w:val="0"/>
                  <w:divBdr>
                    <w:top w:val="none" w:sz="0" w:space="0" w:color="auto"/>
                    <w:left w:val="none" w:sz="0" w:space="0" w:color="auto"/>
                    <w:bottom w:val="none" w:sz="0" w:space="0" w:color="auto"/>
                    <w:right w:val="none" w:sz="0" w:space="0" w:color="auto"/>
                  </w:divBdr>
                  <w:divsChild>
                    <w:div w:id="8123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6871">
          <w:marLeft w:val="0"/>
          <w:marRight w:val="0"/>
          <w:marTop w:val="0"/>
          <w:marBottom w:val="0"/>
          <w:divBdr>
            <w:top w:val="none" w:sz="0" w:space="0" w:color="auto"/>
            <w:left w:val="none" w:sz="0" w:space="0" w:color="auto"/>
            <w:bottom w:val="none" w:sz="0" w:space="0" w:color="auto"/>
            <w:right w:val="none" w:sz="0" w:space="0" w:color="auto"/>
          </w:divBdr>
          <w:divsChild>
            <w:div w:id="240915620">
              <w:marLeft w:val="0"/>
              <w:marRight w:val="0"/>
              <w:marTop w:val="0"/>
              <w:marBottom w:val="0"/>
              <w:divBdr>
                <w:top w:val="single" w:sz="6" w:space="24" w:color="EBEEF5"/>
                <w:left w:val="none" w:sz="0" w:space="0" w:color="auto"/>
                <w:bottom w:val="single" w:sz="6" w:space="18" w:color="EBEEF5"/>
                <w:right w:val="none" w:sz="0" w:space="0" w:color="auto"/>
              </w:divBdr>
              <w:divsChild>
                <w:div w:id="46339157">
                  <w:marLeft w:val="0"/>
                  <w:marRight w:val="0"/>
                  <w:marTop w:val="0"/>
                  <w:marBottom w:val="0"/>
                  <w:divBdr>
                    <w:top w:val="none" w:sz="0" w:space="0" w:color="auto"/>
                    <w:left w:val="none" w:sz="0" w:space="0" w:color="auto"/>
                    <w:bottom w:val="none" w:sz="0" w:space="0" w:color="auto"/>
                    <w:right w:val="none" w:sz="0" w:space="0" w:color="auto"/>
                  </w:divBdr>
                  <w:divsChild>
                    <w:div w:id="688800069">
                      <w:marLeft w:val="0"/>
                      <w:marRight w:val="0"/>
                      <w:marTop w:val="0"/>
                      <w:marBottom w:val="0"/>
                      <w:divBdr>
                        <w:top w:val="none" w:sz="0" w:space="0" w:color="auto"/>
                        <w:left w:val="none" w:sz="0" w:space="0" w:color="auto"/>
                        <w:bottom w:val="none" w:sz="0" w:space="0" w:color="auto"/>
                        <w:right w:val="none" w:sz="0" w:space="0" w:color="auto"/>
                      </w:divBdr>
                      <w:divsChild>
                        <w:div w:id="18529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31781">
      <w:bodyDiv w:val="1"/>
      <w:marLeft w:val="0"/>
      <w:marRight w:val="0"/>
      <w:marTop w:val="0"/>
      <w:marBottom w:val="0"/>
      <w:divBdr>
        <w:top w:val="none" w:sz="0" w:space="0" w:color="auto"/>
        <w:left w:val="none" w:sz="0" w:space="0" w:color="auto"/>
        <w:bottom w:val="none" w:sz="0" w:space="0" w:color="auto"/>
        <w:right w:val="none" w:sz="0" w:space="0" w:color="auto"/>
      </w:divBdr>
    </w:div>
    <w:div w:id="47069251">
      <w:bodyDiv w:val="1"/>
      <w:marLeft w:val="0"/>
      <w:marRight w:val="0"/>
      <w:marTop w:val="0"/>
      <w:marBottom w:val="0"/>
      <w:divBdr>
        <w:top w:val="none" w:sz="0" w:space="0" w:color="auto"/>
        <w:left w:val="none" w:sz="0" w:space="0" w:color="auto"/>
        <w:bottom w:val="none" w:sz="0" w:space="0" w:color="auto"/>
        <w:right w:val="none" w:sz="0" w:space="0" w:color="auto"/>
      </w:divBdr>
    </w:div>
    <w:div w:id="47803911">
      <w:bodyDiv w:val="1"/>
      <w:marLeft w:val="0"/>
      <w:marRight w:val="0"/>
      <w:marTop w:val="0"/>
      <w:marBottom w:val="0"/>
      <w:divBdr>
        <w:top w:val="none" w:sz="0" w:space="0" w:color="auto"/>
        <w:left w:val="none" w:sz="0" w:space="0" w:color="auto"/>
        <w:bottom w:val="none" w:sz="0" w:space="0" w:color="auto"/>
        <w:right w:val="none" w:sz="0" w:space="0" w:color="auto"/>
      </w:divBdr>
    </w:div>
    <w:div w:id="47841708">
      <w:bodyDiv w:val="1"/>
      <w:marLeft w:val="0"/>
      <w:marRight w:val="0"/>
      <w:marTop w:val="0"/>
      <w:marBottom w:val="0"/>
      <w:divBdr>
        <w:top w:val="none" w:sz="0" w:space="0" w:color="auto"/>
        <w:left w:val="none" w:sz="0" w:space="0" w:color="auto"/>
        <w:bottom w:val="none" w:sz="0" w:space="0" w:color="auto"/>
        <w:right w:val="none" w:sz="0" w:space="0" w:color="auto"/>
      </w:divBdr>
      <w:divsChild>
        <w:div w:id="238517020">
          <w:marLeft w:val="0"/>
          <w:marRight w:val="0"/>
          <w:marTop w:val="0"/>
          <w:marBottom w:val="0"/>
          <w:divBdr>
            <w:top w:val="none" w:sz="0" w:space="0" w:color="auto"/>
            <w:left w:val="none" w:sz="0" w:space="0" w:color="auto"/>
            <w:bottom w:val="none" w:sz="0" w:space="0" w:color="auto"/>
            <w:right w:val="none" w:sz="0" w:space="0" w:color="auto"/>
          </w:divBdr>
          <w:divsChild>
            <w:div w:id="1727953362">
              <w:marLeft w:val="-225"/>
              <w:marRight w:val="-225"/>
              <w:marTop w:val="0"/>
              <w:marBottom w:val="0"/>
              <w:divBdr>
                <w:top w:val="none" w:sz="0" w:space="0" w:color="auto"/>
                <w:left w:val="none" w:sz="0" w:space="0" w:color="auto"/>
                <w:bottom w:val="none" w:sz="0" w:space="0" w:color="auto"/>
                <w:right w:val="none" w:sz="0" w:space="0" w:color="auto"/>
              </w:divBdr>
              <w:divsChild>
                <w:div w:id="207185616">
                  <w:marLeft w:val="0"/>
                  <w:marRight w:val="0"/>
                  <w:marTop w:val="0"/>
                  <w:marBottom w:val="0"/>
                  <w:divBdr>
                    <w:top w:val="none" w:sz="0" w:space="0" w:color="auto"/>
                    <w:left w:val="none" w:sz="0" w:space="0" w:color="auto"/>
                    <w:bottom w:val="none" w:sz="0" w:space="0" w:color="auto"/>
                    <w:right w:val="none" w:sz="0" w:space="0" w:color="auto"/>
                  </w:divBdr>
                  <w:divsChild>
                    <w:div w:id="20506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6641">
          <w:marLeft w:val="0"/>
          <w:marRight w:val="0"/>
          <w:marTop w:val="0"/>
          <w:marBottom w:val="0"/>
          <w:divBdr>
            <w:top w:val="none" w:sz="0" w:space="0" w:color="auto"/>
            <w:left w:val="none" w:sz="0" w:space="0" w:color="auto"/>
            <w:bottom w:val="none" w:sz="0" w:space="0" w:color="auto"/>
            <w:right w:val="none" w:sz="0" w:space="0" w:color="auto"/>
          </w:divBdr>
        </w:div>
        <w:div w:id="1260721692">
          <w:marLeft w:val="0"/>
          <w:marRight w:val="0"/>
          <w:marTop w:val="0"/>
          <w:marBottom w:val="0"/>
          <w:divBdr>
            <w:top w:val="none" w:sz="0" w:space="0" w:color="auto"/>
            <w:left w:val="none" w:sz="0" w:space="0" w:color="auto"/>
            <w:bottom w:val="none" w:sz="0" w:space="0" w:color="auto"/>
            <w:right w:val="none" w:sz="0" w:space="0" w:color="auto"/>
          </w:divBdr>
          <w:divsChild>
            <w:div w:id="380789832">
              <w:marLeft w:val="0"/>
              <w:marRight w:val="0"/>
              <w:marTop w:val="0"/>
              <w:marBottom w:val="0"/>
              <w:divBdr>
                <w:top w:val="none" w:sz="0" w:space="0" w:color="auto"/>
                <w:left w:val="none" w:sz="0" w:space="0" w:color="auto"/>
                <w:bottom w:val="none" w:sz="0" w:space="0" w:color="auto"/>
                <w:right w:val="none" w:sz="0" w:space="0" w:color="auto"/>
              </w:divBdr>
              <w:divsChild>
                <w:div w:id="48650684">
                  <w:marLeft w:val="0"/>
                  <w:marRight w:val="0"/>
                  <w:marTop w:val="0"/>
                  <w:marBottom w:val="0"/>
                  <w:divBdr>
                    <w:top w:val="none" w:sz="0" w:space="0" w:color="auto"/>
                    <w:left w:val="none" w:sz="0" w:space="0" w:color="auto"/>
                    <w:bottom w:val="none" w:sz="0" w:space="0" w:color="auto"/>
                    <w:right w:val="none" w:sz="0" w:space="0" w:color="auto"/>
                  </w:divBdr>
                  <w:divsChild>
                    <w:div w:id="1284460853">
                      <w:marLeft w:val="0"/>
                      <w:marRight w:val="0"/>
                      <w:marTop w:val="0"/>
                      <w:marBottom w:val="0"/>
                      <w:divBdr>
                        <w:top w:val="none" w:sz="0" w:space="0" w:color="auto"/>
                        <w:left w:val="none" w:sz="0" w:space="0" w:color="auto"/>
                        <w:bottom w:val="none" w:sz="0" w:space="0" w:color="auto"/>
                        <w:right w:val="none" w:sz="0" w:space="0" w:color="auto"/>
                      </w:divBdr>
                      <w:divsChild>
                        <w:div w:id="5283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76486">
          <w:marLeft w:val="0"/>
          <w:marRight w:val="0"/>
          <w:marTop w:val="0"/>
          <w:marBottom w:val="0"/>
          <w:divBdr>
            <w:top w:val="none" w:sz="0" w:space="0" w:color="auto"/>
            <w:left w:val="none" w:sz="0" w:space="0" w:color="auto"/>
            <w:bottom w:val="none" w:sz="0" w:space="0" w:color="auto"/>
            <w:right w:val="none" w:sz="0" w:space="0" w:color="auto"/>
          </w:divBdr>
          <w:divsChild>
            <w:div w:id="875116817">
              <w:marLeft w:val="-225"/>
              <w:marRight w:val="-225"/>
              <w:marTop w:val="0"/>
              <w:marBottom w:val="0"/>
              <w:divBdr>
                <w:top w:val="none" w:sz="0" w:space="0" w:color="auto"/>
                <w:left w:val="none" w:sz="0" w:space="0" w:color="auto"/>
                <w:bottom w:val="none" w:sz="0" w:space="0" w:color="auto"/>
                <w:right w:val="none" w:sz="0" w:space="0" w:color="auto"/>
              </w:divBdr>
              <w:divsChild>
                <w:div w:id="2059012144">
                  <w:marLeft w:val="0"/>
                  <w:marRight w:val="0"/>
                  <w:marTop w:val="0"/>
                  <w:marBottom w:val="0"/>
                  <w:divBdr>
                    <w:top w:val="none" w:sz="0" w:space="0" w:color="auto"/>
                    <w:left w:val="none" w:sz="0" w:space="0" w:color="auto"/>
                    <w:bottom w:val="none" w:sz="0" w:space="0" w:color="auto"/>
                    <w:right w:val="none" w:sz="0" w:space="0" w:color="auto"/>
                  </w:divBdr>
                  <w:divsChild>
                    <w:div w:id="21068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7157">
      <w:bodyDiv w:val="1"/>
      <w:marLeft w:val="0"/>
      <w:marRight w:val="0"/>
      <w:marTop w:val="0"/>
      <w:marBottom w:val="0"/>
      <w:divBdr>
        <w:top w:val="none" w:sz="0" w:space="0" w:color="auto"/>
        <w:left w:val="none" w:sz="0" w:space="0" w:color="auto"/>
        <w:bottom w:val="none" w:sz="0" w:space="0" w:color="auto"/>
        <w:right w:val="none" w:sz="0" w:space="0" w:color="auto"/>
      </w:divBdr>
    </w:div>
    <w:div w:id="50735817">
      <w:bodyDiv w:val="1"/>
      <w:marLeft w:val="0"/>
      <w:marRight w:val="0"/>
      <w:marTop w:val="0"/>
      <w:marBottom w:val="0"/>
      <w:divBdr>
        <w:top w:val="none" w:sz="0" w:space="0" w:color="auto"/>
        <w:left w:val="none" w:sz="0" w:space="0" w:color="auto"/>
        <w:bottom w:val="none" w:sz="0" w:space="0" w:color="auto"/>
        <w:right w:val="none" w:sz="0" w:space="0" w:color="auto"/>
      </w:divBdr>
    </w:div>
    <w:div w:id="53285585">
      <w:bodyDiv w:val="1"/>
      <w:marLeft w:val="0"/>
      <w:marRight w:val="0"/>
      <w:marTop w:val="0"/>
      <w:marBottom w:val="0"/>
      <w:divBdr>
        <w:top w:val="none" w:sz="0" w:space="0" w:color="auto"/>
        <w:left w:val="none" w:sz="0" w:space="0" w:color="auto"/>
        <w:bottom w:val="none" w:sz="0" w:space="0" w:color="auto"/>
        <w:right w:val="none" w:sz="0" w:space="0" w:color="auto"/>
      </w:divBdr>
    </w:div>
    <w:div w:id="54201678">
      <w:bodyDiv w:val="1"/>
      <w:marLeft w:val="0"/>
      <w:marRight w:val="0"/>
      <w:marTop w:val="0"/>
      <w:marBottom w:val="0"/>
      <w:divBdr>
        <w:top w:val="none" w:sz="0" w:space="0" w:color="auto"/>
        <w:left w:val="none" w:sz="0" w:space="0" w:color="auto"/>
        <w:bottom w:val="none" w:sz="0" w:space="0" w:color="auto"/>
        <w:right w:val="none" w:sz="0" w:space="0" w:color="auto"/>
      </w:divBdr>
    </w:div>
    <w:div w:id="58869477">
      <w:bodyDiv w:val="1"/>
      <w:marLeft w:val="0"/>
      <w:marRight w:val="0"/>
      <w:marTop w:val="0"/>
      <w:marBottom w:val="0"/>
      <w:divBdr>
        <w:top w:val="none" w:sz="0" w:space="0" w:color="auto"/>
        <w:left w:val="none" w:sz="0" w:space="0" w:color="auto"/>
        <w:bottom w:val="none" w:sz="0" w:space="0" w:color="auto"/>
        <w:right w:val="none" w:sz="0" w:space="0" w:color="auto"/>
      </w:divBdr>
    </w:div>
    <w:div w:id="58984734">
      <w:bodyDiv w:val="1"/>
      <w:marLeft w:val="0"/>
      <w:marRight w:val="0"/>
      <w:marTop w:val="0"/>
      <w:marBottom w:val="0"/>
      <w:divBdr>
        <w:top w:val="none" w:sz="0" w:space="0" w:color="auto"/>
        <w:left w:val="none" w:sz="0" w:space="0" w:color="auto"/>
        <w:bottom w:val="none" w:sz="0" w:space="0" w:color="auto"/>
        <w:right w:val="none" w:sz="0" w:space="0" w:color="auto"/>
      </w:divBdr>
    </w:div>
    <w:div w:id="61299194">
      <w:bodyDiv w:val="1"/>
      <w:marLeft w:val="0"/>
      <w:marRight w:val="0"/>
      <w:marTop w:val="0"/>
      <w:marBottom w:val="0"/>
      <w:divBdr>
        <w:top w:val="none" w:sz="0" w:space="0" w:color="auto"/>
        <w:left w:val="none" w:sz="0" w:space="0" w:color="auto"/>
        <w:bottom w:val="none" w:sz="0" w:space="0" w:color="auto"/>
        <w:right w:val="none" w:sz="0" w:space="0" w:color="auto"/>
      </w:divBdr>
    </w:div>
    <w:div w:id="64423173">
      <w:bodyDiv w:val="1"/>
      <w:marLeft w:val="0"/>
      <w:marRight w:val="0"/>
      <w:marTop w:val="0"/>
      <w:marBottom w:val="0"/>
      <w:divBdr>
        <w:top w:val="none" w:sz="0" w:space="0" w:color="auto"/>
        <w:left w:val="none" w:sz="0" w:space="0" w:color="auto"/>
        <w:bottom w:val="none" w:sz="0" w:space="0" w:color="auto"/>
        <w:right w:val="none" w:sz="0" w:space="0" w:color="auto"/>
      </w:divBdr>
    </w:div>
    <w:div w:id="64450208">
      <w:bodyDiv w:val="1"/>
      <w:marLeft w:val="0"/>
      <w:marRight w:val="0"/>
      <w:marTop w:val="0"/>
      <w:marBottom w:val="0"/>
      <w:divBdr>
        <w:top w:val="none" w:sz="0" w:space="0" w:color="auto"/>
        <w:left w:val="none" w:sz="0" w:space="0" w:color="auto"/>
        <w:bottom w:val="none" w:sz="0" w:space="0" w:color="auto"/>
        <w:right w:val="none" w:sz="0" w:space="0" w:color="auto"/>
      </w:divBdr>
    </w:div>
    <w:div w:id="66222431">
      <w:bodyDiv w:val="1"/>
      <w:marLeft w:val="0"/>
      <w:marRight w:val="0"/>
      <w:marTop w:val="0"/>
      <w:marBottom w:val="0"/>
      <w:divBdr>
        <w:top w:val="none" w:sz="0" w:space="0" w:color="auto"/>
        <w:left w:val="none" w:sz="0" w:space="0" w:color="auto"/>
        <w:bottom w:val="none" w:sz="0" w:space="0" w:color="auto"/>
        <w:right w:val="none" w:sz="0" w:space="0" w:color="auto"/>
      </w:divBdr>
    </w:div>
    <w:div w:id="69928042">
      <w:bodyDiv w:val="1"/>
      <w:marLeft w:val="0"/>
      <w:marRight w:val="0"/>
      <w:marTop w:val="0"/>
      <w:marBottom w:val="0"/>
      <w:divBdr>
        <w:top w:val="none" w:sz="0" w:space="0" w:color="auto"/>
        <w:left w:val="none" w:sz="0" w:space="0" w:color="auto"/>
        <w:bottom w:val="none" w:sz="0" w:space="0" w:color="auto"/>
        <w:right w:val="none" w:sz="0" w:space="0" w:color="auto"/>
      </w:divBdr>
      <w:divsChild>
        <w:div w:id="519010599">
          <w:marLeft w:val="0"/>
          <w:marRight w:val="0"/>
          <w:marTop w:val="0"/>
          <w:marBottom w:val="0"/>
          <w:divBdr>
            <w:top w:val="none" w:sz="0" w:space="0" w:color="auto"/>
            <w:left w:val="none" w:sz="0" w:space="0" w:color="auto"/>
            <w:bottom w:val="none" w:sz="0" w:space="0" w:color="auto"/>
            <w:right w:val="none" w:sz="0" w:space="0" w:color="auto"/>
          </w:divBdr>
          <w:divsChild>
            <w:div w:id="2097752091">
              <w:marLeft w:val="-225"/>
              <w:marRight w:val="-225"/>
              <w:marTop w:val="0"/>
              <w:marBottom w:val="0"/>
              <w:divBdr>
                <w:top w:val="none" w:sz="0" w:space="0" w:color="auto"/>
                <w:left w:val="none" w:sz="0" w:space="0" w:color="auto"/>
                <w:bottom w:val="none" w:sz="0" w:space="0" w:color="auto"/>
                <w:right w:val="none" w:sz="0" w:space="0" w:color="auto"/>
              </w:divBdr>
              <w:divsChild>
                <w:div w:id="1506944816">
                  <w:marLeft w:val="0"/>
                  <w:marRight w:val="0"/>
                  <w:marTop w:val="0"/>
                  <w:marBottom w:val="0"/>
                  <w:divBdr>
                    <w:top w:val="none" w:sz="0" w:space="0" w:color="auto"/>
                    <w:left w:val="none" w:sz="0" w:space="0" w:color="auto"/>
                    <w:bottom w:val="none" w:sz="0" w:space="0" w:color="auto"/>
                    <w:right w:val="none" w:sz="0" w:space="0" w:color="auto"/>
                  </w:divBdr>
                  <w:divsChild>
                    <w:div w:id="19264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marLeft w:val="0"/>
          <w:marRight w:val="0"/>
          <w:marTop w:val="0"/>
          <w:marBottom w:val="0"/>
          <w:divBdr>
            <w:top w:val="none" w:sz="0" w:space="0" w:color="auto"/>
            <w:left w:val="none" w:sz="0" w:space="0" w:color="auto"/>
            <w:bottom w:val="none" w:sz="0" w:space="0" w:color="auto"/>
            <w:right w:val="none" w:sz="0" w:space="0" w:color="auto"/>
          </w:divBdr>
          <w:divsChild>
            <w:div w:id="410011151">
              <w:marLeft w:val="0"/>
              <w:marRight w:val="0"/>
              <w:marTop w:val="0"/>
              <w:marBottom w:val="0"/>
              <w:divBdr>
                <w:top w:val="single" w:sz="6" w:space="24" w:color="EBEEF5"/>
                <w:left w:val="none" w:sz="0" w:space="0" w:color="auto"/>
                <w:bottom w:val="single" w:sz="6" w:space="18" w:color="EBEEF5"/>
                <w:right w:val="none" w:sz="0" w:space="0" w:color="auto"/>
              </w:divBdr>
              <w:divsChild>
                <w:div w:id="1132135491">
                  <w:marLeft w:val="0"/>
                  <w:marRight w:val="0"/>
                  <w:marTop w:val="0"/>
                  <w:marBottom w:val="0"/>
                  <w:divBdr>
                    <w:top w:val="none" w:sz="0" w:space="0" w:color="auto"/>
                    <w:left w:val="none" w:sz="0" w:space="0" w:color="auto"/>
                    <w:bottom w:val="none" w:sz="0" w:space="0" w:color="auto"/>
                    <w:right w:val="none" w:sz="0" w:space="0" w:color="auto"/>
                  </w:divBdr>
                  <w:divsChild>
                    <w:div w:id="899751406">
                      <w:marLeft w:val="0"/>
                      <w:marRight w:val="0"/>
                      <w:marTop w:val="0"/>
                      <w:marBottom w:val="0"/>
                      <w:divBdr>
                        <w:top w:val="none" w:sz="0" w:space="0" w:color="auto"/>
                        <w:left w:val="none" w:sz="0" w:space="0" w:color="auto"/>
                        <w:bottom w:val="none" w:sz="0" w:space="0" w:color="auto"/>
                        <w:right w:val="none" w:sz="0" w:space="0" w:color="auto"/>
                      </w:divBdr>
                      <w:divsChild>
                        <w:div w:id="9293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78520">
          <w:marLeft w:val="0"/>
          <w:marRight w:val="0"/>
          <w:marTop w:val="0"/>
          <w:marBottom w:val="0"/>
          <w:divBdr>
            <w:top w:val="none" w:sz="0" w:space="0" w:color="auto"/>
            <w:left w:val="none" w:sz="0" w:space="0" w:color="auto"/>
            <w:bottom w:val="none" w:sz="0" w:space="0" w:color="auto"/>
            <w:right w:val="none" w:sz="0" w:space="0" w:color="auto"/>
          </w:divBdr>
        </w:div>
        <w:div w:id="2135253167">
          <w:marLeft w:val="0"/>
          <w:marRight w:val="0"/>
          <w:marTop w:val="0"/>
          <w:marBottom w:val="0"/>
          <w:divBdr>
            <w:top w:val="none" w:sz="0" w:space="0" w:color="auto"/>
            <w:left w:val="none" w:sz="0" w:space="0" w:color="auto"/>
            <w:bottom w:val="none" w:sz="0" w:space="0" w:color="auto"/>
            <w:right w:val="none" w:sz="0" w:space="0" w:color="auto"/>
          </w:divBdr>
          <w:divsChild>
            <w:div w:id="390807676">
              <w:marLeft w:val="-225"/>
              <w:marRight w:val="-225"/>
              <w:marTop w:val="0"/>
              <w:marBottom w:val="0"/>
              <w:divBdr>
                <w:top w:val="none" w:sz="0" w:space="0" w:color="auto"/>
                <w:left w:val="none" w:sz="0" w:space="0" w:color="auto"/>
                <w:bottom w:val="none" w:sz="0" w:space="0" w:color="auto"/>
                <w:right w:val="none" w:sz="0" w:space="0" w:color="auto"/>
              </w:divBdr>
              <w:divsChild>
                <w:div w:id="926765833">
                  <w:marLeft w:val="0"/>
                  <w:marRight w:val="0"/>
                  <w:marTop w:val="0"/>
                  <w:marBottom w:val="0"/>
                  <w:divBdr>
                    <w:top w:val="none" w:sz="0" w:space="0" w:color="auto"/>
                    <w:left w:val="none" w:sz="0" w:space="0" w:color="auto"/>
                    <w:bottom w:val="none" w:sz="0" w:space="0" w:color="auto"/>
                    <w:right w:val="none" w:sz="0" w:space="0" w:color="auto"/>
                  </w:divBdr>
                  <w:divsChild>
                    <w:div w:id="8319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7375">
      <w:bodyDiv w:val="1"/>
      <w:marLeft w:val="0"/>
      <w:marRight w:val="0"/>
      <w:marTop w:val="0"/>
      <w:marBottom w:val="0"/>
      <w:divBdr>
        <w:top w:val="none" w:sz="0" w:space="0" w:color="auto"/>
        <w:left w:val="none" w:sz="0" w:space="0" w:color="auto"/>
        <w:bottom w:val="none" w:sz="0" w:space="0" w:color="auto"/>
        <w:right w:val="none" w:sz="0" w:space="0" w:color="auto"/>
      </w:divBdr>
    </w:div>
    <w:div w:id="74867608">
      <w:bodyDiv w:val="1"/>
      <w:marLeft w:val="0"/>
      <w:marRight w:val="0"/>
      <w:marTop w:val="0"/>
      <w:marBottom w:val="0"/>
      <w:divBdr>
        <w:top w:val="none" w:sz="0" w:space="0" w:color="auto"/>
        <w:left w:val="none" w:sz="0" w:space="0" w:color="auto"/>
        <w:bottom w:val="none" w:sz="0" w:space="0" w:color="auto"/>
        <w:right w:val="none" w:sz="0" w:space="0" w:color="auto"/>
      </w:divBdr>
    </w:div>
    <w:div w:id="75901333">
      <w:bodyDiv w:val="1"/>
      <w:marLeft w:val="0"/>
      <w:marRight w:val="0"/>
      <w:marTop w:val="0"/>
      <w:marBottom w:val="0"/>
      <w:divBdr>
        <w:top w:val="none" w:sz="0" w:space="0" w:color="auto"/>
        <w:left w:val="none" w:sz="0" w:space="0" w:color="auto"/>
        <w:bottom w:val="none" w:sz="0" w:space="0" w:color="auto"/>
        <w:right w:val="none" w:sz="0" w:space="0" w:color="auto"/>
      </w:divBdr>
    </w:div>
    <w:div w:id="77869524">
      <w:bodyDiv w:val="1"/>
      <w:marLeft w:val="0"/>
      <w:marRight w:val="0"/>
      <w:marTop w:val="0"/>
      <w:marBottom w:val="0"/>
      <w:divBdr>
        <w:top w:val="none" w:sz="0" w:space="0" w:color="auto"/>
        <w:left w:val="none" w:sz="0" w:space="0" w:color="auto"/>
        <w:bottom w:val="none" w:sz="0" w:space="0" w:color="auto"/>
        <w:right w:val="none" w:sz="0" w:space="0" w:color="auto"/>
      </w:divBdr>
    </w:div>
    <w:div w:id="81948505">
      <w:bodyDiv w:val="1"/>
      <w:marLeft w:val="0"/>
      <w:marRight w:val="0"/>
      <w:marTop w:val="0"/>
      <w:marBottom w:val="0"/>
      <w:divBdr>
        <w:top w:val="none" w:sz="0" w:space="0" w:color="auto"/>
        <w:left w:val="none" w:sz="0" w:space="0" w:color="auto"/>
        <w:bottom w:val="none" w:sz="0" w:space="0" w:color="auto"/>
        <w:right w:val="none" w:sz="0" w:space="0" w:color="auto"/>
      </w:divBdr>
    </w:div>
    <w:div w:id="83385962">
      <w:bodyDiv w:val="1"/>
      <w:marLeft w:val="0"/>
      <w:marRight w:val="0"/>
      <w:marTop w:val="0"/>
      <w:marBottom w:val="0"/>
      <w:divBdr>
        <w:top w:val="none" w:sz="0" w:space="0" w:color="auto"/>
        <w:left w:val="none" w:sz="0" w:space="0" w:color="auto"/>
        <w:bottom w:val="none" w:sz="0" w:space="0" w:color="auto"/>
        <w:right w:val="none" w:sz="0" w:space="0" w:color="auto"/>
      </w:divBdr>
      <w:divsChild>
        <w:div w:id="419179416">
          <w:marLeft w:val="0"/>
          <w:marRight w:val="0"/>
          <w:marTop w:val="0"/>
          <w:marBottom w:val="0"/>
          <w:divBdr>
            <w:top w:val="none" w:sz="0" w:space="0" w:color="auto"/>
            <w:left w:val="none" w:sz="0" w:space="0" w:color="auto"/>
            <w:bottom w:val="none" w:sz="0" w:space="0" w:color="auto"/>
            <w:right w:val="none" w:sz="0" w:space="0" w:color="auto"/>
          </w:divBdr>
          <w:divsChild>
            <w:div w:id="1582711369">
              <w:marLeft w:val="-225"/>
              <w:marRight w:val="-225"/>
              <w:marTop w:val="0"/>
              <w:marBottom w:val="0"/>
              <w:divBdr>
                <w:top w:val="none" w:sz="0" w:space="0" w:color="auto"/>
                <w:left w:val="none" w:sz="0" w:space="0" w:color="auto"/>
                <w:bottom w:val="none" w:sz="0" w:space="0" w:color="auto"/>
                <w:right w:val="none" w:sz="0" w:space="0" w:color="auto"/>
              </w:divBdr>
              <w:divsChild>
                <w:div w:id="1543707689">
                  <w:marLeft w:val="0"/>
                  <w:marRight w:val="0"/>
                  <w:marTop w:val="0"/>
                  <w:marBottom w:val="0"/>
                  <w:divBdr>
                    <w:top w:val="none" w:sz="0" w:space="0" w:color="auto"/>
                    <w:left w:val="none" w:sz="0" w:space="0" w:color="auto"/>
                    <w:bottom w:val="none" w:sz="0" w:space="0" w:color="auto"/>
                    <w:right w:val="none" w:sz="0" w:space="0" w:color="auto"/>
                  </w:divBdr>
                  <w:divsChild>
                    <w:div w:id="9591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8537">
          <w:marLeft w:val="0"/>
          <w:marRight w:val="0"/>
          <w:marTop w:val="0"/>
          <w:marBottom w:val="0"/>
          <w:divBdr>
            <w:top w:val="none" w:sz="0" w:space="0" w:color="auto"/>
            <w:left w:val="none" w:sz="0" w:space="0" w:color="auto"/>
            <w:bottom w:val="none" w:sz="0" w:space="0" w:color="auto"/>
            <w:right w:val="none" w:sz="0" w:space="0" w:color="auto"/>
          </w:divBdr>
          <w:divsChild>
            <w:div w:id="1604070110">
              <w:marLeft w:val="0"/>
              <w:marRight w:val="0"/>
              <w:marTop w:val="0"/>
              <w:marBottom w:val="0"/>
              <w:divBdr>
                <w:top w:val="single" w:sz="6" w:space="24" w:color="EBEEF5"/>
                <w:left w:val="none" w:sz="0" w:space="0" w:color="auto"/>
                <w:bottom w:val="single" w:sz="6" w:space="18" w:color="EBEEF5"/>
                <w:right w:val="none" w:sz="0" w:space="0" w:color="auto"/>
              </w:divBdr>
              <w:divsChild>
                <w:div w:id="1816491175">
                  <w:marLeft w:val="0"/>
                  <w:marRight w:val="0"/>
                  <w:marTop w:val="0"/>
                  <w:marBottom w:val="0"/>
                  <w:divBdr>
                    <w:top w:val="none" w:sz="0" w:space="0" w:color="auto"/>
                    <w:left w:val="none" w:sz="0" w:space="0" w:color="auto"/>
                    <w:bottom w:val="none" w:sz="0" w:space="0" w:color="auto"/>
                    <w:right w:val="none" w:sz="0" w:space="0" w:color="auto"/>
                  </w:divBdr>
                  <w:divsChild>
                    <w:div w:id="385758765">
                      <w:marLeft w:val="0"/>
                      <w:marRight w:val="0"/>
                      <w:marTop w:val="0"/>
                      <w:marBottom w:val="0"/>
                      <w:divBdr>
                        <w:top w:val="none" w:sz="0" w:space="0" w:color="auto"/>
                        <w:left w:val="none" w:sz="0" w:space="0" w:color="auto"/>
                        <w:bottom w:val="none" w:sz="0" w:space="0" w:color="auto"/>
                        <w:right w:val="none" w:sz="0" w:space="0" w:color="auto"/>
                      </w:divBdr>
                      <w:divsChild>
                        <w:div w:id="280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46651">
          <w:marLeft w:val="0"/>
          <w:marRight w:val="0"/>
          <w:marTop w:val="0"/>
          <w:marBottom w:val="0"/>
          <w:divBdr>
            <w:top w:val="none" w:sz="0" w:space="0" w:color="auto"/>
            <w:left w:val="none" w:sz="0" w:space="0" w:color="auto"/>
            <w:bottom w:val="none" w:sz="0" w:space="0" w:color="auto"/>
            <w:right w:val="none" w:sz="0" w:space="0" w:color="auto"/>
          </w:divBdr>
          <w:divsChild>
            <w:div w:id="864368753">
              <w:marLeft w:val="-225"/>
              <w:marRight w:val="-225"/>
              <w:marTop w:val="0"/>
              <w:marBottom w:val="0"/>
              <w:divBdr>
                <w:top w:val="none" w:sz="0" w:space="0" w:color="auto"/>
                <w:left w:val="none" w:sz="0" w:space="0" w:color="auto"/>
                <w:bottom w:val="none" w:sz="0" w:space="0" w:color="auto"/>
                <w:right w:val="none" w:sz="0" w:space="0" w:color="auto"/>
              </w:divBdr>
              <w:divsChild>
                <w:div w:id="1993676099">
                  <w:marLeft w:val="0"/>
                  <w:marRight w:val="0"/>
                  <w:marTop w:val="0"/>
                  <w:marBottom w:val="0"/>
                  <w:divBdr>
                    <w:top w:val="none" w:sz="0" w:space="0" w:color="auto"/>
                    <w:left w:val="none" w:sz="0" w:space="0" w:color="auto"/>
                    <w:bottom w:val="none" w:sz="0" w:space="0" w:color="auto"/>
                    <w:right w:val="none" w:sz="0" w:space="0" w:color="auto"/>
                  </w:divBdr>
                  <w:divsChild>
                    <w:div w:id="10160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8008">
          <w:marLeft w:val="0"/>
          <w:marRight w:val="0"/>
          <w:marTop w:val="0"/>
          <w:marBottom w:val="0"/>
          <w:divBdr>
            <w:top w:val="none" w:sz="0" w:space="0" w:color="auto"/>
            <w:left w:val="none" w:sz="0" w:space="0" w:color="auto"/>
            <w:bottom w:val="none" w:sz="0" w:space="0" w:color="auto"/>
            <w:right w:val="none" w:sz="0" w:space="0" w:color="auto"/>
          </w:divBdr>
        </w:div>
      </w:divsChild>
    </w:div>
    <w:div w:id="88282787">
      <w:bodyDiv w:val="1"/>
      <w:marLeft w:val="0"/>
      <w:marRight w:val="0"/>
      <w:marTop w:val="0"/>
      <w:marBottom w:val="0"/>
      <w:divBdr>
        <w:top w:val="none" w:sz="0" w:space="0" w:color="auto"/>
        <w:left w:val="none" w:sz="0" w:space="0" w:color="auto"/>
        <w:bottom w:val="none" w:sz="0" w:space="0" w:color="auto"/>
        <w:right w:val="none" w:sz="0" w:space="0" w:color="auto"/>
      </w:divBdr>
    </w:div>
    <w:div w:id="90588096">
      <w:bodyDiv w:val="1"/>
      <w:marLeft w:val="0"/>
      <w:marRight w:val="0"/>
      <w:marTop w:val="0"/>
      <w:marBottom w:val="0"/>
      <w:divBdr>
        <w:top w:val="none" w:sz="0" w:space="0" w:color="auto"/>
        <w:left w:val="none" w:sz="0" w:space="0" w:color="auto"/>
        <w:bottom w:val="none" w:sz="0" w:space="0" w:color="auto"/>
        <w:right w:val="none" w:sz="0" w:space="0" w:color="auto"/>
      </w:divBdr>
    </w:div>
    <w:div w:id="91826089">
      <w:bodyDiv w:val="1"/>
      <w:marLeft w:val="0"/>
      <w:marRight w:val="0"/>
      <w:marTop w:val="0"/>
      <w:marBottom w:val="0"/>
      <w:divBdr>
        <w:top w:val="none" w:sz="0" w:space="0" w:color="auto"/>
        <w:left w:val="none" w:sz="0" w:space="0" w:color="auto"/>
        <w:bottom w:val="none" w:sz="0" w:space="0" w:color="auto"/>
        <w:right w:val="none" w:sz="0" w:space="0" w:color="auto"/>
      </w:divBdr>
      <w:divsChild>
        <w:div w:id="1064648298">
          <w:marLeft w:val="-225"/>
          <w:marRight w:val="-225"/>
          <w:marTop w:val="0"/>
          <w:marBottom w:val="0"/>
          <w:divBdr>
            <w:top w:val="none" w:sz="0" w:space="0" w:color="auto"/>
            <w:left w:val="none" w:sz="0" w:space="0" w:color="auto"/>
            <w:bottom w:val="none" w:sz="0" w:space="0" w:color="auto"/>
            <w:right w:val="none" w:sz="0" w:space="0" w:color="auto"/>
          </w:divBdr>
          <w:divsChild>
            <w:div w:id="876503425">
              <w:marLeft w:val="0"/>
              <w:marRight w:val="0"/>
              <w:marTop w:val="0"/>
              <w:marBottom w:val="0"/>
              <w:divBdr>
                <w:top w:val="none" w:sz="0" w:space="0" w:color="auto"/>
                <w:left w:val="none" w:sz="0" w:space="0" w:color="auto"/>
                <w:bottom w:val="none" w:sz="0" w:space="0" w:color="auto"/>
                <w:right w:val="none" w:sz="0" w:space="0" w:color="auto"/>
              </w:divBdr>
              <w:divsChild>
                <w:div w:id="20752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342">
      <w:bodyDiv w:val="1"/>
      <w:marLeft w:val="0"/>
      <w:marRight w:val="0"/>
      <w:marTop w:val="0"/>
      <w:marBottom w:val="0"/>
      <w:divBdr>
        <w:top w:val="none" w:sz="0" w:space="0" w:color="auto"/>
        <w:left w:val="none" w:sz="0" w:space="0" w:color="auto"/>
        <w:bottom w:val="none" w:sz="0" w:space="0" w:color="auto"/>
        <w:right w:val="none" w:sz="0" w:space="0" w:color="auto"/>
      </w:divBdr>
    </w:div>
    <w:div w:id="93133540">
      <w:bodyDiv w:val="1"/>
      <w:marLeft w:val="0"/>
      <w:marRight w:val="0"/>
      <w:marTop w:val="0"/>
      <w:marBottom w:val="0"/>
      <w:divBdr>
        <w:top w:val="none" w:sz="0" w:space="0" w:color="auto"/>
        <w:left w:val="none" w:sz="0" w:space="0" w:color="auto"/>
        <w:bottom w:val="none" w:sz="0" w:space="0" w:color="auto"/>
        <w:right w:val="none" w:sz="0" w:space="0" w:color="auto"/>
      </w:divBdr>
    </w:div>
    <w:div w:id="95366461">
      <w:bodyDiv w:val="1"/>
      <w:marLeft w:val="0"/>
      <w:marRight w:val="0"/>
      <w:marTop w:val="0"/>
      <w:marBottom w:val="0"/>
      <w:divBdr>
        <w:top w:val="none" w:sz="0" w:space="0" w:color="auto"/>
        <w:left w:val="none" w:sz="0" w:space="0" w:color="auto"/>
        <w:bottom w:val="none" w:sz="0" w:space="0" w:color="auto"/>
        <w:right w:val="none" w:sz="0" w:space="0" w:color="auto"/>
      </w:divBdr>
    </w:div>
    <w:div w:id="96602063">
      <w:bodyDiv w:val="1"/>
      <w:marLeft w:val="0"/>
      <w:marRight w:val="0"/>
      <w:marTop w:val="0"/>
      <w:marBottom w:val="0"/>
      <w:divBdr>
        <w:top w:val="none" w:sz="0" w:space="0" w:color="auto"/>
        <w:left w:val="none" w:sz="0" w:space="0" w:color="auto"/>
        <w:bottom w:val="none" w:sz="0" w:space="0" w:color="auto"/>
        <w:right w:val="none" w:sz="0" w:space="0" w:color="auto"/>
      </w:divBdr>
    </w:div>
    <w:div w:id="99567580">
      <w:bodyDiv w:val="1"/>
      <w:marLeft w:val="0"/>
      <w:marRight w:val="0"/>
      <w:marTop w:val="0"/>
      <w:marBottom w:val="0"/>
      <w:divBdr>
        <w:top w:val="none" w:sz="0" w:space="0" w:color="auto"/>
        <w:left w:val="none" w:sz="0" w:space="0" w:color="auto"/>
        <w:bottom w:val="none" w:sz="0" w:space="0" w:color="auto"/>
        <w:right w:val="none" w:sz="0" w:space="0" w:color="auto"/>
      </w:divBdr>
      <w:divsChild>
        <w:div w:id="908420987">
          <w:marLeft w:val="-225"/>
          <w:marRight w:val="-225"/>
          <w:marTop w:val="0"/>
          <w:marBottom w:val="0"/>
          <w:divBdr>
            <w:top w:val="none" w:sz="0" w:space="0" w:color="auto"/>
            <w:left w:val="none" w:sz="0" w:space="0" w:color="auto"/>
            <w:bottom w:val="none" w:sz="0" w:space="0" w:color="auto"/>
            <w:right w:val="none" w:sz="0" w:space="0" w:color="auto"/>
          </w:divBdr>
          <w:divsChild>
            <w:div w:id="12921527">
              <w:marLeft w:val="0"/>
              <w:marRight w:val="0"/>
              <w:marTop w:val="0"/>
              <w:marBottom w:val="0"/>
              <w:divBdr>
                <w:top w:val="none" w:sz="0" w:space="0" w:color="auto"/>
                <w:left w:val="none" w:sz="0" w:space="0" w:color="auto"/>
                <w:bottom w:val="none" w:sz="0" w:space="0" w:color="auto"/>
                <w:right w:val="none" w:sz="0" w:space="0" w:color="auto"/>
              </w:divBdr>
              <w:divsChild>
                <w:div w:id="19744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6995">
      <w:bodyDiv w:val="1"/>
      <w:marLeft w:val="0"/>
      <w:marRight w:val="0"/>
      <w:marTop w:val="0"/>
      <w:marBottom w:val="0"/>
      <w:divBdr>
        <w:top w:val="none" w:sz="0" w:space="0" w:color="auto"/>
        <w:left w:val="none" w:sz="0" w:space="0" w:color="auto"/>
        <w:bottom w:val="none" w:sz="0" w:space="0" w:color="auto"/>
        <w:right w:val="none" w:sz="0" w:space="0" w:color="auto"/>
      </w:divBdr>
    </w:div>
    <w:div w:id="108546890">
      <w:bodyDiv w:val="1"/>
      <w:marLeft w:val="0"/>
      <w:marRight w:val="0"/>
      <w:marTop w:val="0"/>
      <w:marBottom w:val="0"/>
      <w:divBdr>
        <w:top w:val="none" w:sz="0" w:space="0" w:color="auto"/>
        <w:left w:val="none" w:sz="0" w:space="0" w:color="auto"/>
        <w:bottom w:val="none" w:sz="0" w:space="0" w:color="auto"/>
        <w:right w:val="none" w:sz="0" w:space="0" w:color="auto"/>
      </w:divBdr>
    </w:div>
    <w:div w:id="108547887">
      <w:bodyDiv w:val="1"/>
      <w:marLeft w:val="0"/>
      <w:marRight w:val="0"/>
      <w:marTop w:val="0"/>
      <w:marBottom w:val="0"/>
      <w:divBdr>
        <w:top w:val="none" w:sz="0" w:space="0" w:color="auto"/>
        <w:left w:val="none" w:sz="0" w:space="0" w:color="auto"/>
        <w:bottom w:val="none" w:sz="0" w:space="0" w:color="auto"/>
        <w:right w:val="none" w:sz="0" w:space="0" w:color="auto"/>
      </w:divBdr>
    </w:div>
    <w:div w:id="110440268">
      <w:bodyDiv w:val="1"/>
      <w:marLeft w:val="0"/>
      <w:marRight w:val="0"/>
      <w:marTop w:val="0"/>
      <w:marBottom w:val="0"/>
      <w:divBdr>
        <w:top w:val="none" w:sz="0" w:space="0" w:color="auto"/>
        <w:left w:val="none" w:sz="0" w:space="0" w:color="auto"/>
        <w:bottom w:val="none" w:sz="0" w:space="0" w:color="auto"/>
        <w:right w:val="none" w:sz="0" w:space="0" w:color="auto"/>
      </w:divBdr>
    </w:div>
    <w:div w:id="111290140">
      <w:bodyDiv w:val="1"/>
      <w:marLeft w:val="0"/>
      <w:marRight w:val="0"/>
      <w:marTop w:val="0"/>
      <w:marBottom w:val="0"/>
      <w:divBdr>
        <w:top w:val="none" w:sz="0" w:space="0" w:color="auto"/>
        <w:left w:val="none" w:sz="0" w:space="0" w:color="auto"/>
        <w:bottom w:val="none" w:sz="0" w:space="0" w:color="auto"/>
        <w:right w:val="none" w:sz="0" w:space="0" w:color="auto"/>
      </w:divBdr>
    </w:div>
    <w:div w:id="112096998">
      <w:bodyDiv w:val="1"/>
      <w:marLeft w:val="0"/>
      <w:marRight w:val="0"/>
      <w:marTop w:val="0"/>
      <w:marBottom w:val="0"/>
      <w:divBdr>
        <w:top w:val="none" w:sz="0" w:space="0" w:color="auto"/>
        <w:left w:val="none" w:sz="0" w:space="0" w:color="auto"/>
        <w:bottom w:val="none" w:sz="0" w:space="0" w:color="auto"/>
        <w:right w:val="none" w:sz="0" w:space="0" w:color="auto"/>
      </w:divBdr>
    </w:div>
    <w:div w:id="114183746">
      <w:bodyDiv w:val="1"/>
      <w:marLeft w:val="0"/>
      <w:marRight w:val="0"/>
      <w:marTop w:val="0"/>
      <w:marBottom w:val="0"/>
      <w:divBdr>
        <w:top w:val="none" w:sz="0" w:space="0" w:color="auto"/>
        <w:left w:val="none" w:sz="0" w:space="0" w:color="auto"/>
        <w:bottom w:val="none" w:sz="0" w:space="0" w:color="auto"/>
        <w:right w:val="none" w:sz="0" w:space="0" w:color="auto"/>
      </w:divBdr>
      <w:divsChild>
        <w:div w:id="81269778">
          <w:marLeft w:val="0"/>
          <w:marRight w:val="0"/>
          <w:marTop w:val="0"/>
          <w:marBottom w:val="0"/>
          <w:divBdr>
            <w:top w:val="none" w:sz="0" w:space="0" w:color="auto"/>
            <w:left w:val="none" w:sz="0" w:space="0" w:color="auto"/>
            <w:bottom w:val="none" w:sz="0" w:space="0" w:color="auto"/>
            <w:right w:val="none" w:sz="0" w:space="0" w:color="auto"/>
          </w:divBdr>
          <w:divsChild>
            <w:div w:id="135611233">
              <w:marLeft w:val="-225"/>
              <w:marRight w:val="-225"/>
              <w:marTop w:val="0"/>
              <w:marBottom w:val="0"/>
              <w:divBdr>
                <w:top w:val="none" w:sz="0" w:space="0" w:color="auto"/>
                <w:left w:val="none" w:sz="0" w:space="0" w:color="auto"/>
                <w:bottom w:val="none" w:sz="0" w:space="0" w:color="auto"/>
                <w:right w:val="none" w:sz="0" w:space="0" w:color="auto"/>
              </w:divBdr>
              <w:divsChild>
                <w:div w:id="735319405">
                  <w:marLeft w:val="0"/>
                  <w:marRight w:val="0"/>
                  <w:marTop w:val="0"/>
                  <w:marBottom w:val="0"/>
                  <w:divBdr>
                    <w:top w:val="none" w:sz="0" w:space="0" w:color="auto"/>
                    <w:left w:val="none" w:sz="0" w:space="0" w:color="auto"/>
                    <w:bottom w:val="none" w:sz="0" w:space="0" w:color="auto"/>
                    <w:right w:val="none" w:sz="0" w:space="0" w:color="auto"/>
                  </w:divBdr>
                  <w:divsChild>
                    <w:div w:id="163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3946">
          <w:marLeft w:val="0"/>
          <w:marRight w:val="0"/>
          <w:marTop w:val="0"/>
          <w:marBottom w:val="0"/>
          <w:divBdr>
            <w:top w:val="none" w:sz="0" w:space="0" w:color="auto"/>
            <w:left w:val="none" w:sz="0" w:space="0" w:color="auto"/>
            <w:bottom w:val="none" w:sz="0" w:space="0" w:color="auto"/>
            <w:right w:val="none" w:sz="0" w:space="0" w:color="auto"/>
          </w:divBdr>
          <w:divsChild>
            <w:div w:id="1173691738">
              <w:marLeft w:val="-225"/>
              <w:marRight w:val="-225"/>
              <w:marTop w:val="0"/>
              <w:marBottom w:val="0"/>
              <w:divBdr>
                <w:top w:val="none" w:sz="0" w:space="0" w:color="auto"/>
                <w:left w:val="none" w:sz="0" w:space="0" w:color="auto"/>
                <w:bottom w:val="none" w:sz="0" w:space="0" w:color="auto"/>
                <w:right w:val="none" w:sz="0" w:space="0" w:color="auto"/>
              </w:divBdr>
              <w:divsChild>
                <w:div w:id="589433625">
                  <w:marLeft w:val="0"/>
                  <w:marRight w:val="0"/>
                  <w:marTop w:val="0"/>
                  <w:marBottom w:val="0"/>
                  <w:divBdr>
                    <w:top w:val="none" w:sz="0" w:space="0" w:color="auto"/>
                    <w:left w:val="none" w:sz="0" w:space="0" w:color="auto"/>
                    <w:bottom w:val="none" w:sz="0" w:space="0" w:color="auto"/>
                    <w:right w:val="none" w:sz="0" w:space="0" w:color="auto"/>
                  </w:divBdr>
                  <w:divsChild>
                    <w:div w:id="20428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5937">
          <w:marLeft w:val="0"/>
          <w:marRight w:val="0"/>
          <w:marTop w:val="0"/>
          <w:marBottom w:val="0"/>
          <w:divBdr>
            <w:top w:val="none" w:sz="0" w:space="0" w:color="auto"/>
            <w:left w:val="none" w:sz="0" w:space="0" w:color="auto"/>
            <w:bottom w:val="none" w:sz="0" w:space="0" w:color="auto"/>
            <w:right w:val="none" w:sz="0" w:space="0" w:color="auto"/>
          </w:divBdr>
          <w:divsChild>
            <w:div w:id="507135018">
              <w:marLeft w:val="0"/>
              <w:marRight w:val="0"/>
              <w:marTop w:val="0"/>
              <w:marBottom w:val="0"/>
              <w:divBdr>
                <w:top w:val="none" w:sz="0" w:space="0" w:color="auto"/>
                <w:left w:val="none" w:sz="0" w:space="0" w:color="auto"/>
                <w:bottom w:val="none" w:sz="0" w:space="0" w:color="auto"/>
                <w:right w:val="none" w:sz="0" w:space="0" w:color="auto"/>
              </w:divBdr>
              <w:divsChild>
                <w:div w:id="1350329211">
                  <w:marLeft w:val="0"/>
                  <w:marRight w:val="0"/>
                  <w:marTop w:val="0"/>
                  <w:marBottom w:val="0"/>
                  <w:divBdr>
                    <w:top w:val="none" w:sz="0" w:space="0" w:color="auto"/>
                    <w:left w:val="none" w:sz="0" w:space="0" w:color="auto"/>
                    <w:bottom w:val="none" w:sz="0" w:space="0" w:color="auto"/>
                    <w:right w:val="none" w:sz="0" w:space="0" w:color="auto"/>
                  </w:divBdr>
                  <w:divsChild>
                    <w:div w:id="902839629">
                      <w:marLeft w:val="0"/>
                      <w:marRight w:val="0"/>
                      <w:marTop w:val="0"/>
                      <w:marBottom w:val="0"/>
                      <w:divBdr>
                        <w:top w:val="none" w:sz="0" w:space="0" w:color="auto"/>
                        <w:left w:val="none" w:sz="0" w:space="0" w:color="auto"/>
                        <w:bottom w:val="none" w:sz="0" w:space="0" w:color="auto"/>
                        <w:right w:val="none" w:sz="0" w:space="0" w:color="auto"/>
                      </w:divBdr>
                      <w:divsChild>
                        <w:div w:id="10963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037783">
          <w:marLeft w:val="0"/>
          <w:marRight w:val="0"/>
          <w:marTop w:val="0"/>
          <w:marBottom w:val="0"/>
          <w:divBdr>
            <w:top w:val="none" w:sz="0" w:space="0" w:color="auto"/>
            <w:left w:val="none" w:sz="0" w:space="0" w:color="auto"/>
            <w:bottom w:val="none" w:sz="0" w:space="0" w:color="auto"/>
            <w:right w:val="none" w:sz="0" w:space="0" w:color="auto"/>
          </w:divBdr>
        </w:div>
      </w:divsChild>
    </w:div>
    <w:div w:id="115833195">
      <w:bodyDiv w:val="1"/>
      <w:marLeft w:val="0"/>
      <w:marRight w:val="0"/>
      <w:marTop w:val="0"/>
      <w:marBottom w:val="0"/>
      <w:divBdr>
        <w:top w:val="none" w:sz="0" w:space="0" w:color="auto"/>
        <w:left w:val="none" w:sz="0" w:space="0" w:color="auto"/>
        <w:bottom w:val="none" w:sz="0" w:space="0" w:color="auto"/>
        <w:right w:val="none" w:sz="0" w:space="0" w:color="auto"/>
      </w:divBdr>
    </w:div>
    <w:div w:id="116341547">
      <w:bodyDiv w:val="1"/>
      <w:marLeft w:val="0"/>
      <w:marRight w:val="0"/>
      <w:marTop w:val="0"/>
      <w:marBottom w:val="0"/>
      <w:divBdr>
        <w:top w:val="none" w:sz="0" w:space="0" w:color="auto"/>
        <w:left w:val="none" w:sz="0" w:space="0" w:color="auto"/>
        <w:bottom w:val="none" w:sz="0" w:space="0" w:color="auto"/>
        <w:right w:val="none" w:sz="0" w:space="0" w:color="auto"/>
      </w:divBdr>
    </w:div>
    <w:div w:id="121118870">
      <w:bodyDiv w:val="1"/>
      <w:marLeft w:val="0"/>
      <w:marRight w:val="0"/>
      <w:marTop w:val="0"/>
      <w:marBottom w:val="0"/>
      <w:divBdr>
        <w:top w:val="none" w:sz="0" w:space="0" w:color="auto"/>
        <w:left w:val="none" w:sz="0" w:space="0" w:color="auto"/>
        <w:bottom w:val="none" w:sz="0" w:space="0" w:color="auto"/>
        <w:right w:val="none" w:sz="0" w:space="0" w:color="auto"/>
      </w:divBdr>
    </w:div>
    <w:div w:id="126437734">
      <w:bodyDiv w:val="1"/>
      <w:marLeft w:val="0"/>
      <w:marRight w:val="0"/>
      <w:marTop w:val="0"/>
      <w:marBottom w:val="0"/>
      <w:divBdr>
        <w:top w:val="none" w:sz="0" w:space="0" w:color="auto"/>
        <w:left w:val="none" w:sz="0" w:space="0" w:color="auto"/>
        <w:bottom w:val="none" w:sz="0" w:space="0" w:color="auto"/>
        <w:right w:val="none" w:sz="0" w:space="0" w:color="auto"/>
      </w:divBdr>
    </w:div>
    <w:div w:id="126972726">
      <w:bodyDiv w:val="1"/>
      <w:marLeft w:val="0"/>
      <w:marRight w:val="0"/>
      <w:marTop w:val="0"/>
      <w:marBottom w:val="0"/>
      <w:divBdr>
        <w:top w:val="none" w:sz="0" w:space="0" w:color="auto"/>
        <w:left w:val="none" w:sz="0" w:space="0" w:color="auto"/>
        <w:bottom w:val="none" w:sz="0" w:space="0" w:color="auto"/>
        <w:right w:val="none" w:sz="0" w:space="0" w:color="auto"/>
      </w:divBdr>
    </w:div>
    <w:div w:id="128864043">
      <w:bodyDiv w:val="1"/>
      <w:marLeft w:val="0"/>
      <w:marRight w:val="0"/>
      <w:marTop w:val="0"/>
      <w:marBottom w:val="0"/>
      <w:divBdr>
        <w:top w:val="none" w:sz="0" w:space="0" w:color="auto"/>
        <w:left w:val="none" w:sz="0" w:space="0" w:color="auto"/>
        <w:bottom w:val="none" w:sz="0" w:space="0" w:color="auto"/>
        <w:right w:val="none" w:sz="0" w:space="0" w:color="auto"/>
      </w:divBdr>
    </w:div>
    <w:div w:id="131556480">
      <w:bodyDiv w:val="1"/>
      <w:marLeft w:val="0"/>
      <w:marRight w:val="0"/>
      <w:marTop w:val="0"/>
      <w:marBottom w:val="0"/>
      <w:divBdr>
        <w:top w:val="none" w:sz="0" w:space="0" w:color="auto"/>
        <w:left w:val="none" w:sz="0" w:space="0" w:color="auto"/>
        <w:bottom w:val="none" w:sz="0" w:space="0" w:color="auto"/>
        <w:right w:val="none" w:sz="0" w:space="0" w:color="auto"/>
      </w:divBdr>
    </w:div>
    <w:div w:id="131800909">
      <w:bodyDiv w:val="1"/>
      <w:marLeft w:val="0"/>
      <w:marRight w:val="0"/>
      <w:marTop w:val="0"/>
      <w:marBottom w:val="0"/>
      <w:divBdr>
        <w:top w:val="none" w:sz="0" w:space="0" w:color="auto"/>
        <w:left w:val="none" w:sz="0" w:space="0" w:color="auto"/>
        <w:bottom w:val="none" w:sz="0" w:space="0" w:color="auto"/>
        <w:right w:val="none" w:sz="0" w:space="0" w:color="auto"/>
      </w:divBdr>
    </w:div>
    <w:div w:id="133915322">
      <w:bodyDiv w:val="1"/>
      <w:marLeft w:val="0"/>
      <w:marRight w:val="0"/>
      <w:marTop w:val="0"/>
      <w:marBottom w:val="0"/>
      <w:divBdr>
        <w:top w:val="none" w:sz="0" w:space="0" w:color="auto"/>
        <w:left w:val="none" w:sz="0" w:space="0" w:color="auto"/>
        <w:bottom w:val="none" w:sz="0" w:space="0" w:color="auto"/>
        <w:right w:val="none" w:sz="0" w:space="0" w:color="auto"/>
      </w:divBdr>
    </w:div>
    <w:div w:id="137190154">
      <w:bodyDiv w:val="1"/>
      <w:marLeft w:val="0"/>
      <w:marRight w:val="0"/>
      <w:marTop w:val="0"/>
      <w:marBottom w:val="0"/>
      <w:divBdr>
        <w:top w:val="none" w:sz="0" w:space="0" w:color="auto"/>
        <w:left w:val="none" w:sz="0" w:space="0" w:color="auto"/>
        <w:bottom w:val="none" w:sz="0" w:space="0" w:color="auto"/>
        <w:right w:val="none" w:sz="0" w:space="0" w:color="auto"/>
      </w:divBdr>
    </w:div>
    <w:div w:id="137236512">
      <w:bodyDiv w:val="1"/>
      <w:marLeft w:val="0"/>
      <w:marRight w:val="0"/>
      <w:marTop w:val="0"/>
      <w:marBottom w:val="0"/>
      <w:divBdr>
        <w:top w:val="none" w:sz="0" w:space="0" w:color="auto"/>
        <w:left w:val="none" w:sz="0" w:space="0" w:color="auto"/>
        <w:bottom w:val="none" w:sz="0" w:space="0" w:color="auto"/>
        <w:right w:val="none" w:sz="0" w:space="0" w:color="auto"/>
      </w:divBdr>
    </w:div>
    <w:div w:id="138229852">
      <w:bodyDiv w:val="1"/>
      <w:marLeft w:val="0"/>
      <w:marRight w:val="0"/>
      <w:marTop w:val="0"/>
      <w:marBottom w:val="0"/>
      <w:divBdr>
        <w:top w:val="none" w:sz="0" w:space="0" w:color="auto"/>
        <w:left w:val="none" w:sz="0" w:space="0" w:color="auto"/>
        <w:bottom w:val="none" w:sz="0" w:space="0" w:color="auto"/>
        <w:right w:val="none" w:sz="0" w:space="0" w:color="auto"/>
      </w:divBdr>
    </w:div>
    <w:div w:id="140511687">
      <w:bodyDiv w:val="1"/>
      <w:marLeft w:val="0"/>
      <w:marRight w:val="0"/>
      <w:marTop w:val="0"/>
      <w:marBottom w:val="0"/>
      <w:divBdr>
        <w:top w:val="none" w:sz="0" w:space="0" w:color="auto"/>
        <w:left w:val="none" w:sz="0" w:space="0" w:color="auto"/>
        <w:bottom w:val="none" w:sz="0" w:space="0" w:color="auto"/>
        <w:right w:val="none" w:sz="0" w:space="0" w:color="auto"/>
      </w:divBdr>
    </w:div>
    <w:div w:id="140931656">
      <w:bodyDiv w:val="1"/>
      <w:marLeft w:val="0"/>
      <w:marRight w:val="0"/>
      <w:marTop w:val="0"/>
      <w:marBottom w:val="0"/>
      <w:divBdr>
        <w:top w:val="none" w:sz="0" w:space="0" w:color="auto"/>
        <w:left w:val="none" w:sz="0" w:space="0" w:color="auto"/>
        <w:bottom w:val="none" w:sz="0" w:space="0" w:color="auto"/>
        <w:right w:val="none" w:sz="0" w:space="0" w:color="auto"/>
      </w:divBdr>
    </w:div>
    <w:div w:id="141384887">
      <w:bodyDiv w:val="1"/>
      <w:marLeft w:val="0"/>
      <w:marRight w:val="0"/>
      <w:marTop w:val="0"/>
      <w:marBottom w:val="0"/>
      <w:divBdr>
        <w:top w:val="none" w:sz="0" w:space="0" w:color="auto"/>
        <w:left w:val="none" w:sz="0" w:space="0" w:color="auto"/>
        <w:bottom w:val="none" w:sz="0" w:space="0" w:color="auto"/>
        <w:right w:val="none" w:sz="0" w:space="0" w:color="auto"/>
      </w:divBdr>
    </w:div>
    <w:div w:id="141433877">
      <w:bodyDiv w:val="1"/>
      <w:marLeft w:val="0"/>
      <w:marRight w:val="0"/>
      <w:marTop w:val="0"/>
      <w:marBottom w:val="0"/>
      <w:divBdr>
        <w:top w:val="none" w:sz="0" w:space="0" w:color="auto"/>
        <w:left w:val="none" w:sz="0" w:space="0" w:color="auto"/>
        <w:bottom w:val="none" w:sz="0" w:space="0" w:color="auto"/>
        <w:right w:val="none" w:sz="0" w:space="0" w:color="auto"/>
      </w:divBdr>
    </w:div>
    <w:div w:id="141773992">
      <w:bodyDiv w:val="1"/>
      <w:marLeft w:val="0"/>
      <w:marRight w:val="0"/>
      <w:marTop w:val="0"/>
      <w:marBottom w:val="0"/>
      <w:divBdr>
        <w:top w:val="none" w:sz="0" w:space="0" w:color="auto"/>
        <w:left w:val="none" w:sz="0" w:space="0" w:color="auto"/>
        <w:bottom w:val="none" w:sz="0" w:space="0" w:color="auto"/>
        <w:right w:val="none" w:sz="0" w:space="0" w:color="auto"/>
      </w:divBdr>
      <w:divsChild>
        <w:div w:id="847401263">
          <w:marLeft w:val="-225"/>
          <w:marRight w:val="-225"/>
          <w:marTop w:val="0"/>
          <w:marBottom w:val="0"/>
          <w:divBdr>
            <w:top w:val="none" w:sz="0" w:space="0" w:color="auto"/>
            <w:left w:val="none" w:sz="0" w:space="0" w:color="auto"/>
            <w:bottom w:val="none" w:sz="0" w:space="0" w:color="auto"/>
            <w:right w:val="none" w:sz="0" w:space="0" w:color="auto"/>
          </w:divBdr>
          <w:divsChild>
            <w:div w:id="1618414067">
              <w:marLeft w:val="0"/>
              <w:marRight w:val="0"/>
              <w:marTop w:val="0"/>
              <w:marBottom w:val="0"/>
              <w:divBdr>
                <w:top w:val="none" w:sz="0" w:space="0" w:color="auto"/>
                <w:left w:val="none" w:sz="0" w:space="0" w:color="auto"/>
                <w:bottom w:val="none" w:sz="0" w:space="0" w:color="auto"/>
                <w:right w:val="none" w:sz="0" w:space="0" w:color="auto"/>
              </w:divBdr>
              <w:divsChild>
                <w:div w:id="309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6164">
      <w:bodyDiv w:val="1"/>
      <w:marLeft w:val="0"/>
      <w:marRight w:val="0"/>
      <w:marTop w:val="0"/>
      <w:marBottom w:val="0"/>
      <w:divBdr>
        <w:top w:val="none" w:sz="0" w:space="0" w:color="auto"/>
        <w:left w:val="none" w:sz="0" w:space="0" w:color="auto"/>
        <w:bottom w:val="none" w:sz="0" w:space="0" w:color="auto"/>
        <w:right w:val="none" w:sz="0" w:space="0" w:color="auto"/>
      </w:divBdr>
    </w:div>
    <w:div w:id="143590413">
      <w:bodyDiv w:val="1"/>
      <w:marLeft w:val="0"/>
      <w:marRight w:val="0"/>
      <w:marTop w:val="0"/>
      <w:marBottom w:val="0"/>
      <w:divBdr>
        <w:top w:val="none" w:sz="0" w:space="0" w:color="auto"/>
        <w:left w:val="none" w:sz="0" w:space="0" w:color="auto"/>
        <w:bottom w:val="none" w:sz="0" w:space="0" w:color="auto"/>
        <w:right w:val="none" w:sz="0" w:space="0" w:color="auto"/>
      </w:divBdr>
    </w:div>
    <w:div w:id="148793554">
      <w:bodyDiv w:val="1"/>
      <w:marLeft w:val="0"/>
      <w:marRight w:val="0"/>
      <w:marTop w:val="0"/>
      <w:marBottom w:val="0"/>
      <w:divBdr>
        <w:top w:val="none" w:sz="0" w:space="0" w:color="auto"/>
        <w:left w:val="none" w:sz="0" w:space="0" w:color="auto"/>
        <w:bottom w:val="none" w:sz="0" w:space="0" w:color="auto"/>
        <w:right w:val="none" w:sz="0" w:space="0" w:color="auto"/>
      </w:divBdr>
    </w:div>
    <w:div w:id="152452947">
      <w:bodyDiv w:val="1"/>
      <w:marLeft w:val="0"/>
      <w:marRight w:val="0"/>
      <w:marTop w:val="0"/>
      <w:marBottom w:val="0"/>
      <w:divBdr>
        <w:top w:val="none" w:sz="0" w:space="0" w:color="auto"/>
        <w:left w:val="none" w:sz="0" w:space="0" w:color="auto"/>
        <w:bottom w:val="none" w:sz="0" w:space="0" w:color="auto"/>
        <w:right w:val="none" w:sz="0" w:space="0" w:color="auto"/>
      </w:divBdr>
    </w:div>
    <w:div w:id="152844487">
      <w:bodyDiv w:val="1"/>
      <w:marLeft w:val="0"/>
      <w:marRight w:val="0"/>
      <w:marTop w:val="0"/>
      <w:marBottom w:val="0"/>
      <w:divBdr>
        <w:top w:val="none" w:sz="0" w:space="0" w:color="auto"/>
        <w:left w:val="none" w:sz="0" w:space="0" w:color="auto"/>
        <w:bottom w:val="none" w:sz="0" w:space="0" w:color="auto"/>
        <w:right w:val="none" w:sz="0" w:space="0" w:color="auto"/>
      </w:divBdr>
      <w:divsChild>
        <w:div w:id="830634239">
          <w:marLeft w:val="0"/>
          <w:marRight w:val="0"/>
          <w:marTop w:val="0"/>
          <w:marBottom w:val="0"/>
          <w:divBdr>
            <w:top w:val="none" w:sz="0" w:space="0" w:color="auto"/>
            <w:left w:val="none" w:sz="0" w:space="0" w:color="auto"/>
            <w:bottom w:val="none" w:sz="0" w:space="0" w:color="auto"/>
            <w:right w:val="none" w:sz="0" w:space="0" w:color="auto"/>
          </w:divBdr>
          <w:divsChild>
            <w:div w:id="64881375">
              <w:marLeft w:val="-225"/>
              <w:marRight w:val="-225"/>
              <w:marTop w:val="0"/>
              <w:marBottom w:val="0"/>
              <w:divBdr>
                <w:top w:val="none" w:sz="0" w:space="0" w:color="auto"/>
                <w:left w:val="none" w:sz="0" w:space="0" w:color="auto"/>
                <w:bottom w:val="none" w:sz="0" w:space="0" w:color="auto"/>
                <w:right w:val="none" w:sz="0" w:space="0" w:color="auto"/>
              </w:divBdr>
              <w:divsChild>
                <w:div w:id="28068472">
                  <w:marLeft w:val="0"/>
                  <w:marRight w:val="0"/>
                  <w:marTop w:val="0"/>
                  <w:marBottom w:val="0"/>
                  <w:divBdr>
                    <w:top w:val="none" w:sz="0" w:space="0" w:color="auto"/>
                    <w:left w:val="none" w:sz="0" w:space="0" w:color="auto"/>
                    <w:bottom w:val="none" w:sz="0" w:space="0" w:color="auto"/>
                    <w:right w:val="none" w:sz="0" w:space="0" w:color="auto"/>
                  </w:divBdr>
                  <w:divsChild>
                    <w:div w:id="2215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37026">
          <w:marLeft w:val="0"/>
          <w:marRight w:val="0"/>
          <w:marTop w:val="0"/>
          <w:marBottom w:val="0"/>
          <w:divBdr>
            <w:top w:val="none" w:sz="0" w:space="0" w:color="auto"/>
            <w:left w:val="none" w:sz="0" w:space="0" w:color="auto"/>
            <w:bottom w:val="none" w:sz="0" w:space="0" w:color="auto"/>
            <w:right w:val="none" w:sz="0" w:space="0" w:color="auto"/>
          </w:divBdr>
          <w:divsChild>
            <w:div w:id="902834838">
              <w:marLeft w:val="-225"/>
              <w:marRight w:val="-225"/>
              <w:marTop w:val="0"/>
              <w:marBottom w:val="0"/>
              <w:divBdr>
                <w:top w:val="none" w:sz="0" w:space="0" w:color="auto"/>
                <w:left w:val="none" w:sz="0" w:space="0" w:color="auto"/>
                <w:bottom w:val="none" w:sz="0" w:space="0" w:color="auto"/>
                <w:right w:val="none" w:sz="0" w:space="0" w:color="auto"/>
              </w:divBdr>
              <w:divsChild>
                <w:div w:id="1423065367">
                  <w:marLeft w:val="0"/>
                  <w:marRight w:val="0"/>
                  <w:marTop w:val="0"/>
                  <w:marBottom w:val="0"/>
                  <w:divBdr>
                    <w:top w:val="none" w:sz="0" w:space="0" w:color="auto"/>
                    <w:left w:val="none" w:sz="0" w:space="0" w:color="auto"/>
                    <w:bottom w:val="none" w:sz="0" w:space="0" w:color="auto"/>
                    <w:right w:val="none" w:sz="0" w:space="0" w:color="auto"/>
                  </w:divBdr>
                  <w:divsChild>
                    <w:div w:id="1432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5382">
          <w:marLeft w:val="0"/>
          <w:marRight w:val="0"/>
          <w:marTop w:val="0"/>
          <w:marBottom w:val="0"/>
          <w:divBdr>
            <w:top w:val="none" w:sz="0" w:space="0" w:color="auto"/>
            <w:left w:val="none" w:sz="0" w:space="0" w:color="auto"/>
            <w:bottom w:val="none" w:sz="0" w:space="0" w:color="auto"/>
            <w:right w:val="none" w:sz="0" w:space="0" w:color="auto"/>
          </w:divBdr>
        </w:div>
        <w:div w:id="1963148907">
          <w:marLeft w:val="0"/>
          <w:marRight w:val="0"/>
          <w:marTop w:val="0"/>
          <w:marBottom w:val="0"/>
          <w:divBdr>
            <w:top w:val="none" w:sz="0" w:space="0" w:color="auto"/>
            <w:left w:val="none" w:sz="0" w:space="0" w:color="auto"/>
            <w:bottom w:val="none" w:sz="0" w:space="0" w:color="auto"/>
            <w:right w:val="none" w:sz="0" w:space="0" w:color="auto"/>
          </w:divBdr>
          <w:divsChild>
            <w:div w:id="1006132754">
              <w:marLeft w:val="0"/>
              <w:marRight w:val="0"/>
              <w:marTop w:val="0"/>
              <w:marBottom w:val="0"/>
              <w:divBdr>
                <w:top w:val="single" w:sz="6" w:space="24" w:color="EBEEF5"/>
                <w:left w:val="none" w:sz="0" w:space="0" w:color="auto"/>
                <w:bottom w:val="single" w:sz="6" w:space="18" w:color="EBEEF5"/>
                <w:right w:val="none" w:sz="0" w:space="0" w:color="auto"/>
              </w:divBdr>
              <w:divsChild>
                <w:div w:id="1545367151">
                  <w:marLeft w:val="0"/>
                  <w:marRight w:val="0"/>
                  <w:marTop w:val="0"/>
                  <w:marBottom w:val="0"/>
                  <w:divBdr>
                    <w:top w:val="none" w:sz="0" w:space="0" w:color="auto"/>
                    <w:left w:val="none" w:sz="0" w:space="0" w:color="auto"/>
                    <w:bottom w:val="none" w:sz="0" w:space="0" w:color="auto"/>
                    <w:right w:val="none" w:sz="0" w:space="0" w:color="auto"/>
                  </w:divBdr>
                  <w:divsChild>
                    <w:div w:id="1775396597">
                      <w:marLeft w:val="0"/>
                      <w:marRight w:val="0"/>
                      <w:marTop w:val="0"/>
                      <w:marBottom w:val="0"/>
                      <w:divBdr>
                        <w:top w:val="none" w:sz="0" w:space="0" w:color="auto"/>
                        <w:left w:val="none" w:sz="0" w:space="0" w:color="auto"/>
                        <w:bottom w:val="none" w:sz="0" w:space="0" w:color="auto"/>
                        <w:right w:val="none" w:sz="0" w:space="0" w:color="auto"/>
                      </w:divBdr>
                      <w:divsChild>
                        <w:div w:id="19134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03145">
      <w:bodyDiv w:val="1"/>
      <w:marLeft w:val="0"/>
      <w:marRight w:val="0"/>
      <w:marTop w:val="0"/>
      <w:marBottom w:val="0"/>
      <w:divBdr>
        <w:top w:val="none" w:sz="0" w:space="0" w:color="auto"/>
        <w:left w:val="none" w:sz="0" w:space="0" w:color="auto"/>
        <w:bottom w:val="none" w:sz="0" w:space="0" w:color="auto"/>
        <w:right w:val="none" w:sz="0" w:space="0" w:color="auto"/>
      </w:divBdr>
    </w:div>
    <w:div w:id="160971307">
      <w:bodyDiv w:val="1"/>
      <w:marLeft w:val="0"/>
      <w:marRight w:val="0"/>
      <w:marTop w:val="0"/>
      <w:marBottom w:val="0"/>
      <w:divBdr>
        <w:top w:val="none" w:sz="0" w:space="0" w:color="auto"/>
        <w:left w:val="none" w:sz="0" w:space="0" w:color="auto"/>
        <w:bottom w:val="none" w:sz="0" w:space="0" w:color="auto"/>
        <w:right w:val="none" w:sz="0" w:space="0" w:color="auto"/>
      </w:divBdr>
    </w:div>
    <w:div w:id="162551999">
      <w:bodyDiv w:val="1"/>
      <w:marLeft w:val="0"/>
      <w:marRight w:val="0"/>
      <w:marTop w:val="0"/>
      <w:marBottom w:val="0"/>
      <w:divBdr>
        <w:top w:val="none" w:sz="0" w:space="0" w:color="auto"/>
        <w:left w:val="none" w:sz="0" w:space="0" w:color="auto"/>
        <w:bottom w:val="none" w:sz="0" w:space="0" w:color="auto"/>
        <w:right w:val="none" w:sz="0" w:space="0" w:color="auto"/>
      </w:divBdr>
    </w:div>
    <w:div w:id="162597603">
      <w:bodyDiv w:val="1"/>
      <w:marLeft w:val="0"/>
      <w:marRight w:val="0"/>
      <w:marTop w:val="0"/>
      <w:marBottom w:val="0"/>
      <w:divBdr>
        <w:top w:val="none" w:sz="0" w:space="0" w:color="auto"/>
        <w:left w:val="none" w:sz="0" w:space="0" w:color="auto"/>
        <w:bottom w:val="none" w:sz="0" w:space="0" w:color="auto"/>
        <w:right w:val="none" w:sz="0" w:space="0" w:color="auto"/>
      </w:divBdr>
    </w:div>
    <w:div w:id="164175074">
      <w:bodyDiv w:val="1"/>
      <w:marLeft w:val="0"/>
      <w:marRight w:val="0"/>
      <w:marTop w:val="0"/>
      <w:marBottom w:val="0"/>
      <w:divBdr>
        <w:top w:val="none" w:sz="0" w:space="0" w:color="auto"/>
        <w:left w:val="none" w:sz="0" w:space="0" w:color="auto"/>
        <w:bottom w:val="none" w:sz="0" w:space="0" w:color="auto"/>
        <w:right w:val="none" w:sz="0" w:space="0" w:color="auto"/>
      </w:divBdr>
    </w:div>
    <w:div w:id="165367188">
      <w:bodyDiv w:val="1"/>
      <w:marLeft w:val="0"/>
      <w:marRight w:val="0"/>
      <w:marTop w:val="0"/>
      <w:marBottom w:val="0"/>
      <w:divBdr>
        <w:top w:val="none" w:sz="0" w:space="0" w:color="auto"/>
        <w:left w:val="none" w:sz="0" w:space="0" w:color="auto"/>
        <w:bottom w:val="none" w:sz="0" w:space="0" w:color="auto"/>
        <w:right w:val="none" w:sz="0" w:space="0" w:color="auto"/>
      </w:divBdr>
    </w:div>
    <w:div w:id="166331172">
      <w:bodyDiv w:val="1"/>
      <w:marLeft w:val="0"/>
      <w:marRight w:val="0"/>
      <w:marTop w:val="0"/>
      <w:marBottom w:val="0"/>
      <w:divBdr>
        <w:top w:val="none" w:sz="0" w:space="0" w:color="auto"/>
        <w:left w:val="none" w:sz="0" w:space="0" w:color="auto"/>
        <w:bottom w:val="none" w:sz="0" w:space="0" w:color="auto"/>
        <w:right w:val="none" w:sz="0" w:space="0" w:color="auto"/>
      </w:divBdr>
    </w:div>
    <w:div w:id="169368602">
      <w:bodyDiv w:val="1"/>
      <w:marLeft w:val="0"/>
      <w:marRight w:val="0"/>
      <w:marTop w:val="0"/>
      <w:marBottom w:val="0"/>
      <w:divBdr>
        <w:top w:val="none" w:sz="0" w:space="0" w:color="auto"/>
        <w:left w:val="none" w:sz="0" w:space="0" w:color="auto"/>
        <w:bottom w:val="none" w:sz="0" w:space="0" w:color="auto"/>
        <w:right w:val="none" w:sz="0" w:space="0" w:color="auto"/>
      </w:divBdr>
    </w:div>
    <w:div w:id="170070974">
      <w:bodyDiv w:val="1"/>
      <w:marLeft w:val="0"/>
      <w:marRight w:val="0"/>
      <w:marTop w:val="0"/>
      <w:marBottom w:val="0"/>
      <w:divBdr>
        <w:top w:val="none" w:sz="0" w:space="0" w:color="auto"/>
        <w:left w:val="none" w:sz="0" w:space="0" w:color="auto"/>
        <w:bottom w:val="none" w:sz="0" w:space="0" w:color="auto"/>
        <w:right w:val="none" w:sz="0" w:space="0" w:color="auto"/>
      </w:divBdr>
    </w:div>
    <w:div w:id="170148543">
      <w:bodyDiv w:val="1"/>
      <w:marLeft w:val="0"/>
      <w:marRight w:val="0"/>
      <w:marTop w:val="0"/>
      <w:marBottom w:val="0"/>
      <w:divBdr>
        <w:top w:val="none" w:sz="0" w:space="0" w:color="auto"/>
        <w:left w:val="none" w:sz="0" w:space="0" w:color="auto"/>
        <w:bottom w:val="none" w:sz="0" w:space="0" w:color="auto"/>
        <w:right w:val="none" w:sz="0" w:space="0" w:color="auto"/>
      </w:divBdr>
    </w:div>
    <w:div w:id="175196432">
      <w:bodyDiv w:val="1"/>
      <w:marLeft w:val="0"/>
      <w:marRight w:val="0"/>
      <w:marTop w:val="0"/>
      <w:marBottom w:val="0"/>
      <w:divBdr>
        <w:top w:val="none" w:sz="0" w:space="0" w:color="auto"/>
        <w:left w:val="none" w:sz="0" w:space="0" w:color="auto"/>
        <w:bottom w:val="none" w:sz="0" w:space="0" w:color="auto"/>
        <w:right w:val="none" w:sz="0" w:space="0" w:color="auto"/>
      </w:divBdr>
    </w:div>
    <w:div w:id="175733784">
      <w:bodyDiv w:val="1"/>
      <w:marLeft w:val="0"/>
      <w:marRight w:val="0"/>
      <w:marTop w:val="0"/>
      <w:marBottom w:val="0"/>
      <w:divBdr>
        <w:top w:val="none" w:sz="0" w:space="0" w:color="auto"/>
        <w:left w:val="none" w:sz="0" w:space="0" w:color="auto"/>
        <w:bottom w:val="none" w:sz="0" w:space="0" w:color="auto"/>
        <w:right w:val="none" w:sz="0" w:space="0" w:color="auto"/>
      </w:divBdr>
    </w:div>
    <w:div w:id="178323539">
      <w:bodyDiv w:val="1"/>
      <w:marLeft w:val="0"/>
      <w:marRight w:val="0"/>
      <w:marTop w:val="0"/>
      <w:marBottom w:val="0"/>
      <w:divBdr>
        <w:top w:val="none" w:sz="0" w:space="0" w:color="auto"/>
        <w:left w:val="none" w:sz="0" w:space="0" w:color="auto"/>
        <w:bottom w:val="none" w:sz="0" w:space="0" w:color="auto"/>
        <w:right w:val="none" w:sz="0" w:space="0" w:color="auto"/>
      </w:divBdr>
    </w:div>
    <w:div w:id="178470722">
      <w:bodyDiv w:val="1"/>
      <w:marLeft w:val="0"/>
      <w:marRight w:val="0"/>
      <w:marTop w:val="0"/>
      <w:marBottom w:val="0"/>
      <w:divBdr>
        <w:top w:val="none" w:sz="0" w:space="0" w:color="auto"/>
        <w:left w:val="none" w:sz="0" w:space="0" w:color="auto"/>
        <w:bottom w:val="none" w:sz="0" w:space="0" w:color="auto"/>
        <w:right w:val="none" w:sz="0" w:space="0" w:color="auto"/>
      </w:divBdr>
    </w:div>
    <w:div w:id="178662718">
      <w:bodyDiv w:val="1"/>
      <w:marLeft w:val="0"/>
      <w:marRight w:val="0"/>
      <w:marTop w:val="0"/>
      <w:marBottom w:val="0"/>
      <w:divBdr>
        <w:top w:val="none" w:sz="0" w:space="0" w:color="auto"/>
        <w:left w:val="none" w:sz="0" w:space="0" w:color="auto"/>
        <w:bottom w:val="none" w:sz="0" w:space="0" w:color="auto"/>
        <w:right w:val="none" w:sz="0" w:space="0" w:color="auto"/>
      </w:divBdr>
    </w:div>
    <w:div w:id="192428261">
      <w:bodyDiv w:val="1"/>
      <w:marLeft w:val="0"/>
      <w:marRight w:val="0"/>
      <w:marTop w:val="0"/>
      <w:marBottom w:val="0"/>
      <w:divBdr>
        <w:top w:val="none" w:sz="0" w:space="0" w:color="auto"/>
        <w:left w:val="none" w:sz="0" w:space="0" w:color="auto"/>
        <w:bottom w:val="none" w:sz="0" w:space="0" w:color="auto"/>
        <w:right w:val="none" w:sz="0" w:space="0" w:color="auto"/>
      </w:divBdr>
      <w:divsChild>
        <w:div w:id="11150065">
          <w:marLeft w:val="0"/>
          <w:marRight w:val="0"/>
          <w:marTop w:val="0"/>
          <w:marBottom w:val="0"/>
          <w:divBdr>
            <w:top w:val="none" w:sz="0" w:space="0" w:color="auto"/>
            <w:left w:val="none" w:sz="0" w:space="0" w:color="auto"/>
            <w:bottom w:val="none" w:sz="0" w:space="0" w:color="auto"/>
            <w:right w:val="none" w:sz="0" w:space="0" w:color="auto"/>
          </w:divBdr>
          <w:divsChild>
            <w:div w:id="132799504">
              <w:marLeft w:val="-225"/>
              <w:marRight w:val="-225"/>
              <w:marTop w:val="0"/>
              <w:marBottom w:val="0"/>
              <w:divBdr>
                <w:top w:val="none" w:sz="0" w:space="0" w:color="auto"/>
                <w:left w:val="none" w:sz="0" w:space="0" w:color="auto"/>
                <w:bottom w:val="none" w:sz="0" w:space="0" w:color="auto"/>
                <w:right w:val="none" w:sz="0" w:space="0" w:color="auto"/>
              </w:divBdr>
              <w:divsChild>
                <w:div w:id="168370338">
                  <w:marLeft w:val="0"/>
                  <w:marRight w:val="0"/>
                  <w:marTop w:val="0"/>
                  <w:marBottom w:val="0"/>
                  <w:divBdr>
                    <w:top w:val="none" w:sz="0" w:space="0" w:color="auto"/>
                    <w:left w:val="none" w:sz="0" w:space="0" w:color="auto"/>
                    <w:bottom w:val="none" w:sz="0" w:space="0" w:color="auto"/>
                    <w:right w:val="none" w:sz="0" w:space="0" w:color="auto"/>
                  </w:divBdr>
                  <w:divsChild>
                    <w:div w:id="4009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4791">
          <w:marLeft w:val="0"/>
          <w:marRight w:val="0"/>
          <w:marTop w:val="0"/>
          <w:marBottom w:val="0"/>
          <w:divBdr>
            <w:top w:val="none" w:sz="0" w:space="0" w:color="auto"/>
            <w:left w:val="none" w:sz="0" w:space="0" w:color="auto"/>
            <w:bottom w:val="none" w:sz="0" w:space="0" w:color="auto"/>
            <w:right w:val="none" w:sz="0" w:space="0" w:color="auto"/>
          </w:divBdr>
          <w:divsChild>
            <w:div w:id="1463304631">
              <w:marLeft w:val="-225"/>
              <w:marRight w:val="-225"/>
              <w:marTop w:val="0"/>
              <w:marBottom w:val="0"/>
              <w:divBdr>
                <w:top w:val="none" w:sz="0" w:space="0" w:color="auto"/>
                <w:left w:val="none" w:sz="0" w:space="0" w:color="auto"/>
                <w:bottom w:val="none" w:sz="0" w:space="0" w:color="auto"/>
                <w:right w:val="none" w:sz="0" w:space="0" w:color="auto"/>
              </w:divBdr>
              <w:divsChild>
                <w:div w:id="613442406">
                  <w:marLeft w:val="0"/>
                  <w:marRight w:val="0"/>
                  <w:marTop w:val="0"/>
                  <w:marBottom w:val="0"/>
                  <w:divBdr>
                    <w:top w:val="none" w:sz="0" w:space="0" w:color="auto"/>
                    <w:left w:val="none" w:sz="0" w:space="0" w:color="auto"/>
                    <w:bottom w:val="none" w:sz="0" w:space="0" w:color="auto"/>
                    <w:right w:val="none" w:sz="0" w:space="0" w:color="auto"/>
                  </w:divBdr>
                  <w:divsChild>
                    <w:div w:id="16832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4554">
          <w:marLeft w:val="0"/>
          <w:marRight w:val="0"/>
          <w:marTop w:val="0"/>
          <w:marBottom w:val="0"/>
          <w:divBdr>
            <w:top w:val="none" w:sz="0" w:space="0" w:color="auto"/>
            <w:left w:val="none" w:sz="0" w:space="0" w:color="auto"/>
            <w:bottom w:val="none" w:sz="0" w:space="0" w:color="auto"/>
            <w:right w:val="none" w:sz="0" w:space="0" w:color="auto"/>
          </w:divBdr>
          <w:divsChild>
            <w:div w:id="1553225759">
              <w:marLeft w:val="0"/>
              <w:marRight w:val="0"/>
              <w:marTop w:val="0"/>
              <w:marBottom w:val="0"/>
              <w:divBdr>
                <w:top w:val="single" w:sz="6" w:space="24" w:color="EBEEF5"/>
                <w:left w:val="none" w:sz="0" w:space="0" w:color="auto"/>
                <w:bottom w:val="single" w:sz="6" w:space="18" w:color="EBEEF5"/>
                <w:right w:val="none" w:sz="0" w:space="0" w:color="auto"/>
              </w:divBdr>
              <w:divsChild>
                <w:div w:id="1506894650">
                  <w:marLeft w:val="0"/>
                  <w:marRight w:val="0"/>
                  <w:marTop w:val="0"/>
                  <w:marBottom w:val="0"/>
                  <w:divBdr>
                    <w:top w:val="none" w:sz="0" w:space="0" w:color="auto"/>
                    <w:left w:val="none" w:sz="0" w:space="0" w:color="auto"/>
                    <w:bottom w:val="none" w:sz="0" w:space="0" w:color="auto"/>
                    <w:right w:val="none" w:sz="0" w:space="0" w:color="auto"/>
                  </w:divBdr>
                  <w:divsChild>
                    <w:div w:id="2366862">
                      <w:marLeft w:val="0"/>
                      <w:marRight w:val="0"/>
                      <w:marTop w:val="0"/>
                      <w:marBottom w:val="0"/>
                      <w:divBdr>
                        <w:top w:val="none" w:sz="0" w:space="0" w:color="auto"/>
                        <w:left w:val="none" w:sz="0" w:space="0" w:color="auto"/>
                        <w:bottom w:val="none" w:sz="0" w:space="0" w:color="auto"/>
                        <w:right w:val="none" w:sz="0" w:space="0" w:color="auto"/>
                      </w:divBdr>
                      <w:divsChild>
                        <w:div w:id="107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43337">
          <w:marLeft w:val="0"/>
          <w:marRight w:val="0"/>
          <w:marTop w:val="0"/>
          <w:marBottom w:val="0"/>
          <w:divBdr>
            <w:top w:val="none" w:sz="0" w:space="0" w:color="auto"/>
            <w:left w:val="none" w:sz="0" w:space="0" w:color="auto"/>
            <w:bottom w:val="none" w:sz="0" w:space="0" w:color="auto"/>
            <w:right w:val="none" w:sz="0" w:space="0" w:color="auto"/>
          </w:divBdr>
        </w:div>
      </w:divsChild>
    </w:div>
    <w:div w:id="193075974">
      <w:bodyDiv w:val="1"/>
      <w:marLeft w:val="0"/>
      <w:marRight w:val="0"/>
      <w:marTop w:val="0"/>
      <w:marBottom w:val="0"/>
      <w:divBdr>
        <w:top w:val="none" w:sz="0" w:space="0" w:color="auto"/>
        <w:left w:val="none" w:sz="0" w:space="0" w:color="auto"/>
        <w:bottom w:val="none" w:sz="0" w:space="0" w:color="auto"/>
        <w:right w:val="none" w:sz="0" w:space="0" w:color="auto"/>
      </w:divBdr>
    </w:div>
    <w:div w:id="193543964">
      <w:bodyDiv w:val="1"/>
      <w:marLeft w:val="0"/>
      <w:marRight w:val="0"/>
      <w:marTop w:val="0"/>
      <w:marBottom w:val="0"/>
      <w:divBdr>
        <w:top w:val="none" w:sz="0" w:space="0" w:color="auto"/>
        <w:left w:val="none" w:sz="0" w:space="0" w:color="auto"/>
        <w:bottom w:val="none" w:sz="0" w:space="0" w:color="auto"/>
        <w:right w:val="none" w:sz="0" w:space="0" w:color="auto"/>
      </w:divBdr>
    </w:div>
    <w:div w:id="194270922">
      <w:bodyDiv w:val="1"/>
      <w:marLeft w:val="0"/>
      <w:marRight w:val="0"/>
      <w:marTop w:val="0"/>
      <w:marBottom w:val="0"/>
      <w:divBdr>
        <w:top w:val="none" w:sz="0" w:space="0" w:color="auto"/>
        <w:left w:val="none" w:sz="0" w:space="0" w:color="auto"/>
        <w:bottom w:val="none" w:sz="0" w:space="0" w:color="auto"/>
        <w:right w:val="none" w:sz="0" w:space="0" w:color="auto"/>
      </w:divBdr>
    </w:div>
    <w:div w:id="195655185">
      <w:bodyDiv w:val="1"/>
      <w:marLeft w:val="0"/>
      <w:marRight w:val="0"/>
      <w:marTop w:val="0"/>
      <w:marBottom w:val="0"/>
      <w:divBdr>
        <w:top w:val="none" w:sz="0" w:space="0" w:color="auto"/>
        <w:left w:val="none" w:sz="0" w:space="0" w:color="auto"/>
        <w:bottom w:val="none" w:sz="0" w:space="0" w:color="auto"/>
        <w:right w:val="none" w:sz="0" w:space="0" w:color="auto"/>
      </w:divBdr>
      <w:divsChild>
        <w:div w:id="14232099">
          <w:marLeft w:val="0"/>
          <w:marRight w:val="0"/>
          <w:marTop w:val="0"/>
          <w:marBottom w:val="0"/>
          <w:divBdr>
            <w:top w:val="none" w:sz="0" w:space="0" w:color="auto"/>
            <w:left w:val="none" w:sz="0" w:space="0" w:color="auto"/>
            <w:bottom w:val="none" w:sz="0" w:space="0" w:color="auto"/>
            <w:right w:val="none" w:sz="0" w:space="0" w:color="auto"/>
          </w:divBdr>
          <w:divsChild>
            <w:div w:id="1619724755">
              <w:marLeft w:val="-225"/>
              <w:marRight w:val="-225"/>
              <w:marTop w:val="0"/>
              <w:marBottom w:val="0"/>
              <w:divBdr>
                <w:top w:val="none" w:sz="0" w:space="0" w:color="auto"/>
                <w:left w:val="none" w:sz="0" w:space="0" w:color="auto"/>
                <w:bottom w:val="none" w:sz="0" w:space="0" w:color="auto"/>
                <w:right w:val="none" w:sz="0" w:space="0" w:color="auto"/>
              </w:divBdr>
              <w:divsChild>
                <w:div w:id="54937391">
                  <w:marLeft w:val="0"/>
                  <w:marRight w:val="0"/>
                  <w:marTop w:val="0"/>
                  <w:marBottom w:val="0"/>
                  <w:divBdr>
                    <w:top w:val="none" w:sz="0" w:space="0" w:color="auto"/>
                    <w:left w:val="none" w:sz="0" w:space="0" w:color="auto"/>
                    <w:bottom w:val="none" w:sz="0" w:space="0" w:color="auto"/>
                    <w:right w:val="none" w:sz="0" w:space="0" w:color="auto"/>
                  </w:divBdr>
                  <w:divsChild>
                    <w:div w:id="19420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33873">
          <w:marLeft w:val="0"/>
          <w:marRight w:val="0"/>
          <w:marTop w:val="0"/>
          <w:marBottom w:val="0"/>
          <w:divBdr>
            <w:top w:val="none" w:sz="0" w:space="0" w:color="auto"/>
            <w:left w:val="none" w:sz="0" w:space="0" w:color="auto"/>
            <w:bottom w:val="none" w:sz="0" w:space="0" w:color="auto"/>
            <w:right w:val="none" w:sz="0" w:space="0" w:color="auto"/>
          </w:divBdr>
          <w:divsChild>
            <w:div w:id="321003684">
              <w:marLeft w:val="-225"/>
              <w:marRight w:val="-225"/>
              <w:marTop w:val="0"/>
              <w:marBottom w:val="0"/>
              <w:divBdr>
                <w:top w:val="none" w:sz="0" w:space="0" w:color="auto"/>
                <w:left w:val="none" w:sz="0" w:space="0" w:color="auto"/>
                <w:bottom w:val="none" w:sz="0" w:space="0" w:color="auto"/>
                <w:right w:val="none" w:sz="0" w:space="0" w:color="auto"/>
              </w:divBdr>
              <w:divsChild>
                <w:div w:id="826285158">
                  <w:marLeft w:val="0"/>
                  <w:marRight w:val="0"/>
                  <w:marTop w:val="0"/>
                  <w:marBottom w:val="0"/>
                  <w:divBdr>
                    <w:top w:val="none" w:sz="0" w:space="0" w:color="auto"/>
                    <w:left w:val="none" w:sz="0" w:space="0" w:color="auto"/>
                    <w:bottom w:val="none" w:sz="0" w:space="0" w:color="auto"/>
                    <w:right w:val="none" w:sz="0" w:space="0" w:color="auto"/>
                  </w:divBdr>
                  <w:divsChild>
                    <w:div w:id="18741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17913">
          <w:marLeft w:val="0"/>
          <w:marRight w:val="0"/>
          <w:marTop w:val="0"/>
          <w:marBottom w:val="0"/>
          <w:divBdr>
            <w:top w:val="none" w:sz="0" w:space="0" w:color="auto"/>
            <w:left w:val="none" w:sz="0" w:space="0" w:color="auto"/>
            <w:bottom w:val="none" w:sz="0" w:space="0" w:color="auto"/>
            <w:right w:val="none" w:sz="0" w:space="0" w:color="auto"/>
          </w:divBdr>
        </w:div>
        <w:div w:id="1338581741">
          <w:marLeft w:val="0"/>
          <w:marRight w:val="0"/>
          <w:marTop w:val="0"/>
          <w:marBottom w:val="0"/>
          <w:divBdr>
            <w:top w:val="none" w:sz="0" w:space="0" w:color="auto"/>
            <w:left w:val="none" w:sz="0" w:space="0" w:color="auto"/>
            <w:bottom w:val="none" w:sz="0" w:space="0" w:color="auto"/>
            <w:right w:val="none" w:sz="0" w:space="0" w:color="auto"/>
          </w:divBdr>
          <w:divsChild>
            <w:div w:id="630595004">
              <w:marLeft w:val="0"/>
              <w:marRight w:val="0"/>
              <w:marTop w:val="0"/>
              <w:marBottom w:val="0"/>
              <w:divBdr>
                <w:top w:val="single" w:sz="6" w:space="24" w:color="EBEEF5"/>
                <w:left w:val="none" w:sz="0" w:space="0" w:color="auto"/>
                <w:bottom w:val="single" w:sz="6" w:space="18" w:color="EBEEF5"/>
                <w:right w:val="none" w:sz="0" w:space="0" w:color="auto"/>
              </w:divBdr>
              <w:divsChild>
                <w:div w:id="239872848">
                  <w:marLeft w:val="0"/>
                  <w:marRight w:val="0"/>
                  <w:marTop w:val="0"/>
                  <w:marBottom w:val="0"/>
                  <w:divBdr>
                    <w:top w:val="none" w:sz="0" w:space="0" w:color="auto"/>
                    <w:left w:val="none" w:sz="0" w:space="0" w:color="auto"/>
                    <w:bottom w:val="none" w:sz="0" w:space="0" w:color="auto"/>
                    <w:right w:val="none" w:sz="0" w:space="0" w:color="auto"/>
                  </w:divBdr>
                  <w:divsChild>
                    <w:div w:id="1620380760">
                      <w:marLeft w:val="0"/>
                      <w:marRight w:val="0"/>
                      <w:marTop w:val="0"/>
                      <w:marBottom w:val="0"/>
                      <w:divBdr>
                        <w:top w:val="none" w:sz="0" w:space="0" w:color="auto"/>
                        <w:left w:val="none" w:sz="0" w:space="0" w:color="auto"/>
                        <w:bottom w:val="none" w:sz="0" w:space="0" w:color="auto"/>
                        <w:right w:val="none" w:sz="0" w:space="0" w:color="auto"/>
                      </w:divBdr>
                      <w:divsChild>
                        <w:div w:id="12854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0661">
      <w:bodyDiv w:val="1"/>
      <w:marLeft w:val="0"/>
      <w:marRight w:val="0"/>
      <w:marTop w:val="0"/>
      <w:marBottom w:val="0"/>
      <w:divBdr>
        <w:top w:val="none" w:sz="0" w:space="0" w:color="auto"/>
        <w:left w:val="none" w:sz="0" w:space="0" w:color="auto"/>
        <w:bottom w:val="none" w:sz="0" w:space="0" w:color="auto"/>
        <w:right w:val="none" w:sz="0" w:space="0" w:color="auto"/>
      </w:divBdr>
    </w:div>
    <w:div w:id="199317815">
      <w:bodyDiv w:val="1"/>
      <w:marLeft w:val="0"/>
      <w:marRight w:val="0"/>
      <w:marTop w:val="0"/>
      <w:marBottom w:val="0"/>
      <w:divBdr>
        <w:top w:val="none" w:sz="0" w:space="0" w:color="auto"/>
        <w:left w:val="none" w:sz="0" w:space="0" w:color="auto"/>
        <w:bottom w:val="none" w:sz="0" w:space="0" w:color="auto"/>
        <w:right w:val="none" w:sz="0" w:space="0" w:color="auto"/>
      </w:divBdr>
      <w:divsChild>
        <w:div w:id="878785043">
          <w:marLeft w:val="0"/>
          <w:marRight w:val="0"/>
          <w:marTop w:val="0"/>
          <w:marBottom w:val="0"/>
          <w:divBdr>
            <w:top w:val="none" w:sz="0" w:space="0" w:color="auto"/>
            <w:left w:val="none" w:sz="0" w:space="0" w:color="auto"/>
            <w:bottom w:val="none" w:sz="0" w:space="0" w:color="auto"/>
            <w:right w:val="none" w:sz="0" w:space="0" w:color="auto"/>
          </w:divBdr>
        </w:div>
        <w:div w:id="890531337">
          <w:marLeft w:val="0"/>
          <w:marRight w:val="0"/>
          <w:marTop w:val="0"/>
          <w:marBottom w:val="0"/>
          <w:divBdr>
            <w:top w:val="none" w:sz="0" w:space="0" w:color="auto"/>
            <w:left w:val="none" w:sz="0" w:space="0" w:color="auto"/>
            <w:bottom w:val="none" w:sz="0" w:space="0" w:color="auto"/>
            <w:right w:val="none" w:sz="0" w:space="0" w:color="auto"/>
          </w:divBdr>
          <w:divsChild>
            <w:div w:id="329911625">
              <w:marLeft w:val="0"/>
              <w:marRight w:val="0"/>
              <w:marTop w:val="0"/>
              <w:marBottom w:val="0"/>
              <w:divBdr>
                <w:top w:val="single" w:sz="6" w:space="24" w:color="EBEEF5"/>
                <w:left w:val="none" w:sz="0" w:space="0" w:color="auto"/>
                <w:bottom w:val="single" w:sz="6" w:space="18" w:color="EBEEF5"/>
                <w:right w:val="none" w:sz="0" w:space="0" w:color="auto"/>
              </w:divBdr>
              <w:divsChild>
                <w:div w:id="3478560">
                  <w:marLeft w:val="0"/>
                  <w:marRight w:val="0"/>
                  <w:marTop w:val="0"/>
                  <w:marBottom w:val="0"/>
                  <w:divBdr>
                    <w:top w:val="none" w:sz="0" w:space="0" w:color="auto"/>
                    <w:left w:val="none" w:sz="0" w:space="0" w:color="auto"/>
                    <w:bottom w:val="none" w:sz="0" w:space="0" w:color="auto"/>
                    <w:right w:val="none" w:sz="0" w:space="0" w:color="auto"/>
                  </w:divBdr>
                  <w:divsChild>
                    <w:div w:id="507252874">
                      <w:marLeft w:val="0"/>
                      <w:marRight w:val="0"/>
                      <w:marTop w:val="0"/>
                      <w:marBottom w:val="0"/>
                      <w:divBdr>
                        <w:top w:val="none" w:sz="0" w:space="0" w:color="auto"/>
                        <w:left w:val="none" w:sz="0" w:space="0" w:color="auto"/>
                        <w:bottom w:val="none" w:sz="0" w:space="0" w:color="auto"/>
                        <w:right w:val="none" w:sz="0" w:space="0" w:color="auto"/>
                      </w:divBdr>
                      <w:divsChild>
                        <w:div w:id="7444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131950">
          <w:marLeft w:val="0"/>
          <w:marRight w:val="0"/>
          <w:marTop w:val="0"/>
          <w:marBottom w:val="0"/>
          <w:divBdr>
            <w:top w:val="none" w:sz="0" w:space="0" w:color="auto"/>
            <w:left w:val="none" w:sz="0" w:space="0" w:color="auto"/>
            <w:bottom w:val="none" w:sz="0" w:space="0" w:color="auto"/>
            <w:right w:val="none" w:sz="0" w:space="0" w:color="auto"/>
          </w:divBdr>
          <w:divsChild>
            <w:div w:id="112677658">
              <w:marLeft w:val="-225"/>
              <w:marRight w:val="-225"/>
              <w:marTop w:val="0"/>
              <w:marBottom w:val="0"/>
              <w:divBdr>
                <w:top w:val="none" w:sz="0" w:space="0" w:color="auto"/>
                <w:left w:val="none" w:sz="0" w:space="0" w:color="auto"/>
                <w:bottom w:val="none" w:sz="0" w:space="0" w:color="auto"/>
                <w:right w:val="none" w:sz="0" w:space="0" w:color="auto"/>
              </w:divBdr>
              <w:divsChild>
                <w:div w:id="1877621634">
                  <w:marLeft w:val="0"/>
                  <w:marRight w:val="0"/>
                  <w:marTop w:val="0"/>
                  <w:marBottom w:val="0"/>
                  <w:divBdr>
                    <w:top w:val="none" w:sz="0" w:space="0" w:color="auto"/>
                    <w:left w:val="none" w:sz="0" w:space="0" w:color="auto"/>
                    <w:bottom w:val="none" w:sz="0" w:space="0" w:color="auto"/>
                    <w:right w:val="none" w:sz="0" w:space="0" w:color="auto"/>
                  </w:divBdr>
                  <w:divsChild>
                    <w:div w:id="15475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4258">
          <w:marLeft w:val="0"/>
          <w:marRight w:val="0"/>
          <w:marTop w:val="0"/>
          <w:marBottom w:val="0"/>
          <w:divBdr>
            <w:top w:val="none" w:sz="0" w:space="0" w:color="auto"/>
            <w:left w:val="none" w:sz="0" w:space="0" w:color="auto"/>
            <w:bottom w:val="none" w:sz="0" w:space="0" w:color="auto"/>
            <w:right w:val="none" w:sz="0" w:space="0" w:color="auto"/>
          </w:divBdr>
          <w:divsChild>
            <w:div w:id="1474979336">
              <w:marLeft w:val="-225"/>
              <w:marRight w:val="-225"/>
              <w:marTop w:val="0"/>
              <w:marBottom w:val="0"/>
              <w:divBdr>
                <w:top w:val="none" w:sz="0" w:space="0" w:color="auto"/>
                <w:left w:val="none" w:sz="0" w:space="0" w:color="auto"/>
                <w:bottom w:val="none" w:sz="0" w:space="0" w:color="auto"/>
                <w:right w:val="none" w:sz="0" w:space="0" w:color="auto"/>
              </w:divBdr>
              <w:divsChild>
                <w:div w:id="727725475">
                  <w:marLeft w:val="0"/>
                  <w:marRight w:val="0"/>
                  <w:marTop w:val="0"/>
                  <w:marBottom w:val="0"/>
                  <w:divBdr>
                    <w:top w:val="none" w:sz="0" w:space="0" w:color="auto"/>
                    <w:left w:val="none" w:sz="0" w:space="0" w:color="auto"/>
                    <w:bottom w:val="none" w:sz="0" w:space="0" w:color="auto"/>
                    <w:right w:val="none" w:sz="0" w:space="0" w:color="auto"/>
                  </w:divBdr>
                  <w:divsChild>
                    <w:div w:id="4325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4919">
      <w:bodyDiv w:val="1"/>
      <w:marLeft w:val="0"/>
      <w:marRight w:val="0"/>
      <w:marTop w:val="0"/>
      <w:marBottom w:val="0"/>
      <w:divBdr>
        <w:top w:val="none" w:sz="0" w:space="0" w:color="auto"/>
        <w:left w:val="none" w:sz="0" w:space="0" w:color="auto"/>
        <w:bottom w:val="none" w:sz="0" w:space="0" w:color="auto"/>
        <w:right w:val="none" w:sz="0" w:space="0" w:color="auto"/>
      </w:divBdr>
      <w:divsChild>
        <w:div w:id="57174667">
          <w:marLeft w:val="0"/>
          <w:marRight w:val="0"/>
          <w:marTop w:val="0"/>
          <w:marBottom w:val="0"/>
          <w:divBdr>
            <w:top w:val="none" w:sz="0" w:space="0" w:color="auto"/>
            <w:left w:val="none" w:sz="0" w:space="0" w:color="auto"/>
            <w:bottom w:val="none" w:sz="0" w:space="0" w:color="auto"/>
            <w:right w:val="none" w:sz="0" w:space="0" w:color="auto"/>
          </w:divBdr>
          <w:divsChild>
            <w:div w:id="1135610794">
              <w:marLeft w:val="-225"/>
              <w:marRight w:val="-225"/>
              <w:marTop w:val="0"/>
              <w:marBottom w:val="0"/>
              <w:divBdr>
                <w:top w:val="none" w:sz="0" w:space="0" w:color="auto"/>
                <w:left w:val="none" w:sz="0" w:space="0" w:color="auto"/>
                <w:bottom w:val="none" w:sz="0" w:space="0" w:color="auto"/>
                <w:right w:val="none" w:sz="0" w:space="0" w:color="auto"/>
              </w:divBdr>
              <w:divsChild>
                <w:div w:id="1263418811">
                  <w:marLeft w:val="0"/>
                  <w:marRight w:val="0"/>
                  <w:marTop w:val="0"/>
                  <w:marBottom w:val="0"/>
                  <w:divBdr>
                    <w:top w:val="none" w:sz="0" w:space="0" w:color="auto"/>
                    <w:left w:val="none" w:sz="0" w:space="0" w:color="auto"/>
                    <w:bottom w:val="none" w:sz="0" w:space="0" w:color="auto"/>
                    <w:right w:val="none" w:sz="0" w:space="0" w:color="auto"/>
                  </w:divBdr>
                  <w:divsChild>
                    <w:div w:id="619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5270">
          <w:marLeft w:val="0"/>
          <w:marRight w:val="0"/>
          <w:marTop w:val="0"/>
          <w:marBottom w:val="0"/>
          <w:divBdr>
            <w:top w:val="none" w:sz="0" w:space="0" w:color="auto"/>
            <w:left w:val="none" w:sz="0" w:space="0" w:color="auto"/>
            <w:bottom w:val="none" w:sz="0" w:space="0" w:color="auto"/>
            <w:right w:val="none" w:sz="0" w:space="0" w:color="auto"/>
          </w:divBdr>
          <w:divsChild>
            <w:div w:id="576063718">
              <w:marLeft w:val="-225"/>
              <w:marRight w:val="-225"/>
              <w:marTop w:val="0"/>
              <w:marBottom w:val="0"/>
              <w:divBdr>
                <w:top w:val="none" w:sz="0" w:space="0" w:color="auto"/>
                <w:left w:val="none" w:sz="0" w:space="0" w:color="auto"/>
                <w:bottom w:val="none" w:sz="0" w:space="0" w:color="auto"/>
                <w:right w:val="none" w:sz="0" w:space="0" w:color="auto"/>
              </w:divBdr>
              <w:divsChild>
                <w:div w:id="306596740">
                  <w:marLeft w:val="0"/>
                  <w:marRight w:val="0"/>
                  <w:marTop w:val="0"/>
                  <w:marBottom w:val="0"/>
                  <w:divBdr>
                    <w:top w:val="none" w:sz="0" w:space="0" w:color="auto"/>
                    <w:left w:val="none" w:sz="0" w:space="0" w:color="auto"/>
                    <w:bottom w:val="none" w:sz="0" w:space="0" w:color="auto"/>
                    <w:right w:val="none" w:sz="0" w:space="0" w:color="auto"/>
                  </w:divBdr>
                  <w:divsChild>
                    <w:div w:id="3486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28446">
          <w:marLeft w:val="0"/>
          <w:marRight w:val="0"/>
          <w:marTop w:val="0"/>
          <w:marBottom w:val="0"/>
          <w:divBdr>
            <w:top w:val="none" w:sz="0" w:space="0" w:color="auto"/>
            <w:left w:val="none" w:sz="0" w:space="0" w:color="auto"/>
            <w:bottom w:val="none" w:sz="0" w:space="0" w:color="auto"/>
            <w:right w:val="none" w:sz="0" w:space="0" w:color="auto"/>
          </w:divBdr>
          <w:divsChild>
            <w:div w:id="1386562298">
              <w:marLeft w:val="0"/>
              <w:marRight w:val="0"/>
              <w:marTop w:val="0"/>
              <w:marBottom w:val="0"/>
              <w:divBdr>
                <w:top w:val="none" w:sz="0" w:space="0" w:color="auto"/>
                <w:left w:val="none" w:sz="0" w:space="0" w:color="auto"/>
                <w:bottom w:val="none" w:sz="0" w:space="0" w:color="auto"/>
                <w:right w:val="none" w:sz="0" w:space="0" w:color="auto"/>
              </w:divBdr>
              <w:divsChild>
                <w:div w:id="1267039283">
                  <w:marLeft w:val="0"/>
                  <w:marRight w:val="0"/>
                  <w:marTop w:val="0"/>
                  <w:marBottom w:val="0"/>
                  <w:divBdr>
                    <w:top w:val="none" w:sz="0" w:space="0" w:color="auto"/>
                    <w:left w:val="none" w:sz="0" w:space="0" w:color="auto"/>
                    <w:bottom w:val="none" w:sz="0" w:space="0" w:color="auto"/>
                    <w:right w:val="none" w:sz="0" w:space="0" w:color="auto"/>
                  </w:divBdr>
                  <w:divsChild>
                    <w:div w:id="943268151">
                      <w:marLeft w:val="0"/>
                      <w:marRight w:val="0"/>
                      <w:marTop w:val="0"/>
                      <w:marBottom w:val="0"/>
                      <w:divBdr>
                        <w:top w:val="none" w:sz="0" w:space="0" w:color="auto"/>
                        <w:left w:val="none" w:sz="0" w:space="0" w:color="auto"/>
                        <w:bottom w:val="none" w:sz="0" w:space="0" w:color="auto"/>
                        <w:right w:val="none" w:sz="0" w:space="0" w:color="auto"/>
                      </w:divBdr>
                      <w:divsChild>
                        <w:div w:id="828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2144">
      <w:bodyDiv w:val="1"/>
      <w:marLeft w:val="0"/>
      <w:marRight w:val="0"/>
      <w:marTop w:val="0"/>
      <w:marBottom w:val="0"/>
      <w:divBdr>
        <w:top w:val="none" w:sz="0" w:space="0" w:color="auto"/>
        <w:left w:val="none" w:sz="0" w:space="0" w:color="auto"/>
        <w:bottom w:val="none" w:sz="0" w:space="0" w:color="auto"/>
        <w:right w:val="none" w:sz="0" w:space="0" w:color="auto"/>
      </w:divBdr>
    </w:div>
    <w:div w:id="203638270">
      <w:bodyDiv w:val="1"/>
      <w:marLeft w:val="0"/>
      <w:marRight w:val="0"/>
      <w:marTop w:val="0"/>
      <w:marBottom w:val="0"/>
      <w:divBdr>
        <w:top w:val="none" w:sz="0" w:space="0" w:color="auto"/>
        <w:left w:val="none" w:sz="0" w:space="0" w:color="auto"/>
        <w:bottom w:val="none" w:sz="0" w:space="0" w:color="auto"/>
        <w:right w:val="none" w:sz="0" w:space="0" w:color="auto"/>
      </w:divBdr>
    </w:div>
    <w:div w:id="204294014">
      <w:bodyDiv w:val="1"/>
      <w:marLeft w:val="0"/>
      <w:marRight w:val="0"/>
      <w:marTop w:val="0"/>
      <w:marBottom w:val="0"/>
      <w:divBdr>
        <w:top w:val="none" w:sz="0" w:space="0" w:color="auto"/>
        <w:left w:val="none" w:sz="0" w:space="0" w:color="auto"/>
        <w:bottom w:val="none" w:sz="0" w:space="0" w:color="auto"/>
        <w:right w:val="none" w:sz="0" w:space="0" w:color="auto"/>
      </w:divBdr>
    </w:div>
    <w:div w:id="205528159">
      <w:bodyDiv w:val="1"/>
      <w:marLeft w:val="0"/>
      <w:marRight w:val="0"/>
      <w:marTop w:val="0"/>
      <w:marBottom w:val="0"/>
      <w:divBdr>
        <w:top w:val="none" w:sz="0" w:space="0" w:color="auto"/>
        <w:left w:val="none" w:sz="0" w:space="0" w:color="auto"/>
        <w:bottom w:val="none" w:sz="0" w:space="0" w:color="auto"/>
        <w:right w:val="none" w:sz="0" w:space="0" w:color="auto"/>
      </w:divBdr>
      <w:divsChild>
        <w:div w:id="928268273">
          <w:marLeft w:val="-225"/>
          <w:marRight w:val="-225"/>
          <w:marTop w:val="0"/>
          <w:marBottom w:val="0"/>
          <w:divBdr>
            <w:top w:val="none" w:sz="0" w:space="0" w:color="auto"/>
            <w:left w:val="none" w:sz="0" w:space="0" w:color="auto"/>
            <w:bottom w:val="none" w:sz="0" w:space="0" w:color="auto"/>
            <w:right w:val="none" w:sz="0" w:space="0" w:color="auto"/>
          </w:divBdr>
          <w:divsChild>
            <w:div w:id="140999093">
              <w:marLeft w:val="0"/>
              <w:marRight w:val="0"/>
              <w:marTop w:val="0"/>
              <w:marBottom w:val="0"/>
              <w:divBdr>
                <w:top w:val="none" w:sz="0" w:space="0" w:color="auto"/>
                <w:left w:val="none" w:sz="0" w:space="0" w:color="auto"/>
                <w:bottom w:val="none" w:sz="0" w:space="0" w:color="auto"/>
                <w:right w:val="none" w:sz="0" w:space="0" w:color="auto"/>
              </w:divBdr>
              <w:divsChild>
                <w:div w:id="9445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5720">
      <w:bodyDiv w:val="1"/>
      <w:marLeft w:val="0"/>
      <w:marRight w:val="0"/>
      <w:marTop w:val="0"/>
      <w:marBottom w:val="0"/>
      <w:divBdr>
        <w:top w:val="none" w:sz="0" w:space="0" w:color="auto"/>
        <w:left w:val="none" w:sz="0" w:space="0" w:color="auto"/>
        <w:bottom w:val="none" w:sz="0" w:space="0" w:color="auto"/>
        <w:right w:val="none" w:sz="0" w:space="0" w:color="auto"/>
      </w:divBdr>
    </w:div>
    <w:div w:id="212472408">
      <w:bodyDiv w:val="1"/>
      <w:marLeft w:val="0"/>
      <w:marRight w:val="0"/>
      <w:marTop w:val="0"/>
      <w:marBottom w:val="0"/>
      <w:divBdr>
        <w:top w:val="none" w:sz="0" w:space="0" w:color="auto"/>
        <w:left w:val="none" w:sz="0" w:space="0" w:color="auto"/>
        <w:bottom w:val="none" w:sz="0" w:space="0" w:color="auto"/>
        <w:right w:val="none" w:sz="0" w:space="0" w:color="auto"/>
      </w:divBdr>
    </w:div>
    <w:div w:id="212497814">
      <w:bodyDiv w:val="1"/>
      <w:marLeft w:val="0"/>
      <w:marRight w:val="0"/>
      <w:marTop w:val="0"/>
      <w:marBottom w:val="0"/>
      <w:divBdr>
        <w:top w:val="none" w:sz="0" w:space="0" w:color="auto"/>
        <w:left w:val="none" w:sz="0" w:space="0" w:color="auto"/>
        <w:bottom w:val="none" w:sz="0" w:space="0" w:color="auto"/>
        <w:right w:val="none" w:sz="0" w:space="0" w:color="auto"/>
      </w:divBdr>
      <w:divsChild>
        <w:div w:id="33580147">
          <w:marLeft w:val="0"/>
          <w:marRight w:val="0"/>
          <w:marTop w:val="0"/>
          <w:marBottom w:val="0"/>
          <w:divBdr>
            <w:top w:val="none" w:sz="0" w:space="0" w:color="auto"/>
            <w:left w:val="none" w:sz="0" w:space="0" w:color="auto"/>
            <w:bottom w:val="none" w:sz="0" w:space="0" w:color="auto"/>
            <w:right w:val="none" w:sz="0" w:space="0" w:color="auto"/>
          </w:divBdr>
          <w:divsChild>
            <w:div w:id="535702241">
              <w:marLeft w:val="0"/>
              <w:marRight w:val="0"/>
              <w:marTop w:val="0"/>
              <w:marBottom w:val="0"/>
              <w:divBdr>
                <w:top w:val="single" w:sz="6" w:space="24" w:color="EBEEF5"/>
                <w:left w:val="none" w:sz="0" w:space="0" w:color="auto"/>
                <w:bottom w:val="single" w:sz="6" w:space="18" w:color="EBEEF5"/>
                <w:right w:val="none" w:sz="0" w:space="0" w:color="auto"/>
              </w:divBdr>
              <w:divsChild>
                <w:div w:id="748427213">
                  <w:marLeft w:val="0"/>
                  <w:marRight w:val="0"/>
                  <w:marTop w:val="0"/>
                  <w:marBottom w:val="0"/>
                  <w:divBdr>
                    <w:top w:val="none" w:sz="0" w:space="0" w:color="auto"/>
                    <w:left w:val="none" w:sz="0" w:space="0" w:color="auto"/>
                    <w:bottom w:val="none" w:sz="0" w:space="0" w:color="auto"/>
                    <w:right w:val="none" w:sz="0" w:space="0" w:color="auto"/>
                  </w:divBdr>
                  <w:divsChild>
                    <w:div w:id="1580208577">
                      <w:marLeft w:val="0"/>
                      <w:marRight w:val="0"/>
                      <w:marTop w:val="0"/>
                      <w:marBottom w:val="0"/>
                      <w:divBdr>
                        <w:top w:val="none" w:sz="0" w:space="0" w:color="auto"/>
                        <w:left w:val="none" w:sz="0" w:space="0" w:color="auto"/>
                        <w:bottom w:val="none" w:sz="0" w:space="0" w:color="auto"/>
                        <w:right w:val="none" w:sz="0" w:space="0" w:color="auto"/>
                      </w:divBdr>
                      <w:divsChild>
                        <w:div w:id="10092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4670">
          <w:marLeft w:val="0"/>
          <w:marRight w:val="0"/>
          <w:marTop w:val="0"/>
          <w:marBottom w:val="0"/>
          <w:divBdr>
            <w:top w:val="none" w:sz="0" w:space="0" w:color="auto"/>
            <w:left w:val="none" w:sz="0" w:space="0" w:color="auto"/>
            <w:bottom w:val="none" w:sz="0" w:space="0" w:color="auto"/>
            <w:right w:val="none" w:sz="0" w:space="0" w:color="auto"/>
          </w:divBdr>
        </w:div>
        <w:div w:id="331299822">
          <w:marLeft w:val="0"/>
          <w:marRight w:val="0"/>
          <w:marTop w:val="0"/>
          <w:marBottom w:val="0"/>
          <w:divBdr>
            <w:top w:val="none" w:sz="0" w:space="0" w:color="auto"/>
            <w:left w:val="none" w:sz="0" w:space="0" w:color="auto"/>
            <w:bottom w:val="none" w:sz="0" w:space="0" w:color="auto"/>
            <w:right w:val="none" w:sz="0" w:space="0" w:color="auto"/>
          </w:divBdr>
          <w:divsChild>
            <w:div w:id="1663777910">
              <w:marLeft w:val="-225"/>
              <w:marRight w:val="-225"/>
              <w:marTop w:val="0"/>
              <w:marBottom w:val="0"/>
              <w:divBdr>
                <w:top w:val="none" w:sz="0" w:space="0" w:color="auto"/>
                <w:left w:val="none" w:sz="0" w:space="0" w:color="auto"/>
                <w:bottom w:val="none" w:sz="0" w:space="0" w:color="auto"/>
                <w:right w:val="none" w:sz="0" w:space="0" w:color="auto"/>
              </w:divBdr>
              <w:divsChild>
                <w:div w:id="1895000968">
                  <w:marLeft w:val="0"/>
                  <w:marRight w:val="0"/>
                  <w:marTop w:val="0"/>
                  <w:marBottom w:val="0"/>
                  <w:divBdr>
                    <w:top w:val="none" w:sz="0" w:space="0" w:color="auto"/>
                    <w:left w:val="none" w:sz="0" w:space="0" w:color="auto"/>
                    <w:bottom w:val="none" w:sz="0" w:space="0" w:color="auto"/>
                    <w:right w:val="none" w:sz="0" w:space="0" w:color="auto"/>
                  </w:divBdr>
                  <w:divsChild>
                    <w:div w:id="1852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2597">
          <w:marLeft w:val="0"/>
          <w:marRight w:val="0"/>
          <w:marTop w:val="0"/>
          <w:marBottom w:val="0"/>
          <w:divBdr>
            <w:top w:val="none" w:sz="0" w:space="0" w:color="auto"/>
            <w:left w:val="none" w:sz="0" w:space="0" w:color="auto"/>
            <w:bottom w:val="none" w:sz="0" w:space="0" w:color="auto"/>
            <w:right w:val="none" w:sz="0" w:space="0" w:color="auto"/>
          </w:divBdr>
          <w:divsChild>
            <w:div w:id="269511856">
              <w:marLeft w:val="-225"/>
              <w:marRight w:val="-225"/>
              <w:marTop w:val="0"/>
              <w:marBottom w:val="0"/>
              <w:divBdr>
                <w:top w:val="none" w:sz="0" w:space="0" w:color="auto"/>
                <w:left w:val="none" w:sz="0" w:space="0" w:color="auto"/>
                <w:bottom w:val="none" w:sz="0" w:space="0" w:color="auto"/>
                <w:right w:val="none" w:sz="0" w:space="0" w:color="auto"/>
              </w:divBdr>
              <w:divsChild>
                <w:div w:id="408967325">
                  <w:marLeft w:val="0"/>
                  <w:marRight w:val="0"/>
                  <w:marTop w:val="0"/>
                  <w:marBottom w:val="0"/>
                  <w:divBdr>
                    <w:top w:val="none" w:sz="0" w:space="0" w:color="auto"/>
                    <w:left w:val="none" w:sz="0" w:space="0" w:color="auto"/>
                    <w:bottom w:val="none" w:sz="0" w:space="0" w:color="auto"/>
                    <w:right w:val="none" w:sz="0" w:space="0" w:color="auto"/>
                  </w:divBdr>
                  <w:divsChild>
                    <w:div w:id="7728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2401">
      <w:bodyDiv w:val="1"/>
      <w:marLeft w:val="0"/>
      <w:marRight w:val="0"/>
      <w:marTop w:val="0"/>
      <w:marBottom w:val="0"/>
      <w:divBdr>
        <w:top w:val="none" w:sz="0" w:space="0" w:color="auto"/>
        <w:left w:val="none" w:sz="0" w:space="0" w:color="auto"/>
        <w:bottom w:val="none" w:sz="0" w:space="0" w:color="auto"/>
        <w:right w:val="none" w:sz="0" w:space="0" w:color="auto"/>
      </w:divBdr>
    </w:div>
    <w:div w:id="217278234">
      <w:bodyDiv w:val="1"/>
      <w:marLeft w:val="0"/>
      <w:marRight w:val="0"/>
      <w:marTop w:val="0"/>
      <w:marBottom w:val="0"/>
      <w:divBdr>
        <w:top w:val="none" w:sz="0" w:space="0" w:color="auto"/>
        <w:left w:val="none" w:sz="0" w:space="0" w:color="auto"/>
        <w:bottom w:val="none" w:sz="0" w:space="0" w:color="auto"/>
        <w:right w:val="none" w:sz="0" w:space="0" w:color="auto"/>
      </w:divBdr>
    </w:div>
    <w:div w:id="218521358">
      <w:bodyDiv w:val="1"/>
      <w:marLeft w:val="0"/>
      <w:marRight w:val="0"/>
      <w:marTop w:val="0"/>
      <w:marBottom w:val="0"/>
      <w:divBdr>
        <w:top w:val="none" w:sz="0" w:space="0" w:color="auto"/>
        <w:left w:val="none" w:sz="0" w:space="0" w:color="auto"/>
        <w:bottom w:val="none" w:sz="0" w:space="0" w:color="auto"/>
        <w:right w:val="none" w:sz="0" w:space="0" w:color="auto"/>
      </w:divBdr>
    </w:div>
    <w:div w:id="219634123">
      <w:bodyDiv w:val="1"/>
      <w:marLeft w:val="0"/>
      <w:marRight w:val="0"/>
      <w:marTop w:val="0"/>
      <w:marBottom w:val="0"/>
      <w:divBdr>
        <w:top w:val="none" w:sz="0" w:space="0" w:color="auto"/>
        <w:left w:val="none" w:sz="0" w:space="0" w:color="auto"/>
        <w:bottom w:val="none" w:sz="0" w:space="0" w:color="auto"/>
        <w:right w:val="none" w:sz="0" w:space="0" w:color="auto"/>
      </w:divBdr>
    </w:div>
    <w:div w:id="231276859">
      <w:bodyDiv w:val="1"/>
      <w:marLeft w:val="0"/>
      <w:marRight w:val="0"/>
      <w:marTop w:val="0"/>
      <w:marBottom w:val="0"/>
      <w:divBdr>
        <w:top w:val="none" w:sz="0" w:space="0" w:color="auto"/>
        <w:left w:val="none" w:sz="0" w:space="0" w:color="auto"/>
        <w:bottom w:val="none" w:sz="0" w:space="0" w:color="auto"/>
        <w:right w:val="none" w:sz="0" w:space="0" w:color="auto"/>
      </w:divBdr>
    </w:div>
    <w:div w:id="231427375">
      <w:bodyDiv w:val="1"/>
      <w:marLeft w:val="0"/>
      <w:marRight w:val="0"/>
      <w:marTop w:val="0"/>
      <w:marBottom w:val="0"/>
      <w:divBdr>
        <w:top w:val="none" w:sz="0" w:space="0" w:color="auto"/>
        <w:left w:val="none" w:sz="0" w:space="0" w:color="auto"/>
        <w:bottom w:val="none" w:sz="0" w:space="0" w:color="auto"/>
        <w:right w:val="none" w:sz="0" w:space="0" w:color="auto"/>
      </w:divBdr>
    </w:div>
    <w:div w:id="238828717">
      <w:bodyDiv w:val="1"/>
      <w:marLeft w:val="0"/>
      <w:marRight w:val="0"/>
      <w:marTop w:val="0"/>
      <w:marBottom w:val="0"/>
      <w:divBdr>
        <w:top w:val="none" w:sz="0" w:space="0" w:color="auto"/>
        <w:left w:val="none" w:sz="0" w:space="0" w:color="auto"/>
        <w:bottom w:val="none" w:sz="0" w:space="0" w:color="auto"/>
        <w:right w:val="none" w:sz="0" w:space="0" w:color="auto"/>
      </w:divBdr>
    </w:div>
    <w:div w:id="241719071">
      <w:bodyDiv w:val="1"/>
      <w:marLeft w:val="0"/>
      <w:marRight w:val="0"/>
      <w:marTop w:val="0"/>
      <w:marBottom w:val="0"/>
      <w:divBdr>
        <w:top w:val="none" w:sz="0" w:space="0" w:color="auto"/>
        <w:left w:val="none" w:sz="0" w:space="0" w:color="auto"/>
        <w:bottom w:val="none" w:sz="0" w:space="0" w:color="auto"/>
        <w:right w:val="none" w:sz="0" w:space="0" w:color="auto"/>
      </w:divBdr>
    </w:div>
    <w:div w:id="243418433">
      <w:bodyDiv w:val="1"/>
      <w:marLeft w:val="0"/>
      <w:marRight w:val="0"/>
      <w:marTop w:val="0"/>
      <w:marBottom w:val="0"/>
      <w:divBdr>
        <w:top w:val="none" w:sz="0" w:space="0" w:color="auto"/>
        <w:left w:val="none" w:sz="0" w:space="0" w:color="auto"/>
        <w:bottom w:val="none" w:sz="0" w:space="0" w:color="auto"/>
        <w:right w:val="none" w:sz="0" w:space="0" w:color="auto"/>
      </w:divBdr>
    </w:div>
    <w:div w:id="246813222">
      <w:bodyDiv w:val="1"/>
      <w:marLeft w:val="0"/>
      <w:marRight w:val="0"/>
      <w:marTop w:val="0"/>
      <w:marBottom w:val="0"/>
      <w:divBdr>
        <w:top w:val="none" w:sz="0" w:space="0" w:color="auto"/>
        <w:left w:val="none" w:sz="0" w:space="0" w:color="auto"/>
        <w:bottom w:val="none" w:sz="0" w:space="0" w:color="auto"/>
        <w:right w:val="none" w:sz="0" w:space="0" w:color="auto"/>
      </w:divBdr>
    </w:div>
    <w:div w:id="250511237">
      <w:bodyDiv w:val="1"/>
      <w:marLeft w:val="0"/>
      <w:marRight w:val="0"/>
      <w:marTop w:val="0"/>
      <w:marBottom w:val="0"/>
      <w:divBdr>
        <w:top w:val="none" w:sz="0" w:space="0" w:color="auto"/>
        <w:left w:val="none" w:sz="0" w:space="0" w:color="auto"/>
        <w:bottom w:val="none" w:sz="0" w:space="0" w:color="auto"/>
        <w:right w:val="none" w:sz="0" w:space="0" w:color="auto"/>
      </w:divBdr>
    </w:div>
    <w:div w:id="250743849">
      <w:bodyDiv w:val="1"/>
      <w:marLeft w:val="0"/>
      <w:marRight w:val="0"/>
      <w:marTop w:val="0"/>
      <w:marBottom w:val="0"/>
      <w:divBdr>
        <w:top w:val="none" w:sz="0" w:space="0" w:color="auto"/>
        <w:left w:val="none" w:sz="0" w:space="0" w:color="auto"/>
        <w:bottom w:val="none" w:sz="0" w:space="0" w:color="auto"/>
        <w:right w:val="none" w:sz="0" w:space="0" w:color="auto"/>
      </w:divBdr>
      <w:divsChild>
        <w:div w:id="303700909">
          <w:marLeft w:val="0"/>
          <w:marRight w:val="0"/>
          <w:marTop w:val="0"/>
          <w:marBottom w:val="0"/>
          <w:divBdr>
            <w:top w:val="none" w:sz="0" w:space="0" w:color="auto"/>
            <w:left w:val="none" w:sz="0" w:space="0" w:color="auto"/>
            <w:bottom w:val="none" w:sz="0" w:space="0" w:color="auto"/>
            <w:right w:val="none" w:sz="0" w:space="0" w:color="auto"/>
          </w:divBdr>
          <w:divsChild>
            <w:div w:id="616987891">
              <w:marLeft w:val="0"/>
              <w:marRight w:val="0"/>
              <w:marTop w:val="0"/>
              <w:marBottom w:val="0"/>
              <w:divBdr>
                <w:top w:val="single" w:sz="6" w:space="24" w:color="EBEEF5"/>
                <w:left w:val="none" w:sz="0" w:space="0" w:color="auto"/>
                <w:bottom w:val="single" w:sz="6" w:space="18" w:color="EBEEF5"/>
                <w:right w:val="none" w:sz="0" w:space="0" w:color="auto"/>
              </w:divBdr>
              <w:divsChild>
                <w:div w:id="289823441">
                  <w:marLeft w:val="0"/>
                  <w:marRight w:val="0"/>
                  <w:marTop w:val="0"/>
                  <w:marBottom w:val="0"/>
                  <w:divBdr>
                    <w:top w:val="none" w:sz="0" w:space="0" w:color="auto"/>
                    <w:left w:val="none" w:sz="0" w:space="0" w:color="auto"/>
                    <w:bottom w:val="none" w:sz="0" w:space="0" w:color="auto"/>
                    <w:right w:val="none" w:sz="0" w:space="0" w:color="auto"/>
                  </w:divBdr>
                  <w:divsChild>
                    <w:div w:id="1769472257">
                      <w:marLeft w:val="0"/>
                      <w:marRight w:val="0"/>
                      <w:marTop w:val="0"/>
                      <w:marBottom w:val="0"/>
                      <w:divBdr>
                        <w:top w:val="none" w:sz="0" w:space="0" w:color="auto"/>
                        <w:left w:val="none" w:sz="0" w:space="0" w:color="auto"/>
                        <w:bottom w:val="none" w:sz="0" w:space="0" w:color="auto"/>
                        <w:right w:val="none" w:sz="0" w:space="0" w:color="auto"/>
                      </w:divBdr>
                      <w:divsChild>
                        <w:div w:id="9415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2467">
          <w:marLeft w:val="0"/>
          <w:marRight w:val="0"/>
          <w:marTop w:val="0"/>
          <w:marBottom w:val="0"/>
          <w:divBdr>
            <w:top w:val="none" w:sz="0" w:space="0" w:color="auto"/>
            <w:left w:val="none" w:sz="0" w:space="0" w:color="auto"/>
            <w:bottom w:val="none" w:sz="0" w:space="0" w:color="auto"/>
            <w:right w:val="none" w:sz="0" w:space="0" w:color="auto"/>
          </w:divBdr>
        </w:div>
        <w:div w:id="1138690836">
          <w:marLeft w:val="0"/>
          <w:marRight w:val="0"/>
          <w:marTop w:val="0"/>
          <w:marBottom w:val="0"/>
          <w:divBdr>
            <w:top w:val="none" w:sz="0" w:space="0" w:color="auto"/>
            <w:left w:val="none" w:sz="0" w:space="0" w:color="auto"/>
            <w:bottom w:val="none" w:sz="0" w:space="0" w:color="auto"/>
            <w:right w:val="none" w:sz="0" w:space="0" w:color="auto"/>
          </w:divBdr>
          <w:divsChild>
            <w:div w:id="678048093">
              <w:marLeft w:val="-225"/>
              <w:marRight w:val="-225"/>
              <w:marTop w:val="0"/>
              <w:marBottom w:val="0"/>
              <w:divBdr>
                <w:top w:val="none" w:sz="0" w:space="0" w:color="auto"/>
                <w:left w:val="none" w:sz="0" w:space="0" w:color="auto"/>
                <w:bottom w:val="none" w:sz="0" w:space="0" w:color="auto"/>
                <w:right w:val="none" w:sz="0" w:space="0" w:color="auto"/>
              </w:divBdr>
              <w:divsChild>
                <w:div w:id="212622500">
                  <w:marLeft w:val="0"/>
                  <w:marRight w:val="0"/>
                  <w:marTop w:val="0"/>
                  <w:marBottom w:val="0"/>
                  <w:divBdr>
                    <w:top w:val="none" w:sz="0" w:space="0" w:color="auto"/>
                    <w:left w:val="none" w:sz="0" w:space="0" w:color="auto"/>
                    <w:bottom w:val="none" w:sz="0" w:space="0" w:color="auto"/>
                    <w:right w:val="none" w:sz="0" w:space="0" w:color="auto"/>
                  </w:divBdr>
                  <w:divsChild>
                    <w:div w:id="10352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271">
          <w:marLeft w:val="0"/>
          <w:marRight w:val="0"/>
          <w:marTop w:val="0"/>
          <w:marBottom w:val="0"/>
          <w:divBdr>
            <w:top w:val="none" w:sz="0" w:space="0" w:color="auto"/>
            <w:left w:val="none" w:sz="0" w:space="0" w:color="auto"/>
            <w:bottom w:val="none" w:sz="0" w:space="0" w:color="auto"/>
            <w:right w:val="none" w:sz="0" w:space="0" w:color="auto"/>
          </w:divBdr>
          <w:divsChild>
            <w:div w:id="256796011">
              <w:marLeft w:val="-225"/>
              <w:marRight w:val="-225"/>
              <w:marTop w:val="0"/>
              <w:marBottom w:val="0"/>
              <w:divBdr>
                <w:top w:val="none" w:sz="0" w:space="0" w:color="auto"/>
                <w:left w:val="none" w:sz="0" w:space="0" w:color="auto"/>
                <w:bottom w:val="none" w:sz="0" w:space="0" w:color="auto"/>
                <w:right w:val="none" w:sz="0" w:space="0" w:color="auto"/>
              </w:divBdr>
              <w:divsChild>
                <w:div w:id="692456536">
                  <w:marLeft w:val="0"/>
                  <w:marRight w:val="0"/>
                  <w:marTop w:val="0"/>
                  <w:marBottom w:val="0"/>
                  <w:divBdr>
                    <w:top w:val="none" w:sz="0" w:space="0" w:color="auto"/>
                    <w:left w:val="none" w:sz="0" w:space="0" w:color="auto"/>
                    <w:bottom w:val="none" w:sz="0" w:space="0" w:color="auto"/>
                    <w:right w:val="none" w:sz="0" w:space="0" w:color="auto"/>
                  </w:divBdr>
                  <w:divsChild>
                    <w:div w:id="1643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89843">
      <w:bodyDiv w:val="1"/>
      <w:marLeft w:val="0"/>
      <w:marRight w:val="0"/>
      <w:marTop w:val="0"/>
      <w:marBottom w:val="0"/>
      <w:divBdr>
        <w:top w:val="none" w:sz="0" w:space="0" w:color="auto"/>
        <w:left w:val="none" w:sz="0" w:space="0" w:color="auto"/>
        <w:bottom w:val="none" w:sz="0" w:space="0" w:color="auto"/>
        <w:right w:val="none" w:sz="0" w:space="0" w:color="auto"/>
      </w:divBdr>
    </w:div>
    <w:div w:id="256060036">
      <w:bodyDiv w:val="1"/>
      <w:marLeft w:val="0"/>
      <w:marRight w:val="0"/>
      <w:marTop w:val="0"/>
      <w:marBottom w:val="0"/>
      <w:divBdr>
        <w:top w:val="none" w:sz="0" w:space="0" w:color="auto"/>
        <w:left w:val="none" w:sz="0" w:space="0" w:color="auto"/>
        <w:bottom w:val="none" w:sz="0" w:space="0" w:color="auto"/>
        <w:right w:val="none" w:sz="0" w:space="0" w:color="auto"/>
      </w:divBdr>
    </w:div>
    <w:div w:id="258635076">
      <w:bodyDiv w:val="1"/>
      <w:marLeft w:val="0"/>
      <w:marRight w:val="0"/>
      <w:marTop w:val="0"/>
      <w:marBottom w:val="0"/>
      <w:divBdr>
        <w:top w:val="none" w:sz="0" w:space="0" w:color="auto"/>
        <w:left w:val="none" w:sz="0" w:space="0" w:color="auto"/>
        <w:bottom w:val="none" w:sz="0" w:space="0" w:color="auto"/>
        <w:right w:val="none" w:sz="0" w:space="0" w:color="auto"/>
      </w:divBdr>
    </w:div>
    <w:div w:id="259341279">
      <w:bodyDiv w:val="1"/>
      <w:marLeft w:val="0"/>
      <w:marRight w:val="0"/>
      <w:marTop w:val="0"/>
      <w:marBottom w:val="0"/>
      <w:divBdr>
        <w:top w:val="none" w:sz="0" w:space="0" w:color="auto"/>
        <w:left w:val="none" w:sz="0" w:space="0" w:color="auto"/>
        <w:bottom w:val="none" w:sz="0" w:space="0" w:color="auto"/>
        <w:right w:val="none" w:sz="0" w:space="0" w:color="auto"/>
      </w:divBdr>
    </w:div>
    <w:div w:id="259795613">
      <w:bodyDiv w:val="1"/>
      <w:marLeft w:val="0"/>
      <w:marRight w:val="0"/>
      <w:marTop w:val="0"/>
      <w:marBottom w:val="0"/>
      <w:divBdr>
        <w:top w:val="none" w:sz="0" w:space="0" w:color="auto"/>
        <w:left w:val="none" w:sz="0" w:space="0" w:color="auto"/>
        <w:bottom w:val="none" w:sz="0" w:space="0" w:color="auto"/>
        <w:right w:val="none" w:sz="0" w:space="0" w:color="auto"/>
      </w:divBdr>
    </w:div>
    <w:div w:id="260071661">
      <w:bodyDiv w:val="1"/>
      <w:marLeft w:val="0"/>
      <w:marRight w:val="0"/>
      <w:marTop w:val="0"/>
      <w:marBottom w:val="0"/>
      <w:divBdr>
        <w:top w:val="none" w:sz="0" w:space="0" w:color="auto"/>
        <w:left w:val="none" w:sz="0" w:space="0" w:color="auto"/>
        <w:bottom w:val="none" w:sz="0" w:space="0" w:color="auto"/>
        <w:right w:val="none" w:sz="0" w:space="0" w:color="auto"/>
      </w:divBdr>
    </w:div>
    <w:div w:id="262342774">
      <w:bodyDiv w:val="1"/>
      <w:marLeft w:val="0"/>
      <w:marRight w:val="0"/>
      <w:marTop w:val="0"/>
      <w:marBottom w:val="0"/>
      <w:divBdr>
        <w:top w:val="none" w:sz="0" w:space="0" w:color="auto"/>
        <w:left w:val="none" w:sz="0" w:space="0" w:color="auto"/>
        <w:bottom w:val="none" w:sz="0" w:space="0" w:color="auto"/>
        <w:right w:val="none" w:sz="0" w:space="0" w:color="auto"/>
      </w:divBdr>
    </w:div>
    <w:div w:id="270868730">
      <w:bodyDiv w:val="1"/>
      <w:marLeft w:val="0"/>
      <w:marRight w:val="0"/>
      <w:marTop w:val="0"/>
      <w:marBottom w:val="0"/>
      <w:divBdr>
        <w:top w:val="none" w:sz="0" w:space="0" w:color="auto"/>
        <w:left w:val="none" w:sz="0" w:space="0" w:color="auto"/>
        <w:bottom w:val="none" w:sz="0" w:space="0" w:color="auto"/>
        <w:right w:val="none" w:sz="0" w:space="0" w:color="auto"/>
      </w:divBdr>
    </w:div>
    <w:div w:id="273288713">
      <w:bodyDiv w:val="1"/>
      <w:marLeft w:val="0"/>
      <w:marRight w:val="0"/>
      <w:marTop w:val="0"/>
      <w:marBottom w:val="0"/>
      <w:divBdr>
        <w:top w:val="none" w:sz="0" w:space="0" w:color="auto"/>
        <w:left w:val="none" w:sz="0" w:space="0" w:color="auto"/>
        <w:bottom w:val="none" w:sz="0" w:space="0" w:color="auto"/>
        <w:right w:val="none" w:sz="0" w:space="0" w:color="auto"/>
      </w:divBdr>
    </w:div>
    <w:div w:id="274362546">
      <w:bodyDiv w:val="1"/>
      <w:marLeft w:val="0"/>
      <w:marRight w:val="0"/>
      <w:marTop w:val="0"/>
      <w:marBottom w:val="0"/>
      <w:divBdr>
        <w:top w:val="none" w:sz="0" w:space="0" w:color="auto"/>
        <w:left w:val="none" w:sz="0" w:space="0" w:color="auto"/>
        <w:bottom w:val="none" w:sz="0" w:space="0" w:color="auto"/>
        <w:right w:val="none" w:sz="0" w:space="0" w:color="auto"/>
      </w:divBdr>
    </w:div>
    <w:div w:id="276372787">
      <w:bodyDiv w:val="1"/>
      <w:marLeft w:val="0"/>
      <w:marRight w:val="0"/>
      <w:marTop w:val="0"/>
      <w:marBottom w:val="0"/>
      <w:divBdr>
        <w:top w:val="none" w:sz="0" w:space="0" w:color="auto"/>
        <w:left w:val="none" w:sz="0" w:space="0" w:color="auto"/>
        <w:bottom w:val="none" w:sz="0" w:space="0" w:color="auto"/>
        <w:right w:val="none" w:sz="0" w:space="0" w:color="auto"/>
      </w:divBdr>
    </w:div>
    <w:div w:id="277109286">
      <w:bodyDiv w:val="1"/>
      <w:marLeft w:val="0"/>
      <w:marRight w:val="0"/>
      <w:marTop w:val="0"/>
      <w:marBottom w:val="0"/>
      <w:divBdr>
        <w:top w:val="none" w:sz="0" w:space="0" w:color="auto"/>
        <w:left w:val="none" w:sz="0" w:space="0" w:color="auto"/>
        <w:bottom w:val="none" w:sz="0" w:space="0" w:color="auto"/>
        <w:right w:val="none" w:sz="0" w:space="0" w:color="auto"/>
      </w:divBdr>
    </w:div>
    <w:div w:id="277681248">
      <w:bodyDiv w:val="1"/>
      <w:marLeft w:val="0"/>
      <w:marRight w:val="0"/>
      <w:marTop w:val="0"/>
      <w:marBottom w:val="0"/>
      <w:divBdr>
        <w:top w:val="none" w:sz="0" w:space="0" w:color="auto"/>
        <w:left w:val="none" w:sz="0" w:space="0" w:color="auto"/>
        <w:bottom w:val="none" w:sz="0" w:space="0" w:color="auto"/>
        <w:right w:val="none" w:sz="0" w:space="0" w:color="auto"/>
      </w:divBdr>
    </w:div>
    <w:div w:id="278801635">
      <w:bodyDiv w:val="1"/>
      <w:marLeft w:val="0"/>
      <w:marRight w:val="0"/>
      <w:marTop w:val="0"/>
      <w:marBottom w:val="0"/>
      <w:divBdr>
        <w:top w:val="none" w:sz="0" w:space="0" w:color="auto"/>
        <w:left w:val="none" w:sz="0" w:space="0" w:color="auto"/>
        <w:bottom w:val="none" w:sz="0" w:space="0" w:color="auto"/>
        <w:right w:val="none" w:sz="0" w:space="0" w:color="auto"/>
      </w:divBdr>
    </w:div>
    <w:div w:id="279991338">
      <w:bodyDiv w:val="1"/>
      <w:marLeft w:val="0"/>
      <w:marRight w:val="0"/>
      <w:marTop w:val="0"/>
      <w:marBottom w:val="0"/>
      <w:divBdr>
        <w:top w:val="none" w:sz="0" w:space="0" w:color="auto"/>
        <w:left w:val="none" w:sz="0" w:space="0" w:color="auto"/>
        <w:bottom w:val="none" w:sz="0" w:space="0" w:color="auto"/>
        <w:right w:val="none" w:sz="0" w:space="0" w:color="auto"/>
      </w:divBdr>
    </w:div>
    <w:div w:id="282730065">
      <w:bodyDiv w:val="1"/>
      <w:marLeft w:val="0"/>
      <w:marRight w:val="0"/>
      <w:marTop w:val="0"/>
      <w:marBottom w:val="0"/>
      <w:divBdr>
        <w:top w:val="none" w:sz="0" w:space="0" w:color="auto"/>
        <w:left w:val="none" w:sz="0" w:space="0" w:color="auto"/>
        <w:bottom w:val="none" w:sz="0" w:space="0" w:color="auto"/>
        <w:right w:val="none" w:sz="0" w:space="0" w:color="auto"/>
      </w:divBdr>
    </w:div>
    <w:div w:id="283467819">
      <w:bodyDiv w:val="1"/>
      <w:marLeft w:val="0"/>
      <w:marRight w:val="0"/>
      <w:marTop w:val="0"/>
      <w:marBottom w:val="0"/>
      <w:divBdr>
        <w:top w:val="none" w:sz="0" w:space="0" w:color="auto"/>
        <w:left w:val="none" w:sz="0" w:space="0" w:color="auto"/>
        <w:bottom w:val="none" w:sz="0" w:space="0" w:color="auto"/>
        <w:right w:val="none" w:sz="0" w:space="0" w:color="auto"/>
      </w:divBdr>
    </w:div>
    <w:div w:id="284166331">
      <w:bodyDiv w:val="1"/>
      <w:marLeft w:val="0"/>
      <w:marRight w:val="0"/>
      <w:marTop w:val="0"/>
      <w:marBottom w:val="0"/>
      <w:divBdr>
        <w:top w:val="none" w:sz="0" w:space="0" w:color="auto"/>
        <w:left w:val="none" w:sz="0" w:space="0" w:color="auto"/>
        <w:bottom w:val="none" w:sz="0" w:space="0" w:color="auto"/>
        <w:right w:val="none" w:sz="0" w:space="0" w:color="auto"/>
      </w:divBdr>
    </w:div>
    <w:div w:id="284772052">
      <w:bodyDiv w:val="1"/>
      <w:marLeft w:val="0"/>
      <w:marRight w:val="0"/>
      <w:marTop w:val="0"/>
      <w:marBottom w:val="0"/>
      <w:divBdr>
        <w:top w:val="none" w:sz="0" w:space="0" w:color="auto"/>
        <w:left w:val="none" w:sz="0" w:space="0" w:color="auto"/>
        <w:bottom w:val="none" w:sz="0" w:space="0" w:color="auto"/>
        <w:right w:val="none" w:sz="0" w:space="0" w:color="auto"/>
      </w:divBdr>
    </w:div>
    <w:div w:id="284972121">
      <w:bodyDiv w:val="1"/>
      <w:marLeft w:val="0"/>
      <w:marRight w:val="0"/>
      <w:marTop w:val="0"/>
      <w:marBottom w:val="0"/>
      <w:divBdr>
        <w:top w:val="none" w:sz="0" w:space="0" w:color="auto"/>
        <w:left w:val="none" w:sz="0" w:space="0" w:color="auto"/>
        <w:bottom w:val="none" w:sz="0" w:space="0" w:color="auto"/>
        <w:right w:val="none" w:sz="0" w:space="0" w:color="auto"/>
      </w:divBdr>
    </w:div>
    <w:div w:id="285427243">
      <w:bodyDiv w:val="1"/>
      <w:marLeft w:val="0"/>
      <w:marRight w:val="0"/>
      <w:marTop w:val="0"/>
      <w:marBottom w:val="0"/>
      <w:divBdr>
        <w:top w:val="none" w:sz="0" w:space="0" w:color="auto"/>
        <w:left w:val="none" w:sz="0" w:space="0" w:color="auto"/>
        <w:bottom w:val="none" w:sz="0" w:space="0" w:color="auto"/>
        <w:right w:val="none" w:sz="0" w:space="0" w:color="auto"/>
      </w:divBdr>
      <w:divsChild>
        <w:div w:id="610820820">
          <w:marLeft w:val="0"/>
          <w:marRight w:val="0"/>
          <w:marTop w:val="240"/>
          <w:marBottom w:val="240"/>
          <w:divBdr>
            <w:top w:val="none" w:sz="0" w:space="0" w:color="auto"/>
            <w:left w:val="none" w:sz="0" w:space="0" w:color="auto"/>
            <w:bottom w:val="none" w:sz="0" w:space="0" w:color="auto"/>
            <w:right w:val="none" w:sz="0" w:space="0" w:color="auto"/>
          </w:divBdr>
        </w:div>
      </w:divsChild>
    </w:div>
    <w:div w:id="290207221">
      <w:bodyDiv w:val="1"/>
      <w:marLeft w:val="0"/>
      <w:marRight w:val="0"/>
      <w:marTop w:val="0"/>
      <w:marBottom w:val="0"/>
      <w:divBdr>
        <w:top w:val="none" w:sz="0" w:space="0" w:color="auto"/>
        <w:left w:val="none" w:sz="0" w:space="0" w:color="auto"/>
        <w:bottom w:val="none" w:sz="0" w:space="0" w:color="auto"/>
        <w:right w:val="none" w:sz="0" w:space="0" w:color="auto"/>
      </w:divBdr>
    </w:div>
    <w:div w:id="291178865">
      <w:bodyDiv w:val="1"/>
      <w:marLeft w:val="0"/>
      <w:marRight w:val="0"/>
      <w:marTop w:val="0"/>
      <w:marBottom w:val="0"/>
      <w:divBdr>
        <w:top w:val="none" w:sz="0" w:space="0" w:color="auto"/>
        <w:left w:val="none" w:sz="0" w:space="0" w:color="auto"/>
        <w:bottom w:val="none" w:sz="0" w:space="0" w:color="auto"/>
        <w:right w:val="none" w:sz="0" w:space="0" w:color="auto"/>
      </w:divBdr>
    </w:div>
    <w:div w:id="291398739">
      <w:bodyDiv w:val="1"/>
      <w:marLeft w:val="0"/>
      <w:marRight w:val="0"/>
      <w:marTop w:val="0"/>
      <w:marBottom w:val="0"/>
      <w:divBdr>
        <w:top w:val="none" w:sz="0" w:space="0" w:color="auto"/>
        <w:left w:val="none" w:sz="0" w:space="0" w:color="auto"/>
        <w:bottom w:val="none" w:sz="0" w:space="0" w:color="auto"/>
        <w:right w:val="none" w:sz="0" w:space="0" w:color="auto"/>
      </w:divBdr>
      <w:divsChild>
        <w:div w:id="258490566">
          <w:marLeft w:val="0"/>
          <w:marRight w:val="0"/>
          <w:marTop w:val="0"/>
          <w:marBottom w:val="0"/>
          <w:divBdr>
            <w:top w:val="none" w:sz="0" w:space="0" w:color="auto"/>
            <w:left w:val="none" w:sz="0" w:space="0" w:color="auto"/>
            <w:bottom w:val="none" w:sz="0" w:space="0" w:color="auto"/>
            <w:right w:val="none" w:sz="0" w:space="0" w:color="auto"/>
          </w:divBdr>
        </w:div>
        <w:div w:id="782656725">
          <w:marLeft w:val="0"/>
          <w:marRight w:val="0"/>
          <w:marTop w:val="0"/>
          <w:marBottom w:val="0"/>
          <w:divBdr>
            <w:top w:val="none" w:sz="0" w:space="0" w:color="auto"/>
            <w:left w:val="none" w:sz="0" w:space="0" w:color="auto"/>
            <w:bottom w:val="none" w:sz="0" w:space="0" w:color="auto"/>
            <w:right w:val="none" w:sz="0" w:space="0" w:color="auto"/>
          </w:divBdr>
          <w:divsChild>
            <w:div w:id="1766803726">
              <w:marLeft w:val="0"/>
              <w:marRight w:val="0"/>
              <w:marTop w:val="0"/>
              <w:marBottom w:val="0"/>
              <w:divBdr>
                <w:top w:val="single" w:sz="6" w:space="24" w:color="EBEEF5"/>
                <w:left w:val="none" w:sz="0" w:space="0" w:color="auto"/>
                <w:bottom w:val="single" w:sz="6" w:space="18" w:color="EBEEF5"/>
                <w:right w:val="none" w:sz="0" w:space="0" w:color="auto"/>
              </w:divBdr>
              <w:divsChild>
                <w:div w:id="242566188">
                  <w:marLeft w:val="0"/>
                  <w:marRight w:val="0"/>
                  <w:marTop w:val="0"/>
                  <w:marBottom w:val="0"/>
                  <w:divBdr>
                    <w:top w:val="none" w:sz="0" w:space="0" w:color="auto"/>
                    <w:left w:val="none" w:sz="0" w:space="0" w:color="auto"/>
                    <w:bottom w:val="none" w:sz="0" w:space="0" w:color="auto"/>
                    <w:right w:val="none" w:sz="0" w:space="0" w:color="auto"/>
                  </w:divBdr>
                  <w:divsChild>
                    <w:div w:id="1061945381">
                      <w:marLeft w:val="0"/>
                      <w:marRight w:val="0"/>
                      <w:marTop w:val="0"/>
                      <w:marBottom w:val="0"/>
                      <w:divBdr>
                        <w:top w:val="none" w:sz="0" w:space="0" w:color="auto"/>
                        <w:left w:val="none" w:sz="0" w:space="0" w:color="auto"/>
                        <w:bottom w:val="none" w:sz="0" w:space="0" w:color="auto"/>
                        <w:right w:val="none" w:sz="0" w:space="0" w:color="auto"/>
                      </w:divBdr>
                      <w:divsChild>
                        <w:div w:id="14063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46451">
          <w:marLeft w:val="0"/>
          <w:marRight w:val="0"/>
          <w:marTop w:val="0"/>
          <w:marBottom w:val="0"/>
          <w:divBdr>
            <w:top w:val="none" w:sz="0" w:space="0" w:color="auto"/>
            <w:left w:val="none" w:sz="0" w:space="0" w:color="auto"/>
            <w:bottom w:val="none" w:sz="0" w:space="0" w:color="auto"/>
            <w:right w:val="none" w:sz="0" w:space="0" w:color="auto"/>
          </w:divBdr>
          <w:divsChild>
            <w:div w:id="1218513245">
              <w:marLeft w:val="-225"/>
              <w:marRight w:val="-225"/>
              <w:marTop w:val="0"/>
              <w:marBottom w:val="0"/>
              <w:divBdr>
                <w:top w:val="none" w:sz="0" w:space="0" w:color="auto"/>
                <w:left w:val="none" w:sz="0" w:space="0" w:color="auto"/>
                <w:bottom w:val="none" w:sz="0" w:space="0" w:color="auto"/>
                <w:right w:val="none" w:sz="0" w:space="0" w:color="auto"/>
              </w:divBdr>
              <w:divsChild>
                <w:div w:id="1814053774">
                  <w:marLeft w:val="0"/>
                  <w:marRight w:val="0"/>
                  <w:marTop w:val="0"/>
                  <w:marBottom w:val="0"/>
                  <w:divBdr>
                    <w:top w:val="none" w:sz="0" w:space="0" w:color="auto"/>
                    <w:left w:val="none" w:sz="0" w:space="0" w:color="auto"/>
                    <w:bottom w:val="none" w:sz="0" w:space="0" w:color="auto"/>
                    <w:right w:val="none" w:sz="0" w:space="0" w:color="auto"/>
                  </w:divBdr>
                  <w:divsChild>
                    <w:div w:id="14610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16743">
          <w:marLeft w:val="0"/>
          <w:marRight w:val="0"/>
          <w:marTop w:val="0"/>
          <w:marBottom w:val="0"/>
          <w:divBdr>
            <w:top w:val="none" w:sz="0" w:space="0" w:color="auto"/>
            <w:left w:val="none" w:sz="0" w:space="0" w:color="auto"/>
            <w:bottom w:val="none" w:sz="0" w:space="0" w:color="auto"/>
            <w:right w:val="none" w:sz="0" w:space="0" w:color="auto"/>
          </w:divBdr>
          <w:divsChild>
            <w:div w:id="1826124420">
              <w:marLeft w:val="-225"/>
              <w:marRight w:val="-225"/>
              <w:marTop w:val="0"/>
              <w:marBottom w:val="0"/>
              <w:divBdr>
                <w:top w:val="none" w:sz="0" w:space="0" w:color="auto"/>
                <w:left w:val="none" w:sz="0" w:space="0" w:color="auto"/>
                <w:bottom w:val="none" w:sz="0" w:space="0" w:color="auto"/>
                <w:right w:val="none" w:sz="0" w:space="0" w:color="auto"/>
              </w:divBdr>
              <w:divsChild>
                <w:div w:id="965500223">
                  <w:marLeft w:val="0"/>
                  <w:marRight w:val="0"/>
                  <w:marTop w:val="0"/>
                  <w:marBottom w:val="0"/>
                  <w:divBdr>
                    <w:top w:val="none" w:sz="0" w:space="0" w:color="auto"/>
                    <w:left w:val="none" w:sz="0" w:space="0" w:color="auto"/>
                    <w:bottom w:val="none" w:sz="0" w:space="0" w:color="auto"/>
                    <w:right w:val="none" w:sz="0" w:space="0" w:color="auto"/>
                  </w:divBdr>
                  <w:divsChild>
                    <w:div w:id="612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24440">
      <w:bodyDiv w:val="1"/>
      <w:marLeft w:val="0"/>
      <w:marRight w:val="0"/>
      <w:marTop w:val="0"/>
      <w:marBottom w:val="0"/>
      <w:divBdr>
        <w:top w:val="none" w:sz="0" w:space="0" w:color="auto"/>
        <w:left w:val="none" w:sz="0" w:space="0" w:color="auto"/>
        <w:bottom w:val="none" w:sz="0" w:space="0" w:color="auto"/>
        <w:right w:val="none" w:sz="0" w:space="0" w:color="auto"/>
      </w:divBdr>
      <w:divsChild>
        <w:div w:id="1980529780">
          <w:marLeft w:val="0"/>
          <w:marRight w:val="0"/>
          <w:marTop w:val="0"/>
          <w:marBottom w:val="0"/>
          <w:divBdr>
            <w:top w:val="none" w:sz="0" w:space="0" w:color="auto"/>
            <w:left w:val="none" w:sz="0" w:space="0" w:color="auto"/>
            <w:bottom w:val="none" w:sz="0" w:space="0" w:color="auto"/>
            <w:right w:val="none" w:sz="0" w:space="0" w:color="auto"/>
          </w:divBdr>
          <w:divsChild>
            <w:div w:id="824129816">
              <w:marLeft w:val="0"/>
              <w:marRight w:val="0"/>
              <w:marTop w:val="0"/>
              <w:marBottom w:val="0"/>
              <w:divBdr>
                <w:top w:val="none" w:sz="0" w:space="0" w:color="auto"/>
                <w:left w:val="none" w:sz="0" w:space="0" w:color="auto"/>
                <w:bottom w:val="none" w:sz="0" w:space="0" w:color="auto"/>
                <w:right w:val="none" w:sz="0" w:space="0" w:color="auto"/>
              </w:divBdr>
            </w:div>
          </w:divsChild>
        </w:div>
        <w:div w:id="393240977">
          <w:marLeft w:val="0"/>
          <w:marRight w:val="0"/>
          <w:marTop w:val="0"/>
          <w:marBottom w:val="0"/>
          <w:divBdr>
            <w:top w:val="none" w:sz="0" w:space="0" w:color="auto"/>
            <w:left w:val="none" w:sz="0" w:space="0" w:color="auto"/>
            <w:bottom w:val="none" w:sz="0" w:space="0" w:color="auto"/>
            <w:right w:val="none" w:sz="0" w:space="0" w:color="auto"/>
          </w:divBdr>
          <w:divsChild>
            <w:div w:id="1402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2946">
      <w:bodyDiv w:val="1"/>
      <w:marLeft w:val="0"/>
      <w:marRight w:val="0"/>
      <w:marTop w:val="0"/>
      <w:marBottom w:val="0"/>
      <w:divBdr>
        <w:top w:val="none" w:sz="0" w:space="0" w:color="auto"/>
        <w:left w:val="none" w:sz="0" w:space="0" w:color="auto"/>
        <w:bottom w:val="none" w:sz="0" w:space="0" w:color="auto"/>
        <w:right w:val="none" w:sz="0" w:space="0" w:color="auto"/>
      </w:divBdr>
    </w:div>
    <w:div w:id="295065459">
      <w:bodyDiv w:val="1"/>
      <w:marLeft w:val="0"/>
      <w:marRight w:val="0"/>
      <w:marTop w:val="0"/>
      <w:marBottom w:val="0"/>
      <w:divBdr>
        <w:top w:val="none" w:sz="0" w:space="0" w:color="auto"/>
        <w:left w:val="none" w:sz="0" w:space="0" w:color="auto"/>
        <w:bottom w:val="none" w:sz="0" w:space="0" w:color="auto"/>
        <w:right w:val="none" w:sz="0" w:space="0" w:color="auto"/>
      </w:divBdr>
    </w:div>
    <w:div w:id="295373062">
      <w:bodyDiv w:val="1"/>
      <w:marLeft w:val="0"/>
      <w:marRight w:val="0"/>
      <w:marTop w:val="0"/>
      <w:marBottom w:val="0"/>
      <w:divBdr>
        <w:top w:val="none" w:sz="0" w:space="0" w:color="auto"/>
        <w:left w:val="none" w:sz="0" w:space="0" w:color="auto"/>
        <w:bottom w:val="none" w:sz="0" w:space="0" w:color="auto"/>
        <w:right w:val="none" w:sz="0" w:space="0" w:color="auto"/>
      </w:divBdr>
      <w:divsChild>
        <w:div w:id="603075368">
          <w:marLeft w:val="0"/>
          <w:marRight w:val="0"/>
          <w:marTop w:val="0"/>
          <w:marBottom w:val="0"/>
          <w:divBdr>
            <w:top w:val="none" w:sz="0" w:space="0" w:color="auto"/>
            <w:left w:val="none" w:sz="0" w:space="0" w:color="auto"/>
            <w:bottom w:val="none" w:sz="0" w:space="0" w:color="auto"/>
            <w:right w:val="none" w:sz="0" w:space="0" w:color="auto"/>
          </w:divBdr>
          <w:divsChild>
            <w:div w:id="1568683466">
              <w:marLeft w:val="-225"/>
              <w:marRight w:val="-225"/>
              <w:marTop w:val="0"/>
              <w:marBottom w:val="0"/>
              <w:divBdr>
                <w:top w:val="none" w:sz="0" w:space="0" w:color="auto"/>
                <w:left w:val="none" w:sz="0" w:space="0" w:color="auto"/>
                <w:bottom w:val="none" w:sz="0" w:space="0" w:color="auto"/>
                <w:right w:val="none" w:sz="0" w:space="0" w:color="auto"/>
              </w:divBdr>
              <w:divsChild>
                <w:div w:id="1186136757">
                  <w:marLeft w:val="0"/>
                  <w:marRight w:val="0"/>
                  <w:marTop w:val="0"/>
                  <w:marBottom w:val="0"/>
                  <w:divBdr>
                    <w:top w:val="none" w:sz="0" w:space="0" w:color="auto"/>
                    <w:left w:val="none" w:sz="0" w:space="0" w:color="auto"/>
                    <w:bottom w:val="none" w:sz="0" w:space="0" w:color="auto"/>
                    <w:right w:val="none" w:sz="0" w:space="0" w:color="auto"/>
                  </w:divBdr>
                  <w:divsChild>
                    <w:div w:id="20371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7750">
          <w:marLeft w:val="0"/>
          <w:marRight w:val="0"/>
          <w:marTop w:val="0"/>
          <w:marBottom w:val="0"/>
          <w:divBdr>
            <w:top w:val="none" w:sz="0" w:space="0" w:color="auto"/>
            <w:left w:val="none" w:sz="0" w:space="0" w:color="auto"/>
            <w:bottom w:val="none" w:sz="0" w:space="0" w:color="auto"/>
            <w:right w:val="none" w:sz="0" w:space="0" w:color="auto"/>
          </w:divBdr>
        </w:div>
        <w:div w:id="1815369357">
          <w:marLeft w:val="0"/>
          <w:marRight w:val="0"/>
          <w:marTop w:val="0"/>
          <w:marBottom w:val="0"/>
          <w:divBdr>
            <w:top w:val="none" w:sz="0" w:space="0" w:color="auto"/>
            <w:left w:val="none" w:sz="0" w:space="0" w:color="auto"/>
            <w:bottom w:val="none" w:sz="0" w:space="0" w:color="auto"/>
            <w:right w:val="none" w:sz="0" w:space="0" w:color="auto"/>
          </w:divBdr>
          <w:divsChild>
            <w:div w:id="604070818">
              <w:marLeft w:val="-225"/>
              <w:marRight w:val="-225"/>
              <w:marTop w:val="0"/>
              <w:marBottom w:val="0"/>
              <w:divBdr>
                <w:top w:val="none" w:sz="0" w:space="0" w:color="auto"/>
                <w:left w:val="none" w:sz="0" w:space="0" w:color="auto"/>
                <w:bottom w:val="none" w:sz="0" w:space="0" w:color="auto"/>
                <w:right w:val="none" w:sz="0" w:space="0" w:color="auto"/>
              </w:divBdr>
              <w:divsChild>
                <w:div w:id="145702800">
                  <w:marLeft w:val="0"/>
                  <w:marRight w:val="0"/>
                  <w:marTop w:val="0"/>
                  <w:marBottom w:val="0"/>
                  <w:divBdr>
                    <w:top w:val="none" w:sz="0" w:space="0" w:color="auto"/>
                    <w:left w:val="none" w:sz="0" w:space="0" w:color="auto"/>
                    <w:bottom w:val="none" w:sz="0" w:space="0" w:color="auto"/>
                    <w:right w:val="none" w:sz="0" w:space="0" w:color="auto"/>
                  </w:divBdr>
                  <w:divsChild>
                    <w:div w:id="7040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69215">
      <w:bodyDiv w:val="1"/>
      <w:marLeft w:val="0"/>
      <w:marRight w:val="0"/>
      <w:marTop w:val="0"/>
      <w:marBottom w:val="0"/>
      <w:divBdr>
        <w:top w:val="none" w:sz="0" w:space="0" w:color="auto"/>
        <w:left w:val="none" w:sz="0" w:space="0" w:color="auto"/>
        <w:bottom w:val="none" w:sz="0" w:space="0" w:color="auto"/>
        <w:right w:val="none" w:sz="0" w:space="0" w:color="auto"/>
      </w:divBdr>
    </w:div>
    <w:div w:id="296450710">
      <w:bodyDiv w:val="1"/>
      <w:marLeft w:val="0"/>
      <w:marRight w:val="0"/>
      <w:marTop w:val="0"/>
      <w:marBottom w:val="0"/>
      <w:divBdr>
        <w:top w:val="none" w:sz="0" w:space="0" w:color="auto"/>
        <w:left w:val="none" w:sz="0" w:space="0" w:color="auto"/>
        <w:bottom w:val="none" w:sz="0" w:space="0" w:color="auto"/>
        <w:right w:val="none" w:sz="0" w:space="0" w:color="auto"/>
      </w:divBdr>
    </w:div>
    <w:div w:id="302925857">
      <w:bodyDiv w:val="1"/>
      <w:marLeft w:val="0"/>
      <w:marRight w:val="0"/>
      <w:marTop w:val="0"/>
      <w:marBottom w:val="0"/>
      <w:divBdr>
        <w:top w:val="none" w:sz="0" w:space="0" w:color="auto"/>
        <w:left w:val="none" w:sz="0" w:space="0" w:color="auto"/>
        <w:bottom w:val="none" w:sz="0" w:space="0" w:color="auto"/>
        <w:right w:val="none" w:sz="0" w:space="0" w:color="auto"/>
      </w:divBdr>
    </w:div>
    <w:div w:id="305357092">
      <w:bodyDiv w:val="1"/>
      <w:marLeft w:val="0"/>
      <w:marRight w:val="0"/>
      <w:marTop w:val="0"/>
      <w:marBottom w:val="0"/>
      <w:divBdr>
        <w:top w:val="none" w:sz="0" w:space="0" w:color="auto"/>
        <w:left w:val="none" w:sz="0" w:space="0" w:color="auto"/>
        <w:bottom w:val="none" w:sz="0" w:space="0" w:color="auto"/>
        <w:right w:val="none" w:sz="0" w:space="0" w:color="auto"/>
      </w:divBdr>
    </w:div>
    <w:div w:id="305937737">
      <w:bodyDiv w:val="1"/>
      <w:marLeft w:val="0"/>
      <w:marRight w:val="0"/>
      <w:marTop w:val="0"/>
      <w:marBottom w:val="0"/>
      <w:divBdr>
        <w:top w:val="none" w:sz="0" w:space="0" w:color="auto"/>
        <w:left w:val="none" w:sz="0" w:space="0" w:color="auto"/>
        <w:bottom w:val="none" w:sz="0" w:space="0" w:color="auto"/>
        <w:right w:val="none" w:sz="0" w:space="0" w:color="auto"/>
      </w:divBdr>
    </w:div>
    <w:div w:id="309987112">
      <w:bodyDiv w:val="1"/>
      <w:marLeft w:val="0"/>
      <w:marRight w:val="0"/>
      <w:marTop w:val="0"/>
      <w:marBottom w:val="0"/>
      <w:divBdr>
        <w:top w:val="none" w:sz="0" w:space="0" w:color="auto"/>
        <w:left w:val="none" w:sz="0" w:space="0" w:color="auto"/>
        <w:bottom w:val="none" w:sz="0" w:space="0" w:color="auto"/>
        <w:right w:val="none" w:sz="0" w:space="0" w:color="auto"/>
      </w:divBdr>
    </w:div>
    <w:div w:id="310989733">
      <w:bodyDiv w:val="1"/>
      <w:marLeft w:val="0"/>
      <w:marRight w:val="0"/>
      <w:marTop w:val="0"/>
      <w:marBottom w:val="0"/>
      <w:divBdr>
        <w:top w:val="none" w:sz="0" w:space="0" w:color="auto"/>
        <w:left w:val="none" w:sz="0" w:space="0" w:color="auto"/>
        <w:bottom w:val="none" w:sz="0" w:space="0" w:color="auto"/>
        <w:right w:val="none" w:sz="0" w:space="0" w:color="auto"/>
      </w:divBdr>
    </w:div>
    <w:div w:id="311713734">
      <w:bodyDiv w:val="1"/>
      <w:marLeft w:val="0"/>
      <w:marRight w:val="0"/>
      <w:marTop w:val="0"/>
      <w:marBottom w:val="0"/>
      <w:divBdr>
        <w:top w:val="none" w:sz="0" w:space="0" w:color="auto"/>
        <w:left w:val="none" w:sz="0" w:space="0" w:color="auto"/>
        <w:bottom w:val="none" w:sz="0" w:space="0" w:color="auto"/>
        <w:right w:val="none" w:sz="0" w:space="0" w:color="auto"/>
      </w:divBdr>
    </w:div>
    <w:div w:id="314139904">
      <w:bodyDiv w:val="1"/>
      <w:marLeft w:val="0"/>
      <w:marRight w:val="0"/>
      <w:marTop w:val="0"/>
      <w:marBottom w:val="0"/>
      <w:divBdr>
        <w:top w:val="none" w:sz="0" w:space="0" w:color="auto"/>
        <w:left w:val="none" w:sz="0" w:space="0" w:color="auto"/>
        <w:bottom w:val="none" w:sz="0" w:space="0" w:color="auto"/>
        <w:right w:val="none" w:sz="0" w:space="0" w:color="auto"/>
      </w:divBdr>
    </w:div>
    <w:div w:id="315457516">
      <w:bodyDiv w:val="1"/>
      <w:marLeft w:val="0"/>
      <w:marRight w:val="0"/>
      <w:marTop w:val="0"/>
      <w:marBottom w:val="0"/>
      <w:divBdr>
        <w:top w:val="none" w:sz="0" w:space="0" w:color="auto"/>
        <w:left w:val="none" w:sz="0" w:space="0" w:color="auto"/>
        <w:bottom w:val="none" w:sz="0" w:space="0" w:color="auto"/>
        <w:right w:val="none" w:sz="0" w:space="0" w:color="auto"/>
      </w:divBdr>
    </w:div>
    <w:div w:id="319962481">
      <w:bodyDiv w:val="1"/>
      <w:marLeft w:val="0"/>
      <w:marRight w:val="0"/>
      <w:marTop w:val="0"/>
      <w:marBottom w:val="0"/>
      <w:divBdr>
        <w:top w:val="none" w:sz="0" w:space="0" w:color="auto"/>
        <w:left w:val="none" w:sz="0" w:space="0" w:color="auto"/>
        <w:bottom w:val="none" w:sz="0" w:space="0" w:color="auto"/>
        <w:right w:val="none" w:sz="0" w:space="0" w:color="auto"/>
      </w:divBdr>
    </w:div>
    <w:div w:id="322438511">
      <w:bodyDiv w:val="1"/>
      <w:marLeft w:val="0"/>
      <w:marRight w:val="0"/>
      <w:marTop w:val="0"/>
      <w:marBottom w:val="0"/>
      <w:divBdr>
        <w:top w:val="none" w:sz="0" w:space="0" w:color="auto"/>
        <w:left w:val="none" w:sz="0" w:space="0" w:color="auto"/>
        <w:bottom w:val="none" w:sz="0" w:space="0" w:color="auto"/>
        <w:right w:val="none" w:sz="0" w:space="0" w:color="auto"/>
      </w:divBdr>
    </w:div>
    <w:div w:id="324364526">
      <w:bodyDiv w:val="1"/>
      <w:marLeft w:val="0"/>
      <w:marRight w:val="0"/>
      <w:marTop w:val="0"/>
      <w:marBottom w:val="0"/>
      <w:divBdr>
        <w:top w:val="none" w:sz="0" w:space="0" w:color="auto"/>
        <w:left w:val="none" w:sz="0" w:space="0" w:color="auto"/>
        <w:bottom w:val="none" w:sz="0" w:space="0" w:color="auto"/>
        <w:right w:val="none" w:sz="0" w:space="0" w:color="auto"/>
      </w:divBdr>
    </w:div>
    <w:div w:id="324668523">
      <w:bodyDiv w:val="1"/>
      <w:marLeft w:val="0"/>
      <w:marRight w:val="0"/>
      <w:marTop w:val="0"/>
      <w:marBottom w:val="0"/>
      <w:divBdr>
        <w:top w:val="none" w:sz="0" w:space="0" w:color="auto"/>
        <w:left w:val="none" w:sz="0" w:space="0" w:color="auto"/>
        <w:bottom w:val="none" w:sz="0" w:space="0" w:color="auto"/>
        <w:right w:val="none" w:sz="0" w:space="0" w:color="auto"/>
      </w:divBdr>
      <w:divsChild>
        <w:div w:id="1323200333">
          <w:marLeft w:val="0"/>
          <w:marRight w:val="0"/>
          <w:marTop w:val="240"/>
          <w:marBottom w:val="240"/>
          <w:divBdr>
            <w:top w:val="none" w:sz="0" w:space="0" w:color="auto"/>
            <w:left w:val="none" w:sz="0" w:space="0" w:color="auto"/>
            <w:bottom w:val="none" w:sz="0" w:space="0" w:color="auto"/>
            <w:right w:val="none" w:sz="0" w:space="0" w:color="auto"/>
          </w:divBdr>
        </w:div>
      </w:divsChild>
    </w:div>
    <w:div w:id="325399523">
      <w:bodyDiv w:val="1"/>
      <w:marLeft w:val="0"/>
      <w:marRight w:val="0"/>
      <w:marTop w:val="0"/>
      <w:marBottom w:val="0"/>
      <w:divBdr>
        <w:top w:val="none" w:sz="0" w:space="0" w:color="auto"/>
        <w:left w:val="none" w:sz="0" w:space="0" w:color="auto"/>
        <w:bottom w:val="none" w:sz="0" w:space="0" w:color="auto"/>
        <w:right w:val="none" w:sz="0" w:space="0" w:color="auto"/>
      </w:divBdr>
      <w:divsChild>
        <w:div w:id="1538196187">
          <w:marLeft w:val="-225"/>
          <w:marRight w:val="-225"/>
          <w:marTop w:val="0"/>
          <w:marBottom w:val="0"/>
          <w:divBdr>
            <w:top w:val="none" w:sz="0" w:space="0" w:color="auto"/>
            <w:left w:val="none" w:sz="0" w:space="0" w:color="auto"/>
            <w:bottom w:val="none" w:sz="0" w:space="0" w:color="auto"/>
            <w:right w:val="none" w:sz="0" w:space="0" w:color="auto"/>
          </w:divBdr>
          <w:divsChild>
            <w:div w:id="932013726">
              <w:marLeft w:val="0"/>
              <w:marRight w:val="0"/>
              <w:marTop w:val="0"/>
              <w:marBottom w:val="0"/>
              <w:divBdr>
                <w:top w:val="none" w:sz="0" w:space="0" w:color="auto"/>
                <w:left w:val="none" w:sz="0" w:space="0" w:color="auto"/>
                <w:bottom w:val="none" w:sz="0" w:space="0" w:color="auto"/>
                <w:right w:val="none" w:sz="0" w:space="0" w:color="auto"/>
              </w:divBdr>
              <w:divsChild>
                <w:div w:id="16636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03635">
      <w:bodyDiv w:val="1"/>
      <w:marLeft w:val="0"/>
      <w:marRight w:val="0"/>
      <w:marTop w:val="0"/>
      <w:marBottom w:val="0"/>
      <w:divBdr>
        <w:top w:val="none" w:sz="0" w:space="0" w:color="auto"/>
        <w:left w:val="none" w:sz="0" w:space="0" w:color="auto"/>
        <w:bottom w:val="none" w:sz="0" w:space="0" w:color="auto"/>
        <w:right w:val="none" w:sz="0" w:space="0" w:color="auto"/>
      </w:divBdr>
    </w:div>
    <w:div w:id="333726029">
      <w:bodyDiv w:val="1"/>
      <w:marLeft w:val="0"/>
      <w:marRight w:val="0"/>
      <w:marTop w:val="0"/>
      <w:marBottom w:val="0"/>
      <w:divBdr>
        <w:top w:val="none" w:sz="0" w:space="0" w:color="auto"/>
        <w:left w:val="none" w:sz="0" w:space="0" w:color="auto"/>
        <w:bottom w:val="none" w:sz="0" w:space="0" w:color="auto"/>
        <w:right w:val="none" w:sz="0" w:space="0" w:color="auto"/>
      </w:divBdr>
      <w:divsChild>
        <w:div w:id="1080172118">
          <w:marLeft w:val="0"/>
          <w:marRight w:val="0"/>
          <w:marTop w:val="0"/>
          <w:marBottom w:val="0"/>
          <w:divBdr>
            <w:top w:val="none" w:sz="0" w:space="0" w:color="auto"/>
            <w:left w:val="none" w:sz="0" w:space="0" w:color="auto"/>
            <w:bottom w:val="none" w:sz="0" w:space="0" w:color="auto"/>
            <w:right w:val="none" w:sz="0" w:space="0" w:color="auto"/>
          </w:divBdr>
          <w:divsChild>
            <w:div w:id="1392076305">
              <w:marLeft w:val="-225"/>
              <w:marRight w:val="-225"/>
              <w:marTop w:val="0"/>
              <w:marBottom w:val="0"/>
              <w:divBdr>
                <w:top w:val="none" w:sz="0" w:space="0" w:color="auto"/>
                <w:left w:val="none" w:sz="0" w:space="0" w:color="auto"/>
                <w:bottom w:val="none" w:sz="0" w:space="0" w:color="auto"/>
                <w:right w:val="none" w:sz="0" w:space="0" w:color="auto"/>
              </w:divBdr>
              <w:divsChild>
                <w:div w:id="1684045765">
                  <w:marLeft w:val="0"/>
                  <w:marRight w:val="0"/>
                  <w:marTop w:val="0"/>
                  <w:marBottom w:val="0"/>
                  <w:divBdr>
                    <w:top w:val="none" w:sz="0" w:space="0" w:color="auto"/>
                    <w:left w:val="none" w:sz="0" w:space="0" w:color="auto"/>
                    <w:bottom w:val="none" w:sz="0" w:space="0" w:color="auto"/>
                    <w:right w:val="none" w:sz="0" w:space="0" w:color="auto"/>
                  </w:divBdr>
                  <w:divsChild>
                    <w:div w:id="1751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08291">
          <w:marLeft w:val="0"/>
          <w:marRight w:val="0"/>
          <w:marTop w:val="0"/>
          <w:marBottom w:val="0"/>
          <w:divBdr>
            <w:top w:val="none" w:sz="0" w:space="0" w:color="auto"/>
            <w:left w:val="none" w:sz="0" w:space="0" w:color="auto"/>
            <w:bottom w:val="none" w:sz="0" w:space="0" w:color="auto"/>
            <w:right w:val="none" w:sz="0" w:space="0" w:color="auto"/>
          </w:divBdr>
          <w:divsChild>
            <w:div w:id="1425801721">
              <w:marLeft w:val="-225"/>
              <w:marRight w:val="-225"/>
              <w:marTop w:val="0"/>
              <w:marBottom w:val="0"/>
              <w:divBdr>
                <w:top w:val="none" w:sz="0" w:space="0" w:color="auto"/>
                <w:left w:val="none" w:sz="0" w:space="0" w:color="auto"/>
                <w:bottom w:val="none" w:sz="0" w:space="0" w:color="auto"/>
                <w:right w:val="none" w:sz="0" w:space="0" w:color="auto"/>
              </w:divBdr>
              <w:divsChild>
                <w:div w:id="1464687177">
                  <w:marLeft w:val="0"/>
                  <w:marRight w:val="0"/>
                  <w:marTop w:val="0"/>
                  <w:marBottom w:val="0"/>
                  <w:divBdr>
                    <w:top w:val="none" w:sz="0" w:space="0" w:color="auto"/>
                    <w:left w:val="none" w:sz="0" w:space="0" w:color="auto"/>
                    <w:bottom w:val="none" w:sz="0" w:space="0" w:color="auto"/>
                    <w:right w:val="none" w:sz="0" w:space="0" w:color="auto"/>
                  </w:divBdr>
                  <w:divsChild>
                    <w:div w:id="10364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58132">
          <w:marLeft w:val="0"/>
          <w:marRight w:val="0"/>
          <w:marTop w:val="0"/>
          <w:marBottom w:val="0"/>
          <w:divBdr>
            <w:top w:val="none" w:sz="0" w:space="0" w:color="auto"/>
            <w:left w:val="none" w:sz="0" w:space="0" w:color="auto"/>
            <w:bottom w:val="none" w:sz="0" w:space="0" w:color="auto"/>
            <w:right w:val="none" w:sz="0" w:space="0" w:color="auto"/>
          </w:divBdr>
          <w:divsChild>
            <w:div w:id="932057301">
              <w:marLeft w:val="0"/>
              <w:marRight w:val="0"/>
              <w:marTop w:val="0"/>
              <w:marBottom w:val="0"/>
              <w:divBdr>
                <w:top w:val="none" w:sz="0" w:space="0" w:color="auto"/>
                <w:left w:val="none" w:sz="0" w:space="0" w:color="auto"/>
                <w:bottom w:val="none" w:sz="0" w:space="0" w:color="auto"/>
                <w:right w:val="none" w:sz="0" w:space="0" w:color="auto"/>
              </w:divBdr>
              <w:divsChild>
                <w:div w:id="1171607449">
                  <w:marLeft w:val="0"/>
                  <w:marRight w:val="0"/>
                  <w:marTop w:val="0"/>
                  <w:marBottom w:val="0"/>
                  <w:divBdr>
                    <w:top w:val="none" w:sz="0" w:space="0" w:color="auto"/>
                    <w:left w:val="none" w:sz="0" w:space="0" w:color="auto"/>
                    <w:bottom w:val="none" w:sz="0" w:space="0" w:color="auto"/>
                    <w:right w:val="none" w:sz="0" w:space="0" w:color="auto"/>
                  </w:divBdr>
                  <w:divsChild>
                    <w:div w:id="2003846728">
                      <w:marLeft w:val="0"/>
                      <w:marRight w:val="0"/>
                      <w:marTop w:val="0"/>
                      <w:marBottom w:val="0"/>
                      <w:divBdr>
                        <w:top w:val="none" w:sz="0" w:space="0" w:color="auto"/>
                        <w:left w:val="none" w:sz="0" w:space="0" w:color="auto"/>
                        <w:bottom w:val="none" w:sz="0" w:space="0" w:color="auto"/>
                        <w:right w:val="none" w:sz="0" w:space="0" w:color="auto"/>
                      </w:divBdr>
                      <w:divsChild>
                        <w:div w:id="17853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561511">
          <w:marLeft w:val="0"/>
          <w:marRight w:val="0"/>
          <w:marTop w:val="0"/>
          <w:marBottom w:val="0"/>
          <w:divBdr>
            <w:top w:val="none" w:sz="0" w:space="0" w:color="auto"/>
            <w:left w:val="none" w:sz="0" w:space="0" w:color="auto"/>
            <w:bottom w:val="none" w:sz="0" w:space="0" w:color="auto"/>
            <w:right w:val="none" w:sz="0" w:space="0" w:color="auto"/>
          </w:divBdr>
        </w:div>
      </w:divsChild>
    </w:div>
    <w:div w:id="335768319">
      <w:bodyDiv w:val="1"/>
      <w:marLeft w:val="0"/>
      <w:marRight w:val="0"/>
      <w:marTop w:val="0"/>
      <w:marBottom w:val="0"/>
      <w:divBdr>
        <w:top w:val="none" w:sz="0" w:space="0" w:color="auto"/>
        <w:left w:val="none" w:sz="0" w:space="0" w:color="auto"/>
        <w:bottom w:val="none" w:sz="0" w:space="0" w:color="auto"/>
        <w:right w:val="none" w:sz="0" w:space="0" w:color="auto"/>
      </w:divBdr>
    </w:div>
    <w:div w:id="339237825">
      <w:bodyDiv w:val="1"/>
      <w:marLeft w:val="0"/>
      <w:marRight w:val="0"/>
      <w:marTop w:val="0"/>
      <w:marBottom w:val="0"/>
      <w:divBdr>
        <w:top w:val="none" w:sz="0" w:space="0" w:color="auto"/>
        <w:left w:val="none" w:sz="0" w:space="0" w:color="auto"/>
        <w:bottom w:val="none" w:sz="0" w:space="0" w:color="auto"/>
        <w:right w:val="none" w:sz="0" w:space="0" w:color="auto"/>
      </w:divBdr>
    </w:div>
    <w:div w:id="340278905">
      <w:bodyDiv w:val="1"/>
      <w:marLeft w:val="0"/>
      <w:marRight w:val="0"/>
      <w:marTop w:val="0"/>
      <w:marBottom w:val="0"/>
      <w:divBdr>
        <w:top w:val="none" w:sz="0" w:space="0" w:color="auto"/>
        <w:left w:val="none" w:sz="0" w:space="0" w:color="auto"/>
        <w:bottom w:val="none" w:sz="0" w:space="0" w:color="auto"/>
        <w:right w:val="none" w:sz="0" w:space="0" w:color="auto"/>
      </w:divBdr>
      <w:divsChild>
        <w:div w:id="1721973538">
          <w:marLeft w:val="-225"/>
          <w:marRight w:val="-225"/>
          <w:marTop w:val="0"/>
          <w:marBottom w:val="0"/>
          <w:divBdr>
            <w:top w:val="none" w:sz="0" w:space="0" w:color="auto"/>
            <w:left w:val="none" w:sz="0" w:space="0" w:color="auto"/>
            <w:bottom w:val="none" w:sz="0" w:space="0" w:color="auto"/>
            <w:right w:val="none" w:sz="0" w:space="0" w:color="auto"/>
          </w:divBdr>
          <w:divsChild>
            <w:div w:id="777455739">
              <w:marLeft w:val="0"/>
              <w:marRight w:val="0"/>
              <w:marTop w:val="0"/>
              <w:marBottom w:val="0"/>
              <w:divBdr>
                <w:top w:val="none" w:sz="0" w:space="0" w:color="auto"/>
                <w:left w:val="none" w:sz="0" w:space="0" w:color="auto"/>
                <w:bottom w:val="none" w:sz="0" w:space="0" w:color="auto"/>
                <w:right w:val="none" w:sz="0" w:space="0" w:color="auto"/>
              </w:divBdr>
              <w:divsChild>
                <w:div w:id="1737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59623">
      <w:bodyDiv w:val="1"/>
      <w:marLeft w:val="0"/>
      <w:marRight w:val="0"/>
      <w:marTop w:val="0"/>
      <w:marBottom w:val="0"/>
      <w:divBdr>
        <w:top w:val="none" w:sz="0" w:space="0" w:color="auto"/>
        <w:left w:val="none" w:sz="0" w:space="0" w:color="auto"/>
        <w:bottom w:val="none" w:sz="0" w:space="0" w:color="auto"/>
        <w:right w:val="none" w:sz="0" w:space="0" w:color="auto"/>
      </w:divBdr>
    </w:div>
    <w:div w:id="344090981">
      <w:bodyDiv w:val="1"/>
      <w:marLeft w:val="0"/>
      <w:marRight w:val="0"/>
      <w:marTop w:val="0"/>
      <w:marBottom w:val="0"/>
      <w:divBdr>
        <w:top w:val="none" w:sz="0" w:space="0" w:color="auto"/>
        <w:left w:val="none" w:sz="0" w:space="0" w:color="auto"/>
        <w:bottom w:val="none" w:sz="0" w:space="0" w:color="auto"/>
        <w:right w:val="none" w:sz="0" w:space="0" w:color="auto"/>
      </w:divBdr>
    </w:div>
    <w:div w:id="348065399">
      <w:bodyDiv w:val="1"/>
      <w:marLeft w:val="0"/>
      <w:marRight w:val="0"/>
      <w:marTop w:val="0"/>
      <w:marBottom w:val="0"/>
      <w:divBdr>
        <w:top w:val="none" w:sz="0" w:space="0" w:color="auto"/>
        <w:left w:val="none" w:sz="0" w:space="0" w:color="auto"/>
        <w:bottom w:val="none" w:sz="0" w:space="0" w:color="auto"/>
        <w:right w:val="none" w:sz="0" w:space="0" w:color="auto"/>
      </w:divBdr>
    </w:div>
    <w:div w:id="350767220">
      <w:bodyDiv w:val="1"/>
      <w:marLeft w:val="0"/>
      <w:marRight w:val="0"/>
      <w:marTop w:val="0"/>
      <w:marBottom w:val="0"/>
      <w:divBdr>
        <w:top w:val="none" w:sz="0" w:space="0" w:color="auto"/>
        <w:left w:val="none" w:sz="0" w:space="0" w:color="auto"/>
        <w:bottom w:val="none" w:sz="0" w:space="0" w:color="auto"/>
        <w:right w:val="none" w:sz="0" w:space="0" w:color="auto"/>
      </w:divBdr>
    </w:div>
    <w:div w:id="353728368">
      <w:bodyDiv w:val="1"/>
      <w:marLeft w:val="0"/>
      <w:marRight w:val="0"/>
      <w:marTop w:val="0"/>
      <w:marBottom w:val="0"/>
      <w:divBdr>
        <w:top w:val="none" w:sz="0" w:space="0" w:color="auto"/>
        <w:left w:val="none" w:sz="0" w:space="0" w:color="auto"/>
        <w:bottom w:val="none" w:sz="0" w:space="0" w:color="auto"/>
        <w:right w:val="none" w:sz="0" w:space="0" w:color="auto"/>
      </w:divBdr>
    </w:div>
    <w:div w:id="354156959">
      <w:bodyDiv w:val="1"/>
      <w:marLeft w:val="0"/>
      <w:marRight w:val="0"/>
      <w:marTop w:val="0"/>
      <w:marBottom w:val="0"/>
      <w:divBdr>
        <w:top w:val="none" w:sz="0" w:space="0" w:color="auto"/>
        <w:left w:val="none" w:sz="0" w:space="0" w:color="auto"/>
        <w:bottom w:val="none" w:sz="0" w:space="0" w:color="auto"/>
        <w:right w:val="none" w:sz="0" w:space="0" w:color="auto"/>
      </w:divBdr>
    </w:div>
    <w:div w:id="357244492">
      <w:bodyDiv w:val="1"/>
      <w:marLeft w:val="0"/>
      <w:marRight w:val="0"/>
      <w:marTop w:val="0"/>
      <w:marBottom w:val="0"/>
      <w:divBdr>
        <w:top w:val="none" w:sz="0" w:space="0" w:color="auto"/>
        <w:left w:val="none" w:sz="0" w:space="0" w:color="auto"/>
        <w:bottom w:val="none" w:sz="0" w:space="0" w:color="auto"/>
        <w:right w:val="none" w:sz="0" w:space="0" w:color="auto"/>
      </w:divBdr>
    </w:div>
    <w:div w:id="358312553">
      <w:bodyDiv w:val="1"/>
      <w:marLeft w:val="0"/>
      <w:marRight w:val="0"/>
      <w:marTop w:val="0"/>
      <w:marBottom w:val="0"/>
      <w:divBdr>
        <w:top w:val="none" w:sz="0" w:space="0" w:color="auto"/>
        <w:left w:val="none" w:sz="0" w:space="0" w:color="auto"/>
        <w:bottom w:val="none" w:sz="0" w:space="0" w:color="auto"/>
        <w:right w:val="none" w:sz="0" w:space="0" w:color="auto"/>
      </w:divBdr>
    </w:div>
    <w:div w:id="361833091">
      <w:bodyDiv w:val="1"/>
      <w:marLeft w:val="0"/>
      <w:marRight w:val="0"/>
      <w:marTop w:val="0"/>
      <w:marBottom w:val="0"/>
      <w:divBdr>
        <w:top w:val="none" w:sz="0" w:space="0" w:color="auto"/>
        <w:left w:val="none" w:sz="0" w:space="0" w:color="auto"/>
        <w:bottom w:val="none" w:sz="0" w:space="0" w:color="auto"/>
        <w:right w:val="none" w:sz="0" w:space="0" w:color="auto"/>
      </w:divBdr>
    </w:div>
    <w:div w:id="362437233">
      <w:bodyDiv w:val="1"/>
      <w:marLeft w:val="0"/>
      <w:marRight w:val="0"/>
      <w:marTop w:val="0"/>
      <w:marBottom w:val="0"/>
      <w:divBdr>
        <w:top w:val="none" w:sz="0" w:space="0" w:color="auto"/>
        <w:left w:val="none" w:sz="0" w:space="0" w:color="auto"/>
        <w:bottom w:val="none" w:sz="0" w:space="0" w:color="auto"/>
        <w:right w:val="none" w:sz="0" w:space="0" w:color="auto"/>
      </w:divBdr>
    </w:div>
    <w:div w:id="364067597">
      <w:bodyDiv w:val="1"/>
      <w:marLeft w:val="0"/>
      <w:marRight w:val="0"/>
      <w:marTop w:val="0"/>
      <w:marBottom w:val="0"/>
      <w:divBdr>
        <w:top w:val="none" w:sz="0" w:space="0" w:color="auto"/>
        <w:left w:val="none" w:sz="0" w:space="0" w:color="auto"/>
        <w:bottom w:val="none" w:sz="0" w:space="0" w:color="auto"/>
        <w:right w:val="none" w:sz="0" w:space="0" w:color="auto"/>
      </w:divBdr>
    </w:div>
    <w:div w:id="365646172">
      <w:bodyDiv w:val="1"/>
      <w:marLeft w:val="0"/>
      <w:marRight w:val="0"/>
      <w:marTop w:val="0"/>
      <w:marBottom w:val="0"/>
      <w:divBdr>
        <w:top w:val="none" w:sz="0" w:space="0" w:color="auto"/>
        <w:left w:val="none" w:sz="0" w:space="0" w:color="auto"/>
        <w:bottom w:val="none" w:sz="0" w:space="0" w:color="auto"/>
        <w:right w:val="none" w:sz="0" w:space="0" w:color="auto"/>
      </w:divBdr>
    </w:div>
    <w:div w:id="373889902">
      <w:bodyDiv w:val="1"/>
      <w:marLeft w:val="0"/>
      <w:marRight w:val="0"/>
      <w:marTop w:val="0"/>
      <w:marBottom w:val="0"/>
      <w:divBdr>
        <w:top w:val="none" w:sz="0" w:space="0" w:color="auto"/>
        <w:left w:val="none" w:sz="0" w:space="0" w:color="auto"/>
        <w:bottom w:val="none" w:sz="0" w:space="0" w:color="auto"/>
        <w:right w:val="none" w:sz="0" w:space="0" w:color="auto"/>
      </w:divBdr>
      <w:divsChild>
        <w:div w:id="4327962">
          <w:marLeft w:val="-225"/>
          <w:marRight w:val="-225"/>
          <w:marTop w:val="0"/>
          <w:marBottom w:val="0"/>
          <w:divBdr>
            <w:top w:val="none" w:sz="0" w:space="0" w:color="auto"/>
            <w:left w:val="none" w:sz="0" w:space="0" w:color="auto"/>
            <w:bottom w:val="none" w:sz="0" w:space="0" w:color="auto"/>
            <w:right w:val="none" w:sz="0" w:space="0" w:color="auto"/>
          </w:divBdr>
          <w:divsChild>
            <w:div w:id="706756035">
              <w:marLeft w:val="0"/>
              <w:marRight w:val="0"/>
              <w:marTop w:val="0"/>
              <w:marBottom w:val="0"/>
              <w:divBdr>
                <w:top w:val="none" w:sz="0" w:space="0" w:color="auto"/>
                <w:left w:val="none" w:sz="0" w:space="0" w:color="auto"/>
                <w:bottom w:val="none" w:sz="0" w:space="0" w:color="auto"/>
                <w:right w:val="none" w:sz="0" w:space="0" w:color="auto"/>
              </w:divBdr>
              <w:divsChild>
                <w:div w:id="9972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5683">
      <w:bodyDiv w:val="1"/>
      <w:marLeft w:val="0"/>
      <w:marRight w:val="0"/>
      <w:marTop w:val="0"/>
      <w:marBottom w:val="0"/>
      <w:divBdr>
        <w:top w:val="none" w:sz="0" w:space="0" w:color="auto"/>
        <w:left w:val="none" w:sz="0" w:space="0" w:color="auto"/>
        <w:bottom w:val="none" w:sz="0" w:space="0" w:color="auto"/>
        <w:right w:val="none" w:sz="0" w:space="0" w:color="auto"/>
      </w:divBdr>
    </w:div>
    <w:div w:id="374430294">
      <w:bodyDiv w:val="1"/>
      <w:marLeft w:val="0"/>
      <w:marRight w:val="0"/>
      <w:marTop w:val="0"/>
      <w:marBottom w:val="0"/>
      <w:divBdr>
        <w:top w:val="none" w:sz="0" w:space="0" w:color="auto"/>
        <w:left w:val="none" w:sz="0" w:space="0" w:color="auto"/>
        <w:bottom w:val="none" w:sz="0" w:space="0" w:color="auto"/>
        <w:right w:val="none" w:sz="0" w:space="0" w:color="auto"/>
      </w:divBdr>
    </w:div>
    <w:div w:id="375085827">
      <w:bodyDiv w:val="1"/>
      <w:marLeft w:val="0"/>
      <w:marRight w:val="0"/>
      <w:marTop w:val="0"/>
      <w:marBottom w:val="0"/>
      <w:divBdr>
        <w:top w:val="none" w:sz="0" w:space="0" w:color="auto"/>
        <w:left w:val="none" w:sz="0" w:space="0" w:color="auto"/>
        <w:bottom w:val="none" w:sz="0" w:space="0" w:color="auto"/>
        <w:right w:val="none" w:sz="0" w:space="0" w:color="auto"/>
      </w:divBdr>
    </w:div>
    <w:div w:id="375861725">
      <w:bodyDiv w:val="1"/>
      <w:marLeft w:val="0"/>
      <w:marRight w:val="0"/>
      <w:marTop w:val="0"/>
      <w:marBottom w:val="0"/>
      <w:divBdr>
        <w:top w:val="none" w:sz="0" w:space="0" w:color="auto"/>
        <w:left w:val="none" w:sz="0" w:space="0" w:color="auto"/>
        <w:bottom w:val="none" w:sz="0" w:space="0" w:color="auto"/>
        <w:right w:val="none" w:sz="0" w:space="0" w:color="auto"/>
      </w:divBdr>
    </w:div>
    <w:div w:id="378432567">
      <w:bodyDiv w:val="1"/>
      <w:marLeft w:val="0"/>
      <w:marRight w:val="0"/>
      <w:marTop w:val="0"/>
      <w:marBottom w:val="0"/>
      <w:divBdr>
        <w:top w:val="none" w:sz="0" w:space="0" w:color="auto"/>
        <w:left w:val="none" w:sz="0" w:space="0" w:color="auto"/>
        <w:bottom w:val="none" w:sz="0" w:space="0" w:color="auto"/>
        <w:right w:val="none" w:sz="0" w:space="0" w:color="auto"/>
      </w:divBdr>
    </w:div>
    <w:div w:id="380835500">
      <w:bodyDiv w:val="1"/>
      <w:marLeft w:val="0"/>
      <w:marRight w:val="0"/>
      <w:marTop w:val="0"/>
      <w:marBottom w:val="0"/>
      <w:divBdr>
        <w:top w:val="none" w:sz="0" w:space="0" w:color="auto"/>
        <w:left w:val="none" w:sz="0" w:space="0" w:color="auto"/>
        <w:bottom w:val="none" w:sz="0" w:space="0" w:color="auto"/>
        <w:right w:val="none" w:sz="0" w:space="0" w:color="auto"/>
      </w:divBdr>
    </w:div>
    <w:div w:id="381367657">
      <w:bodyDiv w:val="1"/>
      <w:marLeft w:val="0"/>
      <w:marRight w:val="0"/>
      <w:marTop w:val="0"/>
      <w:marBottom w:val="0"/>
      <w:divBdr>
        <w:top w:val="none" w:sz="0" w:space="0" w:color="auto"/>
        <w:left w:val="none" w:sz="0" w:space="0" w:color="auto"/>
        <w:bottom w:val="none" w:sz="0" w:space="0" w:color="auto"/>
        <w:right w:val="none" w:sz="0" w:space="0" w:color="auto"/>
      </w:divBdr>
    </w:div>
    <w:div w:id="381562119">
      <w:bodyDiv w:val="1"/>
      <w:marLeft w:val="0"/>
      <w:marRight w:val="0"/>
      <w:marTop w:val="0"/>
      <w:marBottom w:val="0"/>
      <w:divBdr>
        <w:top w:val="none" w:sz="0" w:space="0" w:color="auto"/>
        <w:left w:val="none" w:sz="0" w:space="0" w:color="auto"/>
        <w:bottom w:val="none" w:sz="0" w:space="0" w:color="auto"/>
        <w:right w:val="none" w:sz="0" w:space="0" w:color="auto"/>
      </w:divBdr>
      <w:divsChild>
        <w:div w:id="1801260857">
          <w:marLeft w:val="-225"/>
          <w:marRight w:val="-225"/>
          <w:marTop w:val="0"/>
          <w:marBottom w:val="0"/>
          <w:divBdr>
            <w:top w:val="none" w:sz="0" w:space="0" w:color="auto"/>
            <w:left w:val="none" w:sz="0" w:space="0" w:color="auto"/>
            <w:bottom w:val="none" w:sz="0" w:space="0" w:color="auto"/>
            <w:right w:val="none" w:sz="0" w:space="0" w:color="auto"/>
          </w:divBdr>
          <w:divsChild>
            <w:div w:id="443161074">
              <w:marLeft w:val="0"/>
              <w:marRight w:val="0"/>
              <w:marTop w:val="0"/>
              <w:marBottom w:val="0"/>
              <w:divBdr>
                <w:top w:val="none" w:sz="0" w:space="0" w:color="auto"/>
                <w:left w:val="none" w:sz="0" w:space="0" w:color="auto"/>
                <w:bottom w:val="none" w:sz="0" w:space="0" w:color="auto"/>
                <w:right w:val="none" w:sz="0" w:space="0" w:color="auto"/>
              </w:divBdr>
              <w:divsChild>
                <w:div w:id="4044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59314">
      <w:bodyDiv w:val="1"/>
      <w:marLeft w:val="0"/>
      <w:marRight w:val="0"/>
      <w:marTop w:val="0"/>
      <w:marBottom w:val="0"/>
      <w:divBdr>
        <w:top w:val="none" w:sz="0" w:space="0" w:color="auto"/>
        <w:left w:val="none" w:sz="0" w:space="0" w:color="auto"/>
        <w:bottom w:val="none" w:sz="0" w:space="0" w:color="auto"/>
        <w:right w:val="none" w:sz="0" w:space="0" w:color="auto"/>
      </w:divBdr>
    </w:div>
    <w:div w:id="386034388">
      <w:bodyDiv w:val="1"/>
      <w:marLeft w:val="0"/>
      <w:marRight w:val="0"/>
      <w:marTop w:val="0"/>
      <w:marBottom w:val="0"/>
      <w:divBdr>
        <w:top w:val="none" w:sz="0" w:space="0" w:color="auto"/>
        <w:left w:val="none" w:sz="0" w:space="0" w:color="auto"/>
        <w:bottom w:val="none" w:sz="0" w:space="0" w:color="auto"/>
        <w:right w:val="none" w:sz="0" w:space="0" w:color="auto"/>
      </w:divBdr>
    </w:div>
    <w:div w:id="386563283">
      <w:bodyDiv w:val="1"/>
      <w:marLeft w:val="0"/>
      <w:marRight w:val="0"/>
      <w:marTop w:val="0"/>
      <w:marBottom w:val="0"/>
      <w:divBdr>
        <w:top w:val="none" w:sz="0" w:space="0" w:color="auto"/>
        <w:left w:val="none" w:sz="0" w:space="0" w:color="auto"/>
        <w:bottom w:val="none" w:sz="0" w:space="0" w:color="auto"/>
        <w:right w:val="none" w:sz="0" w:space="0" w:color="auto"/>
      </w:divBdr>
      <w:divsChild>
        <w:div w:id="751126150">
          <w:marLeft w:val="0"/>
          <w:marRight w:val="0"/>
          <w:marTop w:val="0"/>
          <w:marBottom w:val="0"/>
          <w:divBdr>
            <w:top w:val="none" w:sz="0" w:space="0" w:color="auto"/>
            <w:left w:val="none" w:sz="0" w:space="0" w:color="auto"/>
            <w:bottom w:val="none" w:sz="0" w:space="0" w:color="auto"/>
            <w:right w:val="none" w:sz="0" w:space="0" w:color="auto"/>
          </w:divBdr>
          <w:divsChild>
            <w:div w:id="1695231894">
              <w:marLeft w:val="-225"/>
              <w:marRight w:val="-225"/>
              <w:marTop w:val="0"/>
              <w:marBottom w:val="0"/>
              <w:divBdr>
                <w:top w:val="none" w:sz="0" w:space="0" w:color="auto"/>
                <w:left w:val="none" w:sz="0" w:space="0" w:color="auto"/>
                <w:bottom w:val="none" w:sz="0" w:space="0" w:color="auto"/>
                <w:right w:val="none" w:sz="0" w:space="0" w:color="auto"/>
              </w:divBdr>
              <w:divsChild>
                <w:div w:id="1292444697">
                  <w:marLeft w:val="0"/>
                  <w:marRight w:val="0"/>
                  <w:marTop w:val="0"/>
                  <w:marBottom w:val="0"/>
                  <w:divBdr>
                    <w:top w:val="none" w:sz="0" w:space="0" w:color="auto"/>
                    <w:left w:val="none" w:sz="0" w:space="0" w:color="auto"/>
                    <w:bottom w:val="none" w:sz="0" w:space="0" w:color="auto"/>
                    <w:right w:val="none" w:sz="0" w:space="0" w:color="auto"/>
                  </w:divBdr>
                  <w:divsChild>
                    <w:div w:id="20649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21980">
          <w:marLeft w:val="0"/>
          <w:marRight w:val="0"/>
          <w:marTop w:val="0"/>
          <w:marBottom w:val="0"/>
          <w:divBdr>
            <w:top w:val="none" w:sz="0" w:space="0" w:color="auto"/>
            <w:left w:val="none" w:sz="0" w:space="0" w:color="auto"/>
            <w:bottom w:val="none" w:sz="0" w:space="0" w:color="auto"/>
            <w:right w:val="none" w:sz="0" w:space="0" w:color="auto"/>
          </w:divBdr>
        </w:div>
        <w:div w:id="1294167114">
          <w:marLeft w:val="0"/>
          <w:marRight w:val="0"/>
          <w:marTop w:val="0"/>
          <w:marBottom w:val="0"/>
          <w:divBdr>
            <w:top w:val="none" w:sz="0" w:space="0" w:color="auto"/>
            <w:left w:val="none" w:sz="0" w:space="0" w:color="auto"/>
            <w:bottom w:val="none" w:sz="0" w:space="0" w:color="auto"/>
            <w:right w:val="none" w:sz="0" w:space="0" w:color="auto"/>
          </w:divBdr>
          <w:divsChild>
            <w:div w:id="1329555368">
              <w:marLeft w:val="-225"/>
              <w:marRight w:val="-225"/>
              <w:marTop w:val="0"/>
              <w:marBottom w:val="0"/>
              <w:divBdr>
                <w:top w:val="none" w:sz="0" w:space="0" w:color="auto"/>
                <w:left w:val="none" w:sz="0" w:space="0" w:color="auto"/>
                <w:bottom w:val="none" w:sz="0" w:space="0" w:color="auto"/>
                <w:right w:val="none" w:sz="0" w:space="0" w:color="auto"/>
              </w:divBdr>
              <w:divsChild>
                <w:div w:id="618099712">
                  <w:marLeft w:val="0"/>
                  <w:marRight w:val="0"/>
                  <w:marTop w:val="0"/>
                  <w:marBottom w:val="0"/>
                  <w:divBdr>
                    <w:top w:val="none" w:sz="0" w:space="0" w:color="auto"/>
                    <w:left w:val="none" w:sz="0" w:space="0" w:color="auto"/>
                    <w:bottom w:val="none" w:sz="0" w:space="0" w:color="auto"/>
                    <w:right w:val="none" w:sz="0" w:space="0" w:color="auto"/>
                  </w:divBdr>
                  <w:divsChild>
                    <w:div w:id="6973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23895">
          <w:marLeft w:val="0"/>
          <w:marRight w:val="0"/>
          <w:marTop w:val="0"/>
          <w:marBottom w:val="0"/>
          <w:divBdr>
            <w:top w:val="none" w:sz="0" w:space="0" w:color="auto"/>
            <w:left w:val="none" w:sz="0" w:space="0" w:color="auto"/>
            <w:bottom w:val="none" w:sz="0" w:space="0" w:color="auto"/>
            <w:right w:val="none" w:sz="0" w:space="0" w:color="auto"/>
          </w:divBdr>
          <w:divsChild>
            <w:div w:id="1233128121">
              <w:marLeft w:val="0"/>
              <w:marRight w:val="0"/>
              <w:marTop w:val="0"/>
              <w:marBottom w:val="0"/>
              <w:divBdr>
                <w:top w:val="single" w:sz="6" w:space="24" w:color="EBEEF5"/>
                <w:left w:val="none" w:sz="0" w:space="0" w:color="auto"/>
                <w:bottom w:val="single" w:sz="6" w:space="18" w:color="EBEEF5"/>
                <w:right w:val="none" w:sz="0" w:space="0" w:color="auto"/>
              </w:divBdr>
              <w:divsChild>
                <w:div w:id="1874730712">
                  <w:marLeft w:val="0"/>
                  <w:marRight w:val="0"/>
                  <w:marTop w:val="0"/>
                  <w:marBottom w:val="0"/>
                  <w:divBdr>
                    <w:top w:val="none" w:sz="0" w:space="0" w:color="auto"/>
                    <w:left w:val="none" w:sz="0" w:space="0" w:color="auto"/>
                    <w:bottom w:val="none" w:sz="0" w:space="0" w:color="auto"/>
                    <w:right w:val="none" w:sz="0" w:space="0" w:color="auto"/>
                  </w:divBdr>
                  <w:divsChild>
                    <w:div w:id="1598781938">
                      <w:marLeft w:val="0"/>
                      <w:marRight w:val="0"/>
                      <w:marTop w:val="0"/>
                      <w:marBottom w:val="0"/>
                      <w:divBdr>
                        <w:top w:val="none" w:sz="0" w:space="0" w:color="auto"/>
                        <w:left w:val="none" w:sz="0" w:space="0" w:color="auto"/>
                        <w:bottom w:val="none" w:sz="0" w:space="0" w:color="auto"/>
                        <w:right w:val="none" w:sz="0" w:space="0" w:color="auto"/>
                      </w:divBdr>
                      <w:divsChild>
                        <w:div w:id="1478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800651">
      <w:bodyDiv w:val="1"/>
      <w:marLeft w:val="0"/>
      <w:marRight w:val="0"/>
      <w:marTop w:val="0"/>
      <w:marBottom w:val="0"/>
      <w:divBdr>
        <w:top w:val="none" w:sz="0" w:space="0" w:color="auto"/>
        <w:left w:val="none" w:sz="0" w:space="0" w:color="auto"/>
        <w:bottom w:val="none" w:sz="0" w:space="0" w:color="auto"/>
        <w:right w:val="none" w:sz="0" w:space="0" w:color="auto"/>
      </w:divBdr>
    </w:div>
    <w:div w:id="387461315">
      <w:bodyDiv w:val="1"/>
      <w:marLeft w:val="0"/>
      <w:marRight w:val="0"/>
      <w:marTop w:val="0"/>
      <w:marBottom w:val="0"/>
      <w:divBdr>
        <w:top w:val="none" w:sz="0" w:space="0" w:color="auto"/>
        <w:left w:val="none" w:sz="0" w:space="0" w:color="auto"/>
        <w:bottom w:val="none" w:sz="0" w:space="0" w:color="auto"/>
        <w:right w:val="none" w:sz="0" w:space="0" w:color="auto"/>
      </w:divBdr>
    </w:div>
    <w:div w:id="395055455">
      <w:bodyDiv w:val="1"/>
      <w:marLeft w:val="0"/>
      <w:marRight w:val="0"/>
      <w:marTop w:val="0"/>
      <w:marBottom w:val="0"/>
      <w:divBdr>
        <w:top w:val="none" w:sz="0" w:space="0" w:color="auto"/>
        <w:left w:val="none" w:sz="0" w:space="0" w:color="auto"/>
        <w:bottom w:val="none" w:sz="0" w:space="0" w:color="auto"/>
        <w:right w:val="none" w:sz="0" w:space="0" w:color="auto"/>
      </w:divBdr>
      <w:divsChild>
        <w:div w:id="636111124">
          <w:marLeft w:val="-225"/>
          <w:marRight w:val="-225"/>
          <w:marTop w:val="0"/>
          <w:marBottom w:val="0"/>
          <w:divBdr>
            <w:top w:val="none" w:sz="0" w:space="0" w:color="auto"/>
            <w:left w:val="none" w:sz="0" w:space="0" w:color="auto"/>
            <w:bottom w:val="none" w:sz="0" w:space="0" w:color="auto"/>
            <w:right w:val="none" w:sz="0" w:space="0" w:color="auto"/>
          </w:divBdr>
          <w:divsChild>
            <w:div w:id="2087461207">
              <w:marLeft w:val="0"/>
              <w:marRight w:val="0"/>
              <w:marTop w:val="0"/>
              <w:marBottom w:val="0"/>
              <w:divBdr>
                <w:top w:val="none" w:sz="0" w:space="0" w:color="auto"/>
                <w:left w:val="none" w:sz="0" w:space="0" w:color="auto"/>
                <w:bottom w:val="none" w:sz="0" w:space="0" w:color="auto"/>
                <w:right w:val="none" w:sz="0" w:space="0" w:color="auto"/>
              </w:divBdr>
              <w:divsChild>
                <w:div w:id="19457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064">
      <w:bodyDiv w:val="1"/>
      <w:marLeft w:val="0"/>
      <w:marRight w:val="0"/>
      <w:marTop w:val="0"/>
      <w:marBottom w:val="0"/>
      <w:divBdr>
        <w:top w:val="none" w:sz="0" w:space="0" w:color="auto"/>
        <w:left w:val="none" w:sz="0" w:space="0" w:color="auto"/>
        <w:bottom w:val="none" w:sz="0" w:space="0" w:color="auto"/>
        <w:right w:val="none" w:sz="0" w:space="0" w:color="auto"/>
      </w:divBdr>
    </w:div>
    <w:div w:id="399065417">
      <w:bodyDiv w:val="1"/>
      <w:marLeft w:val="0"/>
      <w:marRight w:val="0"/>
      <w:marTop w:val="0"/>
      <w:marBottom w:val="0"/>
      <w:divBdr>
        <w:top w:val="none" w:sz="0" w:space="0" w:color="auto"/>
        <w:left w:val="none" w:sz="0" w:space="0" w:color="auto"/>
        <w:bottom w:val="none" w:sz="0" w:space="0" w:color="auto"/>
        <w:right w:val="none" w:sz="0" w:space="0" w:color="auto"/>
      </w:divBdr>
    </w:div>
    <w:div w:id="402030249">
      <w:bodyDiv w:val="1"/>
      <w:marLeft w:val="0"/>
      <w:marRight w:val="0"/>
      <w:marTop w:val="0"/>
      <w:marBottom w:val="0"/>
      <w:divBdr>
        <w:top w:val="none" w:sz="0" w:space="0" w:color="auto"/>
        <w:left w:val="none" w:sz="0" w:space="0" w:color="auto"/>
        <w:bottom w:val="none" w:sz="0" w:space="0" w:color="auto"/>
        <w:right w:val="none" w:sz="0" w:space="0" w:color="auto"/>
      </w:divBdr>
    </w:div>
    <w:div w:id="404687400">
      <w:bodyDiv w:val="1"/>
      <w:marLeft w:val="0"/>
      <w:marRight w:val="0"/>
      <w:marTop w:val="0"/>
      <w:marBottom w:val="0"/>
      <w:divBdr>
        <w:top w:val="none" w:sz="0" w:space="0" w:color="auto"/>
        <w:left w:val="none" w:sz="0" w:space="0" w:color="auto"/>
        <w:bottom w:val="none" w:sz="0" w:space="0" w:color="auto"/>
        <w:right w:val="none" w:sz="0" w:space="0" w:color="auto"/>
      </w:divBdr>
    </w:div>
    <w:div w:id="408313339">
      <w:bodyDiv w:val="1"/>
      <w:marLeft w:val="0"/>
      <w:marRight w:val="0"/>
      <w:marTop w:val="0"/>
      <w:marBottom w:val="0"/>
      <w:divBdr>
        <w:top w:val="none" w:sz="0" w:space="0" w:color="auto"/>
        <w:left w:val="none" w:sz="0" w:space="0" w:color="auto"/>
        <w:bottom w:val="none" w:sz="0" w:space="0" w:color="auto"/>
        <w:right w:val="none" w:sz="0" w:space="0" w:color="auto"/>
      </w:divBdr>
    </w:div>
    <w:div w:id="409233290">
      <w:bodyDiv w:val="1"/>
      <w:marLeft w:val="0"/>
      <w:marRight w:val="0"/>
      <w:marTop w:val="0"/>
      <w:marBottom w:val="0"/>
      <w:divBdr>
        <w:top w:val="none" w:sz="0" w:space="0" w:color="auto"/>
        <w:left w:val="none" w:sz="0" w:space="0" w:color="auto"/>
        <w:bottom w:val="none" w:sz="0" w:space="0" w:color="auto"/>
        <w:right w:val="none" w:sz="0" w:space="0" w:color="auto"/>
      </w:divBdr>
      <w:divsChild>
        <w:div w:id="162205322">
          <w:marLeft w:val="0"/>
          <w:marRight w:val="0"/>
          <w:marTop w:val="0"/>
          <w:marBottom w:val="0"/>
          <w:divBdr>
            <w:top w:val="none" w:sz="0" w:space="0" w:color="auto"/>
            <w:left w:val="none" w:sz="0" w:space="0" w:color="auto"/>
            <w:bottom w:val="none" w:sz="0" w:space="0" w:color="auto"/>
            <w:right w:val="none" w:sz="0" w:space="0" w:color="auto"/>
          </w:divBdr>
        </w:div>
        <w:div w:id="298536082">
          <w:marLeft w:val="0"/>
          <w:marRight w:val="0"/>
          <w:marTop w:val="0"/>
          <w:marBottom w:val="0"/>
          <w:divBdr>
            <w:top w:val="none" w:sz="0" w:space="0" w:color="auto"/>
            <w:left w:val="none" w:sz="0" w:space="0" w:color="auto"/>
            <w:bottom w:val="none" w:sz="0" w:space="0" w:color="auto"/>
            <w:right w:val="none" w:sz="0" w:space="0" w:color="auto"/>
          </w:divBdr>
          <w:divsChild>
            <w:div w:id="1881475230">
              <w:marLeft w:val="-225"/>
              <w:marRight w:val="-225"/>
              <w:marTop w:val="0"/>
              <w:marBottom w:val="0"/>
              <w:divBdr>
                <w:top w:val="none" w:sz="0" w:space="0" w:color="auto"/>
                <w:left w:val="none" w:sz="0" w:space="0" w:color="auto"/>
                <w:bottom w:val="none" w:sz="0" w:space="0" w:color="auto"/>
                <w:right w:val="none" w:sz="0" w:space="0" w:color="auto"/>
              </w:divBdr>
              <w:divsChild>
                <w:div w:id="376392432">
                  <w:marLeft w:val="0"/>
                  <w:marRight w:val="0"/>
                  <w:marTop w:val="0"/>
                  <w:marBottom w:val="0"/>
                  <w:divBdr>
                    <w:top w:val="none" w:sz="0" w:space="0" w:color="auto"/>
                    <w:left w:val="none" w:sz="0" w:space="0" w:color="auto"/>
                    <w:bottom w:val="none" w:sz="0" w:space="0" w:color="auto"/>
                    <w:right w:val="none" w:sz="0" w:space="0" w:color="auto"/>
                  </w:divBdr>
                  <w:divsChild>
                    <w:div w:id="10738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5680">
          <w:marLeft w:val="0"/>
          <w:marRight w:val="0"/>
          <w:marTop w:val="0"/>
          <w:marBottom w:val="0"/>
          <w:divBdr>
            <w:top w:val="none" w:sz="0" w:space="0" w:color="auto"/>
            <w:left w:val="none" w:sz="0" w:space="0" w:color="auto"/>
            <w:bottom w:val="none" w:sz="0" w:space="0" w:color="auto"/>
            <w:right w:val="none" w:sz="0" w:space="0" w:color="auto"/>
          </w:divBdr>
          <w:divsChild>
            <w:div w:id="172188266">
              <w:marLeft w:val="0"/>
              <w:marRight w:val="0"/>
              <w:marTop w:val="0"/>
              <w:marBottom w:val="0"/>
              <w:divBdr>
                <w:top w:val="none" w:sz="0" w:space="0" w:color="auto"/>
                <w:left w:val="none" w:sz="0" w:space="0" w:color="auto"/>
                <w:bottom w:val="none" w:sz="0" w:space="0" w:color="auto"/>
                <w:right w:val="none" w:sz="0" w:space="0" w:color="auto"/>
              </w:divBdr>
              <w:divsChild>
                <w:div w:id="1668367635">
                  <w:marLeft w:val="0"/>
                  <w:marRight w:val="0"/>
                  <w:marTop w:val="0"/>
                  <w:marBottom w:val="0"/>
                  <w:divBdr>
                    <w:top w:val="none" w:sz="0" w:space="0" w:color="auto"/>
                    <w:left w:val="none" w:sz="0" w:space="0" w:color="auto"/>
                    <w:bottom w:val="none" w:sz="0" w:space="0" w:color="auto"/>
                    <w:right w:val="none" w:sz="0" w:space="0" w:color="auto"/>
                  </w:divBdr>
                  <w:divsChild>
                    <w:div w:id="1194540442">
                      <w:marLeft w:val="0"/>
                      <w:marRight w:val="0"/>
                      <w:marTop w:val="0"/>
                      <w:marBottom w:val="0"/>
                      <w:divBdr>
                        <w:top w:val="none" w:sz="0" w:space="0" w:color="auto"/>
                        <w:left w:val="none" w:sz="0" w:space="0" w:color="auto"/>
                        <w:bottom w:val="none" w:sz="0" w:space="0" w:color="auto"/>
                        <w:right w:val="none" w:sz="0" w:space="0" w:color="auto"/>
                      </w:divBdr>
                      <w:divsChild>
                        <w:div w:id="1529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95645">
          <w:marLeft w:val="0"/>
          <w:marRight w:val="0"/>
          <w:marTop w:val="0"/>
          <w:marBottom w:val="0"/>
          <w:divBdr>
            <w:top w:val="none" w:sz="0" w:space="0" w:color="auto"/>
            <w:left w:val="none" w:sz="0" w:space="0" w:color="auto"/>
            <w:bottom w:val="none" w:sz="0" w:space="0" w:color="auto"/>
            <w:right w:val="none" w:sz="0" w:space="0" w:color="auto"/>
          </w:divBdr>
          <w:divsChild>
            <w:div w:id="112099282">
              <w:marLeft w:val="-225"/>
              <w:marRight w:val="-225"/>
              <w:marTop w:val="0"/>
              <w:marBottom w:val="0"/>
              <w:divBdr>
                <w:top w:val="none" w:sz="0" w:space="0" w:color="auto"/>
                <w:left w:val="none" w:sz="0" w:space="0" w:color="auto"/>
                <w:bottom w:val="none" w:sz="0" w:space="0" w:color="auto"/>
                <w:right w:val="none" w:sz="0" w:space="0" w:color="auto"/>
              </w:divBdr>
              <w:divsChild>
                <w:div w:id="847526606">
                  <w:marLeft w:val="0"/>
                  <w:marRight w:val="0"/>
                  <w:marTop w:val="0"/>
                  <w:marBottom w:val="0"/>
                  <w:divBdr>
                    <w:top w:val="none" w:sz="0" w:space="0" w:color="auto"/>
                    <w:left w:val="none" w:sz="0" w:space="0" w:color="auto"/>
                    <w:bottom w:val="none" w:sz="0" w:space="0" w:color="auto"/>
                    <w:right w:val="none" w:sz="0" w:space="0" w:color="auto"/>
                  </w:divBdr>
                  <w:divsChild>
                    <w:div w:id="4058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30890">
      <w:bodyDiv w:val="1"/>
      <w:marLeft w:val="0"/>
      <w:marRight w:val="0"/>
      <w:marTop w:val="0"/>
      <w:marBottom w:val="0"/>
      <w:divBdr>
        <w:top w:val="none" w:sz="0" w:space="0" w:color="auto"/>
        <w:left w:val="none" w:sz="0" w:space="0" w:color="auto"/>
        <w:bottom w:val="none" w:sz="0" w:space="0" w:color="auto"/>
        <w:right w:val="none" w:sz="0" w:space="0" w:color="auto"/>
      </w:divBdr>
    </w:div>
    <w:div w:id="413744651">
      <w:bodyDiv w:val="1"/>
      <w:marLeft w:val="0"/>
      <w:marRight w:val="0"/>
      <w:marTop w:val="0"/>
      <w:marBottom w:val="0"/>
      <w:divBdr>
        <w:top w:val="none" w:sz="0" w:space="0" w:color="auto"/>
        <w:left w:val="none" w:sz="0" w:space="0" w:color="auto"/>
        <w:bottom w:val="none" w:sz="0" w:space="0" w:color="auto"/>
        <w:right w:val="none" w:sz="0" w:space="0" w:color="auto"/>
      </w:divBdr>
    </w:div>
    <w:div w:id="414058261">
      <w:bodyDiv w:val="1"/>
      <w:marLeft w:val="0"/>
      <w:marRight w:val="0"/>
      <w:marTop w:val="0"/>
      <w:marBottom w:val="0"/>
      <w:divBdr>
        <w:top w:val="none" w:sz="0" w:space="0" w:color="auto"/>
        <w:left w:val="none" w:sz="0" w:space="0" w:color="auto"/>
        <w:bottom w:val="none" w:sz="0" w:space="0" w:color="auto"/>
        <w:right w:val="none" w:sz="0" w:space="0" w:color="auto"/>
      </w:divBdr>
      <w:divsChild>
        <w:div w:id="2079788527">
          <w:marLeft w:val="-456"/>
          <w:marRight w:val="0"/>
          <w:marTop w:val="300"/>
          <w:marBottom w:val="240"/>
          <w:divBdr>
            <w:top w:val="none" w:sz="0" w:space="0" w:color="auto"/>
            <w:left w:val="none" w:sz="0" w:space="0" w:color="auto"/>
            <w:bottom w:val="none" w:sz="0" w:space="0" w:color="auto"/>
            <w:right w:val="none" w:sz="0" w:space="0" w:color="auto"/>
          </w:divBdr>
          <w:divsChild>
            <w:div w:id="1359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10141">
      <w:bodyDiv w:val="1"/>
      <w:marLeft w:val="0"/>
      <w:marRight w:val="0"/>
      <w:marTop w:val="0"/>
      <w:marBottom w:val="0"/>
      <w:divBdr>
        <w:top w:val="none" w:sz="0" w:space="0" w:color="auto"/>
        <w:left w:val="none" w:sz="0" w:space="0" w:color="auto"/>
        <w:bottom w:val="none" w:sz="0" w:space="0" w:color="auto"/>
        <w:right w:val="none" w:sz="0" w:space="0" w:color="auto"/>
      </w:divBdr>
    </w:div>
    <w:div w:id="420418852">
      <w:bodyDiv w:val="1"/>
      <w:marLeft w:val="0"/>
      <w:marRight w:val="0"/>
      <w:marTop w:val="0"/>
      <w:marBottom w:val="0"/>
      <w:divBdr>
        <w:top w:val="none" w:sz="0" w:space="0" w:color="auto"/>
        <w:left w:val="none" w:sz="0" w:space="0" w:color="auto"/>
        <w:bottom w:val="none" w:sz="0" w:space="0" w:color="auto"/>
        <w:right w:val="none" w:sz="0" w:space="0" w:color="auto"/>
      </w:divBdr>
      <w:divsChild>
        <w:div w:id="122355996">
          <w:marLeft w:val="0"/>
          <w:marRight w:val="0"/>
          <w:marTop w:val="0"/>
          <w:marBottom w:val="0"/>
          <w:divBdr>
            <w:top w:val="none" w:sz="0" w:space="0" w:color="auto"/>
            <w:left w:val="none" w:sz="0" w:space="0" w:color="auto"/>
            <w:bottom w:val="none" w:sz="0" w:space="0" w:color="auto"/>
            <w:right w:val="none" w:sz="0" w:space="0" w:color="auto"/>
          </w:divBdr>
        </w:div>
        <w:div w:id="539364211">
          <w:marLeft w:val="0"/>
          <w:marRight w:val="0"/>
          <w:marTop w:val="0"/>
          <w:marBottom w:val="0"/>
          <w:divBdr>
            <w:top w:val="none" w:sz="0" w:space="0" w:color="auto"/>
            <w:left w:val="none" w:sz="0" w:space="0" w:color="auto"/>
            <w:bottom w:val="none" w:sz="0" w:space="0" w:color="auto"/>
            <w:right w:val="none" w:sz="0" w:space="0" w:color="auto"/>
          </w:divBdr>
          <w:divsChild>
            <w:div w:id="1298686196">
              <w:marLeft w:val="0"/>
              <w:marRight w:val="0"/>
              <w:marTop w:val="0"/>
              <w:marBottom w:val="0"/>
              <w:divBdr>
                <w:top w:val="none" w:sz="0" w:space="0" w:color="auto"/>
                <w:left w:val="none" w:sz="0" w:space="0" w:color="auto"/>
                <w:bottom w:val="none" w:sz="0" w:space="0" w:color="auto"/>
                <w:right w:val="none" w:sz="0" w:space="0" w:color="auto"/>
              </w:divBdr>
              <w:divsChild>
                <w:div w:id="1504587207">
                  <w:marLeft w:val="0"/>
                  <w:marRight w:val="0"/>
                  <w:marTop w:val="0"/>
                  <w:marBottom w:val="0"/>
                  <w:divBdr>
                    <w:top w:val="none" w:sz="0" w:space="0" w:color="auto"/>
                    <w:left w:val="none" w:sz="0" w:space="0" w:color="auto"/>
                    <w:bottom w:val="none" w:sz="0" w:space="0" w:color="auto"/>
                    <w:right w:val="none" w:sz="0" w:space="0" w:color="auto"/>
                  </w:divBdr>
                  <w:divsChild>
                    <w:div w:id="323053160">
                      <w:marLeft w:val="0"/>
                      <w:marRight w:val="0"/>
                      <w:marTop w:val="0"/>
                      <w:marBottom w:val="0"/>
                      <w:divBdr>
                        <w:top w:val="none" w:sz="0" w:space="0" w:color="auto"/>
                        <w:left w:val="none" w:sz="0" w:space="0" w:color="auto"/>
                        <w:bottom w:val="none" w:sz="0" w:space="0" w:color="auto"/>
                        <w:right w:val="none" w:sz="0" w:space="0" w:color="auto"/>
                      </w:divBdr>
                      <w:divsChild>
                        <w:div w:id="20805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75011">
          <w:marLeft w:val="0"/>
          <w:marRight w:val="0"/>
          <w:marTop w:val="0"/>
          <w:marBottom w:val="0"/>
          <w:divBdr>
            <w:top w:val="none" w:sz="0" w:space="0" w:color="auto"/>
            <w:left w:val="none" w:sz="0" w:space="0" w:color="auto"/>
            <w:bottom w:val="none" w:sz="0" w:space="0" w:color="auto"/>
            <w:right w:val="none" w:sz="0" w:space="0" w:color="auto"/>
          </w:divBdr>
          <w:divsChild>
            <w:div w:id="2039619779">
              <w:marLeft w:val="-225"/>
              <w:marRight w:val="-225"/>
              <w:marTop w:val="0"/>
              <w:marBottom w:val="0"/>
              <w:divBdr>
                <w:top w:val="none" w:sz="0" w:space="0" w:color="auto"/>
                <w:left w:val="none" w:sz="0" w:space="0" w:color="auto"/>
                <w:bottom w:val="none" w:sz="0" w:space="0" w:color="auto"/>
                <w:right w:val="none" w:sz="0" w:space="0" w:color="auto"/>
              </w:divBdr>
              <w:divsChild>
                <w:div w:id="1114716350">
                  <w:marLeft w:val="0"/>
                  <w:marRight w:val="0"/>
                  <w:marTop w:val="0"/>
                  <w:marBottom w:val="0"/>
                  <w:divBdr>
                    <w:top w:val="none" w:sz="0" w:space="0" w:color="auto"/>
                    <w:left w:val="none" w:sz="0" w:space="0" w:color="auto"/>
                    <w:bottom w:val="none" w:sz="0" w:space="0" w:color="auto"/>
                    <w:right w:val="none" w:sz="0" w:space="0" w:color="auto"/>
                  </w:divBdr>
                  <w:divsChild>
                    <w:div w:id="12182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97824">
          <w:marLeft w:val="0"/>
          <w:marRight w:val="0"/>
          <w:marTop w:val="0"/>
          <w:marBottom w:val="0"/>
          <w:divBdr>
            <w:top w:val="none" w:sz="0" w:space="0" w:color="auto"/>
            <w:left w:val="none" w:sz="0" w:space="0" w:color="auto"/>
            <w:bottom w:val="none" w:sz="0" w:space="0" w:color="auto"/>
            <w:right w:val="none" w:sz="0" w:space="0" w:color="auto"/>
          </w:divBdr>
          <w:divsChild>
            <w:div w:id="1887986955">
              <w:marLeft w:val="-225"/>
              <w:marRight w:val="-225"/>
              <w:marTop w:val="0"/>
              <w:marBottom w:val="0"/>
              <w:divBdr>
                <w:top w:val="none" w:sz="0" w:space="0" w:color="auto"/>
                <w:left w:val="none" w:sz="0" w:space="0" w:color="auto"/>
                <w:bottom w:val="none" w:sz="0" w:space="0" w:color="auto"/>
                <w:right w:val="none" w:sz="0" w:space="0" w:color="auto"/>
              </w:divBdr>
              <w:divsChild>
                <w:div w:id="562567903">
                  <w:marLeft w:val="0"/>
                  <w:marRight w:val="0"/>
                  <w:marTop w:val="0"/>
                  <w:marBottom w:val="0"/>
                  <w:divBdr>
                    <w:top w:val="none" w:sz="0" w:space="0" w:color="auto"/>
                    <w:left w:val="none" w:sz="0" w:space="0" w:color="auto"/>
                    <w:bottom w:val="none" w:sz="0" w:space="0" w:color="auto"/>
                    <w:right w:val="none" w:sz="0" w:space="0" w:color="auto"/>
                  </w:divBdr>
                  <w:divsChild>
                    <w:div w:id="1183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737327">
      <w:bodyDiv w:val="1"/>
      <w:marLeft w:val="0"/>
      <w:marRight w:val="0"/>
      <w:marTop w:val="0"/>
      <w:marBottom w:val="0"/>
      <w:divBdr>
        <w:top w:val="none" w:sz="0" w:space="0" w:color="auto"/>
        <w:left w:val="none" w:sz="0" w:space="0" w:color="auto"/>
        <w:bottom w:val="none" w:sz="0" w:space="0" w:color="auto"/>
        <w:right w:val="none" w:sz="0" w:space="0" w:color="auto"/>
      </w:divBdr>
    </w:div>
    <w:div w:id="427970816">
      <w:bodyDiv w:val="1"/>
      <w:marLeft w:val="0"/>
      <w:marRight w:val="0"/>
      <w:marTop w:val="0"/>
      <w:marBottom w:val="0"/>
      <w:divBdr>
        <w:top w:val="none" w:sz="0" w:space="0" w:color="auto"/>
        <w:left w:val="none" w:sz="0" w:space="0" w:color="auto"/>
        <w:bottom w:val="none" w:sz="0" w:space="0" w:color="auto"/>
        <w:right w:val="none" w:sz="0" w:space="0" w:color="auto"/>
      </w:divBdr>
      <w:divsChild>
        <w:div w:id="168720689">
          <w:marLeft w:val="0"/>
          <w:marRight w:val="0"/>
          <w:marTop w:val="0"/>
          <w:marBottom w:val="0"/>
          <w:divBdr>
            <w:top w:val="none" w:sz="0" w:space="0" w:color="auto"/>
            <w:left w:val="none" w:sz="0" w:space="0" w:color="auto"/>
            <w:bottom w:val="none" w:sz="0" w:space="0" w:color="auto"/>
            <w:right w:val="none" w:sz="0" w:space="0" w:color="auto"/>
          </w:divBdr>
        </w:div>
        <w:div w:id="641081931">
          <w:marLeft w:val="0"/>
          <w:marRight w:val="0"/>
          <w:marTop w:val="0"/>
          <w:marBottom w:val="0"/>
          <w:divBdr>
            <w:top w:val="none" w:sz="0" w:space="0" w:color="auto"/>
            <w:left w:val="none" w:sz="0" w:space="0" w:color="auto"/>
            <w:bottom w:val="none" w:sz="0" w:space="0" w:color="auto"/>
            <w:right w:val="none" w:sz="0" w:space="0" w:color="auto"/>
          </w:divBdr>
          <w:divsChild>
            <w:div w:id="1179075346">
              <w:marLeft w:val="0"/>
              <w:marRight w:val="0"/>
              <w:marTop w:val="0"/>
              <w:marBottom w:val="0"/>
              <w:divBdr>
                <w:top w:val="none" w:sz="0" w:space="0" w:color="auto"/>
                <w:left w:val="none" w:sz="0" w:space="0" w:color="auto"/>
                <w:bottom w:val="none" w:sz="0" w:space="0" w:color="auto"/>
                <w:right w:val="none" w:sz="0" w:space="0" w:color="auto"/>
              </w:divBdr>
              <w:divsChild>
                <w:div w:id="467362087">
                  <w:marLeft w:val="0"/>
                  <w:marRight w:val="0"/>
                  <w:marTop w:val="0"/>
                  <w:marBottom w:val="0"/>
                  <w:divBdr>
                    <w:top w:val="none" w:sz="0" w:space="0" w:color="auto"/>
                    <w:left w:val="none" w:sz="0" w:space="0" w:color="auto"/>
                    <w:bottom w:val="none" w:sz="0" w:space="0" w:color="auto"/>
                    <w:right w:val="none" w:sz="0" w:space="0" w:color="auto"/>
                  </w:divBdr>
                  <w:divsChild>
                    <w:div w:id="1228883406">
                      <w:marLeft w:val="0"/>
                      <w:marRight w:val="0"/>
                      <w:marTop w:val="0"/>
                      <w:marBottom w:val="0"/>
                      <w:divBdr>
                        <w:top w:val="none" w:sz="0" w:space="0" w:color="auto"/>
                        <w:left w:val="none" w:sz="0" w:space="0" w:color="auto"/>
                        <w:bottom w:val="none" w:sz="0" w:space="0" w:color="auto"/>
                        <w:right w:val="none" w:sz="0" w:space="0" w:color="auto"/>
                      </w:divBdr>
                      <w:divsChild>
                        <w:div w:id="2155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74127">
          <w:marLeft w:val="0"/>
          <w:marRight w:val="0"/>
          <w:marTop w:val="0"/>
          <w:marBottom w:val="0"/>
          <w:divBdr>
            <w:top w:val="none" w:sz="0" w:space="0" w:color="auto"/>
            <w:left w:val="none" w:sz="0" w:space="0" w:color="auto"/>
            <w:bottom w:val="none" w:sz="0" w:space="0" w:color="auto"/>
            <w:right w:val="none" w:sz="0" w:space="0" w:color="auto"/>
          </w:divBdr>
          <w:divsChild>
            <w:div w:id="953633596">
              <w:marLeft w:val="-225"/>
              <w:marRight w:val="-225"/>
              <w:marTop w:val="0"/>
              <w:marBottom w:val="0"/>
              <w:divBdr>
                <w:top w:val="none" w:sz="0" w:space="0" w:color="auto"/>
                <w:left w:val="none" w:sz="0" w:space="0" w:color="auto"/>
                <w:bottom w:val="none" w:sz="0" w:space="0" w:color="auto"/>
                <w:right w:val="none" w:sz="0" w:space="0" w:color="auto"/>
              </w:divBdr>
              <w:divsChild>
                <w:div w:id="594485375">
                  <w:marLeft w:val="0"/>
                  <w:marRight w:val="0"/>
                  <w:marTop w:val="0"/>
                  <w:marBottom w:val="0"/>
                  <w:divBdr>
                    <w:top w:val="none" w:sz="0" w:space="0" w:color="auto"/>
                    <w:left w:val="none" w:sz="0" w:space="0" w:color="auto"/>
                    <w:bottom w:val="none" w:sz="0" w:space="0" w:color="auto"/>
                    <w:right w:val="none" w:sz="0" w:space="0" w:color="auto"/>
                  </w:divBdr>
                  <w:divsChild>
                    <w:div w:id="19393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710">
          <w:marLeft w:val="0"/>
          <w:marRight w:val="0"/>
          <w:marTop w:val="0"/>
          <w:marBottom w:val="0"/>
          <w:divBdr>
            <w:top w:val="none" w:sz="0" w:space="0" w:color="auto"/>
            <w:left w:val="none" w:sz="0" w:space="0" w:color="auto"/>
            <w:bottom w:val="none" w:sz="0" w:space="0" w:color="auto"/>
            <w:right w:val="none" w:sz="0" w:space="0" w:color="auto"/>
          </w:divBdr>
          <w:divsChild>
            <w:div w:id="1227454532">
              <w:marLeft w:val="-225"/>
              <w:marRight w:val="-225"/>
              <w:marTop w:val="0"/>
              <w:marBottom w:val="0"/>
              <w:divBdr>
                <w:top w:val="none" w:sz="0" w:space="0" w:color="auto"/>
                <w:left w:val="none" w:sz="0" w:space="0" w:color="auto"/>
                <w:bottom w:val="none" w:sz="0" w:space="0" w:color="auto"/>
                <w:right w:val="none" w:sz="0" w:space="0" w:color="auto"/>
              </w:divBdr>
              <w:divsChild>
                <w:div w:id="1463115651">
                  <w:marLeft w:val="0"/>
                  <w:marRight w:val="0"/>
                  <w:marTop w:val="0"/>
                  <w:marBottom w:val="0"/>
                  <w:divBdr>
                    <w:top w:val="none" w:sz="0" w:space="0" w:color="auto"/>
                    <w:left w:val="none" w:sz="0" w:space="0" w:color="auto"/>
                    <w:bottom w:val="none" w:sz="0" w:space="0" w:color="auto"/>
                    <w:right w:val="none" w:sz="0" w:space="0" w:color="auto"/>
                  </w:divBdr>
                  <w:divsChild>
                    <w:div w:id="642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84597">
      <w:bodyDiv w:val="1"/>
      <w:marLeft w:val="0"/>
      <w:marRight w:val="0"/>
      <w:marTop w:val="0"/>
      <w:marBottom w:val="0"/>
      <w:divBdr>
        <w:top w:val="none" w:sz="0" w:space="0" w:color="auto"/>
        <w:left w:val="none" w:sz="0" w:space="0" w:color="auto"/>
        <w:bottom w:val="none" w:sz="0" w:space="0" w:color="auto"/>
        <w:right w:val="none" w:sz="0" w:space="0" w:color="auto"/>
      </w:divBdr>
    </w:div>
    <w:div w:id="443772586">
      <w:bodyDiv w:val="1"/>
      <w:marLeft w:val="0"/>
      <w:marRight w:val="0"/>
      <w:marTop w:val="0"/>
      <w:marBottom w:val="0"/>
      <w:divBdr>
        <w:top w:val="none" w:sz="0" w:space="0" w:color="auto"/>
        <w:left w:val="none" w:sz="0" w:space="0" w:color="auto"/>
        <w:bottom w:val="none" w:sz="0" w:space="0" w:color="auto"/>
        <w:right w:val="none" w:sz="0" w:space="0" w:color="auto"/>
      </w:divBdr>
    </w:div>
    <w:div w:id="451678662">
      <w:bodyDiv w:val="1"/>
      <w:marLeft w:val="0"/>
      <w:marRight w:val="0"/>
      <w:marTop w:val="0"/>
      <w:marBottom w:val="0"/>
      <w:divBdr>
        <w:top w:val="none" w:sz="0" w:space="0" w:color="auto"/>
        <w:left w:val="none" w:sz="0" w:space="0" w:color="auto"/>
        <w:bottom w:val="none" w:sz="0" w:space="0" w:color="auto"/>
        <w:right w:val="none" w:sz="0" w:space="0" w:color="auto"/>
      </w:divBdr>
    </w:div>
    <w:div w:id="453015447">
      <w:bodyDiv w:val="1"/>
      <w:marLeft w:val="0"/>
      <w:marRight w:val="0"/>
      <w:marTop w:val="0"/>
      <w:marBottom w:val="0"/>
      <w:divBdr>
        <w:top w:val="none" w:sz="0" w:space="0" w:color="auto"/>
        <w:left w:val="none" w:sz="0" w:space="0" w:color="auto"/>
        <w:bottom w:val="none" w:sz="0" w:space="0" w:color="auto"/>
        <w:right w:val="none" w:sz="0" w:space="0" w:color="auto"/>
      </w:divBdr>
    </w:div>
    <w:div w:id="455488003">
      <w:bodyDiv w:val="1"/>
      <w:marLeft w:val="0"/>
      <w:marRight w:val="0"/>
      <w:marTop w:val="0"/>
      <w:marBottom w:val="0"/>
      <w:divBdr>
        <w:top w:val="none" w:sz="0" w:space="0" w:color="auto"/>
        <w:left w:val="none" w:sz="0" w:space="0" w:color="auto"/>
        <w:bottom w:val="none" w:sz="0" w:space="0" w:color="auto"/>
        <w:right w:val="none" w:sz="0" w:space="0" w:color="auto"/>
      </w:divBdr>
    </w:div>
    <w:div w:id="458494401">
      <w:bodyDiv w:val="1"/>
      <w:marLeft w:val="0"/>
      <w:marRight w:val="0"/>
      <w:marTop w:val="0"/>
      <w:marBottom w:val="0"/>
      <w:divBdr>
        <w:top w:val="none" w:sz="0" w:space="0" w:color="auto"/>
        <w:left w:val="none" w:sz="0" w:space="0" w:color="auto"/>
        <w:bottom w:val="none" w:sz="0" w:space="0" w:color="auto"/>
        <w:right w:val="none" w:sz="0" w:space="0" w:color="auto"/>
      </w:divBdr>
    </w:div>
    <w:div w:id="460726581">
      <w:bodyDiv w:val="1"/>
      <w:marLeft w:val="0"/>
      <w:marRight w:val="0"/>
      <w:marTop w:val="0"/>
      <w:marBottom w:val="0"/>
      <w:divBdr>
        <w:top w:val="none" w:sz="0" w:space="0" w:color="auto"/>
        <w:left w:val="none" w:sz="0" w:space="0" w:color="auto"/>
        <w:bottom w:val="none" w:sz="0" w:space="0" w:color="auto"/>
        <w:right w:val="none" w:sz="0" w:space="0" w:color="auto"/>
      </w:divBdr>
      <w:divsChild>
        <w:div w:id="901407191">
          <w:marLeft w:val="-225"/>
          <w:marRight w:val="-225"/>
          <w:marTop w:val="0"/>
          <w:marBottom w:val="0"/>
          <w:divBdr>
            <w:top w:val="none" w:sz="0" w:space="0" w:color="auto"/>
            <w:left w:val="none" w:sz="0" w:space="0" w:color="auto"/>
            <w:bottom w:val="none" w:sz="0" w:space="0" w:color="auto"/>
            <w:right w:val="none" w:sz="0" w:space="0" w:color="auto"/>
          </w:divBdr>
          <w:divsChild>
            <w:div w:id="831871267">
              <w:marLeft w:val="0"/>
              <w:marRight w:val="0"/>
              <w:marTop w:val="0"/>
              <w:marBottom w:val="0"/>
              <w:divBdr>
                <w:top w:val="none" w:sz="0" w:space="0" w:color="auto"/>
                <w:left w:val="none" w:sz="0" w:space="0" w:color="auto"/>
                <w:bottom w:val="none" w:sz="0" w:space="0" w:color="auto"/>
                <w:right w:val="none" w:sz="0" w:space="0" w:color="auto"/>
              </w:divBdr>
              <w:divsChild>
                <w:div w:id="543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97254">
      <w:bodyDiv w:val="1"/>
      <w:marLeft w:val="0"/>
      <w:marRight w:val="0"/>
      <w:marTop w:val="0"/>
      <w:marBottom w:val="0"/>
      <w:divBdr>
        <w:top w:val="none" w:sz="0" w:space="0" w:color="auto"/>
        <w:left w:val="none" w:sz="0" w:space="0" w:color="auto"/>
        <w:bottom w:val="none" w:sz="0" w:space="0" w:color="auto"/>
        <w:right w:val="none" w:sz="0" w:space="0" w:color="auto"/>
      </w:divBdr>
    </w:div>
    <w:div w:id="463427853">
      <w:bodyDiv w:val="1"/>
      <w:marLeft w:val="0"/>
      <w:marRight w:val="0"/>
      <w:marTop w:val="0"/>
      <w:marBottom w:val="0"/>
      <w:divBdr>
        <w:top w:val="none" w:sz="0" w:space="0" w:color="auto"/>
        <w:left w:val="none" w:sz="0" w:space="0" w:color="auto"/>
        <w:bottom w:val="none" w:sz="0" w:space="0" w:color="auto"/>
        <w:right w:val="none" w:sz="0" w:space="0" w:color="auto"/>
      </w:divBdr>
    </w:div>
    <w:div w:id="464812256">
      <w:bodyDiv w:val="1"/>
      <w:marLeft w:val="0"/>
      <w:marRight w:val="0"/>
      <w:marTop w:val="0"/>
      <w:marBottom w:val="0"/>
      <w:divBdr>
        <w:top w:val="none" w:sz="0" w:space="0" w:color="auto"/>
        <w:left w:val="none" w:sz="0" w:space="0" w:color="auto"/>
        <w:bottom w:val="none" w:sz="0" w:space="0" w:color="auto"/>
        <w:right w:val="none" w:sz="0" w:space="0" w:color="auto"/>
      </w:divBdr>
    </w:div>
    <w:div w:id="464860596">
      <w:bodyDiv w:val="1"/>
      <w:marLeft w:val="0"/>
      <w:marRight w:val="0"/>
      <w:marTop w:val="0"/>
      <w:marBottom w:val="0"/>
      <w:divBdr>
        <w:top w:val="none" w:sz="0" w:space="0" w:color="auto"/>
        <w:left w:val="none" w:sz="0" w:space="0" w:color="auto"/>
        <w:bottom w:val="none" w:sz="0" w:space="0" w:color="auto"/>
        <w:right w:val="none" w:sz="0" w:space="0" w:color="auto"/>
      </w:divBdr>
      <w:divsChild>
        <w:div w:id="159929134">
          <w:marLeft w:val="-225"/>
          <w:marRight w:val="-225"/>
          <w:marTop w:val="0"/>
          <w:marBottom w:val="0"/>
          <w:divBdr>
            <w:top w:val="none" w:sz="0" w:space="0" w:color="auto"/>
            <w:left w:val="none" w:sz="0" w:space="0" w:color="auto"/>
            <w:bottom w:val="none" w:sz="0" w:space="0" w:color="auto"/>
            <w:right w:val="none" w:sz="0" w:space="0" w:color="auto"/>
          </w:divBdr>
          <w:divsChild>
            <w:div w:id="313529105">
              <w:marLeft w:val="0"/>
              <w:marRight w:val="0"/>
              <w:marTop w:val="0"/>
              <w:marBottom w:val="0"/>
              <w:divBdr>
                <w:top w:val="none" w:sz="0" w:space="0" w:color="auto"/>
                <w:left w:val="none" w:sz="0" w:space="0" w:color="auto"/>
                <w:bottom w:val="none" w:sz="0" w:space="0" w:color="auto"/>
                <w:right w:val="none" w:sz="0" w:space="0" w:color="auto"/>
              </w:divBdr>
              <w:divsChild>
                <w:div w:id="7924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2979">
      <w:bodyDiv w:val="1"/>
      <w:marLeft w:val="0"/>
      <w:marRight w:val="0"/>
      <w:marTop w:val="0"/>
      <w:marBottom w:val="0"/>
      <w:divBdr>
        <w:top w:val="none" w:sz="0" w:space="0" w:color="auto"/>
        <w:left w:val="none" w:sz="0" w:space="0" w:color="auto"/>
        <w:bottom w:val="none" w:sz="0" w:space="0" w:color="auto"/>
        <w:right w:val="none" w:sz="0" w:space="0" w:color="auto"/>
      </w:divBdr>
    </w:div>
    <w:div w:id="466969362">
      <w:bodyDiv w:val="1"/>
      <w:marLeft w:val="0"/>
      <w:marRight w:val="0"/>
      <w:marTop w:val="0"/>
      <w:marBottom w:val="0"/>
      <w:divBdr>
        <w:top w:val="none" w:sz="0" w:space="0" w:color="auto"/>
        <w:left w:val="none" w:sz="0" w:space="0" w:color="auto"/>
        <w:bottom w:val="none" w:sz="0" w:space="0" w:color="auto"/>
        <w:right w:val="none" w:sz="0" w:space="0" w:color="auto"/>
      </w:divBdr>
    </w:div>
    <w:div w:id="470750195">
      <w:bodyDiv w:val="1"/>
      <w:marLeft w:val="0"/>
      <w:marRight w:val="0"/>
      <w:marTop w:val="0"/>
      <w:marBottom w:val="0"/>
      <w:divBdr>
        <w:top w:val="none" w:sz="0" w:space="0" w:color="auto"/>
        <w:left w:val="none" w:sz="0" w:space="0" w:color="auto"/>
        <w:bottom w:val="none" w:sz="0" w:space="0" w:color="auto"/>
        <w:right w:val="none" w:sz="0" w:space="0" w:color="auto"/>
      </w:divBdr>
    </w:div>
    <w:div w:id="473526620">
      <w:bodyDiv w:val="1"/>
      <w:marLeft w:val="0"/>
      <w:marRight w:val="0"/>
      <w:marTop w:val="0"/>
      <w:marBottom w:val="0"/>
      <w:divBdr>
        <w:top w:val="none" w:sz="0" w:space="0" w:color="auto"/>
        <w:left w:val="none" w:sz="0" w:space="0" w:color="auto"/>
        <w:bottom w:val="none" w:sz="0" w:space="0" w:color="auto"/>
        <w:right w:val="none" w:sz="0" w:space="0" w:color="auto"/>
      </w:divBdr>
    </w:div>
    <w:div w:id="475994256">
      <w:bodyDiv w:val="1"/>
      <w:marLeft w:val="0"/>
      <w:marRight w:val="0"/>
      <w:marTop w:val="0"/>
      <w:marBottom w:val="0"/>
      <w:divBdr>
        <w:top w:val="none" w:sz="0" w:space="0" w:color="auto"/>
        <w:left w:val="none" w:sz="0" w:space="0" w:color="auto"/>
        <w:bottom w:val="none" w:sz="0" w:space="0" w:color="auto"/>
        <w:right w:val="none" w:sz="0" w:space="0" w:color="auto"/>
      </w:divBdr>
    </w:div>
    <w:div w:id="476191182">
      <w:bodyDiv w:val="1"/>
      <w:marLeft w:val="0"/>
      <w:marRight w:val="0"/>
      <w:marTop w:val="0"/>
      <w:marBottom w:val="0"/>
      <w:divBdr>
        <w:top w:val="none" w:sz="0" w:space="0" w:color="auto"/>
        <w:left w:val="none" w:sz="0" w:space="0" w:color="auto"/>
        <w:bottom w:val="none" w:sz="0" w:space="0" w:color="auto"/>
        <w:right w:val="none" w:sz="0" w:space="0" w:color="auto"/>
      </w:divBdr>
    </w:div>
    <w:div w:id="478427930">
      <w:bodyDiv w:val="1"/>
      <w:marLeft w:val="0"/>
      <w:marRight w:val="0"/>
      <w:marTop w:val="0"/>
      <w:marBottom w:val="0"/>
      <w:divBdr>
        <w:top w:val="none" w:sz="0" w:space="0" w:color="auto"/>
        <w:left w:val="none" w:sz="0" w:space="0" w:color="auto"/>
        <w:bottom w:val="none" w:sz="0" w:space="0" w:color="auto"/>
        <w:right w:val="none" w:sz="0" w:space="0" w:color="auto"/>
      </w:divBdr>
    </w:div>
    <w:div w:id="482352360">
      <w:bodyDiv w:val="1"/>
      <w:marLeft w:val="0"/>
      <w:marRight w:val="0"/>
      <w:marTop w:val="0"/>
      <w:marBottom w:val="0"/>
      <w:divBdr>
        <w:top w:val="none" w:sz="0" w:space="0" w:color="auto"/>
        <w:left w:val="none" w:sz="0" w:space="0" w:color="auto"/>
        <w:bottom w:val="none" w:sz="0" w:space="0" w:color="auto"/>
        <w:right w:val="none" w:sz="0" w:space="0" w:color="auto"/>
      </w:divBdr>
    </w:div>
    <w:div w:id="482354194">
      <w:bodyDiv w:val="1"/>
      <w:marLeft w:val="0"/>
      <w:marRight w:val="0"/>
      <w:marTop w:val="0"/>
      <w:marBottom w:val="0"/>
      <w:divBdr>
        <w:top w:val="none" w:sz="0" w:space="0" w:color="auto"/>
        <w:left w:val="none" w:sz="0" w:space="0" w:color="auto"/>
        <w:bottom w:val="none" w:sz="0" w:space="0" w:color="auto"/>
        <w:right w:val="none" w:sz="0" w:space="0" w:color="auto"/>
      </w:divBdr>
    </w:div>
    <w:div w:id="483548626">
      <w:bodyDiv w:val="1"/>
      <w:marLeft w:val="0"/>
      <w:marRight w:val="0"/>
      <w:marTop w:val="0"/>
      <w:marBottom w:val="0"/>
      <w:divBdr>
        <w:top w:val="none" w:sz="0" w:space="0" w:color="auto"/>
        <w:left w:val="none" w:sz="0" w:space="0" w:color="auto"/>
        <w:bottom w:val="none" w:sz="0" w:space="0" w:color="auto"/>
        <w:right w:val="none" w:sz="0" w:space="0" w:color="auto"/>
      </w:divBdr>
    </w:div>
    <w:div w:id="493648192">
      <w:bodyDiv w:val="1"/>
      <w:marLeft w:val="0"/>
      <w:marRight w:val="0"/>
      <w:marTop w:val="0"/>
      <w:marBottom w:val="0"/>
      <w:divBdr>
        <w:top w:val="none" w:sz="0" w:space="0" w:color="auto"/>
        <w:left w:val="none" w:sz="0" w:space="0" w:color="auto"/>
        <w:bottom w:val="none" w:sz="0" w:space="0" w:color="auto"/>
        <w:right w:val="none" w:sz="0" w:space="0" w:color="auto"/>
      </w:divBdr>
    </w:div>
    <w:div w:id="494496869">
      <w:bodyDiv w:val="1"/>
      <w:marLeft w:val="0"/>
      <w:marRight w:val="0"/>
      <w:marTop w:val="0"/>
      <w:marBottom w:val="0"/>
      <w:divBdr>
        <w:top w:val="none" w:sz="0" w:space="0" w:color="auto"/>
        <w:left w:val="none" w:sz="0" w:space="0" w:color="auto"/>
        <w:bottom w:val="none" w:sz="0" w:space="0" w:color="auto"/>
        <w:right w:val="none" w:sz="0" w:space="0" w:color="auto"/>
      </w:divBdr>
      <w:divsChild>
        <w:div w:id="1161655351">
          <w:marLeft w:val="0"/>
          <w:marRight w:val="0"/>
          <w:marTop w:val="0"/>
          <w:marBottom w:val="0"/>
          <w:divBdr>
            <w:top w:val="none" w:sz="0" w:space="0" w:color="auto"/>
            <w:left w:val="none" w:sz="0" w:space="0" w:color="auto"/>
            <w:bottom w:val="none" w:sz="0" w:space="0" w:color="auto"/>
            <w:right w:val="none" w:sz="0" w:space="0" w:color="auto"/>
          </w:divBdr>
          <w:divsChild>
            <w:div w:id="1341355515">
              <w:marLeft w:val="-225"/>
              <w:marRight w:val="-225"/>
              <w:marTop w:val="0"/>
              <w:marBottom w:val="0"/>
              <w:divBdr>
                <w:top w:val="none" w:sz="0" w:space="0" w:color="auto"/>
                <w:left w:val="none" w:sz="0" w:space="0" w:color="auto"/>
                <w:bottom w:val="none" w:sz="0" w:space="0" w:color="auto"/>
                <w:right w:val="none" w:sz="0" w:space="0" w:color="auto"/>
              </w:divBdr>
              <w:divsChild>
                <w:div w:id="661810482">
                  <w:marLeft w:val="0"/>
                  <w:marRight w:val="0"/>
                  <w:marTop w:val="0"/>
                  <w:marBottom w:val="0"/>
                  <w:divBdr>
                    <w:top w:val="none" w:sz="0" w:space="0" w:color="auto"/>
                    <w:left w:val="none" w:sz="0" w:space="0" w:color="auto"/>
                    <w:bottom w:val="none" w:sz="0" w:space="0" w:color="auto"/>
                    <w:right w:val="none" w:sz="0" w:space="0" w:color="auto"/>
                  </w:divBdr>
                  <w:divsChild>
                    <w:div w:id="717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960">
          <w:marLeft w:val="0"/>
          <w:marRight w:val="0"/>
          <w:marTop w:val="0"/>
          <w:marBottom w:val="0"/>
          <w:divBdr>
            <w:top w:val="none" w:sz="0" w:space="0" w:color="auto"/>
            <w:left w:val="none" w:sz="0" w:space="0" w:color="auto"/>
            <w:bottom w:val="none" w:sz="0" w:space="0" w:color="auto"/>
            <w:right w:val="none" w:sz="0" w:space="0" w:color="auto"/>
          </w:divBdr>
        </w:div>
        <w:div w:id="1886209385">
          <w:marLeft w:val="0"/>
          <w:marRight w:val="0"/>
          <w:marTop w:val="0"/>
          <w:marBottom w:val="0"/>
          <w:divBdr>
            <w:top w:val="none" w:sz="0" w:space="0" w:color="auto"/>
            <w:left w:val="none" w:sz="0" w:space="0" w:color="auto"/>
            <w:bottom w:val="none" w:sz="0" w:space="0" w:color="auto"/>
            <w:right w:val="none" w:sz="0" w:space="0" w:color="auto"/>
          </w:divBdr>
          <w:divsChild>
            <w:div w:id="1342009475">
              <w:marLeft w:val="0"/>
              <w:marRight w:val="0"/>
              <w:marTop w:val="0"/>
              <w:marBottom w:val="0"/>
              <w:divBdr>
                <w:top w:val="none" w:sz="0" w:space="0" w:color="auto"/>
                <w:left w:val="none" w:sz="0" w:space="0" w:color="auto"/>
                <w:bottom w:val="none" w:sz="0" w:space="0" w:color="auto"/>
                <w:right w:val="none" w:sz="0" w:space="0" w:color="auto"/>
              </w:divBdr>
              <w:divsChild>
                <w:div w:id="509023699">
                  <w:marLeft w:val="0"/>
                  <w:marRight w:val="0"/>
                  <w:marTop w:val="0"/>
                  <w:marBottom w:val="0"/>
                  <w:divBdr>
                    <w:top w:val="none" w:sz="0" w:space="0" w:color="auto"/>
                    <w:left w:val="none" w:sz="0" w:space="0" w:color="auto"/>
                    <w:bottom w:val="none" w:sz="0" w:space="0" w:color="auto"/>
                    <w:right w:val="none" w:sz="0" w:space="0" w:color="auto"/>
                  </w:divBdr>
                  <w:divsChild>
                    <w:div w:id="1632711874">
                      <w:marLeft w:val="0"/>
                      <w:marRight w:val="0"/>
                      <w:marTop w:val="0"/>
                      <w:marBottom w:val="0"/>
                      <w:divBdr>
                        <w:top w:val="none" w:sz="0" w:space="0" w:color="auto"/>
                        <w:left w:val="none" w:sz="0" w:space="0" w:color="auto"/>
                        <w:bottom w:val="none" w:sz="0" w:space="0" w:color="auto"/>
                        <w:right w:val="none" w:sz="0" w:space="0" w:color="auto"/>
                      </w:divBdr>
                      <w:divsChild>
                        <w:div w:id="519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237880">
          <w:marLeft w:val="0"/>
          <w:marRight w:val="0"/>
          <w:marTop w:val="0"/>
          <w:marBottom w:val="0"/>
          <w:divBdr>
            <w:top w:val="none" w:sz="0" w:space="0" w:color="auto"/>
            <w:left w:val="none" w:sz="0" w:space="0" w:color="auto"/>
            <w:bottom w:val="none" w:sz="0" w:space="0" w:color="auto"/>
            <w:right w:val="none" w:sz="0" w:space="0" w:color="auto"/>
          </w:divBdr>
          <w:divsChild>
            <w:div w:id="741676600">
              <w:marLeft w:val="-225"/>
              <w:marRight w:val="-225"/>
              <w:marTop w:val="0"/>
              <w:marBottom w:val="0"/>
              <w:divBdr>
                <w:top w:val="none" w:sz="0" w:space="0" w:color="auto"/>
                <w:left w:val="none" w:sz="0" w:space="0" w:color="auto"/>
                <w:bottom w:val="none" w:sz="0" w:space="0" w:color="auto"/>
                <w:right w:val="none" w:sz="0" w:space="0" w:color="auto"/>
              </w:divBdr>
              <w:divsChild>
                <w:div w:id="1556164602">
                  <w:marLeft w:val="0"/>
                  <w:marRight w:val="0"/>
                  <w:marTop w:val="0"/>
                  <w:marBottom w:val="0"/>
                  <w:divBdr>
                    <w:top w:val="none" w:sz="0" w:space="0" w:color="auto"/>
                    <w:left w:val="none" w:sz="0" w:space="0" w:color="auto"/>
                    <w:bottom w:val="none" w:sz="0" w:space="0" w:color="auto"/>
                    <w:right w:val="none" w:sz="0" w:space="0" w:color="auto"/>
                  </w:divBdr>
                  <w:divsChild>
                    <w:div w:id="1647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93837">
      <w:bodyDiv w:val="1"/>
      <w:marLeft w:val="0"/>
      <w:marRight w:val="0"/>
      <w:marTop w:val="0"/>
      <w:marBottom w:val="0"/>
      <w:divBdr>
        <w:top w:val="none" w:sz="0" w:space="0" w:color="auto"/>
        <w:left w:val="none" w:sz="0" w:space="0" w:color="auto"/>
        <w:bottom w:val="none" w:sz="0" w:space="0" w:color="auto"/>
        <w:right w:val="none" w:sz="0" w:space="0" w:color="auto"/>
      </w:divBdr>
    </w:div>
    <w:div w:id="496770244">
      <w:bodyDiv w:val="1"/>
      <w:marLeft w:val="0"/>
      <w:marRight w:val="0"/>
      <w:marTop w:val="0"/>
      <w:marBottom w:val="0"/>
      <w:divBdr>
        <w:top w:val="none" w:sz="0" w:space="0" w:color="auto"/>
        <w:left w:val="none" w:sz="0" w:space="0" w:color="auto"/>
        <w:bottom w:val="none" w:sz="0" w:space="0" w:color="auto"/>
        <w:right w:val="none" w:sz="0" w:space="0" w:color="auto"/>
      </w:divBdr>
    </w:div>
    <w:div w:id="497694919">
      <w:bodyDiv w:val="1"/>
      <w:marLeft w:val="0"/>
      <w:marRight w:val="0"/>
      <w:marTop w:val="0"/>
      <w:marBottom w:val="0"/>
      <w:divBdr>
        <w:top w:val="none" w:sz="0" w:space="0" w:color="auto"/>
        <w:left w:val="none" w:sz="0" w:space="0" w:color="auto"/>
        <w:bottom w:val="none" w:sz="0" w:space="0" w:color="auto"/>
        <w:right w:val="none" w:sz="0" w:space="0" w:color="auto"/>
      </w:divBdr>
      <w:divsChild>
        <w:div w:id="1671788376">
          <w:marLeft w:val="0"/>
          <w:marRight w:val="0"/>
          <w:marTop w:val="0"/>
          <w:marBottom w:val="0"/>
          <w:divBdr>
            <w:top w:val="none" w:sz="0" w:space="0" w:color="auto"/>
            <w:left w:val="none" w:sz="0" w:space="0" w:color="auto"/>
            <w:bottom w:val="none" w:sz="0" w:space="0" w:color="auto"/>
            <w:right w:val="none" w:sz="0" w:space="0" w:color="auto"/>
          </w:divBdr>
        </w:div>
      </w:divsChild>
    </w:div>
    <w:div w:id="498890418">
      <w:bodyDiv w:val="1"/>
      <w:marLeft w:val="0"/>
      <w:marRight w:val="0"/>
      <w:marTop w:val="0"/>
      <w:marBottom w:val="0"/>
      <w:divBdr>
        <w:top w:val="none" w:sz="0" w:space="0" w:color="auto"/>
        <w:left w:val="none" w:sz="0" w:space="0" w:color="auto"/>
        <w:bottom w:val="none" w:sz="0" w:space="0" w:color="auto"/>
        <w:right w:val="none" w:sz="0" w:space="0" w:color="auto"/>
      </w:divBdr>
    </w:div>
    <w:div w:id="500632364">
      <w:bodyDiv w:val="1"/>
      <w:marLeft w:val="0"/>
      <w:marRight w:val="0"/>
      <w:marTop w:val="0"/>
      <w:marBottom w:val="0"/>
      <w:divBdr>
        <w:top w:val="none" w:sz="0" w:space="0" w:color="auto"/>
        <w:left w:val="none" w:sz="0" w:space="0" w:color="auto"/>
        <w:bottom w:val="none" w:sz="0" w:space="0" w:color="auto"/>
        <w:right w:val="none" w:sz="0" w:space="0" w:color="auto"/>
      </w:divBdr>
    </w:div>
    <w:div w:id="503400084">
      <w:bodyDiv w:val="1"/>
      <w:marLeft w:val="0"/>
      <w:marRight w:val="0"/>
      <w:marTop w:val="0"/>
      <w:marBottom w:val="0"/>
      <w:divBdr>
        <w:top w:val="none" w:sz="0" w:space="0" w:color="auto"/>
        <w:left w:val="none" w:sz="0" w:space="0" w:color="auto"/>
        <w:bottom w:val="none" w:sz="0" w:space="0" w:color="auto"/>
        <w:right w:val="none" w:sz="0" w:space="0" w:color="auto"/>
      </w:divBdr>
    </w:div>
    <w:div w:id="503668207">
      <w:bodyDiv w:val="1"/>
      <w:marLeft w:val="0"/>
      <w:marRight w:val="0"/>
      <w:marTop w:val="0"/>
      <w:marBottom w:val="0"/>
      <w:divBdr>
        <w:top w:val="none" w:sz="0" w:space="0" w:color="auto"/>
        <w:left w:val="none" w:sz="0" w:space="0" w:color="auto"/>
        <w:bottom w:val="none" w:sz="0" w:space="0" w:color="auto"/>
        <w:right w:val="none" w:sz="0" w:space="0" w:color="auto"/>
      </w:divBdr>
      <w:divsChild>
        <w:div w:id="937835479">
          <w:marLeft w:val="0"/>
          <w:marRight w:val="0"/>
          <w:marTop w:val="0"/>
          <w:marBottom w:val="0"/>
          <w:divBdr>
            <w:top w:val="none" w:sz="0" w:space="0" w:color="auto"/>
            <w:left w:val="none" w:sz="0" w:space="0" w:color="auto"/>
            <w:bottom w:val="none" w:sz="0" w:space="0" w:color="auto"/>
            <w:right w:val="none" w:sz="0" w:space="0" w:color="auto"/>
          </w:divBdr>
          <w:divsChild>
            <w:div w:id="914124556">
              <w:marLeft w:val="0"/>
              <w:marRight w:val="0"/>
              <w:marTop w:val="0"/>
              <w:marBottom w:val="0"/>
              <w:divBdr>
                <w:top w:val="single" w:sz="6" w:space="24" w:color="EBEEF5"/>
                <w:left w:val="none" w:sz="0" w:space="0" w:color="auto"/>
                <w:bottom w:val="single" w:sz="6" w:space="18" w:color="EBEEF5"/>
                <w:right w:val="none" w:sz="0" w:space="0" w:color="auto"/>
              </w:divBdr>
              <w:divsChild>
                <w:div w:id="970986445">
                  <w:marLeft w:val="0"/>
                  <w:marRight w:val="0"/>
                  <w:marTop w:val="0"/>
                  <w:marBottom w:val="0"/>
                  <w:divBdr>
                    <w:top w:val="none" w:sz="0" w:space="0" w:color="auto"/>
                    <w:left w:val="none" w:sz="0" w:space="0" w:color="auto"/>
                    <w:bottom w:val="none" w:sz="0" w:space="0" w:color="auto"/>
                    <w:right w:val="none" w:sz="0" w:space="0" w:color="auto"/>
                  </w:divBdr>
                  <w:divsChild>
                    <w:div w:id="1445230118">
                      <w:marLeft w:val="0"/>
                      <w:marRight w:val="0"/>
                      <w:marTop w:val="0"/>
                      <w:marBottom w:val="0"/>
                      <w:divBdr>
                        <w:top w:val="none" w:sz="0" w:space="0" w:color="auto"/>
                        <w:left w:val="none" w:sz="0" w:space="0" w:color="auto"/>
                        <w:bottom w:val="none" w:sz="0" w:space="0" w:color="auto"/>
                        <w:right w:val="none" w:sz="0" w:space="0" w:color="auto"/>
                      </w:divBdr>
                      <w:divsChild>
                        <w:div w:id="13605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782190">
          <w:marLeft w:val="0"/>
          <w:marRight w:val="0"/>
          <w:marTop w:val="0"/>
          <w:marBottom w:val="0"/>
          <w:divBdr>
            <w:top w:val="none" w:sz="0" w:space="0" w:color="auto"/>
            <w:left w:val="none" w:sz="0" w:space="0" w:color="auto"/>
            <w:bottom w:val="none" w:sz="0" w:space="0" w:color="auto"/>
            <w:right w:val="none" w:sz="0" w:space="0" w:color="auto"/>
          </w:divBdr>
          <w:divsChild>
            <w:div w:id="1135681750">
              <w:marLeft w:val="-225"/>
              <w:marRight w:val="-225"/>
              <w:marTop w:val="0"/>
              <w:marBottom w:val="0"/>
              <w:divBdr>
                <w:top w:val="none" w:sz="0" w:space="0" w:color="auto"/>
                <w:left w:val="none" w:sz="0" w:space="0" w:color="auto"/>
                <w:bottom w:val="none" w:sz="0" w:space="0" w:color="auto"/>
                <w:right w:val="none" w:sz="0" w:space="0" w:color="auto"/>
              </w:divBdr>
              <w:divsChild>
                <w:div w:id="893542408">
                  <w:marLeft w:val="0"/>
                  <w:marRight w:val="0"/>
                  <w:marTop w:val="0"/>
                  <w:marBottom w:val="0"/>
                  <w:divBdr>
                    <w:top w:val="none" w:sz="0" w:space="0" w:color="auto"/>
                    <w:left w:val="none" w:sz="0" w:space="0" w:color="auto"/>
                    <w:bottom w:val="none" w:sz="0" w:space="0" w:color="auto"/>
                    <w:right w:val="none" w:sz="0" w:space="0" w:color="auto"/>
                  </w:divBdr>
                  <w:divsChild>
                    <w:div w:id="1253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40344">
          <w:marLeft w:val="0"/>
          <w:marRight w:val="0"/>
          <w:marTop w:val="0"/>
          <w:marBottom w:val="0"/>
          <w:divBdr>
            <w:top w:val="none" w:sz="0" w:space="0" w:color="auto"/>
            <w:left w:val="none" w:sz="0" w:space="0" w:color="auto"/>
            <w:bottom w:val="none" w:sz="0" w:space="0" w:color="auto"/>
            <w:right w:val="none" w:sz="0" w:space="0" w:color="auto"/>
          </w:divBdr>
          <w:divsChild>
            <w:div w:id="1705594965">
              <w:marLeft w:val="-225"/>
              <w:marRight w:val="-225"/>
              <w:marTop w:val="0"/>
              <w:marBottom w:val="0"/>
              <w:divBdr>
                <w:top w:val="none" w:sz="0" w:space="0" w:color="auto"/>
                <w:left w:val="none" w:sz="0" w:space="0" w:color="auto"/>
                <w:bottom w:val="none" w:sz="0" w:space="0" w:color="auto"/>
                <w:right w:val="none" w:sz="0" w:space="0" w:color="auto"/>
              </w:divBdr>
              <w:divsChild>
                <w:div w:id="1403914743">
                  <w:marLeft w:val="0"/>
                  <w:marRight w:val="0"/>
                  <w:marTop w:val="0"/>
                  <w:marBottom w:val="0"/>
                  <w:divBdr>
                    <w:top w:val="none" w:sz="0" w:space="0" w:color="auto"/>
                    <w:left w:val="none" w:sz="0" w:space="0" w:color="auto"/>
                    <w:bottom w:val="none" w:sz="0" w:space="0" w:color="auto"/>
                    <w:right w:val="none" w:sz="0" w:space="0" w:color="auto"/>
                  </w:divBdr>
                  <w:divsChild>
                    <w:div w:id="1732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2549">
          <w:marLeft w:val="0"/>
          <w:marRight w:val="0"/>
          <w:marTop w:val="0"/>
          <w:marBottom w:val="0"/>
          <w:divBdr>
            <w:top w:val="none" w:sz="0" w:space="0" w:color="auto"/>
            <w:left w:val="none" w:sz="0" w:space="0" w:color="auto"/>
            <w:bottom w:val="none" w:sz="0" w:space="0" w:color="auto"/>
            <w:right w:val="none" w:sz="0" w:space="0" w:color="auto"/>
          </w:divBdr>
        </w:div>
      </w:divsChild>
    </w:div>
    <w:div w:id="504907958">
      <w:bodyDiv w:val="1"/>
      <w:marLeft w:val="0"/>
      <w:marRight w:val="0"/>
      <w:marTop w:val="0"/>
      <w:marBottom w:val="0"/>
      <w:divBdr>
        <w:top w:val="none" w:sz="0" w:space="0" w:color="auto"/>
        <w:left w:val="none" w:sz="0" w:space="0" w:color="auto"/>
        <w:bottom w:val="none" w:sz="0" w:space="0" w:color="auto"/>
        <w:right w:val="none" w:sz="0" w:space="0" w:color="auto"/>
      </w:divBdr>
      <w:divsChild>
        <w:div w:id="113142062">
          <w:marLeft w:val="0"/>
          <w:marRight w:val="0"/>
          <w:marTop w:val="0"/>
          <w:marBottom w:val="0"/>
          <w:divBdr>
            <w:top w:val="none" w:sz="0" w:space="0" w:color="auto"/>
            <w:left w:val="none" w:sz="0" w:space="0" w:color="auto"/>
            <w:bottom w:val="none" w:sz="0" w:space="0" w:color="auto"/>
            <w:right w:val="none" w:sz="0" w:space="0" w:color="auto"/>
          </w:divBdr>
          <w:divsChild>
            <w:div w:id="1594627881">
              <w:marLeft w:val="-225"/>
              <w:marRight w:val="-225"/>
              <w:marTop w:val="0"/>
              <w:marBottom w:val="0"/>
              <w:divBdr>
                <w:top w:val="none" w:sz="0" w:space="0" w:color="auto"/>
                <w:left w:val="none" w:sz="0" w:space="0" w:color="auto"/>
                <w:bottom w:val="none" w:sz="0" w:space="0" w:color="auto"/>
                <w:right w:val="none" w:sz="0" w:space="0" w:color="auto"/>
              </w:divBdr>
              <w:divsChild>
                <w:div w:id="1231889363">
                  <w:marLeft w:val="0"/>
                  <w:marRight w:val="0"/>
                  <w:marTop w:val="0"/>
                  <w:marBottom w:val="0"/>
                  <w:divBdr>
                    <w:top w:val="none" w:sz="0" w:space="0" w:color="auto"/>
                    <w:left w:val="none" w:sz="0" w:space="0" w:color="auto"/>
                    <w:bottom w:val="none" w:sz="0" w:space="0" w:color="auto"/>
                    <w:right w:val="none" w:sz="0" w:space="0" w:color="auto"/>
                  </w:divBdr>
                  <w:divsChild>
                    <w:div w:id="10480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746">
          <w:marLeft w:val="0"/>
          <w:marRight w:val="0"/>
          <w:marTop w:val="0"/>
          <w:marBottom w:val="0"/>
          <w:divBdr>
            <w:top w:val="none" w:sz="0" w:space="0" w:color="auto"/>
            <w:left w:val="none" w:sz="0" w:space="0" w:color="auto"/>
            <w:bottom w:val="none" w:sz="0" w:space="0" w:color="auto"/>
            <w:right w:val="none" w:sz="0" w:space="0" w:color="auto"/>
          </w:divBdr>
        </w:div>
        <w:div w:id="839975398">
          <w:marLeft w:val="0"/>
          <w:marRight w:val="0"/>
          <w:marTop w:val="0"/>
          <w:marBottom w:val="0"/>
          <w:divBdr>
            <w:top w:val="none" w:sz="0" w:space="0" w:color="auto"/>
            <w:left w:val="none" w:sz="0" w:space="0" w:color="auto"/>
            <w:bottom w:val="none" w:sz="0" w:space="0" w:color="auto"/>
            <w:right w:val="none" w:sz="0" w:space="0" w:color="auto"/>
          </w:divBdr>
          <w:divsChild>
            <w:div w:id="365911388">
              <w:marLeft w:val="-225"/>
              <w:marRight w:val="-225"/>
              <w:marTop w:val="0"/>
              <w:marBottom w:val="0"/>
              <w:divBdr>
                <w:top w:val="none" w:sz="0" w:space="0" w:color="auto"/>
                <w:left w:val="none" w:sz="0" w:space="0" w:color="auto"/>
                <w:bottom w:val="none" w:sz="0" w:space="0" w:color="auto"/>
                <w:right w:val="none" w:sz="0" w:space="0" w:color="auto"/>
              </w:divBdr>
              <w:divsChild>
                <w:div w:id="1829592321">
                  <w:marLeft w:val="0"/>
                  <w:marRight w:val="0"/>
                  <w:marTop w:val="0"/>
                  <w:marBottom w:val="0"/>
                  <w:divBdr>
                    <w:top w:val="none" w:sz="0" w:space="0" w:color="auto"/>
                    <w:left w:val="none" w:sz="0" w:space="0" w:color="auto"/>
                    <w:bottom w:val="none" w:sz="0" w:space="0" w:color="auto"/>
                    <w:right w:val="none" w:sz="0" w:space="0" w:color="auto"/>
                  </w:divBdr>
                  <w:divsChild>
                    <w:div w:id="15983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42209">
          <w:marLeft w:val="0"/>
          <w:marRight w:val="0"/>
          <w:marTop w:val="0"/>
          <w:marBottom w:val="0"/>
          <w:divBdr>
            <w:top w:val="none" w:sz="0" w:space="0" w:color="auto"/>
            <w:left w:val="none" w:sz="0" w:space="0" w:color="auto"/>
            <w:bottom w:val="none" w:sz="0" w:space="0" w:color="auto"/>
            <w:right w:val="none" w:sz="0" w:space="0" w:color="auto"/>
          </w:divBdr>
          <w:divsChild>
            <w:div w:id="1479881424">
              <w:marLeft w:val="0"/>
              <w:marRight w:val="0"/>
              <w:marTop w:val="0"/>
              <w:marBottom w:val="0"/>
              <w:divBdr>
                <w:top w:val="none" w:sz="0" w:space="0" w:color="auto"/>
                <w:left w:val="none" w:sz="0" w:space="0" w:color="auto"/>
                <w:bottom w:val="none" w:sz="0" w:space="0" w:color="auto"/>
                <w:right w:val="none" w:sz="0" w:space="0" w:color="auto"/>
              </w:divBdr>
              <w:divsChild>
                <w:div w:id="244195276">
                  <w:marLeft w:val="0"/>
                  <w:marRight w:val="0"/>
                  <w:marTop w:val="0"/>
                  <w:marBottom w:val="0"/>
                  <w:divBdr>
                    <w:top w:val="none" w:sz="0" w:space="0" w:color="auto"/>
                    <w:left w:val="none" w:sz="0" w:space="0" w:color="auto"/>
                    <w:bottom w:val="none" w:sz="0" w:space="0" w:color="auto"/>
                    <w:right w:val="none" w:sz="0" w:space="0" w:color="auto"/>
                  </w:divBdr>
                  <w:divsChild>
                    <w:div w:id="447242374">
                      <w:marLeft w:val="0"/>
                      <w:marRight w:val="0"/>
                      <w:marTop w:val="0"/>
                      <w:marBottom w:val="0"/>
                      <w:divBdr>
                        <w:top w:val="none" w:sz="0" w:space="0" w:color="auto"/>
                        <w:left w:val="none" w:sz="0" w:space="0" w:color="auto"/>
                        <w:bottom w:val="none" w:sz="0" w:space="0" w:color="auto"/>
                        <w:right w:val="none" w:sz="0" w:space="0" w:color="auto"/>
                      </w:divBdr>
                      <w:divsChild>
                        <w:div w:id="18096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980070">
      <w:bodyDiv w:val="1"/>
      <w:marLeft w:val="0"/>
      <w:marRight w:val="0"/>
      <w:marTop w:val="0"/>
      <w:marBottom w:val="0"/>
      <w:divBdr>
        <w:top w:val="none" w:sz="0" w:space="0" w:color="auto"/>
        <w:left w:val="none" w:sz="0" w:space="0" w:color="auto"/>
        <w:bottom w:val="none" w:sz="0" w:space="0" w:color="auto"/>
        <w:right w:val="none" w:sz="0" w:space="0" w:color="auto"/>
      </w:divBdr>
    </w:div>
    <w:div w:id="506749238">
      <w:bodyDiv w:val="1"/>
      <w:marLeft w:val="0"/>
      <w:marRight w:val="0"/>
      <w:marTop w:val="0"/>
      <w:marBottom w:val="0"/>
      <w:divBdr>
        <w:top w:val="none" w:sz="0" w:space="0" w:color="auto"/>
        <w:left w:val="none" w:sz="0" w:space="0" w:color="auto"/>
        <w:bottom w:val="none" w:sz="0" w:space="0" w:color="auto"/>
        <w:right w:val="none" w:sz="0" w:space="0" w:color="auto"/>
      </w:divBdr>
    </w:div>
    <w:div w:id="508063728">
      <w:bodyDiv w:val="1"/>
      <w:marLeft w:val="0"/>
      <w:marRight w:val="0"/>
      <w:marTop w:val="0"/>
      <w:marBottom w:val="0"/>
      <w:divBdr>
        <w:top w:val="none" w:sz="0" w:space="0" w:color="auto"/>
        <w:left w:val="none" w:sz="0" w:space="0" w:color="auto"/>
        <w:bottom w:val="none" w:sz="0" w:space="0" w:color="auto"/>
        <w:right w:val="none" w:sz="0" w:space="0" w:color="auto"/>
      </w:divBdr>
    </w:div>
    <w:div w:id="508178464">
      <w:bodyDiv w:val="1"/>
      <w:marLeft w:val="0"/>
      <w:marRight w:val="0"/>
      <w:marTop w:val="0"/>
      <w:marBottom w:val="0"/>
      <w:divBdr>
        <w:top w:val="none" w:sz="0" w:space="0" w:color="auto"/>
        <w:left w:val="none" w:sz="0" w:space="0" w:color="auto"/>
        <w:bottom w:val="none" w:sz="0" w:space="0" w:color="auto"/>
        <w:right w:val="none" w:sz="0" w:space="0" w:color="auto"/>
      </w:divBdr>
    </w:div>
    <w:div w:id="510921770">
      <w:bodyDiv w:val="1"/>
      <w:marLeft w:val="0"/>
      <w:marRight w:val="0"/>
      <w:marTop w:val="0"/>
      <w:marBottom w:val="0"/>
      <w:divBdr>
        <w:top w:val="none" w:sz="0" w:space="0" w:color="auto"/>
        <w:left w:val="none" w:sz="0" w:space="0" w:color="auto"/>
        <w:bottom w:val="none" w:sz="0" w:space="0" w:color="auto"/>
        <w:right w:val="none" w:sz="0" w:space="0" w:color="auto"/>
      </w:divBdr>
    </w:div>
    <w:div w:id="513418091">
      <w:bodyDiv w:val="1"/>
      <w:marLeft w:val="0"/>
      <w:marRight w:val="0"/>
      <w:marTop w:val="0"/>
      <w:marBottom w:val="0"/>
      <w:divBdr>
        <w:top w:val="none" w:sz="0" w:space="0" w:color="auto"/>
        <w:left w:val="none" w:sz="0" w:space="0" w:color="auto"/>
        <w:bottom w:val="none" w:sz="0" w:space="0" w:color="auto"/>
        <w:right w:val="none" w:sz="0" w:space="0" w:color="auto"/>
      </w:divBdr>
    </w:div>
    <w:div w:id="513616909">
      <w:bodyDiv w:val="1"/>
      <w:marLeft w:val="0"/>
      <w:marRight w:val="0"/>
      <w:marTop w:val="0"/>
      <w:marBottom w:val="0"/>
      <w:divBdr>
        <w:top w:val="none" w:sz="0" w:space="0" w:color="auto"/>
        <w:left w:val="none" w:sz="0" w:space="0" w:color="auto"/>
        <w:bottom w:val="none" w:sz="0" w:space="0" w:color="auto"/>
        <w:right w:val="none" w:sz="0" w:space="0" w:color="auto"/>
      </w:divBdr>
    </w:div>
    <w:div w:id="513761579">
      <w:bodyDiv w:val="1"/>
      <w:marLeft w:val="0"/>
      <w:marRight w:val="0"/>
      <w:marTop w:val="0"/>
      <w:marBottom w:val="0"/>
      <w:divBdr>
        <w:top w:val="none" w:sz="0" w:space="0" w:color="auto"/>
        <w:left w:val="none" w:sz="0" w:space="0" w:color="auto"/>
        <w:bottom w:val="none" w:sz="0" w:space="0" w:color="auto"/>
        <w:right w:val="none" w:sz="0" w:space="0" w:color="auto"/>
      </w:divBdr>
      <w:divsChild>
        <w:div w:id="1148133362">
          <w:marLeft w:val="0"/>
          <w:marRight w:val="0"/>
          <w:marTop w:val="0"/>
          <w:marBottom w:val="0"/>
          <w:divBdr>
            <w:top w:val="none" w:sz="0" w:space="0" w:color="auto"/>
            <w:left w:val="none" w:sz="0" w:space="0" w:color="auto"/>
            <w:bottom w:val="none" w:sz="0" w:space="0" w:color="auto"/>
            <w:right w:val="none" w:sz="0" w:space="0" w:color="auto"/>
          </w:divBdr>
          <w:divsChild>
            <w:div w:id="1114903365">
              <w:marLeft w:val="-225"/>
              <w:marRight w:val="-225"/>
              <w:marTop w:val="0"/>
              <w:marBottom w:val="0"/>
              <w:divBdr>
                <w:top w:val="none" w:sz="0" w:space="0" w:color="auto"/>
                <w:left w:val="none" w:sz="0" w:space="0" w:color="auto"/>
                <w:bottom w:val="none" w:sz="0" w:space="0" w:color="auto"/>
                <w:right w:val="none" w:sz="0" w:space="0" w:color="auto"/>
              </w:divBdr>
              <w:divsChild>
                <w:div w:id="2027055383">
                  <w:marLeft w:val="0"/>
                  <w:marRight w:val="0"/>
                  <w:marTop w:val="0"/>
                  <w:marBottom w:val="0"/>
                  <w:divBdr>
                    <w:top w:val="none" w:sz="0" w:space="0" w:color="auto"/>
                    <w:left w:val="none" w:sz="0" w:space="0" w:color="auto"/>
                    <w:bottom w:val="none" w:sz="0" w:space="0" w:color="auto"/>
                    <w:right w:val="none" w:sz="0" w:space="0" w:color="auto"/>
                  </w:divBdr>
                  <w:divsChild>
                    <w:div w:id="14962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00895">
          <w:marLeft w:val="0"/>
          <w:marRight w:val="0"/>
          <w:marTop w:val="0"/>
          <w:marBottom w:val="0"/>
          <w:divBdr>
            <w:top w:val="none" w:sz="0" w:space="0" w:color="auto"/>
            <w:left w:val="none" w:sz="0" w:space="0" w:color="auto"/>
            <w:bottom w:val="none" w:sz="0" w:space="0" w:color="auto"/>
            <w:right w:val="none" w:sz="0" w:space="0" w:color="auto"/>
          </w:divBdr>
          <w:divsChild>
            <w:div w:id="670329672">
              <w:marLeft w:val="0"/>
              <w:marRight w:val="0"/>
              <w:marTop w:val="0"/>
              <w:marBottom w:val="0"/>
              <w:divBdr>
                <w:top w:val="none" w:sz="0" w:space="0" w:color="auto"/>
                <w:left w:val="none" w:sz="0" w:space="0" w:color="auto"/>
                <w:bottom w:val="none" w:sz="0" w:space="0" w:color="auto"/>
                <w:right w:val="none" w:sz="0" w:space="0" w:color="auto"/>
              </w:divBdr>
              <w:divsChild>
                <w:div w:id="1172455906">
                  <w:marLeft w:val="0"/>
                  <w:marRight w:val="0"/>
                  <w:marTop w:val="0"/>
                  <w:marBottom w:val="0"/>
                  <w:divBdr>
                    <w:top w:val="none" w:sz="0" w:space="0" w:color="auto"/>
                    <w:left w:val="none" w:sz="0" w:space="0" w:color="auto"/>
                    <w:bottom w:val="none" w:sz="0" w:space="0" w:color="auto"/>
                    <w:right w:val="none" w:sz="0" w:space="0" w:color="auto"/>
                  </w:divBdr>
                  <w:divsChild>
                    <w:div w:id="176123567">
                      <w:marLeft w:val="0"/>
                      <w:marRight w:val="0"/>
                      <w:marTop w:val="0"/>
                      <w:marBottom w:val="0"/>
                      <w:divBdr>
                        <w:top w:val="none" w:sz="0" w:space="0" w:color="auto"/>
                        <w:left w:val="none" w:sz="0" w:space="0" w:color="auto"/>
                        <w:bottom w:val="none" w:sz="0" w:space="0" w:color="auto"/>
                        <w:right w:val="none" w:sz="0" w:space="0" w:color="auto"/>
                      </w:divBdr>
                      <w:divsChild>
                        <w:div w:id="21383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990">
          <w:marLeft w:val="0"/>
          <w:marRight w:val="0"/>
          <w:marTop w:val="0"/>
          <w:marBottom w:val="0"/>
          <w:divBdr>
            <w:top w:val="none" w:sz="0" w:space="0" w:color="auto"/>
            <w:left w:val="none" w:sz="0" w:space="0" w:color="auto"/>
            <w:bottom w:val="none" w:sz="0" w:space="0" w:color="auto"/>
            <w:right w:val="none" w:sz="0" w:space="0" w:color="auto"/>
          </w:divBdr>
          <w:divsChild>
            <w:div w:id="974020957">
              <w:marLeft w:val="-225"/>
              <w:marRight w:val="-225"/>
              <w:marTop w:val="0"/>
              <w:marBottom w:val="0"/>
              <w:divBdr>
                <w:top w:val="none" w:sz="0" w:space="0" w:color="auto"/>
                <w:left w:val="none" w:sz="0" w:space="0" w:color="auto"/>
                <w:bottom w:val="none" w:sz="0" w:space="0" w:color="auto"/>
                <w:right w:val="none" w:sz="0" w:space="0" w:color="auto"/>
              </w:divBdr>
              <w:divsChild>
                <w:div w:id="253324010">
                  <w:marLeft w:val="0"/>
                  <w:marRight w:val="0"/>
                  <w:marTop w:val="0"/>
                  <w:marBottom w:val="0"/>
                  <w:divBdr>
                    <w:top w:val="none" w:sz="0" w:space="0" w:color="auto"/>
                    <w:left w:val="none" w:sz="0" w:space="0" w:color="auto"/>
                    <w:bottom w:val="none" w:sz="0" w:space="0" w:color="auto"/>
                    <w:right w:val="none" w:sz="0" w:space="0" w:color="auto"/>
                  </w:divBdr>
                  <w:divsChild>
                    <w:div w:id="18928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364235">
          <w:marLeft w:val="0"/>
          <w:marRight w:val="0"/>
          <w:marTop w:val="0"/>
          <w:marBottom w:val="0"/>
          <w:divBdr>
            <w:top w:val="none" w:sz="0" w:space="0" w:color="auto"/>
            <w:left w:val="none" w:sz="0" w:space="0" w:color="auto"/>
            <w:bottom w:val="none" w:sz="0" w:space="0" w:color="auto"/>
            <w:right w:val="none" w:sz="0" w:space="0" w:color="auto"/>
          </w:divBdr>
        </w:div>
      </w:divsChild>
    </w:div>
    <w:div w:id="513957564">
      <w:bodyDiv w:val="1"/>
      <w:marLeft w:val="0"/>
      <w:marRight w:val="0"/>
      <w:marTop w:val="0"/>
      <w:marBottom w:val="0"/>
      <w:divBdr>
        <w:top w:val="none" w:sz="0" w:space="0" w:color="auto"/>
        <w:left w:val="none" w:sz="0" w:space="0" w:color="auto"/>
        <w:bottom w:val="none" w:sz="0" w:space="0" w:color="auto"/>
        <w:right w:val="none" w:sz="0" w:space="0" w:color="auto"/>
      </w:divBdr>
    </w:div>
    <w:div w:id="514273866">
      <w:bodyDiv w:val="1"/>
      <w:marLeft w:val="0"/>
      <w:marRight w:val="0"/>
      <w:marTop w:val="0"/>
      <w:marBottom w:val="0"/>
      <w:divBdr>
        <w:top w:val="none" w:sz="0" w:space="0" w:color="auto"/>
        <w:left w:val="none" w:sz="0" w:space="0" w:color="auto"/>
        <w:bottom w:val="none" w:sz="0" w:space="0" w:color="auto"/>
        <w:right w:val="none" w:sz="0" w:space="0" w:color="auto"/>
      </w:divBdr>
      <w:divsChild>
        <w:div w:id="699278807">
          <w:marLeft w:val="0"/>
          <w:marRight w:val="0"/>
          <w:marTop w:val="0"/>
          <w:marBottom w:val="0"/>
          <w:divBdr>
            <w:top w:val="none" w:sz="0" w:space="0" w:color="auto"/>
            <w:left w:val="none" w:sz="0" w:space="0" w:color="auto"/>
            <w:bottom w:val="none" w:sz="0" w:space="0" w:color="auto"/>
            <w:right w:val="none" w:sz="0" w:space="0" w:color="auto"/>
          </w:divBdr>
        </w:div>
        <w:div w:id="729883836">
          <w:marLeft w:val="0"/>
          <w:marRight w:val="0"/>
          <w:marTop w:val="0"/>
          <w:marBottom w:val="0"/>
          <w:divBdr>
            <w:top w:val="none" w:sz="0" w:space="0" w:color="auto"/>
            <w:left w:val="none" w:sz="0" w:space="0" w:color="auto"/>
            <w:bottom w:val="none" w:sz="0" w:space="0" w:color="auto"/>
            <w:right w:val="none" w:sz="0" w:space="0" w:color="auto"/>
          </w:divBdr>
          <w:divsChild>
            <w:div w:id="185099002">
              <w:marLeft w:val="-225"/>
              <w:marRight w:val="-225"/>
              <w:marTop w:val="0"/>
              <w:marBottom w:val="0"/>
              <w:divBdr>
                <w:top w:val="none" w:sz="0" w:space="0" w:color="auto"/>
                <w:left w:val="none" w:sz="0" w:space="0" w:color="auto"/>
                <w:bottom w:val="none" w:sz="0" w:space="0" w:color="auto"/>
                <w:right w:val="none" w:sz="0" w:space="0" w:color="auto"/>
              </w:divBdr>
              <w:divsChild>
                <w:div w:id="1482231823">
                  <w:marLeft w:val="0"/>
                  <w:marRight w:val="0"/>
                  <w:marTop w:val="0"/>
                  <w:marBottom w:val="0"/>
                  <w:divBdr>
                    <w:top w:val="none" w:sz="0" w:space="0" w:color="auto"/>
                    <w:left w:val="none" w:sz="0" w:space="0" w:color="auto"/>
                    <w:bottom w:val="none" w:sz="0" w:space="0" w:color="auto"/>
                    <w:right w:val="none" w:sz="0" w:space="0" w:color="auto"/>
                  </w:divBdr>
                  <w:divsChild>
                    <w:div w:id="127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5344">
          <w:marLeft w:val="0"/>
          <w:marRight w:val="0"/>
          <w:marTop w:val="0"/>
          <w:marBottom w:val="0"/>
          <w:divBdr>
            <w:top w:val="none" w:sz="0" w:space="0" w:color="auto"/>
            <w:left w:val="none" w:sz="0" w:space="0" w:color="auto"/>
            <w:bottom w:val="none" w:sz="0" w:space="0" w:color="auto"/>
            <w:right w:val="none" w:sz="0" w:space="0" w:color="auto"/>
          </w:divBdr>
          <w:divsChild>
            <w:div w:id="22171384">
              <w:marLeft w:val="-225"/>
              <w:marRight w:val="-225"/>
              <w:marTop w:val="0"/>
              <w:marBottom w:val="0"/>
              <w:divBdr>
                <w:top w:val="none" w:sz="0" w:space="0" w:color="auto"/>
                <w:left w:val="none" w:sz="0" w:space="0" w:color="auto"/>
                <w:bottom w:val="none" w:sz="0" w:space="0" w:color="auto"/>
                <w:right w:val="none" w:sz="0" w:space="0" w:color="auto"/>
              </w:divBdr>
              <w:divsChild>
                <w:div w:id="1385521075">
                  <w:marLeft w:val="0"/>
                  <w:marRight w:val="0"/>
                  <w:marTop w:val="0"/>
                  <w:marBottom w:val="0"/>
                  <w:divBdr>
                    <w:top w:val="none" w:sz="0" w:space="0" w:color="auto"/>
                    <w:left w:val="none" w:sz="0" w:space="0" w:color="auto"/>
                    <w:bottom w:val="none" w:sz="0" w:space="0" w:color="auto"/>
                    <w:right w:val="none" w:sz="0" w:space="0" w:color="auto"/>
                  </w:divBdr>
                  <w:divsChild>
                    <w:div w:id="14303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3292">
          <w:marLeft w:val="0"/>
          <w:marRight w:val="0"/>
          <w:marTop w:val="0"/>
          <w:marBottom w:val="0"/>
          <w:divBdr>
            <w:top w:val="none" w:sz="0" w:space="0" w:color="auto"/>
            <w:left w:val="none" w:sz="0" w:space="0" w:color="auto"/>
            <w:bottom w:val="none" w:sz="0" w:space="0" w:color="auto"/>
            <w:right w:val="none" w:sz="0" w:space="0" w:color="auto"/>
          </w:divBdr>
          <w:divsChild>
            <w:div w:id="831140699">
              <w:marLeft w:val="0"/>
              <w:marRight w:val="0"/>
              <w:marTop w:val="0"/>
              <w:marBottom w:val="0"/>
              <w:divBdr>
                <w:top w:val="none" w:sz="0" w:space="0" w:color="auto"/>
                <w:left w:val="none" w:sz="0" w:space="0" w:color="auto"/>
                <w:bottom w:val="none" w:sz="0" w:space="0" w:color="auto"/>
                <w:right w:val="none" w:sz="0" w:space="0" w:color="auto"/>
              </w:divBdr>
              <w:divsChild>
                <w:div w:id="1623345659">
                  <w:marLeft w:val="0"/>
                  <w:marRight w:val="0"/>
                  <w:marTop w:val="0"/>
                  <w:marBottom w:val="0"/>
                  <w:divBdr>
                    <w:top w:val="none" w:sz="0" w:space="0" w:color="auto"/>
                    <w:left w:val="none" w:sz="0" w:space="0" w:color="auto"/>
                    <w:bottom w:val="none" w:sz="0" w:space="0" w:color="auto"/>
                    <w:right w:val="none" w:sz="0" w:space="0" w:color="auto"/>
                  </w:divBdr>
                  <w:divsChild>
                    <w:div w:id="23943984">
                      <w:marLeft w:val="0"/>
                      <w:marRight w:val="0"/>
                      <w:marTop w:val="0"/>
                      <w:marBottom w:val="0"/>
                      <w:divBdr>
                        <w:top w:val="none" w:sz="0" w:space="0" w:color="auto"/>
                        <w:left w:val="none" w:sz="0" w:space="0" w:color="auto"/>
                        <w:bottom w:val="none" w:sz="0" w:space="0" w:color="auto"/>
                        <w:right w:val="none" w:sz="0" w:space="0" w:color="auto"/>
                      </w:divBdr>
                      <w:divsChild>
                        <w:div w:id="11301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080340">
      <w:bodyDiv w:val="1"/>
      <w:marLeft w:val="0"/>
      <w:marRight w:val="0"/>
      <w:marTop w:val="0"/>
      <w:marBottom w:val="0"/>
      <w:divBdr>
        <w:top w:val="none" w:sz="0" w:space="0" w:color="auto"/>
        <w:left w:val="none" w:sz="0" w:space="0" w:color="auto"/>
        <w:bottom w:val="none" w:sz="0" w:space="0" w:color="auto"/>
        <w:right w:val="none" w:sz="0" w:space="0" w:color="auto"/>
      </w:divBdr>
      <w:divsChild>
        <w:div w:id="493448537">
          <w:marLeft w:val="0"/>
          <w:marRight w:val="0"/>
          <w:marTop w:val="0"/>
          <w:marBottom w:val="0"/>
          <w:divBdr>
            <w:top w:val="none" w:sz="0" w:space="0" w:color="auto"/>
            <w:left w:val="none" w:sz="0" w:space="0" w:color="auto"/>
            <w:bottom w:val="none" w:sz="0" w:space="0" w:color="auto"/>
            <w:right w:val="none" w:sz="0" w:space="0" w:color="auto"/>
          </w:divBdr>
          <w:divsChild>
            <w:div w:id="1122991213">
              <w:marLeft w:val="-225"/>
              <w:marRight w:val="-225"/>
              <w:marTop w:val="0"/>
              <w:marBottom w:val="0"/>
              <w:divBdr>
                <w:top w:val="none" w:sz="0" w:space="0" w:color="auto"/>
                <w:left w:val="none" w:sz="0" w:space="0" w:color="auto"/>
                <w:bottom w:val="none" w:sz="0" w:space="0" w:color="auto"/>
                <w:right w:val="none" w:sz="0" w:space="0" w:color="auto"/>
              </w:divBdr>
              <w:divsChild>
                <w:div w:id="1252590737">
                  <w:marLeft w:val="0"/>
                  <w:marRight w:val="0"/>
                  <w:marTop w:val="0"/>
                  <w:marBottom w:val="0"/>
                  <w:divBdr>
                    <w:top w:val="none" w:sz="0" w:space="0" w:color="auto"/>
                    <w:left w:val="none" w:sz="0" w:space="0" w:color="auto"/>
                    <w:bottom w:val="none" w:sz="0" w:space="0" w:color="auto"/>
                    <w:right w:val="none" w:sz="0" w:space="0" w:color="auto"/>
                  </w:divBdr>
                  <w:divsChild>
                    <w:div w:id="20848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99919">
          <w:marLeft w:val="0"/>
          <w:marRight w:val="0"/>
          <w:marTop w:val="0"/>
          <w:marBottom w:val="0"/>
          <w:divBdr>
            <w:top w:val="none" w:sz="0" w:space="0" w:color="auto"/>
            <w:left w:val="none" w:sz="0" w:space="0" w:color="auto"/>
            <w:bottom w:val="none" w:sz="0" w:space="0" w:color="auto"/>
            <w:right w:val="none" w:sz="0" w:space="0" w:color="auto"/>
          </w:divBdr>
          <w:divsChild>
            <w:div w:id="1421291818">
              <w:marLeft w:val="0"/>
              <w:marRight w:val="0"/>
              <w:marTop w:val="0"/>
              <w:marBottom w:val="0"/>
              <w:divBdr>
                <w:top w:val="none" w:sz="0" w:space="0" w:color="auto"/>
                <w:left w:val="none" w:sz="0" w:space="0" w:color="auto"/>
                <w:bottom w:val="none" w:sz="0" w:space="0" w:color="auto"/>
                <w:right w:val="none" w:sz="0" w:space="0" w:color="auto"/>
              </w:divBdr>
              <w:divsChild>
                <w:div w:id="549997222">
                  <w:marLeft w:val="0"/>
                  <w:marRight w:val="0"/>
                  <w:marTop w:val="0"/>
                  <w:marBottom w:val="0"/>
                  <w:divBdr>
                    <w:top w:val="none" w:sz="0" w:space="0" w:color="auto"/>
                    <w:left w:val="none" w:sz="0" w:space="0" w:color="auto"/>
                    <w:bottom w:val="none" w:sz="0" w:space="0" w:color="auto"/>
                    <w:right w:val="none" w:sz="0" w:space="0" w:color="auto"/>
                  </w:divBdr>
                  <w:divsChild>
                    <w:div w:id="272708669">
                      <w:marLeft w:val="0"/>
                      <w:marRight w:val="0"/>
                      <w:marTop w:val="0"/>
                      <w:marBottom w:val="0"/>
                      <w:divBdr>
                        <w:top w:val="none" w:sz="0" w:space="0" w:color="auto"/>
                        <w:left w:val="none" w:sz="0" w:space="0" w:color="auto"/>
                        <w:bottom w:val="none" w:sz="0" w:space="0" w:color="auto"/>
                        <w:right w:val="none" w:sz="0" w:space="0" w:color="auto"/>
                      </w:divBdr>
                      <w:divsChild>
                        <w:div w:id="5594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19400">
          <w:marLeft w:val="0"/>
          <w:marRight w:val="0"/>
          <w:marTop w:val="0"/>
          <w:marBottom w:val="0"/>
          <w:divBdr>
            <w:top w:val="none" w:sz="0" w:space="0" w:color="auto"/>
            <w:left w:val="none" w:sz="0" w:space="0" w:color="auto"/>
            <w:bottom w:val="none" w:sz="0" w:space="0" w:color="auto"/>
            <w:right w:val="none" w:sz="0" w:space="0" w:color="auto"/>
          </w:divBdr>
        </w:div>
        <w:div w:id="1858932764">
          <w:marLeft w:val="0"/>
          <w:marRight w:val="0"/>
          <w:marTop w:val="0"/>
          <w:marBottom w:val="0"/>
          <w:divBdr>
            <w:top w:val="none" w:sz="0" w:space="0" w:color="auto"/>
            <w:left w:val="none" w:sz="0" w:space="0" w:color="auto"/>
            <w:bottom w:val="none" w:sz="0" w:space="0" w:color="auto"/>
            <w:right w:val="none" w:sz="0" w:space="0" w:color="auto"/>
          </w:divBdr>
          <w:divsChild>
            <w:div w:id="1196847682">
              <w:marLeft w:val="-225"/>
              <w:marRight w:val="-225"/>
              <w:marTop w:val="0"/>
              <w:marBottom w:val="0"/>
              <w:divBdr>
                <w:top w:val="none" w:sz="0" w:space="0" w:color="auto"/>
                <w:left w:val="none" w:sz="0" w:space="0" w:color="auto"/>
                <w:bottom w:val="none" w:sz="0" w:space="0" w:color="auto"/>
                <w:right w:val="none" w:sz="0" w:space="0" w:color="auto"/>
              </w:divBdr>
              <w:divsChild>
                <w:div w:id="1028289095">
                  <w:marLeft w:val="0"/>
                  <w:marRight w:val="0"/>
                  <w:marTop w:val="0"/>
                  <w:marBottom w:val="0"/>
                  <w:divBdr>
                    <w:top w:val="none" w:sz="0" w:space="0" w:color="auto"/>
                    <w:left w:val="none" w:sz="0" w:space="0" w:color="auto"/>
                    <w:bottom w:val="none" w:sz="0" w:space="0" w:color="auto"/>
                    <w:right w:val="none" w:sz="0" w:space="0" w:color="auto"/>
                  </w:divBdr>
                  <w:divsChild>
                    <w:div w:id="1131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326443">
      <w:bodyDiv w:val="1"/>
      <w:marLeft w:val="0"/>
      <w:marRight w:val="0"/>
      <w:marTop w:val="0"/>
      <w:marBottom w:val="0"/>
      <w:divBdr>
        <w:top w:val="none" w:sz="0" w:space="0" w:color="auto"/>
        <w:left w:val="none" w:sz="0" w:space="0" w:color="auto"/>
        <w:bottom w:val="none" w:sz="0" w:space="0" w:color="auto"/>
        <w:right w:val="none" w:sz="0" w:space="0" w:color="auto"/>
      </w:divBdr>
    </w:div>
    <w:div w:id="526140051">
      <w:bodyDiv w:val="1"/>
      <w:marLeft w:val="0"/>
      <w:marRight w:val="0"/>
      <w:marTop w:val="0"/>
      <w:marBottom w:val="0"/>
      <w:divBdr>
        <w:top w:val="none" w:sz="0" w:space="0" w:color="auto"/>
        <w:left w:val="none" w:sz="0" w:space="0" w:color="auto"/>
        <w:bottom w:val="none" w:sz="0" w:space="0" w:color="auto"/>
        <w:right w:val="none" w:sz="0" w:space="0" w:color="auto"/>
      </w:divBdr>
    </w:div>
    <w:div w:id="526872385">
      <w:bodyDiv w:val="1"/>
      <w:marLeft w:val="0"/>
      <w:marRight w:val="0"/>
      <w:marTop w:val="0"/>
      <w:marBottom w:val="0"/>
      <w:divBdr>
        <w:top w:val="none" w:sz="0" w:space="0" w:color="auto"/>
        <w:left w:val="none" w:sz="0" w:space="0" w:color="auto"/>
        <w:bottom w:val="none" w:sz="0" w:space="0" w:color="auto"/>
        <w:right w:val="none" w:sz="0" w:space="0" w:color="auto"/>
      </w:divBdr>
    </w:div>
    <w:div w:id="529801820">
      <w:bodyDiv w:val="1"/>
      <w:marLeft w:val="0"/>
      <w:marRight w:val="0"/>
      <w:marTop w:val="0"/>
      <w:marBottom w:val="0"/>
      <w:divBdr>
        <w:top w:val="none" w:sz="0" w:space="0" w:color="auto"/>
        <w:left w:val="none" w:sz="0" w:space="0" w:color="auto"/>
        <w:bottom w:val="none" w:sz="0" w:space="0" w:color="auto"/>
        <w:right w:val="none" w:sz="0" w:space="0" w:color="auto"/>
      </w:divBdr>
      <w:divsChild>
        <w:div w:id="556084807">
          <w:marLeft w:val="0"/>
          <w:marRight w:val="0"/>
          <w:marTop w:val="0"/>
          <w:marBottom w:val="0"/>
          <w:divBdr>
            <w:top w:val="none" w:sz="0" w:space="0" w:color="auto"/>
            <w:left w:val="none" w:sz="0" w:space="0" w:color="auto"/>
            <w:bottom w:val="none" w:sz="0" w:space="0" w:color="auto"/>
            <w:right w:val="none" w:sz="0" w:space="0" w:color="auto"/>
          </w:divBdr>
        </w:div>
        <w:div w:id="926305254">
          <w:marLeft w:val="0"/>
          <w:marRight w:val="0"/>
          <w:marTop w:val="0"/>
          <w:marBottom w:val="0"/>
          <w:divBdr>
            <w:top w:val="none" w:sz="0" w:space="0" w:color="auto"/>
            <w:left w:val="none" w:sz="0" w:space="0" w:color="auto"/>
            <w:bottom w:val="none" w:sz="0" w:space="0" w:color="auto"/>
            <w:right w:val="none" w:sz="0" w:space="0" w:color="auto"/>
          </w:divBdr>
          <w:divsChild>
            <w:div w:id="482549076">
              <w:marLeft w:val="0"/>
              <w:marRight w:val="0"/>
              <w:marTop w:val="0"/>
              <w:marBottom w:val="0"/>
              <w:divBdr>
                <w:top w:val="single" w:sz="6" w:space="24" w:color="EBEEF5"/>
                <w:left w:val="none" w:sz="0" w:space="0" w:color="auto"/>
                <w:bottom w:val="single" w:sz="6" w:space="18" w:color="EBEEF5"/>
                <w:right w:val="none" w:sz="0" w:space="0" w:color="auto"/>
              </w:divBdr>
              <w:divsChild>
                <w:div w:id="1812289456">
                  <w:marLeft w:val="0"/>
                  <w:marRight w:val="0"/>
                  <w:marTop w:val="0"/>
                  <w:marBottom w:val="0"/>
                  <w:divBdr>
                    <w:top w:val="none" w:sz="0" w:space="0" w:color="auto"/>
                    <w:left w:val="none" w:sz="0" w:space="0" w:color="auto"/>
                    <w:bottom w:val="none" w:sz="0" w:space="0" w:color="auto"/>
                    <w:right w:val="none" w:sz="0" w:space="0" w:color="auto"/>
                  </w:divBdr>
                  <w:divsChild>
                    <w:div w:id="1853564913">
                      <w:marLeft w:val="0"/>
                      <w:marRight w:val="0"/>
                      <w:marTop w:val="0"/>
                      <w:marBottom w:val="0"/>
                      <w:divBdr>
                        <w:top w:val="none" w:sz="0" w:space="0" w:color="auto"/>
                        <w:left w:val="none" w:sz="0" w:space="0" w:color="auto"/>
                        <w:bottom w:val="none" w:sz="0" w:space="0" w:color="auto"/>
                        <w:right w:val="none" w:sz="0" w:space="0" w:color="auto"/>
                      </w:divBdr>
                      <w:divsChild>
                        <w:div w:id="434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59914">
          <w:marLeft w:val="0"/>
          <w:marRight w:val="0"/>
          <w:marTop w:val="0"/>
          <w:marBottom w:val="0"/>
          <w:divBdr>
            <w:top w:val="none" w:sz="0" w:space="0" w:color="auto"/>
            <w:left w:val="none" w:sz="0" w:space="0" w:color="auto"/>
            <w:bottom w:val="none" w:sz="0" w:space="0" w:color="auto"/>
            <w:right w:val="none" w:sz="0" w:space="0" w:color="auto"/>
          </w:divBdr>
          <w:divsChild>
            <w:div w:id="1944192646">
              <w:marLeft w:val="-225"/>
              <w:marRight w:val="-225"/>
              <w:marTop w:val="0"/>
              <w:marBottom w:val="0"/>
              <w:divBdr>
                <w:top w:val="none" w:sz="0" w:space="0" w:color="auto"/>
                <w:left w:val="none" w:sz="0" w:space="0" w:color="auto"/>
                <w:bottom w:val="none" w:sz="0" w:space="0" w:color="auto"/>
                <w:right w:val="none" w:sz="0" w:space="0" w:color="auto"/>
              </w:divBdr>
              <w:divsChild>
                <w:div w:id="850988503">
                  <w:marLeft w:val="0"/>
                  <w:marRight w:val="0"/>
                  <w:marTop w:val="0"/>
                  <w:marBottom w:val="0"/>
                  <w:divBdr>
                    <w:top w:val="none" w:sz="0" w:space="0" w:color="auto"/>
                    <w:left w:val="none" w:sz="0" w:space="0" w:color="auto"/>
                    <w:bottom w:val="none" w:sz="0" w:space="0" w:color="auto"/>
                    <w:right w:val="none" w:sz="0" w:space="0" w:color="auto"/>
                  </w:divBdr>
                  <w:divsChild>
                    <w:div w:id="20836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561">
          <w:marLeft w:val="0"/>
          <w:marRight w:val="0"/>
          <w:marTop w:val="0"/>
          <w:marBottom w:val="0"/>
          <w:divBdr>
            <w:top w:val="none" w:sz="0" w:space="0" w:color="auto"/>
            <w:left w:val="none" w:sz="0" w:space="0" w:color="auto"/>
            <w:bottom w:val="none" w:sz="0" w:space="0" w:color="auto"/>
            <w:right w:val="none" w:sz="0" w:space="0" w:color="auto"/>
          </w:divBdr>
          <w:divsChild>
            <w:div w:id="1750879727">
              <w:marLeft w:val="-225"/>
              <w:marRight w:val="-225"/>
              <w:marTop w:val="0"/>
              <w:marBottom w:val="0"/>
              <w:divBdr>
                <w:top w:val="none" w:sz="0" w:space="0" w:color="auto"/>
                <w:left w:val="none" w:sz="0" w:space="0" w:color="auto"/>
                <w:bottom w:val="none" w:sz="0" w:space="0" w:color="auto"/>
                <w:right w:val="none" w:sz="0" w:space="0" w:color="auto"/>
              </w:divBdr>
              <w:divsChild>
                <w:div w:id="2116712489">
                  <w:marLeft w:val="0"/>
                  <w:marRight w:val="0"/>
                  <w:marTop w:val="0"/>
                  <w:marBottom w:val="0"/>
                  <w:divBdr>
                    <w:top w:val="none" w:sz="0" w:space="0" w:color="auto"/>
                    <w:left w:val="none" w:sz="0" w:space="0" w:color="auto"/>
                    <w:bottom w:val="none" w:sz="0" w:space="0" w:color="auto"/>
                    <w:right w:val="none" w:sz="0" w:space="0" w:color="auto"/>
                  </w:divBdr>
                  <w:divsChild>
                    <w:div w:id="7495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43905">
      <w:bodyDiv w:val="1"/>
      <w:marLeft w:val="0"/>
      <w:marRight w:val="0"/>
      <w:marTop w:val="0"/>
      <w:marBottom w:val="0"/>
      <w:divBdr>
        <w:top w:val="none" w:sz="0" w:space="0" w:color="auto"/>
        <w:left w:val="none" w:sz="0" w:space="0" w:color="auto"/>
        <w:bottom w:val="none" w:sz="0" w:space="0" w:color="auto"/>
        <w:right w:val="none" w:sz="0" w:space="0" w:color="auto"/>
      </w:divBdr>
    </w:div>
    <w:div w:id="536696938">
      <w:bodyDiv w:val="1"/>
      <w:marLeft w:val="0"/>
      <w:marRight w:val="0"/>
      <w:marTop w:val="0"/>
      <w:marBottom w:val="0"/>
      <w:divBdr>
        <w:top w:val="none" w:sz="0" w:space="0" w:color="auto"/>
        <w:left w:val="none" w:sz="0" w:space="0" w:color="auto"/>
        <w:bottom w:val="none" w:sz="0" w:space="0" w:color="auto"/>
        <w:right w:val="none" w:sz="0" w:space="0" w:color="auto"/>
      </w:divBdr>
    </w:div>
    <w:div w:id="536816301">
      <w:bodyDiv w:val="1"/>
      <w:marLeft w:val="0"/>
      <w:marRight w:val="0"/>
      <w:marTop w:val="0"/>
      <w:marBottom w:val="0"/>
      <w:divBdr>
        <w:top w:val="none" w:sz="0" w:space="0" w:color="auto"/>
        <w:left w:val="none" w:sz="0" w:space="0" w:color="auto"/>
        <w:bottom w:val="none" w:sz="0" w:space="0" w:color="auto"/>
        <w:right w:val="none" w:sz="0" w:space="0" w:color="auto"/>
      </w:divBdr>
    </w:div>
    <w:div w:id="539249081">
      <w:bodyDiv w:val="1"/>
      <w:marLeft w:val="0"/>
      <w:marRight w:val="0"/>
      <w:marTop w:val="0"/>
      <w:marBottom w:val="0"/>
      <w:divBdr>
        <w:top w:val="none" w:sz="0" w:space="0" w:color="auto"/>
        <w:left w:val="none" w:sz="0" w:space="0" w:color="auto"/>
        <w:bottom w:val="none" w:sz="0" w:space="0" w:color="auto"/>
        <w:right w:val="none" w:sz="0" w:space="0" w:color="auto"/>
      </w:divBdr>
    </w:div>
    <w:div w:id="542403673">
      <w:bodyDiv w:val="1"/>
      <w:marLeft w:val="0"/>
      <w:marRight w:val="0"/>
      <w:marTop w:val="0"/>
      <w:marBottom w:val="0"/>
      <w:divBdr>
        <w:top w:val="none" w:sz="0" w:space="0" w:color="auto"/>
        <w:left w:val="none" w:sz="0" w:space="0" w:color="auto"/>
        <w:bottom w:val="none" w:sz="0" w:space="0" w:color="auto"/>
        <w:right w:val="none" w:sz="0" w:space="0" w:color="auto"/>
      </w:divBdr>
      <w:divsChild>
        <w:div w:id="500317382">
          <w:marLeft w:val="-225"/>
          <w:marRight w:val="-225"/>
          <w:marTop w:val="0"/>
          <w:marBottom w:val="0"/>
          <w:divBdr>
            <w:top w:val="none" w:sz="0" w:space="0" w:color="auto"/>
            <w:left w:val="none" w:sz="0" w:space="0" w:color="auto"/>
            <w:bottom w:val="single" w:sz="6" w:space="15" w:color="EBEEF5"/>
            <w:right w:val="none" w:sz="0" w:space="0" w:color="auto"/>
          </w:divBdr>
          <w:divsChild>
            <w:div w:id="397747443">
              <w:marLeft w:val="0"/>
              <w:marRight w:val="0"/>
              <w:marTop w:val="0"/>
              <w:marBottom w:val="0"/>
              <w:divBdr>
                <w:top w:val="none" w:sz="0" w:space="0" w:color="auto"/>
                <w:left w:val="none" w:sz="0" w:space="0" w:color="auto"/>
                <w:bottom w:val="none" w:sz="0" w:space="0" w:color="auto"/>
                <w:right w:val="none" w:sz="0" w:space="0" w:color="auto"/>
              </w:divBdr>
            </w:div>
            <w:div w:id="608395809">
              <w:marLeft w:val="0"/>
              <w:marRight w:val="0"/>
              <w:marTop w:val="0"/>
              <w:marBottom w:val="0"/>
              <w:divBdr>
                <w:top w:val="none" w:sz="0" w:space="0" w:color="auto"/>
                <w:left w:val="none" w:sz="0" w:space="0" w:color="auto"/>
                <w:bottom w:val="none" w:sz="0" w:space="0" w:color="auto"/>
                <w:right w:val="none" w:sz="0" w:space="0" w:color="auto"/>
              </w:divBdr>
            </w:div>
            <w:div w:id="956833950">
              <w:marLeft w:val="0"/>
              <w:marRight w:val="0"/>
              <w:marTop w:val="0"/>
              <w:marBottom w:val="0"/>
              <w:divBdr>
                <w:top w:val="none" w:sz="0" w:space="0" w:color="auto"/>
                <w:left w:val="none" w:sz="0" w:space="0" w:color="auto"/>
                <w:bottom w:val="none" w:sz="0" w:space="0" w:color="auto"/>
                <w:right w:val="none" w:sz="0" w:space="0" w:color="auto"/>
              </w:divBdr>
            </w:div>
            <w:div w:id="1651908200">
              <w:marLeft w:val="0"/>
              <w:marRight w:val="0"/>
              <w:marTop w:val="0"/>
              <w:marBottom w:val="0"/>
              <w:divBdr>
                <w:top w:val="none" w:sz="0" w:space="0" w:color="auto"/>
                <w:left w:val="none" w:sz="0" w:space="0" w:color="auto"/>
                <w:bottom w:val="none" w:sz="0" w:space="0" w:color="auto"/>
                <w:right w:val="none" w:sz="0" w:space="0" w:color="auto"/>
              </w:divBdr>
            </w:div>
          </w:divsChild>
        </w:div>
        <w:div w:id="1173648890">
          <w:marLeft w:val="-225"/>
          <w:marRight w:val="-225"/>
          <w:marTop w:val="0"/>
          <w:marBottom w:val="0"/>
          <w:divBdr>
            <w:top w:val="none" w:sz="0" w:space="0" w:color="auto"/>
            <w:left w:val="none" w:sz="0" w:space="0" w:color="auto"/>
            <w:bottom w:val="single" w:sz="6" w:space="15" w:color="EBEEF5"/>
            <w:right w:val="none" w:sz="0" w:space="0" w:color="auto"/>
          </w:divBdr>
          <w:divsChild>
            <w:div w:id="7804615">
              <w:marLeft w:val="0"/>
              <w:marRight w:val="0"/>
              <w:marTop w:val="0"/>
              <w:marBottom w:val="0"/>
              <w:divBdr>
                <w:top w:val="none" w:sz="0" w:space="0" w:color="auto"/>
                <w:left w:val="none" w:sz="0" w:space="0" w:color="auto"/>
                <w:bottom w:val="none" w:sz="0" w:space="0" w:color="auto"/>
                <w:right w:val="none" w:sz="0" w:space="0" w:color="auto"/>
              </w:divBdr>
            </w:div>
            <w:div w:id="93551281">
              <w:marLeft w:val="0"/>
              <w:marRight w:val="0"/>
              <w:marTop w:val="0"/>
              <w:marBottom w:val="0"/>
              <w:divBdr>
                <w:top w:val="none" w:sz="0" w:space="0" w:color="auto"/>
                <w:left w:val="none" w:sz="0" w:space="0" w:color="auto"/>
                <w:bottom w:val="none" w:sz="0" w:space="0" w:color="auto"/>
                <w:right w:val="none" w:sz="0" w:space="0" w:color="auto"/>
              </w:divBdr>
            </w:div>
            <w:div w:id="1264417440">
              <w:marLeft w:val="0"/>
              <w:marRight w:val="0"/>
              <w:marTop w:val="0"/>
              <w:marBottom w:val="0"/>
              <w:divBdr>
                <w:top w:val="none" w:sz="0" w:space="0" w:color="auto"/>
                <w:left w:val="none" w:sz="0" w:space="0" w:color="auto"/>
                <w:bottom w:val="none" w:sz="0" w:space="0" w:color="auto"/>
                <w:right w:val="none" w:sz="0" w:space="0" w:color="auto"/>
              </w:divBdr>
            </w:div>
            <w:div w:id="1536775793">
              <w:marLeft w:val="0"/>
              <w:marRight w:val="0"/>
              <w:marTop w:val="0"/>
              <w:marBottom w:val="0"/>
              <w:divBdr>
                <w:top w:val="none" w:sz="0" w:space="0" w:color="auto"/>
                <w:left w:val="none" w:sz="0" w:space="0" w:color="auto"/>
                <w:bottom w:val="none" w:sz="0" w:space="0" w:color="auto"/>
                <w:right w:val="none" w:sz="0" w:space="0" w:color="auto"/>
              </w:divBdr>
            </w:div>
          </w:divsChild>
        </w:div>
        <w:div w:id="1177882779">
          <w:marLeft w:val="-225"/>
          <w:marRight w:val="-225"/>
          <w:marTop w:val="0"/>
          <w:marBottom w:val="0"/>
          <w:divBdr>
            <w:top w:val="none" w:sz="0" w:space="0" w:color="auto"/>
            <w:left w:val="none" w:sz="0" w:space="0" w:color="auto"/>
            <w:bottom w:val="single" w:sz="6" w:space="15" w:color="EBEEF5"/>
            <w:right w:val="none" w:sz="0" w:space="0" w:color="auto"/>
          </w:divBdr>
          <w:divsChild>
            <w:div w:id="104233991">
              <w:marLeft w:val="0"/>
              <w:marRight w:val="0"/>
              <w:marTop w:val="0"/>
              <w:marBottom w:val="0"/>
              <w:divBdr>
                <w:top w:val="none" w:sz="0" w:space="0" w:color="auto"/>
                <w:left w:val="none" w:sz="0" w:space="0" w:color="auto"/>
                <w:bottom w:val="none" w:sz="0" w:space="0" w:color="auto"/>
                <w:right w:val="none" w:sz="0" w:space="0" w:color="auto"/>
              </w:divBdr>
            </w:div>
            <w:div w:id="450438737">
              <w:marLeft w:val="0"/>
              <w:marRight w:val="0"/>
              <w:marTop w:val="0"/>
              <w:marBottom w:val="0"/>
              <w:divBdr>
                <w:top w:val="none" w:sz="0" w:space="0" w:color="auto"/>
                <w:left w:val="none" w:sz="0" w:space="0" w:color="auto"/>
                <w:bottom w:val="none" w:sz="0" w:space="0" w:color="auto"/>
                <w:right w:val="none" w:sz="0" w:space="0" w:color="auto"/>
              </w:divBdr>
            </w:div>
            <w:div w:id="867762451">
              <w:marLeft w:val="0"/>
              <w:marRight w:val="0"/>
              <w:marTop w:val="0"/>
              <w:marBottom w:val="0"/>
              <w:divBdr>
                <w:top w:val="none" w:sz="0" w:space="0" w:color="auto"/>
                <w:left w:val="none" w:sz="0" w:space="0" w:color="auto"/>
                <w:bottom w:val="none" w:sz="0" w:space="0" w:color="auto"/>
                <w:right w:val="none" w:sz="0" w:space="0" w:color="auto"/>
              </w:divBdr>
            </w:div>
            <w:div w:id="1247812431">
              <w:marLeft w:val="0"/>
              <w:marRight w:val="0"/>
              <w:marTop w:val="0"/>
              <w:marBottom w:val="0"/>
              <w:divBdr>
                <w:top w:val="none" w:sz="0" w:space="0" w:color="auto"/>
                <w:left w:val="none" w:sz="0" w:space="0" w:color="auto"/>
                <w:bottom w:val="none" w:sz="0" w:space="0" w:color="auto"/>
                <w:right w:val="none" w:sz="0" w:space="0" w:color="auto"/>
              </w:divBdr>
            </w:div>
          </w:divsChild>
        </w:div>
        <w:div w:id="1303847431">
          <w:marLeft w:val="-225"/>
          <w:marRight w:val="-225"/>
          <w:marTop w:val="0"/>
          <w:marBottom w:val="0"/>
          <w:divBdr>
            <w:top w:val="none" w:sz="0" w:space="0" w:color="auto"/>
            <w:left w:val="none" w:sz="0" w:space="0" w:color="auto"/>
            <w:bottom w:val="none" w:sz="0" w:space="0" w:color="auto"/>
            <w:right w:val="none" w:sz="0" w:space="0" w:color="auto"/>
          </w:divBdr>
          <w:divsChild>
            <w:div w:id="944118502">
              <w:marLeft w:val="0"/>
              <w:marRight w:val="0"/>
              <w:marTop w:val="0"/>
              <w:marBottom w:val="0"/>
              <w:divBdr>
                <w:top w:val="none" w:sz="0" w:space="0" w:color="auto"/>
                <w:left w:val="none" w:sz="0" w:space="0" w:color="auto"/>
                <w:bottom w:val="none" w:sz="0" w:space="0" w:color="auto"/>
                <w:right w:val="none" w:sz="0" w:space="0" w:color="auto"/>
              </w:divBdr>
            </w:div>
            <w:div w:id="1681469508">
              <w:marLeft w:val="0"/>
              <w:marRight w:val="0"/>
              <w:marTop w:val="0"/>
              <w:marBottom w:val="0"/>
              <w:divBdr>
                <w:top w:val="none" w:sz="0" w:space="0" w:color="auto"/>
                <w:left w:val="none" w:sz="0" w:space="0" w:color="auto"/>
                <w:bottom w:val="none" w:sz="0" w:space="0" w:color="auto"/>
                <w:right w:val="none" w:sz="0" w:space="0" w:color="auto"/>
              </w:divBdr>
            </w:div>
            <w:div w:id="1691880137">
              <w:marLeft w:val="0"/>
              <w:marRight w:val="0"/>
              <w:marTop w:val="0"/>
              <w:marBottom w:val="0"/>
              <w:divBdr>
                <w:top w:val="none" w:sz="0" w:space="0" w:color="auto"/>
                <w:left w:val="none" w:sz="0" w:space="0" w:color="auto"/>
                <w:bottom w:val="none" w:sz="0" w:space="0" w:color="auto"/>
                <w:right w:val="none" w:sz="0" w:space="0" w:color="auto"/>
              </w:divBdr>
            </w:div>
            <w:div w:id="1945574301">
              <w:marLeft w:val="0"/>
              <w:marRight w:val="0"/>
              <w:marTop w:val="0"/>
              <w:marBottom w:val="0"/>
              <w:divBdr>
                <w:top w:val="none" w:sz="0" w:space="0" w:color="auto"/>
                <w:left w:val="none" w:sz="0" w:space="0" w:color="auto"/>
                <w:bottom w:val="none" w:sz="0" w:space="0" w:color="auto"/>
                <w:right w:val="none" w:sz="0" w:space="0" w:color="auto"/>
              </w:divBdr>
            </w:div>
          </w:divsChild>
        </w:div>
        <w:div w:id="2028289961">
          <w:marLeft w:val="-225"/>
          <w:marRight w:val="-225"/>
          <w:marTop w:val="0"/>
          <w:marBottom w:val="0"/>
          <w:divBdr>
            <w:top w:val="none" w:sz="0" w:space="0" w:color="auto"/>
            <w:left w:val="none" w:sz="0" w:space="0" w:color="auto"/>
            <w:bottom w:val="single" w:sz="6" w:space="15" w:color="EBEEF5"/>
            <w:right w:val="none" w:sz="0" w:space="0" w:color="auto"/>
          </w:divBdr>
          <w:divsChild>
            <w:div w:id="931162826">
              <w:marLeft w:val="0"/>
              <w:marRight w:val="0"/>
              <w:marTop w:val="0"/>
              <w:marBottom w:val="0"/>
              <w:divBdr>
                <w:top w:val="none" w:sz="0" w:space="0" w:color="auto"/>
                <w:left w:val="none" w:sz="0" w:space="0" w:color="auto"/>
                <w:bottom w:val="none" w:sz="0" w:space="0" w:color="auto"/>
                <w:right w:val="none" w:sz="0" w:space="0" w:color="auto"/>
              </w:divBdr>
            </w:div>
            <w:div w:id="1337462194">
              <w:marLeft w:val="0"/>
              <w:marRight w:val="0"/>
              <w:marTop w:val="0"/>
              <w:marBottom w:val="0"/>
              <w:divBdr>
                <w:top w:val="none" w:sz="0" w:space="0" w:color="auto"/>
                <w:left w:val="none" w:sz="0" w:space="0" w:color="auto"/>
                <w:bottom w:val="none" w:sz="0" w:space="0" w:color="auto"/>
                <w:right w:val="none" w:sz="0" w:space="0" w:color="auto"/>
              </w:divBdr>
            </w:div>
            <w:div w:id="1780755865">
              <w:marLeft w:val="0"/>
              <w:marRight w:val="0"/>
              <w:marTop w:val="0"/>
              <w:marBottom w:val="0"/>
              <w:divBdr>
                <w:top w:val="none" w:sz="0" w:space="0" w:color="auto"/>
                <w:left w:val="none" w:sz="0" w:space="0" w:color="auto"/>
                <w:bottom w:val="none" w:sz="0" w:space="0" w:color="auto"/>
                <w:right w:val="none" w:sz="0" w:space="0" w:color="auto"/>
              </w:divBdr>
            </w:div>
            <w:div w:id="20061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7711">
      <w:bodyDiv w:val="1"/>
      <w:marLeft w:val="0"/>
      <w:marRight w:val="0"/>
      <w:marTop w:val="0"/>
      <w:marBottom w:val="0"/>
      <w:divBdr>
        <w:top w:val="none" w:sz="0" w:space="0" w:color="auto"/>
        <w:left w:val="none" w:sz="0" w:space="0" w:color="auto"/>
        <w:bottom w:val="none" w:sz="0" w:space="0" w:color="auto"/>
        <w:right w:val="none" w:sz="0" w:space="0" w:color="auto"/>
      </w:divBdr>
    </w:div>
    <w:div w:id="545534340">
      <w:bodyDiv w:val="1"/>
      <w:marLeft w:val="0"/>
      <w:marRight w:val="0"/>
      <w:marTop w:val="0"/>
      <w:marBottom w:val="0"/>
      <w:divBdr>
        <w:top w:val="none" w:sz="0" w:space="0" w:color="auto"/>
        <w:left w:val="none" w:sz="0" w:space="0" w:color="auto"/>
        <w:bottom w:val="none" w:sz="0" w:space="0" w:color="auto"/>
        <w:right w:val="none" w:sz="0" w:space="0" w:color="auto"/>
      </w:divBdr>
    </w:div>
    <w:div w:id="545720809">
      <w:bodyDiv w:val="1"/>
      <w:marLeft w:val="0"/>
      <w:marRight w:val="0"/>
      <w:marTop w:val="0"/>
      <w:marBottom w:val="0"/>
      <w:divBdr>
        <w:top w:val="none" w:sz="0" w:space="0" w:color="auto"/>
        <w:left w:val="none" w:sz="0" w:space="0" w:color="auto"/>
        <w:bottom w:val="none" w:sz="0" w:space="0" w:color="auto"/>
        <w:right w:val="none" w:sz="0" w:space="0" w:color="auto"/>
      </w:divBdr>
    </w:div>
    <w:div w:id="547838007">
      <w:bodyDiv w:val="1"/>
      <w:marLeft w:val="0"/>
      <w:marRight w:val="0"/>
      <w:marTop w:val="0"/>
      <w:marBottom w:val="0"/>
      <w:divBdr>
        <w:top w:val="none" w:sz="0" w:space="0" w:color="auto"/>
        <w:left w:val="none" w:sz="0" w:space="0" w:color="auto"/>
        <w:bottom w:val="none" w:sz="0" w:space="0" w:color="auto"/>
        <w:right w:val="none" w:sz="0" w:space="0" w:color="auto"/>
      </w:divBdr>
    </w:div>
    <w:div w:id="549608523">
      <w:bodyDiv w:val="1"/>
      <w:marLeft w:val="0"/>
      <w:marRight w:val="0"/>
      <w:marTop w:val="0"/>
      <w:marBottom w:val="0"/>
      <w:divBdr>
        <w:top w:val="none" w:sz="0" w:space="0" w:color="auto"/>
        <w:left w:val="none" w:sz="0" w:space="0" w:color="auto"/>
        <w:bottom w:val="none" w:sz="0" w:space="0" w:color="auto"/>
        <w:right w:val="none" w:sz="0" w:space="0" w:color="auto"/>
      </w:divBdr>
    </w:div>
    <w:div w:id="551313809">
      <w:bodyDiv w:val="1"/>
      <w:marLeft w:val="0"/>
      <w:marRight w:val="0"/>
      <w:marTop w:val="0"/>
      <w:marBottom w:val="0"/>
      <w:divBdr>
        <w:top w:val="none" w:sz="0" w:space="0" w:color="auto"/>
        <w:left w:val="none" w:sz="0" w:space="0" w:color="auto"/>
        <w:bottom w:val="none" w:sz="0" w:space="0" w:color="auto"/>
        <w:right w:val="none" w:sz="0" w:space="0" w:color="auto"/>
      </w:divBdr>
    </w:div>
    <w:div w:id="556622534">
      <w:bodyDiv w:val="1"/>
      <w:marLeft w:val="0"/>
      <w:marRight w:val="0"/>
      <w:marTop w:val="0"/>
      <w:marBottom w:val="0"/>
      <w:divBdr>
        <w:top w:val="none" w:sz="0" w:space="0" w:color="auto"/>
        <w:left w:val="none" w:sz="0" w:space="0" w:color="auto"/>
        <w:bottom w:val="none" w:sz="0" w:space="0" w:color="auto"/>
        <w:right w:val="none" w:sz="0" w:space="0" w:color="auto"/>
      </w:divBdr>
    </w:div>
    <w:div w:id="560949099">
      <w:bodyDiv w:val="1"/>
      <w:marLeft w:val="0"/>
      <w:marRight w:val="0"/>
      <w:marTop w:val="0"/>
      <w:marBottom w:val="0"/>
      <w:divBdr>
        <w:top w:val="none" w:sz="0" w:space="0" w:color="auto"/>
        <w:left w:val="none" w:sz="0" w:space="0" w:color="auto"/>
        <w:bottom w:val="none" w:sz="0" w:space="0" w:color="auto"/>
        <w:right w:val="none" w:sz="0" w:space="0" w:color="auto"/>
      </w:divBdr>
    </w:div>
    <w:div w:id="563293202">
      <w:bodyDiv w:val="1"/>
      <w:marLeft w:val="0"/>
      <w:marRight w:val="0"/>
      <w:marTop w:val="0"/>
      <w:marBottom w:val="0"/>
      <w:divBdr>
        <w:top w:val="none" w:sz="0" w:space="0" w:color="auto"/>
        <w:left w:val="none" w:sz="0" w:space="0" w:color="auto"/>
        <w:bottom w:val="none" w:sz="0" w:space="0" w:color="auto"/>
        <w:right w:val="none" w:sz="0" w:space="0" w:color="auto"/>
      </w:divBdr>
    </w:div>
    <w:div w:id="563373779">
      <w:bodyDiv w:val="1"/>
      <w:marLeft w:val="0"/>
      <w:marRight w:val="0"/>
      <w:marTop w:val="0"/>
      <w:marBottom w:val="0"/>
      <w:divBdr>
        <w:top w:val="none" w:sz="0" w:space="0" w:color="auto"/>
        <w:left w:val="none" w:sz="0" w:space="0" w:color="auto"/>
        <w:bottom w:val="none" w:sz="0" w:space="0" w:color="auto"/>
        <w:right w:val="none" w:sz="0" w:space="0" w:color="auto"/>
      </w:divBdr>
    </w:div>
    <w:div w:id="563836953">
      <w:bodyDiv w:val="1"/>
      <w:marLeft w:val="0"/>
      <w:marRight w:val="0"/>
      <w:marTop w:val="0"/>
      <w:marBottom w:val="0"/>
      <w:divBdr>
        <w:top w:val="none" w:sz="0" w:space="0" w:color="auto"/>
        <w:left w:val="none" w:sz="0" w:space="0" w:color="auto"/>
        <w:bottom w:val="none" w:sz="0" w:space="0" w:color="auto"/>
        <w:right w:val="none" w:sz="0" w:space="0" w:color="auto"/>
      </w:divBdr>
    </w:div>
    <w:div w:id="565919290">
      <w:bodyDiv w:val="1"/>
      <w:marLeft w:val="0"/>
      <w:marRight w:val="0"/>
      <w:marTop w:val="0"/>
      <w:marBottom w:val="0"/>
      <w:divBdr>
        <w:top w:val="none" w:sz="0" w:space="0" w:color="auto"/>
        <w:left w:val="none" w:sz="0" w:space="0" w:color="auto"/>
        <w:bottom w:val="none" w:sz="0" w:space="0" w:color="auto"/>
        <w:right w:val="none" w:sz="0" w:space="0" w:color="auto"/>
      </w:divBdr>
    </w:div>
    <w:div w:id="566916386">
      <w:bodyDiv w:val="1"/>
      <w:marLeft w:val="0"/>
      <w:marRight w:val="0"/>
      <w:marTop w:val="0"/>
      <w:marBottom w:val="0"/>
      <w:divBdr>
        <w:top w:val="none" w:sz="0" w:space="0" w:color="auto"/>
        <w:left w:val="none" w:sz="0" w:space="0" w:color="auto"/>
        <w:bottom w:val="none" w:sz="0" w:space="0" w:color="auto"/>
        <w:right w:val="none" w:sz="0" w:space="0" w:color="auto"/>
      </w:divBdr>
    </w:div>
    <w:div w:id="567568934">
      <w:bodyDiv w:val="1"/>
      <w:marLeft w:val="0"/>
      <w:marRight w:val="0"/>
      <w:marTop w:val="0"/>
      <w:marBottom w:val="0"/>
      <w:divBdr>
        <w:top w:val="none" w:sz="0" w:space="0" w:color="auto"/>
        <w:left w:val="none" w:sz="0" w:space="0" w:color="auto"/>
        <w:bottom w:val="none" w:sz="0" w:space="0" w:color="auto"/>
        <w:right w:val="none" w:sz="0" w:space="0" w:color="auto"/>
      </w:divBdr>
    </w:div>
    <w:div w:id="567569013">
      <w:bodyDiv w:val="1"/>
      <w:marLeft w:val="0"/>
      <w:marRight w:val="0"/>
      <w:marTop w:val="0"/>
      <w:marBottom w:val="0"/>
      <w:divBdr>
        <w:top w:val="none" w:sz="0" w:space="0" w:color="auto"/>
        <w:left w:val="none" w:sz="0" w:space="0" w:color="auto"/>
        <w:bottom w:val="none" w:sz="0" w:space="0" w:color="auto"/>
        <w:right w:val="none" w:sz="0" w:space="0" w:color="auto"/>
      </w:divBdr>
    </w:div>
    <w:div w:id="568538930">
      <w:bodyDiv w:val="1"/>
      <w:marLeft w:val="0"/>
      <w:marRight w:val="0"/>
      <w:marTop w:val="0"/>
      <w:marBottom w:val="0"/>
      <w:divBdr>
        <w:top w:val="none" w:sz="0" w:space="0" w:color="auto"/>
        <w:left w:val="none" w:sz="0" w:space="0" w:color="auto"/>
        <w:bottom w:val="none" w:sz="0" w:space="0" w:color="auto"/>
        <w:right w:val="none" w:sz="0" w:space="0" w:color="auto"/>
      </w:divBdr>
      <w:divsChild>
        <w:div w:id="1051732282">
          <w:marLeft w:val="0"/>
          <w:marRight w:val="0"/>
          <w:marTop w:val="0"/>
          <w:marBottom w:val="0"/>
          <w:divBdr>
            <w:top w:val="none" w:sz="0" w:space="0" w:color="auto"/>
            <w:left w:val="none" w:sz="0" w:space="0" w:color="auto"/>
            <w:bottom w:val="none" w:sz="0" w:space="0" w:color="auto"/>
            <w:right w:val="none" w:sz="0" w:space="0" w:color="auto"/>
          </w:divBdr>
        </w:div>
      </w:divsChild>
    </w:div>
    <w:div w:id="568618993">
      <w:bodyDiv w:val="1"/>
      <w:marLeft w:val="0"/>
      <w:marRight w:val="0"/>
      <w:marTop w:val="0"/>
      <w:marBottom w:val="0"/>
      <w:divBdr>
        <w:top w:val="none" w:sz="0" w:space="0" w:color="auto"/>
        <w:left w:val="none" w:sz="0" w:space="0" w:color="auto"/>
        <w:bottom w:val="none" w:sz="0" w:space="0" w:color="auto"/>
        <w:right w:val="none" w:sz="0" w:space="0" w:color="auto"/>
      </w:divBdr>
      <w:divsChild>
        <w:div w:id="773982019">
          <w:marLeft w:val="0"/>
          <w:marRight w:val="0"/>
          <w:marTop w:val="0"/>
          <w:marBottom w:val="0"/>
          <w:divBdr>
            <w:top w:val="none" w:sz="0" w:space="0" w:color="auto"/>
            <w:left w:val="none" w:sz="0" w:space="0" w:color="auto"/>
            <w:bottom w:val="none" w:sz="0" w:space="0" w:color="auto"/>
            <w:right w:val="none" w:sz="0" w:space="0" w:color="auto"/>
          </w:divBdr>
        </w:div>
        <w:div w:id="1401756938">
          <w:marLeft w:val="0"/>
          <w:marRight w:val="0"/>
          <w:marTop w:val="0"/>
          <w:marBottom w:val="0"/>
          <w:divBdr>
            <w:top w:val="none" w:sz="0" w:space="0" w:color="auto"/>
            <w:left w:val="none" w:sz="0" w:space="0" w:color="auto"/>
            <w:bottom w:val="none" w:sz="0" w:space="0" w:color="auto"/>
            <w:right w:val="none" w:sz="0" w:space="0" w:color="auto"/>
          </w:divBdr>
          <w:divsChild>
            <w:div w:id="314529196">
              <w:marLeft w:val="-225"/>
              <w:marRight w:val="-225"/>
              <w:marTop w:val="0"/>
              <w:marBottom w:val="0"/>
              <w:divBdr>
                <w:top w:val="none" w:sz="0" w:space="0" w:color="auto"/>
                <w:left w:val="none" w:sz="0" w:space="0" w:color="auto"/>
                <w:bottom w:val="none" w:sz="0" w:space="0" w:color="auto"/>
                <w:right w:val="none" w:sz="0" w:space="0" w:color="auto"/>
              </w:divBdr>
              <w:divsChild>
                <w:div w:id="1176193914">
                  <w:marLeft w:val="0"/>
                  <w:marRight w:val="0"/>
                  <w:marTop w:val="0"/>
                  <w:marBottom w:val="0"/>
                  <w:divBdr>
                    <w:top w:val="none" w:sz="0" w:space="0" w:color="auto"/>
                    <w:left w:val="none" w:sz="0" w:space="0" w:color="auto"/>
                    <w:bottom w:val="none" w:sz="0" w:space="0" w:color="auto"/>
                    <w:right w:val="none" w:sz="0" w:space="0" w:color="auto"/>
                  </w:divBdr>
                  <w:divsChild>
                    <w:div w:id="6356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14436">
          <w:marLeft w:val="0"/>
          <w:marRight w:val="0"/>
          <w:marTop w:val="0"/>
          <w:marBottom w:val="0"/>
          <w:divBdr>
            <w:top w:val="none" w:sz="0" w:space="0" w:color="auto"/>
            <w:left w:val="none" w:sz="0" w:space="0" w:color="auto"/>
            <w:bottom w:val="none" w:sz="0" w:space="0" w:color="auto"/>
            <w:right w:val="none" w:sz="0" w:space="0" w:color="auto"/>
          </w:divBdr>
          <w:divsChild>
            <w:div w:id="1154179818">
              <w:marLeft w:val="0"/>
              <w:marRight w:val="0"/>
              <w:marTop w:val="0"/>
              <w:marBottom w:val="0"/>
              <w:divBdr>
                <w:top w:val="single" w:sz="6" w:space="24" w:color="EBEEF5"/>
                <w:left w:val="none" w:sz="0" w:space="0" w:color="auto"/>
                <w:bottom w:val="single" w:sz="6" w:space="18" w:color="EBEEF5"/>
                <w:right w:val="none" w:sz="0" w:space="0" w:color="auto"/>
              </w:divBdr>
              <w:divsChild>
                <w:div w:id="116724902">
                  <w:marLeft w:val="0"/>
                  <w:marRight w:val="0"/>
                  <w:marTop w:val="0"/>
                  <w:marBottom w:val="0"/>
                  <w:divBdr>
                    <w:top w:val="none" w:sz="0" w:space="0" w:color="auto"/>
                    <w:left w:val="none" w:sz="0" w:space="0" w:color="auto"/>
                    <w:bottom w:val="none" w:sz="0" w:space="0" w:color="auto"/>
                    <w:right w:val="none" w:sz="0" w:space="0" w:color="auto"/>
                  </w:divBdr>
                  <w:divsChild>
                    <w:div w:id="125851814">
                      <w:marLeft w:val="0"/>
                      <w:marRight w:val="0"/>
                      <w:marTop w:val="0"/>
                      <w:marBottom w:val="0"/>
                      <w:divBdr>
                        <w:top w:val="none" w:sz="0" w:space="0" w:color="auto"/>
                        <w:left w:val="none" w:sz="0" w:space="0" w:color="auto"/>
                        <w:bottom w:val="none" w:sz="0" w:space="0" w:color="auto"/>
                        <w:right w:val="none" w:sz="0" w:space="0" w:color="auto"/>
                      </w:divBdr>
                      <w:divsChild>
                        <w:div w:id="1346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6002">
          <w:marLeft w:val="0"/>
          <w:marRight w:val="0"/>
          <w:marTop w:val="0"/>
          <w:marBottom w:val="0"/>
          <w:divBdr>
            <w:top w:val="none" w:sz="0" w:space="0" w:color="auto"/>
            <w:left w:val="none" w:sz="0" w:space="0" w:color="auto"/>
            <w:bottom w:val="none" w:sz="0" w:space="0" w:color="auto"/>
            <w:right w:val="none" w:sz="0" w:space="0" w:color="auto"/>
          </w:divBdr>
          <w:divsChild>
            <w:div w:id="151651922">
              <w:marLeft w:val="-225"/>
              <w:marRight w:val="-225"/>
              <w:marTop w:val="0"/>
              <w:marBottom w:val="0"/>
              <w:divBdr>
                <w:top w:val="none" w:sz="0" w:space="0" w:color="auto"/>
                <w:left w:val="none" w:sz="0" w:space="0" w:color="auto"/>
                <w:bottom w:val="none" w:sz="0" w:space="0" w:color="auto"/>
                <w:right w:val="none" w:sz="0" w:space="0" w:color="auto"/>
              </w:divBdr>
              <w:divsChild>
                <w:div w:id="1469392008">
                  <w:marLeft w:val="0"/>
                  <w:marRight w:val="0"/>
                  <w:marTop w:val="0"/>
                  <w:marBottom w:val="0"/>
                  <w:divBdr>
                    <w:top w:val="none" w:sz="0" w:space="0" w:color="auto"/>
                    <w:left w:val="none" w:sz="0" w:space="0" w:color="auto"/>
                    <w:bottom w:val="none" w:sz="0" w:space="0" w:color="auto"/>
                    <w:right w:val="none" w:sz="0" w:space="0" w:color="auto"/>
                  </w:divBdr>
                  <w:divsChild>
                    <w:div w:id="3138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9251">
      <w:bodyDiv w:val="1"/>
      <w:marLeft w:val="0"/>
      <w:marRight w:val="0"/>
      <w:marTop w:val="0"/>
      <w:marBottom w:val="0"/>
      <w:divBdr>
        <w:top w:val="none" w:sz="0" w:space="0" w:color="auto"/>
        <w:left w:val="none" w:sz="0" w:space="0" w:color="auto"/>
        <w:bottom w:val="none" w:sz="0" w:space="0" w:color="auto"/>
        <w:right w:val="none" w:sz="0" w:space="0" w:color="auto"/>
      </w:divBdr>
    </w:div>
    <w:div w:id="573903713">
      <w:bodyDiv w:val="1"/>
      <w:marLeft w:val="0"/>
      <w:marRight w:val="0"/>
      <w:marTop w:val="0"/>
      <w:marBottom w:val="0"/>
      <w:divBdr>
        <w:top w:val="none" w:sz="0" w:space="0" w:color="auto"/>
        <w:left w:val="none" w:sz="0" w:space="0" w:color="auto"/>
        <w:bottom w:val="none" w:sz="0" w:space="0" w:color="auto"/>
        <w:right w:val="none" w:sz="0" w:space="0" w:color="auto"/>
      </w:divBdr>
    </w:div>
    <w:div w:id="574701177">
      <w:bodyDiv w:val="1"/>
      <w:marLeft w:val="0"/>
      <w:marRight w:val="0"/>
      <w:marTop w:val="0"/>
      <w:marBottom w:val="0"/>
      <w:divBdr>
        <w:top w:val="none" w:sz="0" w:space="0" w:color="auto"/>
        <w:left w:val="none" w:sz="0" w:space="0" w:color="auto"/>
        <w:bottom w:val="none" w:sz="0" w:space="0" w:color="auto"/>
        <w:right w:val="none" w:sz="0" w:space="0" w:color="auto"/>
      </w:divBdr>
    </w:div>
    <w:div w:id="576019722">
      <w:bodyDiv w:val="1"/>
      <w:marLeft w:val="0"/>
      <w:marRight w:val="0"/>
      <w:marTop w:val="0"/>
      <w:marBottom w:val="0"/>
      <w:divBdr>
        <w:top w:val="none" w:sz="0" w:space="0" w:color="auto"/>
        <w:left w:val="none" w:sz="0" w:space="0" w:color="auto"/>
        <w:bottom w:val="none" w:sz="0" w:space="0" w:color="auto"/>
        <w:right w:val="none" w:sz="0" w:space="0" w:color="auto"/>
      </w:divBdr>
    </w:div>
    <w:div w:id="578174484">
      <w:bodyDiv w:val="1"/>
      <w:marLeft w:val="0"/>
      <w:marRight w:val="0"/>
      <w:marTop w:val="0"/>
      <w:marBottom w:val="0"/>
      <w:divBdr>
        <w:top w:val="none" w:sz="0" w:space="0" w:color="auto"/>
        <w:left w:val="none" w:sz="0" w:space="0" w:color="auto"/>
        <w:bottom w:val="none" w:sz="0" w:space="0" w:color="auto"/>
        <w:right w:val="none" w:sz="0" w:space="0" w:color="auto"/>
      </w:divBdr>
    </w:div>
    <w:div w:id="580061882">
      <w:bodyDiv w:val="1"/>
      <w:marLeft w:val="0"/>
      <w:marRight w:val="0"/>
      <w:marTop w:val="0"/>
      <w:marBottom w:val="0"/>
      <w:divBdr>
        <w:top w:val="none" w:sz="0" w:space="0" w:color="auto"/>
        <w:left w:val="none" w:sz="0" w:space="0" w:color="auto"/>
        <w:bottom w:val="none" w:sz="0" w:space="0" w:color="auto"/>
        <w:right w:val="none" w:sz="0" w:space="0" w:color="auto"/>
      </w:divBdr>
    </w:div>
    <w:div w:id="580678045">
      <w:bodyDiv w:val="1"/>
      <w:marLeft w:val="0"/>
      <w:marRight w:val="0"/>
      <w:marTop w:val="0"/>
      <w:marBottom w:val="0"/>
      <w:divBdr>
        <w:top w:val="none" w:sz="0" w:space="0" w:color="auto"/>
        <w:left w:val="none" w:sz="0" w:space="0" w:color="auto"/>
        <w:bottom w:val="none" w:sz="0" w:space="0" w:color="auto"/>
        <w:right w:val="none" w:sz="0" w:space="0" w:color="auto"/>
      </w:divBdr>
    </w:div>
    <w:div w:id="581260429">
      <w:bodyDiv w:val="1"/>
      <w:marLeft w:val="0"/>
      <w:marRight w:val="0"/>
      <w:marTop w:val="0"/>
      <w:marBottom w:val="0"/>
      <w:divBdr>
        <w:top w:val="none" w:sz="0" w:space="0" w:color="auto"/>
        <w:left w:val="none" w:sz="0" w:space="0" w:color="auto"/>
        <w:bottom w:val="none" w:sz="0" w:space="0" w:color="auto"/>
        <w:right w:val="none" w:sz="0" w:space="0" w:color="auto"/>
      </w:divBdr>
    </w:div>
    <w:div w:id="585697118">
      <w:bodyDiv w:val="1"/>
      <w:marLeft w:val="0"/>
      <w:marRight w:val="0"/>
      <w:marTop w:val="0"/>
      <w:marBottom w:val="0"/>
      <w:divBdr>
        <w:top w:val="none" w:sz="0" w:space="0" w:color="auto"/>
        <w:left w:val="none" w:sz="0" w:space="0" w:color="auto"/>
        <w:bottom w:val="none" w:sz="0" w:space="0" w:color="auto"/>
        <w:right w:val="none" w:sz="0" w:space="0" w:color="auto"/>
      </w:divBdr>
    </w:div>
    <w:div w:id="589391024">
      <w:bodyDiv w:val="1"/>
      <w:marLeft w:val="0"/>
      <w:marRight w:val="0"/>
      <w:marTop w:val="0"/>
      <w:marBottom w:val="0"/>
      <w:divBdr>
        <w:top w:val="none" w:sz="0" w:space="0" w:color="auto"/>
        <w:left w:val="none" w:sz="0" w:space="0" w:color="auto"/>
        <w:bottom w:val="none" w:sz="0" w:space="0" w:color="auto"/>
        <w:right w:val="none" w:sz="0" w:space="0" w:color="auto"/>
      </w:divBdr>
    </w:div>
    <w:div w:id="590742491">
      <w:bodyDiv w:val="1"/>
      <w:marLeft w:val="0"/>
      <w:marRight w:val="0"/>
      <w:marTop w:val="0"/>
      <w:marBottom w:val="0"/>
      <w:divBdr>
        <w:top w:val="none" w:sz="0" w:space="0" w:color="auto"/>
        <w:left w:val="none" w:sz="0" w:space="0" w:color="auto"/>
        <w:bottom w:val="none" w:sz="0" w:space="0" w:color="auto"/>
        <w:right w:val="none" w:sz="0" w:space="0" w:color="auto"/>
      </w:divBdr>
      <w:divsChild>
        <w:div w:id="862668678">
          <w:marLeft w:val="0"/>
          <w:marRight w:val="0"/>
          <w:marTop w:val="0"/>
          <w:marBottom w:val="0"/>
          <w:divBdr>
            <w:top w:val="none" w:sz="0" w:space="0" w:color="auto"/>
            <w:left w:val="none" w:sz="0" w:space="0" w:color="auto"/>
            <w:bottom w:val="none" w:sz="0" w:space="0" w:color="auto"/>
            <w:right w:val="none" w:sz="0" w:space="0" w:color="auto"/>
          </w:divBdr>
          <w:divsChild>
            <w:div w:id="1918397802">
              <w:marLeft w:val="0"/>
              <w:marRight w:val="0"/>
              <w:marTop w:val="0"/>
              <w:marBottom w:val="0"/>
              <w:divBdr>
                <w:top w:val="none" w:sz="0" w:space="0" w:color="auto"/>
                <w:left w:val="none" w:sz="0" w:space="0" w:color="auto"/>
                <w:bottom w:val="none" w:sz="0" w:space="0" w:color="auto"/>
                <w:right w:val="none" w:sz="0" w:space="0" w:color="auto"/>
              </w:divBdr>
              <w:divsChild>
                <w:div w:id="2131050683">
                  <w:marLeft w:val="0"/>
                  <w:marRight w:val="0"/>
                  <w:marTop w:val="0"/>
                  <w:marBottom w:val="0"/>
                  <w:divBdr>
                    <w:top w:val="none" w:sz="0" w:space="0" w:color="auto"/>
                    <w:left w:val="none" w:sz="0" w:space="0" w:color="auto"/>
                    <w:bottom w:val="none" w:sz="0" w:space="0" w:color="auto"/>
                    <w:right w:val="none" w:sz="0" w:space="0" w:color="auto"/>
                  </w:divBdr>
                  <w:divsChild>
                    <w:div w:id="341324280">
                      <w:marLeft w:val="0"/>
                      <w:marRight w:val="0"/>
                      <w:marTop w:val="0"/>
                      <w:marBottom w:val="0"/>
                      <w:divBdr>
                        <w:top w:val="none" w:sz="0" w:space="0" w:color="auto"/>
                        <w:left w:val="none" w:sz="0" w:space="0" w:color="auto"/>
                        <w:bottom w:val="none" w:sz="0" w:space="0" w:color="auto"/>
                        <w:right w:val="none" w:sz="0" w:space="0" w:color="auto"/>
                      </w:divBdr>
                      <w:divsChild>
                        <w:div w:id="2409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81992">
          <w:marLeft w:val="0"/>
          <w:marRight w:val="0"/>
          <w:marTop w:val="0"/>
          <w:marBottom w:val="0"/>
          <w:divBdr>
            <w:top w:val="none" w:sz="0" w:space="0" w:color="auto"/>
            <w:left w:val="none" w:sz="0" w:space="0" w:color="auto"/>
            <w:bottom w:val="none" w:sz="0" w:space="0" w:color="auto"/>
            <w:right w:val="none" w:sz="0" w:space="0" w:color="auto"/>
          </w:divBdr>
          <w:divsChild>
            <w:div w:id="1579628663">
              <w:marLeft w:val="-225"/>
              <w:marRight w:val="-225"/>
              <w:marTop w:val="0"/>
              <w:marBottom w:val="0"/>
              <w:divBdr>
                <w:top w:val="none" w:sz="0" w:space="0" w:color="auto"/>
                <w:left w:val="none" w:sz="0" w:space="0" w:color="auto"/>
                <w:bottom w:val="none" w:sz="0" w:space="0" w:color="auto"/>
                <w:right w:val="none" w:sz="0" w:space="0" w:color="auto"/>
              </w:divBdr>
              <w:divsChild>
                <w:div w:id="461969379">
                  <w:marLeft w:val="0"/>
                  <w:marRight w:val="0"/>
                  <w:marTop w:val="0"/>
                  <w:marBottom w:val="0"/>
                  <w:divBdr>
                    <w:top w:val="none" w:sz="0" w:space="0" w:color="auto"/>
                    <w:left w:val="none" w:sz="0" w:space="0" w:color="auto"/>
                    <w:bottom w:val="none" w:sz="0" w:space="0" w:color="auto"/>
                    <w:right w:val="none" w:sz="0" w:space="0" w:color="auto"/>
                  </w:divBdr>
                  <w:divsChild>
                    <w:div w:id="6274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87653">
          <w:marLeft w:val="0"/>
          <w:marRight w:val="0"/>
          <w:marTop w:val="0"/>
          <w:marBottom w:val="0"/>
          <w:divBdr>
            <w:top w:val="none" w:sz="0" w:space="0" w:color="auto"/>
            <w:left w:val="none" w:sz="0" w:space="0" w:color="auto"/>
            <w:bottom w:val="none" w:sz="0" w:space="0" w:color="auto"/>
            <w:right w:val="none" w:sz="0" w:space="0" w:color="auto"/>
          </w:divBdr>
          <w:divsChild>
            <w:div w:id="210963789">
              <w:marLeft w:val="-225"/>
              <w:marRight w:val="-225"/>
              <w:marTop w:val="0"/>
              <w:marBottom w:val="0"/>
              <w:divBdr>
                <w:top w:val="none" w:sz="0" w:space="0" w:color="auto"/>
                <w:left w:val="none" w:sz="0" w:space="0" w:color="auto"/>
                <w:bottom w:val="none" w:sz="0" w:space="0" w:color="auto"/>
                <w:right w:val="none" w:sz="0" w:space="0" w:color="auto"/>
              </w:divBdr>
              <w:divsChild>
                <w:div w:id="1314141438">
                  <w:marLeft w:val="0"/>
                  <w:marRight w:val="0"/>
                  <w:marTop w:val="0"/>
                  <w:marBottom w:val="0"/>
                  <w:divBdr>
                    <w:top w:val="none" w:sz="0" w:space="0" w:color="auto"/>
                    <w:left w:val="none" w:sz="0" w:space="0" w:color="auto"/>
                    <w:bottom w:val="none" w:sz="0" w:space="0" w:color="auto"/>
                    <w:right w:val="none" w:sz="0" w:space="0" w:color="auto"/>
                  </w:divBdr>
                  <w:divsChild>
                    <w:div w:id="229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494">
          <w:marLeft w:val="0"/>
          <w:marRight w:val="0"/>
          <w:marTop w:val="0"/>
          <w:marBottom w:val="0"/>
          <w:divBdr>
            <w:top w:val="none" w:sz="0" w:space="0" w:color="auto"/>
            <w:left w:val="none" w:sz="0" w:space="0" w:color="auto"/>
            <w:bottom w:val="none" w:sz="0" w:space="0" w:color="auto"/>
            <w:right w:val="none" w:sz="0" w:space="0" w:color="auto"/>
          </w:divBdr>
        </w:div>
      </w:divsChild>
    </w:div>
    <w:div w:id="592201455">
      <w:bodyDiv w:val="1"/>
      <w:marLeft w:val="0"/>
      <w:marRight w:val="0"/>
      <w:marTop w:val="0"/>
      <w:marBottom w:val="0"/>
      <w:divBdr>
        <w:top w:val="none" w:sz="0" w:space="0" w:color="auto"/>
        <w:left w:val="none" w:sz="0" w:space="0" w:color="auto"/>
        <w:bottom w:val="none" w:sz="0" w:space="0" w:color="auto"/>
        <w:right w:val="none" w:sz="0" w:space="0" w:color="auto"/>
      </w:divBdr>
    </w:div>
    <w:div w:id="594290137">
      <w:bodyDiv w:val="1"/>
      <w:marLeft w:val="0"/>
      <w:marRight w:val="0"/>
      <w:marTop w:val="0"/>
      <w:marBottom w:val="0"/>
      <w:divBdr>
        <w:top w:val="none" w:sz="0" w:space="0" w:color="auto"/>
        <w:left w:val="none" w:sz="0" w:space="0" w:color="auto"/>
        <w:bottom w:val="none" w:sz="0" w:space="0" w:color="auto"/>
        <w:right w:val="none" w:sz="0" w:space="0" w:color="auto"/>
      </w:divBdr>
    </w:div>
    <w:div w:id="595092492">
      <w:bodyDiv w:val="1"/>
      <w:marLeft w:val="0"/>
      <w:marRight w:val="0"/>
      <w:marTop w:val="0"/>
      <w:marBottom w:val="0"/>
      <w:divBdr>
        <w:top w:val="none" w:sz="0" w:space="0" w:color="auto"/>
        <w:left w:val="none" w:sz="0" w:space="0" w:color="auto"/>
        <w:bottom w:val="none" w:sz="0" w:space="0" w:color="auto"/>
        <w:right w:val="none" w:sz="0" w:space="0" w:color="auto"/>
      </w:divBdr>
    </w:div>
    <w:div w:id="596059527">
      <w:bodyDiv w:val="1"/>
      <w:marLeft w:val="0"/>
      <w:marRight w:val="0"/>
      <w:marTop w:val="0"/>
      <w:marBottom w:val="0"/>
      <w:divBdr>
        <w:top w:val="none" w:sz="0" w:space="0" w:color="auto"/>
        <w:left w:val="none" w:sz="0" w:space="0" w:color="auto"/>
        <w:bottom w:val="none" w:sz="0" w:space="0" w:color="auto"/>
        <w:right w:val="none" w:sz="0" w:space="0" w:color="auto"/>
      </w:divBdr>
    </w:div>
    <w:div w:id="597099318">
      <w:bodyDiv w:val="1"/>
      <w:marLeft w:val="0"/>
      <w:marRight w:val="0"/>
      <w:marTop w:val="0"/>
      <w:marBottom w:val="0"/>
      <w:divBdr>
        <w:top w:val="none" w:sz="0" w:space="0" w:color="auto"/>
        <w:left w:val="none" w:sz="0" w:space="0" w:color="auto"/>
        <w:bottom w:val="none" w:sz="0" w:space="0" w:color="auto"/>
        <w:right w:val="none" w:sz="0" w:space="0" w:color="auto"/>
      </w:divBdr>
    </w:div>
    <w:div w:id="599526596">
      <w:bodyDiv w:val="1"/>
      <w:marLeft w:val="0"/>
      <w:marRight w:val="0"/>
      <w:marTop w:val="0"/>
      <w:marBottom w:val="0"/>
      <w:divBdr>
        <w:top w:val="none" w:sz="0" w:space="0" w:color="auto"/>
        <w:left w:val="none" w:sz="0" w:space="0" w:color="auto"/>
        <w:bottom w:val="none" w:sz="0" w:space="0" w:color="auto"/>
        <w:right w:val="none" w:sz="0" w:space="0" w:color="auto"/>
      </w:divBdr>
      <w:divsChild>
        <w:div w:id="3629281">
          <w:marLeft w:val="0"/>
          <w:marRight w:val="0"/>
          <w:marTop w:val="0"/>
          <w:marBottom w:val="0"/>
          <w:divBdr>
            <w:top w:val="none" w:sz="0" w:space="0" w:color="auto"/>
            <w:left w:val="none" w:sz="0" w:space="0" w:color="auto"/>
            <w:bottom w:val="none" w:sz="0" w:space="0" w:color="auto"/>
            <w:right w:val="none" w:sz="0" w:space="0" w:color="auto"/>
          </w:divBdr>
          <w:divsChild>
            <w:div w:id="1227103237">
              <w:marLeft w:val="-225"/>
              <w:marRight w:val="-225"/>
              <w:marTop w:val="0"/>
              <w:marBottom w:val="0"/>
              <w:divBdr>
                <w:top w:val="none" w:sz="0" w:space="0" w:color="auto"/>
                <w:left w:val="none" w:sz="0" w:space="0" w:color="auto"/>
                <w:bottom w:val="none" w:sz="0" w:space="0" w:color="auto"/>
                <w:right w:val="none" w:sz="0" w:space="0" w:color="auto"/>
              </w:divBdr>
              <w:divsChild>
                <w:div w:id="1479615359">
                  <w:marLeft w:val="0"/>
                  <w:marRight w:val="0"/>
                  <w:marTop w:val="0"/>
                  <w:marBottom w:val="0"/>
                  <w:divBdr>
                    <w:top w:val="none" w:sz="0" w:space="0" w:color="auto"/>
                    <w:left w:val="none" w:sz="0" w:space="0" w:color="auto"/>
                    <w:bottom w:val="none" w:sz="0" w:space="0" w:color="auto"/>
                    <w:right w:val="none" w:sz="0" w:space="0" w:color="auto"/>
                  </w:divBdr>
                  <w:divsChild>
                    <w:div w:id="1904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21080">
          <w:marLeft w:val="0"/>
          <w:marRight w:val="0"/>
          <w:marTop w:val="0"/>
          <w:marBottom w:val="0"/>
          <w:divBdr>
            <w:top w:val="none" w:sz="0" w:space="0" w:color="auto"/>
            <w:left w:val="none" w:sz="0" w:space="0" w:color="auto"/>
            <w:bottom w:val="none" w:sz="0" w:space="0" w:color="auto"/>
            <w:right w:val="none" w:sz="0" w:space="0" w:color="auto"/>
          </w:divBdr>
          <w:divsChild>
            <w:div w:id="100344099">
              <w:marLeft w:val="-225"/>
              <w:marRight w:val="-225"/>
              <w:marTop w:val="0"/>
              <w:marBottom w:val="0"/>
              <w:divBdr>
                <w:top w:val="none" w:sz="0" w:space="0" w:color="auto"/>
                <w:left w:val="none" w:sz="0" w:space="0" w:color="auto"/>
                <w:bottom w:val="none" w:sz="0" w:space="0" w:color="auto"/>
                <w:right w:val="none" w:sz="0" w:space="0" w:color="auto"/>
              </w:divBdr>
              <w:divsChild>
                <w:div w:id="867638908">
                  <w:marLeft w:val="0"/>
                  <w:marRight w:val="0"/>
                  <w:marTop w:val="0"/>
                  <w:marBottom w:val="0"/>
                  <w:divBdr>
                    <w:top w:val="none" w:sz="0" w:space="0" w:color="auto"/>
                    <w:left w:val="none" w:sz="0" w:space="0" w:color="auto"/>
                    <w:bottom w:val="none" w:sz="0" w:space="0" w:color="auto"/>
                    <w:right w:val="none" w:sz="0" w:space="0" w:color="auto"/>
                  </w:divBdr>
                  <w:divsChild>
                    <w:div w:id="2409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0380">
          <w:marLeft w:val="0"/>
          <w:marRight w:val="0"/>
          <w:marTop w:val="0"/>
          <w:marBottom w:val="0"/>
          <w:divBdr>
            <w:top w:val="none" w:sz="0" w:space="0" w:color="auto"/>
            <w:left w:val="none" w:sz="0" w:space="0" w:color="auto"/>
            <w:bottom w:val="none" w:sz="0" w:space="0" w:color="auto"/>
            <w:right w:val="none" w:sz="0" w:space="0" w:color="auto"/>
          </w:divBdr>
        </w:div>
      </w:divsChild>
    </w:div>
    <w:div w:id="604269187">
      <w:bodyDiv w:val="1"/>
      <w:marLeft w:val="0"/>
      <w:marRight w:val="0"/>
      <w:marTop w:val="0"/>
      <w:marBottom w:val="0"/>
      <w:divBdr>
        <w:top w:val="none" w:sz="0" w:space="0" w:color="auto"/>
        <w:left w:val="none" w:sz="0" w:space="0" w:color="auto"/>
        <w:bottom w:val="none" w:sz="0" w:space="0" w:color="auto"/>
        <w:right w:val="none" w:sz="0" w:space="0" w:color="auto"/>
      </w:divBdr>
    </w:div>
    <w:div w:id="604464523">
      <w:bodyDiv w:val="1"/>
      <w:marLeft w:val="0"/>
      <w:marRight w:val="0"/>
      <w:marTop w:val="0"/>
      <w:marBottom w:val="0"/>
      <w:divBdr>
        <w:top w:val="none" w:sz="0" w:space="0" w:color="auto"/>
        <w:left w:val="none" w:sz="0" w:space="0" w:color="auto"/>
        <w:bottom w:val="none" w:sz="0" w:space="0" w:color="auto"/>
        <w:right w:val="none" w:sz="0" w:space="0" w:color="auto"/>
      </w:divBdr>
    </w:div>
    <w:div w:id="606894047">
      <w:bodyDiv w:val="1"/>
      <w:marLeft w:val="0"/>
      <w:marRight w:val="0"/>
      <w:marTop w:val="0"/>
      <w:marBottom w:val="0"/>
      <w:divBdr>
        <w:top w:val="none" w:sz="0" w:space="0" w:color="auto"/>
        <w:left w:val="none" w:sz="0" w:space="0" w:color="auto"/>
        <w:bottom w:val="none" w:sz="0" w:space="0" w:color="auto"/>
        <w:right w:val="none" w:sz="0" w:space="0" w:color="auto"/>
      </w:divBdr>
    </w:div>
    <w:div w:id="613171312">
      <w:bodyDiv w:val="1"/>
      <w:marLeft w:val="0"/>
      <w:marRight w:val="0"/>
      <w:marTop w:val="0"/>
      <w:marBottom w:val="0"/>
      <w:divBdr>
        <w:top w:val="none" w:sz="0" w:space="0" w:color="auto"/>
        <w:left w:val="none" w:sz="0" w:space="0" w:color="auto"/>
        <w:bottom w:val="none" w:sz="0" w:space="0" w:color="auto"/>
        <w:right w:val="none" w:sz="0" w:space="0" w:color="auto"/>
      </w:divBdr>
    </w:div>
    <w:div w:id="613364173">
      <w:bodyDiv w:val="1"/>
      <w:marLeft w:val="0"/>
      <w:marRight w:val="0"/>
      <w:marTop w:val="0"/>
      <w:marBottom w:val="0"/>
      <w:divBdr>
        <w:top w:val="none" w:sz="0" w:space="0" w:color="auto"/>
        <w:left w:val="none" w:sz="0" w:space="0" w:color="auto"/>
        <w:bottom w:val="none" w:sz="0" w:space="0" w:color="auto"/>
        <w:right w:val="none" w:sz="0" w:space="0" w:color="auto"/>
      </w:divBdr>
    </w:div>
    <w:div w:id="613482642">
      <w:bodyDiv w:val="1"/>
      <w:marLeft w:val="0"/>
      <w:marRight w:val="0"/>
      <w:marTop w:val="0"/>
      <w:marBottom w:val="0"/>
      <w:divBdr>
        <w:top w:val="none" w:sz="0" w:space="0" w:color="auto"/>
        <w:left w:val="none" w:sz="0" w:space="0" w:color="auto"/>
        <w:bottom w:val="none" w:sz="0" w:space="0" w:color="auto"/>
        <w:right w:val="none" w:sz="0" w:space="0" w:color="auto"/>
      </w:divBdr>
    </w:div>
    <w:div w:id="613832437">
      <w:bodyDiv w:val="1"/>
      <w:marLeft w:val="0"/>
      <w:marRight w:val="0"/>
      <w:marTop w:val="0"/>
      <w:marBottom w:val="0"/>
      <w:divBdr>
        <w:top w:val="none" w:sz="0" w:space="0" w:color="auto"/>
        <w:left w:val="none" w:sz="0" w:space="0" w:color="auto"/>
        <w:bottom w:val="none" w:sz="0" w:space="0" w:color="auto"/>
        <w:right w:val="none" w:sz="0" w:space="0" w:color="auto"/>
      </w:divBdr>
    </w:div>
    <w:div w:id="614169752">
      <w:bodyDiv w:val="1"/>
      <w:marLeft w:val="0"/>
      <w:marRight w:val="0"/>
      <w:marTop w:val="0"/>
      <w:marBottom w:val="0"/>
      <w:divBdr>
        <w:top w:val="none" w:sz="0" w:space="0" w:color="auto"/>
        <w:left w:val="none" w:sz="0" w:space="0" w:color="auto"/>
        <w:bottom w:val="none" w:sz="0" w:space="0" w:color="auto"/>
        <w:right w:val="none" w:sz="0" w:space="0" w:color="auto"/>
      </w:divBdr>
    </w:div>
    <w:div w:id="615868247">
      <w:bodyDiv w:val="1"/>
      <w:marLeft w:val="0"/>
      <w:marRight w:val="0"/>
      <w:marTop w:val="0"/>
      <w:marBottom w:val="0"/>
      <w:divBdr>
        <w:top w:val="none" w:sz="0" w:space="0" w:color="auto"/>
        <w:left w:val="none" w:sz="0" w:space="0" w:color="auto"/>
        <w:bottom w:val="none" w:sz="0" w:space="0" w:color="auto"/>
        <w:right w:val="none" w:sz="0" w:space="0" w:color="auto"/>
      </w:divBdr>
    </w:div>
    <w:div w:id="617218677">
      <w:bodyDiv w:val="1"/>
      <w:marLeft w:val="0"/>
      <w:marRight w:val="0"/>
      <w:marTop w:val="0"/>
      <w:marBottom w:val="0"/>
      <w:divBdr>
        <w:top w:val="none" w:sz="0" w:space="0" w:color="auto"/>
        <w:left w:val="none" w:sz="0" w:space="0" w:color="auto"/>
        <w:bottom w:val="none" w:sz="0" w:space="0" w:color="auto"/>
        <w:right w:val="none" w:sz="0" w:space="0" w:color="auto"/>
      </w:divBdr>
    </w:div>
    <w:div w:id="620845925">
      <w:bodyDiv w:val="1"/>
      <w:marLeft w:val="0"/>
      <w:marRight w:val="0"/>
      <w:marTop w:val="0"/>
      <w:marBottom w:val="0"/>
      <w:divBdr>
        <w:top w:val="none" w:sz="0" w:space="0" w:color="auto"/>
        <w:left w:val="none" w:sz="0" w:space="0" w:color="auto"/>
        <w:bottom w:val="none" w:sz="0" w:space="0" w:color="auto"/>
        <w:right w:val="none" w:sz="0" w:space="0" w:color="auto"/>
      </w:divBdr>
    </w:div>
    <w:div w:id="625433602">
      <w:bodyDiv w:val="1"/>
      <w:marLeft w:val="0"/>
      <w:marRight w:val="0"/>
      <w:marTop w:val="0"/>
      <w:marBottom w:val="0"/>
      <w:divBdr>
        <w:top w:val="none" w:sz="0" w:space="0" w:color="auto"/>
        <w:left w:val="none" w:sz="0" w:space="0" w:color="auto"/>
        <w:bottom w:val="none" w:sz="0" w:space="0" w:color="auto"/>
        <w:right w:val="none" w:sz="0" w:space="0" w:color="auto"/>
      </w:divBdr>
    </w:div>
    <w:div w:id="628247452">
      <w:bodyDiv w:val="1"/>
      <w:marLeft w:val="0"/>
      <w:marRight w:val="0"/>
      <w:marTop w:val="0"/>
      <w:marBottom w:val="0"/>
      <w:divBdr>
        <w:top w:val="none" w:sz="0" w:space="0" w:color="auto"/>
        <w:left w:val="none" w:sz="0" w:space="0" w:color="auto"/>
        <w:bottom w:val="none" w:sz="0" w:space="0" w:color="auto"/>
        <w:right w:val="none" w:sz="0" w:space="0" w:color="auto"/>
      </w:divBdr>
    </w:div>
    <w:div w:id="636496655">
      <w:bodyDiv w:val="1"/>
      <w:marLeft w:val="0"/>
      <w:marRight w:val="0"/>
      <w:marTop w:val="0"/>
      <w:marBottom w:val="0"/>
      <w:divBdr>
        <w:top w:val="none" w:sz="0" w:space="0" w:color="auto"/>
        <w:left w:val="none" w:sz="0" w:space="0" w:color="auto"/>
        <w:bottom w:val="none" w:sz="0" w:space="0" w:color="auto"/>
        <w:right w:val="none" w:sz="0" w:space="0" w:color="auto"/>
      </w:divBdr>
    </w:div>
    <w:div w:id="636960476">
      <w:bodyDiv w:val="1"/>
      <w:marLeft w:val="0"/>
      <w:marRight w:val="0"/>
      <w:marTop w:val="0"/>
      <w:marBottom w:val="0"/>
      <w:divBdr>
        <w:top w:val="none" w:sz="0" w:space="0" w:color="auto"/>
        <w:left w:val="none" w:sz="0" w:space="0" w:color="auto"/>
        <w:bottom w:val="none" w:sz="0" w:space="0" w:color="auto"/>
        <w:right w:val="none" w:sz="0" w:space="0" w:color="auto"/>
      </w:divBdr>
    </w:div>
    <w:div w:id="639576203">
      <w:bodyDiv w:val="1"/>
      <w:marLeft w:val="0"/>
      <w:marRight w:val="0"/>
      <w:marTop w:val="0"/>
      <w:marBottom w:val="0"/>
      <w:divBdr>
        <w:top w:val="none" w:sz="0" w:space="0" w:color="auto"/>
        <w:left w:val="none" w:sz="0" w:space="0" w:color="auto"/>
        <w:bottom w:val="none" w:sz="0" w:space="0" w:color="auto"/>
        <w:right w:val="none" w:sz="0" w:space="0" w:color="auto"/>
      </w:divBdr>
    </w:div>
    <w:div w:id="639656235">
      <w:bodyDiv w:val="1"/>
      <w:marLeft w:val="0"/>
      <w:marRight w:val="0"/>
      <w:marTop w:val="0"/>
      <w:marBottom w:val="0"/>
      <w:divBdr>
        <w:top w:val="none" w:sz="0" w:space="0" w:color="auto"/>
        <w:left w:val="none" w:sz="0" w:space="0" w:color="auto"/>
        <w:bottom w:val="none" w:sz="0" w:space="0" w:color="auto"/>
        <w:right w:val="none" w:sz="0" w:space="0" w:color="auto"/>
      </w:divBdr>
    </w:div>
    <w:div w:id="642200261">
      <w:bodyDiv w:val="1"/>
      <w:marLeft w:val="0"/>
      <w:marRight w:val="0"/>
      <w:marTop w:val="0"/>
      <w:marBottom w:val="0"/>
      <w:divBdr>
        <w:top w:val="none" w:sz="0" w:space="0" w:color="auto"/>
        <w:left w:val="none" w:sz="0" w:space="0" w:color="auto"/>
        <w:bottom w:val="none" w:sz="0" w:space="0" w:color="auto"/>
        <w:right w:val="none" w:sz="0" w:space="0" w:color="auto"/>
      </w:divBdr>
    </w:div>
    <w:div w:id="645864813">
      <w:bodyDiv w:val="1"/>
      <w:marLeft w:val="0"/>
      <w:marRight w:val="0"/>
      <w:marTop w:val="0"/>
      <w:marBottom w:val="0"/>
      <w:divBdr>
        <w:top w:val="none" w:sz="0" w:space="0" w:color="auto"/>
        <w:left w:val="none" w:sz="0" w:space="0" w:color="auto"/>
        <w:bottom w:val="none" w:sz="0" w:space="0" w:color="auto"/>
        <w:right w:val="none" w:sz="0" w:space="0" w:color="auto"/>
      </w:divBdr>
    </w:div>
    <w:div w:id="646977661">
      <w:bodyDiv w:val="1"/>
      <w:marLeft w:val="0"/>
      <w:marRight w:val="0"/>
      <w:marTop w:val="0"/>
      <w:marBottom w:val="0"/>
      <w:divBdr>
        <w:top w:val="none" w:sz="0" w:space="0" w:color="auto"/>
        <w:left w:val="none" w:sz="0" w:space="0" w:color="auto"/>
        <w:bottom w:val="none" w:sz="0" w:space="0" w:color="auto"/>
        <w:right w:val="none" w:sz="0" w:space="0" w:color="auto"/>
      </w:divBdr>
      <w:divsChild>
        <w:div w:id="142819205">
          <w:marLeft w:val="0"/>
          <w:marRight w:val="0"/>
          <w:marTop w:val="0"/>
          <w:marBottom w:val="0"/>
          <w:divBdr>
            <w:top w:val="none" w:sz="0" w:space="0" w:color="auto"/>
            <w:left w:val="none" w:sz="0" w:space="0" w:color="auto"/>
            <w:bottom w:val="none" w:sz="0" w:space="0" w:color="auto"/>
            <w:right w:val="none" w:sz="0" w:space="0" w:color="auto"/>
          </w:divBdr>
          <w:divsChild>
            <w:div w:id="1744258510">
              <w:marLeft w:val="0"/>
              <w:marRight w:val="0"/>
              <w:marTop w:val="0"/>
              <w:marBottom w:val="0"/>
              <w:divBdr>
                <w:top w:val="single" w:sz="6" w:space="24" w:color="EBEEF5"/>
                <w:left w:val="none" w:sz="0" w:space="0" w:color="auto"/>
                <w:bottom w:val="single" w:sz="6" w:space="18" w:color="EBEEF5"/>
                <w:right w:val="none" w:sz="0" w:space="0" w:color="auto"/>
              </w:divBdr>
              <w:divsChild>
                <w:div w:id="1435176296">
                  <w:marLeft w:val="0"/>
                  <w:marRight w:val="0"/>
                  <w:marTop w:val="0"/>
                  <w:marBottom w:val="0"/>
                  <w:divBdr>
                    <w:top w:val="none" w:sz="0" w:space="0" w:color="auto"/>
                    <w:left w:val="none" w:sz="0" w:space="0" w:color="auto"/>
                    <w:bottom w:val="none" w:sz="0" w:space="0" w:color="auto"/>
                    <w:right w:val="none" w:sz="0" w:space="0" w:color="auto"/>
                  </w:divBdr>
                  <w:divsChild>
                    <w:div w:id="2007047199">
                      <w:marLeft w:val="0"/>
                      <w:marRight w:val="0"/>
                      <w:marTop w:val="0"/>
                      <w:marBottom w:val="0"/>
                      <w:divBdr>
                        <w:top w:val="none" w:sz="0" w:space="0" w:color="auto"/>
                        <w:left w:val="none" w:sz="0" w:space="0" w:color="auto"/>
                        <w:bottom w:val="none" w:sz="0" w:space="0" w:color="auto"/>
                        <w:right w:val="none" w:sz="0" w:space="0" w:color="auto"/>
                      </w:divBdr>
                      <w:divsChild>
                        <w:div w:id="14733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83021">
          <w:marLeft w:val="0"/>
          <w:marRight w:val="0"/>
          <w:marTop w:val="0"/>
          <w:marBottom w:val="0"/>
          <w:divBdr>
            <w:top w:val="none" w:sz="0" w:space="0" w:color="auto"/>
            <w:left w:val="none" w:sz="0" w:space="0" w:color="auto"/>
            <w:bottom w:val="none" w:sz="0" w:space="0" w:color="auto"/>
            <w:right w:val="none" w:sz="0" w:space="0" w:color="auto"/>
          </w:divBdr>
        </w:div>
        <w:div w:id="329335987">
          <w:marLeft w:val="0"/>
          <w:marRight w:val="0"/>
          <w:marTop w:val="0"/>
          <w:marBottom w:val="0"/>
          <w:divBdr>
            <w:top w:val="none" w:sz="0" w:space="0" w:color="auto"/>
            <w:left w:val="none" w:sz="0" w:space="0" w:color="auto"/>
            <w:bottom w:val="none" w:sz="0" w:space="0" w:color="auto"/>
            <w:right w:val="none" w:sz="0" w:space="0" w:color="auto"/>
          </w:divBdr>
          <w:divsChild>
            <w:div w:id="209071341">
              <w:marLeft w:val="-225"/>
              <w:marRight w:val="-225"/>
              <w:marTop w:val="0"/>
              <w:marBottom w:val="0"/>
              <w:divBdr>
                <w:top w:val="none" w:sz="0" w:space="0" w:color="auto"/>
                <w:left w:val="none" w:sz="0" w:space="0" w:color="auto"/>
                <w:bottom w:val="none" w:sz="0" w:space="0" w:color="auto"/>
                <w:right w:val="none" w:sz="0" w:space="0" w:color="auto"/>
              </w:divBdr>
              <w:divsChild>
                <w:div w:id="1839272628">
                  <w:marLeft w:val="0"/>
                  <w:marRight w:val="0"/>
                  <w:marTop w:val="0"/>
                  <w:marBottom w:val="0"/>
                  <w:divBdr>
                    <w:top w:val="none" w:sz="0" w:space="0" w:color="auto"/>
                    <w:left w:val="none" w:sz="0" w:space="0" w:color="auto"/>
                    <w:bottom w:val="none" w:sz="0" w:space="0" w:color="auto"/>
                    <w:right w:val="none" w:sz="0" w:space="0" w:color="auto"/>
                  </w:divBdr>
                  <w:divsChild>
                    <w:div w:id="7339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1615">
          <w:marLeft w:val="0"/>
          <w:marRight w:val="0"/>
          <w:marTop w:val="0"/>
          <w:marBottom w:val="0"/>
          <w:divBdr>
            <w:top w:val="none" w:sz="0" w:space="0" w:color="auto"/>
            <w:left w:val="none" w:sz="0" w:space="0" w:color="auto"/>
            <w:bottom w:val="none" w:sz="0" w:space="0" w:color="auto"/>
            <w:right w:val="none" w:sz="0" w:space="0" w:color="auto"/>
          </w:divBdr>
          <w:divsChild>
            <w:div w:id="1712992761">
              <w:marLeft w:val="-225"/>
              <w:marRight w:val="-225"/>
              <w:marTop w:val="0"/>
              <w:marBottom w:val="0"/>
              <w:divBdr>
                <w:top w:val="none" w:sz="0" w:space="0" w:color="auto"/>
                <w:left w:val="none" w:sz="0" w:space="0" w:color="auto"/>
                <w:bottom w:val="none" w:sz="0" w:space="0" w:color="auto"/>
                <w:right w:val="none" w:sz="0" w:space="0" w:color="auto"/>
              </w:divBdr>
              <w:divsChild>
                <w:div w:id="675306498">
                  <w:marLeft w:val="0"/>
                  <w:marRight w:val="0"/>
                  <w:marTop w:val="0"/>
                  <w:marBottom w:val="0"/>
                  <w:divBdr>
                    <w:top w:val="none" w:sz="0" w:space="0" w:color="auto"/>
                    <w:left w:val="none" w:sz="0" w:space="0" w:color="auto"/>
                    <w:bottom w:val="none" w:sz="0" w:space="0" w:color="auto"/>
                    <w:right w:val="none" w:sz="0" w:space="0" w:color="auto"/>
                  </w:divBdr>
                  <w:divsChild>
                    <w:div w:id="10220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95932">
      <w:bodyDiv w:val="1"/>
      <w:marLeft w:val="0"/>
      <w:marRight w:val="0"/>
      <w:marTop w:val="0"/>
      <w:marBottom w:val="0"/>
      <w:divBdr>
        <w:top w:val="none" w:sz="0" w:space="0" w:color="auto"/>
        <w:left w:val="none" w:sz="0" w:space="0" w:color="auto"/>
        <w:bottom w:val="none" w:sz="0" w:space="0" w:color="auto"/>
        <w:right w:val="none" w:sz="0" w:space="0" w:color="auto"/>
      </w:divBdr>
    </w:div>
    <w:div w:id="652179239">
      <w:bodyDiv w:val="1"/>
      <w:marLeft w:val="0"/>
      <w:marRight w:val="0"/>
      <w:marTop w:val="0"/>
      <w:marBottom w:val="0"/>
      <w:divBdr>
        <w:top w:val="none" w:sz="0" w:space="0" w:color="auto"/>
        <w:left w:val="none" w:sz="0" w:space="0" w:color="auto"/>
        <w:bottom w:val="none" w:sz="0" w:space="0" w:color="auto"/>
        <w:right w:val="none" w:sz="0" w:space="0" w:color="auto"/>
      </w:divBdr>
    </w:div>
    <w:div w:id="652489789">
      <w:bodyDiv w:val="1"/>
      <w:marLeft w:val="0"/>
      <w:marRight w:val="0"/>
      <w:marTop w:val="0"/>
      <w:marBottom w:val="0"/>
      <w:divBdr>
        <w:top w:val="none" w:sz="0" w:space="0" w:color="auto"/>
        <w:left w:val="none" w:sz="0" w:space="0" w:color="auto"/>
        <w:bottom w:val="none" w:sz="0" w:space="0" w:color="auto"/>
        <w:right w:val="none" w:sz="0" w:space="0" w:color="auto"/>
      </w:divBdr>
    </w:div>
    <w:div w:id="652569529">
      <w:bodyDiv w:val="1"/>
      <w:marLeft w:val="0"/>
      <w:marRight w:val="0"/>
      <w:marTop w:val="0"/>
      <w:marBottom w:val="0"/>
      <w:divBdr>
        <w:top w:val="none" w:sz="0" w:space="0" w:color="auto"/>
        <w:left w:val="none" w:sz="0" w:space="0" w:color="auto"/>
        <w:bottom w:val="none" w:sz="0" w:space="0" w:color="auto"/>
        <w:right w:val="none" w:sz="0" w:space="0" w:color="auto"/>
      </w:divBdr>
    </w:div>
    <w:div w:id="652878870">
      <w:bodyDiv w:val="1"/>
      <w:marLeft w:val="0"/>
      <w:marRight w:val="0"/>
      <w:marTop w:val="0"/>
      <w:marBottom w:val="0"/>
      <w:divBdr>
        <w:top w:val="none" w:sz="0" w:space="0" w:color="auto"/>
        <w:left w:val="none" w:sz="0" w:space="0" w:color="auto"/>
        <w:bottom w:val="none" w:sz="0" w:space="0" w:color="auto"/>
        <w:right w:val="none" w:sz="0" w:space="0" w:color="auto"/>
      </w:divBdr>
    </w:div>
    <w:div w:id="655063966">
      <w:bodyDiv w:val="1"/>
      <w:marLeft w:val="0"/>
      <w:marRight w:val="0"/>
      <w:marTop w:val="0"/>
      <w:marBottom w:val="0"/>
      <w:divBdr>
        <w:top w:val="none" w:sz="0" w:space="0" w:color="auto"/>
        <w:left w:val="none" w:sz="0" w:space="0" w:color="auto"/>
        <w:bottom w:val="none" w:sz="0" w:space="0" w:color="auto"/>
        <w:right w:val="none" w:sz="0" w:space="0" w:color="auto"/>
      </w:divBdr>
    </w:div>
    <w:div w:id="655182734">
      <w:bodyDiv w:val="1"/>
      <w:marLeft w:val="0"/>
      <w:marRight w:val="0"/>
      <w:marTop w:val="0"/>
      <w:marBottom w:val="0"/>
      <w:divBdr>
        <w:top w:val="none" w:sz="0" w:space="0" w:color="auto"/>
        <w:left w:val="none" w:sz="0" w:space="0" w:color="auto"/>
        <w:bottom w:val="none" w:sz="0" w:space="0" w:color="auto"/>
        <w:right w:val="none" w:sz="0" w:space="0" w:color="auto"/>
      </w:divBdr>
      <w:divsChild>
        <w:div w:id="96798936">
          <w:marLeft w:val="0"/>
          <w:marRight w:val="0"/>
          <w:marTop w:val="0"/>
          <w:marBottom w:val="0"/>
          <w:divBdr>
            <w:top w:val="none" w:sz="0" w:space="0" w:color="auto"/>
            <w:left w:val="none" w:sz="0" w:space="0" w:color="auto"/>
            <w:bottom w:val="none" w:sz="0" w:space="0" w:color="auto"/>
            <w:right w:val="none" w:sz="0" w:space="0" w:color="auto"/>
          </w:divBdr>
          <w:divsChild>
            <w:div w:id="1100442928">
              <w:marLeft w:val="0"/>
              <w:marRight w:val="0"/>
              <w:marTop w:val="0"/>
              <w:marBottom w:val="0"/>
              <w:divBdr>
                <w:top w:val="none" w:sz="0" w:space="0" w:color="auto"/>
                <w:left w:val="none" w:sz="0" w:space="0" w:color="auto"/>
                <w:bottom w:val="none" w:sz="0" w:space="0" w:color="auto"/>
                <w:right w:val="none" w:sz="0" w:space="0" w:color="auto"/>
              </w:divBdr>
              <w:divsChild>
                <w:div w:id="15735077">
                  <w:marLeft w:val="0"/>
                  <w:marRight w:val="0"/>
                  <w:marTop w:val="0"/>
                  <w:marBottom w:val="0"/>
                  <w:divBdr>
                    <w:top w:val="none" w:sz="0" w:space="0" w:color="auto"/>
                    <w:left w:val="none" w:sz="0" w:space="0" w:color="auto"/>
                    <w:bottom w:val="none" w:sz="0" w:space="0" w:color="auto"/>
                    <w:right w:val="none" w:sz="0" w:space="0" w:color="auto"/>
                  </w:divBdr>
                  <w:divsChild>
                    <w:div w:id="2044624498">
                      <w:marLeft w:val="0"/>
                      <w:marRight w:val="0"/>
                      <w:marTop w:val="0"/>
                      <w:marBottom w:val="0"/>
                      <w:divBdr>
                        <w:top w:val="none" w:sz="0" w:space="0" w:color="auto"/>
                        <w:left w:val="none" w:sz="0" w:space="0" w:color="auto"/>
                        <w:bottom w:val="none" w:sz="0" w:space="0" w:color="auto"/>
                        <w:right w:val="none" w:sz="0" w:space="0" w:color="auto"/>
                      </w:divBdr>
                      <w:divsChild>
                        <w:div w:id="7069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44648">
          <w:marLeft w:val="0"/>
          <w:marRight w:val="0"/>
          <w:marTop w:val="0"/>
          <w:marBottom w:val="0"/>
          <w:divBdr>
            <w:top w:val="none" w:sz="0" w:space="0" w:color="auto"/>
            <w:left w:val="none" w:sz="0" w:space="0" w:color="auto"/>
            <w:bottom w:val="none" w:sz="0" w:space="0" w:color="auto"/>
            <w:right w:val="none" w:sz="0" w:space="0" w:color="auto"/>
          </w:divBdr>
          <w:divsChild>
            <w:div w:id="1389256563">
              <w:marLeft w:val="-225"/>
              <w:marRight w:val="-225"/>
              <w:marTop w:val="0"/>
              <w:marBottom w:val="0"/>
              <w:divBdr>
                <w:top w:val="none" w:sz="0" w:space="0" w:color="auto"/>
                <w:left w:val="none" w:sz="0" w:space="0" w:color="auto"/>
                <w:bottom w:val="none" w:sz="0" w:space="0" w:color="auto"/>
                <w:right w:val="none" w:sz="0" w:space="0" w:color="auto"/>
              </w:divBdr>
              <w:divsChild>
                <w:div w:id="877471879">
                  <w:marLeft w:val="0"/>
                  <w:marRight w:val="0"/>
                  <w:marTop w:val="0"/>
                  <w:marBottom w:val="0"/>
                  <w:divBdr>
                    <w:top w:val="none" w:sz="0" w:space="0" w:color="auto"/>
                    <w:left w:val="none" w:sz="0" w:space="0" w:color="auto"/>
                    <w:bottom w:val="none" w:sz="0" w:space="0" w:color="auto"/>
                    <w:right w:val="none" w:sz="0" w:space="0" w:color="auto"/>
                  </w:divBdr>
                  <w:divsChild>
                    <w:div w:id="6888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61739">
          <w:marLeft w:val="0"/>
          <w:marRight w:val="0"/>
          <w:marTop w:val="0"/>
          <w:marBottom w:val="0"/>
          <w:divBdr>
            <w:top w:val="none" w:sz="0" w:space="0" w:color="auto"/>
            <w:left w:val="none" w:sz="0" w:space="0" w:color="auto"/>
            <w:bottom w:val="none" w:sz="0" w:space="0" w:color="auto"/>
            <w:right w:val="none" w:sz="0" w:space="0" w:color="auto"/>
          </w:divBdr>
          <w:divsChild>
            <w:div w:id="1571816981">
              <w:marLeft w:val="-225"/>
              <w:marRight w:val="-225"/>
              <w:marTop w:val="0"/>
              <w:marBottom w:val="0"/>
              <w:divBdr>
                <w:top w:val="none" w:sz="0" w:space="0" w:color="auto"/>
                <w:left w:val="none" w:sz="0" w:space="0" w:color="auto"/>
                <w:bottom w:val="none" w:sz="0" w:space="0" w:color="auto"/>
                <w:right w:val="none" w:sz="0" w:space="0" w:color="auto"/>
              </w:divBdr>
              <w:divsChild>
                <w:div w:id="425276025">
                  <w:marLeft w:val="0"/>
                  <w:marRight w:val="0"/>
                  <w:marTop w:val="0"/>
                  <w:marBottom w:val="0"/>
                  <w:divBdr>
                    <w:top w:val="none" w:sz="0" w:space="0" w:color="auto"/>
                    <w:left w:val="none" w:sz="0" w:space="0" w:color="auto"/>
                    <w:bottom w:val="none" w:sz="0" w:space="0" w:color="auto"/>
                    <w:right w:val="none" w:sz="0" w:space="0" w:color="auto"/>
                  </w:divBdr>
                  <w:divsChild>
                    <w:div w:id="13581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6770">
          <w:marLeft w:val="0"/>
          <w:marRight w:val="0"/>
          <w:marTop w:val="0"/>
          <w:marBottom w:val="0"/>
          <w:divBdr>
            <w:top w:val="none" w:sz="0" w:space="0" w:color="auto"/>
            <w:left w:val="none" w:sz="0" w:space="0" w:color="auto"/>
            <w:bottom w:val="none" w:sz="0" w:space="0" w:color="auto"/>
            <w:right w:val="none" w:sz="0" w:space="0" w:color="auto"/>
          </w:divBdr>
        </w:div>
      </w:divsChild>
    </w:div>
    <w:div w:id="655688406">
      <w:bodyDiv w:val="1"/>
      <w:marLeft w:val="0"/>
      <w:marRight w:val="0"/>
      <w:marTop w:val="0"/>
      <w:marBottom w:val="0"/>
      <w:divBdr>
        <w:top w:val="none" w:sz="0" w:space="0" w:color="auto"/>
        <w:left w:val="none" w:sz="0" w:space="0" w:color="auto"/>
        <w:bottom w:val="none" w:sz="0" w:space="0" w:color="auto"/>
        <w:right w:val="none" w:sz="0" w:space="0" w:color="auto"/>
      </w:divBdr>
    </w:div>
    <w:div w:id="661205263">
      <w:bodyDiv w:val="1"/>
      <w:marLeft w:val="0"/>
      <w:marRight w:val="0"/>
      <w:marTop w:val="0"/>
      <w:marBottom w:val="0"/>
      <w:divBdr>
        <w:top w:val="none" w:sz="0" w:space="0" w:color="auto"/>
        <w:left w:val="none" w:sz="0" w:space="0" w:color="auto"/>
        <w:bottom w:val="none" w:sz="0" w:space="0" w:color="auto"/>
        <w:right w:val="none" w:sz="0" w:space="0" w:color="auto"/>
      </w:divBdr>
    </w:div>
    <w:div w:id="666787002">
      <w:bodyDiv w:val="1"/>
      <w:marLeft w:val="0"/>
      <w:marRight w:val="0"/>
      <w:marTop w:val="0"/>
      <w:marBottom w:val="0"/>
      <w:divBdr>
        <w:top w:val="none" w:sz="0" w:space="0" w:color="auto"/>
        <w:left w:val="none" w:sz="0" w:space="0" w:color="auto"/>
        <w:bottom w:val="none" w:sz="0" w:space="0" w:color="auto"/>
        <w:right w:val="none" w:sz="0" w:space="0" w:color="auto"/>
      </w:divBdr>
      <w:divsChild>
        <w:div w:id="321928944">
          <w:marLeft w:val="0"/>
          <w:marRight w:val="0"/>
          <w:marTop w:val="0"/>
          <w:marBottom w:val="0"/>
          <w:divBdr>
            <w:top w:val="none" w:sz="0" w:space="0" w:color="auto"/>
            <w:left w:val="none" w:sz="0" w:space="0" w:color="auto"/>
            <w:bottom w:val="none" w:sz="0" w:space="0" w:color="auto"/>
            <w:right w:val="none" w:sz="0" w:space="0" w:color="auto"/>
          </w:divBdr>
          <w:divsChild>
            <w:div w:id="1372071932">
              <w:marLeft w:val="-225"/>
              <w:marRight w:val="-225"/>
              <w:marTop w:val="0"/>
              <w:marBottom w:val="0"/>
              <w:divBdr>
                <w:top w:val="none" w:sz="0" w:space="0" w:color="auto"/>
                <w:left w:val="none" w:sz="0" w:space="0" w:color="auto"/>
                <w:bottom w:val="none" w:sz="0" w:space="0" w:color="auto"/>
                <w:right w:val="none" w:sz="0" w:space="0" w:color="auto"/>
              </w:divBdr>
              <w:divsChild>
                <w:div w:id="1305088490">
                  <w:marLeft w:val="0"/>
                  <w:marRight w:val="0"/>
                  <w:marTop w:val="0"/>
                  <w:marBottom w:val="0"/>
                  <w:divBdr>
                    <w:top w:val="none" w:sz="0" w:space="0" w:color="auto"/>
                    <w:left w:val="none" w:sz="0" w:space="0" w:color="auto"/>
                    <w:bottom w:val="none" w:sz="0" w:space="0" w:color="auto"/>
                    <w:right w:val="none" w:sz="0" w:space="0" w:color="auto"/>
                  </w:divBdr>
                  <w:divsChild>
                    <w:div w:id="11681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3113">
          <w:marLeft w:val="0"/>
          <w:marRight w:val="0"/>
          <w:marTop w:val="0"/>
          <w:marBottom w:val="0"/>
          <w:divBdr>
            <w:top w:val="none" w:sz="0" w:space="0" w:color="auto"/>
            <w:left w:val="none" w:sz="0" w:space="0" w:color="auto"/>
            <w:bottom w:val="none" w:sz="0" w:space="0" w:color="auto"/>
            <w:right w:val="none" w:sz="0" w:space="0" w:color="auto"/>
          </w:divBdr>
          <w:divsChild>
            <w:div w:id="69473617">
              <w:marLeft w:val="0"/>
              <w:marRight w:val="0"/>
              <w:marTop w:val="0"/>
              <w:marBottom w:val="0"/>
              <w:divBdr>
                <w:top w:val="none" w:sz="0" w:space="0" w:color="auto"/>
                <w:left w:val="none" w:sz="0" w:space="0" w:color="auto"/>
                <w:bottom w:val="none" w:sz="0" w:space="0" w:color="auto"/>
                <w:right w:val="none" w:sz="0" w:space="0" w:color="auto"/>
              </w:divBdr>
              <w:divsChild>
                <w:div w:id="1412586479">
                  <w:marLeft w:val="0"/>
                  <w:marRight w:val="0"/>
                  <w:marTop w:val="0"/>
                  <w:marBottom w:val="0"/>
                  <w:divBdr>
                    <w:top w:val="none" w:sz="0" w:space="0" w:color="auto"/>
                    <w:left w:val="none" w:sz="0" w:space="0" w:color="auto"/>
                    <w:bottom w:val="none" w:sz="0" w:space="0" w:color="auto"/>
                    <w:right w:val="none" w:sz="0" w:space="0" w:color="auto"/>
                  </w:divBdr>
                  <w:divsChild>
                    <w:div w:id="25451398">
                      <w:marLeft w:val="0"/>
                      <w:marRight w:val="0"/>
                      <w:marTop w:val="0"/>
                      <w:marBottom w:val="0"/>
                      <w:divBdr>
                        <w:top w:val="none" w:sz="0" w:space="0" w:color="auto"/>
                        <w:left w:val="none" w:sz="0" w:space="0" w:color="auto"/>
                        <w:bottom w:val="none" w:sz="0" w:space="0" w:color="auto"/>
                        <w:right w:val="none" w:sz="0" w:space="0" w:color="auto"/>
                      </w:divBdr>
                      <w:divsChild>
                        <w:div w:id="8036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232120">
          <w:marLeft w:val="0"/>
          <w:marRight w:val="0"/>
          <w:marTop w:val="0"/>
          <w:marBottom w:val="0"/>
          <w:divBdr>
            <w:top w:val="none" w:sz="0" w:space="0" w:color="auto"/>
            <w:left w:val="none" w:sz="0" w:space="0" w:color="auto"/>
            <w:bottom w:val="none" w:sz="0" w:space="0" w:color="auto"/>
            <w:right w:val="none" w:sz="0" w:space="0" w:color="auto"/>
          </w:divBdr>
          <w:divsChild>
            <w:div w:id="1702439881">
              <w:marLeft w:val="-225"/>
              <w:marRight w:val="-225"/>
              <w:marTop w:val="0"/>
              <w:marBottom w:val="0"/>
              <w:divBdr>
                <w:top w:val="none" w:sz="0" w:space="0" w:color="auto"/>
                <w:left w:val="none" w:sz="0" w:space="0" w:color="auto"/>
                <w:bottom w:val="none" w:sz="0" w:space="0" w:color="auto"/>
                <w:right w:val="none" w:sz="0" w:space="0" w:color="auto"/>
              </w:divBdr>
              <w:divsChild>
                <w:div w:id="1212881070">
                  <w:marLeft w:val="0"/>
                  <w:marRight w:val="0"/>
                  <w:marTop w:val="0"/>
                  <w:marBottom w:val="0"/>
                  <w:divBdr>
                    <w:top w:val="none" w:sz="0" w:space="0" w:color="auto"/>
                    <w:left w:val="none" w:sz="0" w:space="0" w:color="auto"/>
                    <w:bottom w:val="none" w:sz="0" w:space="0" w:color="auto"/>
                    <w:right w:val="none" w:sz="0" w:space="0" w:color="auto"/>
                  </w:divBdr>
                  <w:divsChild>
                    <w:div w:id="21201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19771">
          <w:marLeft w:val="0"/>
          <w:marRight w:val="0"/>
          <w:marTop w:val="0"/>
          <w:marBottom w:val="0"/>
          <w:divBdr>
            <w:top w:val="none" w:sz="0" w:space="0" w:color="auto"/>
            <w:left w:val="none" w:sz="0" w:space="0" w:color="auto"/>
            <w:bottom w:val="none" w:sz="0" w:space="0" w:color="auto"/>
            <w:right w:val="none" w:sz="0" w:space="0" w:color="auto"/>
          </w:divBdr>
        </w:div>
      </w:divsChild>
    </w:div>
    <w:div w:id="668140810">
      <w:bodyDiv w:val="1"/>
      <w:marLeft w:val="0"/>
      <w:marRight w:val="0"/>
      <w:marTop w:val="0"/>
      <w:marBottom w:val="0"/>
      <w:divBdr>
        <w:top w:val="none" w:sz="0" w:space="0" w:color="auto"/>
        <w:left w:val="none" w:sz="0" w:space="0" w:color="auto"/>
        <w:bottom w:val="none" w:sz="0" w:space="0" w:color="auto"/>
        <w:right w:val="none" w:sz="0" w:space="0" w:color="auto"/>
      </w:divBdr>
    </w:div>
    <w:div w:id="676153549">
      <w:bodyDiv w:val="1"/>
      <w:marLeft w:val="0"/>
      <w:marRight w:val="0"/>
      <w:marTop w:val="0"/>
      <w:marBottom w:val="0"/>
      <w:divBdr>
        <w:top w:val="none" w:sz="0" w:space="0" w:color="auto"/>
        <w:left w:val="none" w:sz="0" w:space="0" w:color="auto"/>
        <w:bottom w:val="none" w:sz="0" w:space="0" w:color="auto"/>
        <w:right w:val="none" w:sz="0" w:space="0" w:color="auto"/>
      </w:divBdr>
    </w:div>
    <w:div w:id="677118172">
      <w:bodyDiv w:val="1"/>
      <w:marLeft w:val="0"/>
      <w:marRight w:val="0"/>
      <w:marTop w:val="0"/>
      <w:marBottom w:val="0"/>
      <w:divBdr>
        <w:top w:val="none" w:sz="0" w:space="0" w:color="auto"/>
        <w:left w:val="none" w:sz="0" w:space="0" w:color="auto"/>
        <w:bottom w:val="none" w:sz="0" w:space="0" w:color="auto"/>
        <w:right w:val="none" w:sz="0" w:space="0" w:color="auto"/>
      </w:divBdr>
      <w:divsChild>
        <w:div w:id="225380814">
          <w:marLeft w:val="0"/>
          <w:marRight w:val="0"/>
          <w:marTop w:val="0"/>
          <w:marBottom w:val="0"/>
          <w:divBdr>
            <w:top w:val="none" w:sz="0" w:space="0" w:color="auto"/>
            <w:left w:val="none" w:sz="0" w:space="0" w:color="auto"/>
            <w:bottom w:val="none" w:sz="0" w:space="0" w:color="auto"/>
            <w:right w:val="none" w:sz="0" w:space="0" w:color="auto"/>
          </w:divBdr>
          <w:divsChild>
            <w:div w:id="318582370">
              <w:marLeft w:val="0"/>
              <w:marRight w:val="0"/>
              <w:marTop w:val="0"/>
              <w:marBottom w:val="0"/>
              <w:divBdr>
                <w:top w:val="none" w:sz="0" w:space="0" w:color="auto"/>
                <w:left w:val="none" w:sz="0" w:space="0" w:color="auto"/>
                <w:bottom w:val="none" w:sz="0" w:space="0" w:color="auto"/>
                <w:right w:val="none" w:sz="0" w:space="0" w:color="auto"/>
              </w:divBdr>
              <w:divsChild>
                <w:div w:id="248858086">
                  <w:marLeft w:val="0"/>
                  <w:marRight w:val="0"/>
                  <w:marTop w:val="0"/>
                  <w:marBottom w:val="0"/>
                  <w:divBdr>
                    <w:top w:val="none" w:sz="0" w:space="0" w:color="auto"/>
                    <w:left w:val="none" w:sz="0" w:space="0" w:color="auto"/>
                    <w:bottom w:val="none" w:sz="0" w:space="0" w:color="auto"/>
                    <w:right w:val="none" w:sz="0" w:space="0" w:color="auto"/>
                  </w:divBdr>
                  <w:divsChild>
                    <w:div w:id="1897815821">
                      <w:marLeft w:val="0"/>
                      <w:marRight w:val="0"/>
                      <w:marTop w:val="0"/>
                      <w:marBottom w:val="0"/>
                      <w:divBdr>
                        <w:top w:val="none" w:sz="0" w:space="0" w:color="auto"/>
                        <w:left w:val="none" w:sz="0" w:space="0" w:color="auto"/>
                        <w:bottom w:val="none" w:sz="0" w:space="0" w:color="auto"/>
                        <w:right w:val="none" w:sz="0" w:space="0" w:color="auto"/>
                      </w:divBdr>
                      <w:divsChild>
                        <w:div w:id="1883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066877">
          <w:marLeft w:val="0"/>
          <w:marRight w:val="0"/>
          <w:marTop w:val="0"/>
          <w:marBottom w:val="0"/>
          <w:divBdr>
            <w:top w:val="none" w:sz="0" w:space="0" w:color="auto"/>
            <w:left w:val="none" w:sz="0" w:space="0" w:color="auto"/>
            <w:bottom w:val="none" w:sz="0" w:space="0" w:color="auto"/>
            <w:right w:val="none" w:sz="0" w:space="0" w:color="auto"/>
          </w:divBdr>
        </w:div>
        <w:div w:id="365453069">
          <w:marLeft w:val="0"/>
          <w:marRight w:val="0"/>
          <w:marTop w:val="0"/>
          <w:marBottom w:val="0"/>
          <w:divBdr>
            <w:top w:val="none" w:sz="0" w:space="0" w:color="auto"/>
            <w:left w:val="none" w:sz="0" w:space="0" w:color="auto"/>
            <w:bottom w:val="none" w:sz="0" w:space="0" w:color="auto"/>
            <w:right w:val="none" w:sz="0" w:space="0" w:color="auto"/>
          </w:divBdr>
          <w:divsChild>
            <w:div w:id="1868256816">
              <w:marLeft w:val="-225"/>
              <w:marRight w:val="-225"/>
              <w:marTop w:val="0"/>
              <w:marBottom w:val="0"/>
              <w:divBdr>
                <w:top w:val="none" w:sz="0" w:space="0" w:color="auto"/>
                <w:left w:val="none" w:sz="0" w:space="0" w:color="auto"/>
                <w:bottom w:val="none" w:sz="0" w:space="0" w:color="auto"/>
                <w:right w:val="none" w:sz="0" w:space="0" w:color="auto"/>
              </w:divBdr>
              <w:divsChild>
                <w:div w:id="1555971146">
                  <w:marLeft w:val="0"/>
                  <w:marRight w:val="0"/>
                  <w:marTop w:val="0"/>
                  <w:marBottom w:val="0"/>
                  <w:divBdr>
                    <w:top w:val="none" w:sz="0" w:space="0" w:color="auto"/>
                    <w:left w:val="none" w:sz="0" w:space="0" w:color="auto"/>
                    <w:bottom w:val="none" w:sz="0" w:space="0" w:color="auto"/>
                    <w:right w:val="none" w:sz="0" w:space="0" w:color="auto"/>
                  </w:divBdr>
                  <w:divsChild>
                    <w:div w:id="12816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28011">
          <w:marLeft w:val="0"/>
          <w:marRight w:val="0"/>
          <w:marTop w:val="0"/>
          <w:marBottom w:val="0"/>
          <w:divBdr>
            <w:top w:val="none" w:sz="0" w:space="0" w:color="auto"/>
            <w:left w:val="none" w:sz="0" w:space="0" w:color="auto"/>
            <w:bottom w:val="none" w:sz="0" w:space="0" w:color="auto"/>
            <w:right w:val="none" w:sz="0" w:space="0" w:color="auto"/>
          </w:divBdr>
          <w:divsChild>
            <w:div w:id="1232930380">
              <w:marLeft w:val="-225"/>
              <w:marRight w:val="-225"/>
              <w:marTop w:val="0"/>
              <w:marBottom w:val="0"/>
              <w:divBdr>
                <w:top w:val="none" w:sz="0" w:space="0" w:color="auto"/>
                <w:left w:val="none" w:sz="0" w:space="0" w:color="auto"/>
                <w:bottom w:val="none" w:sz="0" w:space="0" w:color="auto"/>
                <w:right w:val="none" w:sz="0" w:space="0" w:color="auto"/>
              </w:divBdr>
              <w:divsChild>
                <w:div w:id="1694842276">
                  <w:marLeft w:val="0"/>
                  <w:marRight w:val="0"/>
                  <w:marTop w:val="0"/>
                  <w:marBottom w:val="0"/>
                  <w:divBdr>
                    <w:top w:val="none" w:sz="0" w:space="0" w:color="auto"/>
                    <w:left w:val="none" w:sz="0" w:space="0" w:color="auto"/>
                    <w:bottom w:val="none" w:sz="0" w:space="0" w:color="auto"/>
                    <w:right w:val="none" w:sz="0" w:space="0" w:color="auto"/>
                  </w:divBdr>
                  <w:divsChild>
                    <w:div w:id="9147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89283">
      <w:bodyDiv w:val="1"/>
      <w:marLeft w:val="0"/>
      <w:marRight w:val="0"/>
      <w:marTop w:val="0"/>
      <w:marBottom w:val="0"/>
      <w:divBdr>
        <w:top w:val="none" w:sz="0" w:space="0" w:color="auto"/>
        <w:left w:val="none" w:sz="0" w:space="0" w:color="auto"/>
        <w:bottom w:val="none" w:sz="0" w:space="0" w:color="auto"/>
        <w:right w:val="none" w:sz="0" w:space="0" w:color="auto"/>
      </w:divBdr>
    </w:div>
    <w:div w:id="679817428">
      <w:bodyDiv w:val="1"/>
      <w:marLeft w:val="0"/>
      <w:marRight w:val="0"/>
      <w:marTop w:val="0"/>
      <w:marBottom w:val="0"/>
      <w:divBdr>
        <w:top w:val="none" w:sz="0" w:space="0" w:color="auto"/>
        <w:left w:val="none" w:sz="0" w:space="0" w:color="auto"/>
        <w:bottom w:val="none" w:sz="0" w:space="0" w:color="auto"/>
        <w:right w:val="none" w:sz="0" w:space="0" w:color="auto"/>
      </w:divBdr>
    </w:div>
    <w:div w:id="682635367">
      <w:bodyDiv w:val="1"/>
      <w:marLeft w:val="0"/>
      <w:marRight w:val="0"/>
      <w:marTop w:val="0"/>
      <w:marBottom w:val="0"/>
      <w:divBdr>
        <w:top w:val="none" w:sz="0" w:space="0" w:color="auto"/>
        <w:left w:val="none" w:sz="0" w:space="0" w:color="auto"/>
        <w:bottom w:val="none" w:sz="0" w:space="0" w:color="auto"/>
        <w:right w:val="none" w:sz="0" w:space="0" w:color="auto"/>
      </w:divBdr>
    </w:div>
    <w:div w:id="684793752">
      <w:bodyDiv w:val="1"/>
      <w:marLeft w:val="0"/>
      <w:marRight w:val="0"/>
      <w:marTop w:val="0"/>
      <w:marBottom w:val="0"/>
      <w:divBdr>
        <w:top w:val="none" w:sz="0" w:space="0" w:color="auto"/>
        <w:left w:val="none" w:sz="0" w:space="0" w:color="auto"/>
        <w:bottom w:val="none" w:sz="0" w:space="0" w:color="auto"/>
        <w:right w:val="none" w:sz="0" w:space="0" w:color="auto"/>
      </w:divBdr>
      <w:divsChild>
        <w:div w:id="96293836">
          <w:marLeft w:val="0"/>
          <w:marRight w:val="0"/>
          <w:marTop w:val="0"/>
          <w:marBottom w:val="0"/>
          <w:divBdr>
            <w:top w:val="none" w:sz="0" w:space="0" w:color="auto"/>
            <w:left w:val="none" w:sz="0" w:space="0" w:color="auto"/>
            <w:bottom w:val="none" w:sz="0" w:space="0" w:color="auto"/>
            <w:right w:val="none" w:sz="0" w:space="0" w:color="auto"/>
          </w:divBdr>
          <w:divsChild>
            <w:div w:id="788934496">
              <w:marLeft w:val="-225"/>
              <w:marRight w:val="-225"/>
              <w:marTop w:val="0"/>
              <w:marBottom w:val="0"/>
              <w:divBdr>
                <w:top w:val="none" w:sz="0" w:space="0" w:color="auto"/>
                <w:left w:val="none" w:sz="0" w:space="0" w:color="auto"/>
                <w:bottom w:val="none" w:sz="0" w:space="0" w:color="auto"/>
                <w:right w:val="none" w:sz="0" w:space="0" w:color="auto"/>
              </w:divBdr>
              <w:divsChild>
                <w:div w:id="1376932597">
                  <w:marLeft w:val="0"/>
                  <w:marRight w:val="0"/>
                  <w:marTop w:val="0"/>
                  <w:marBottom w:val="0"/>
                  <w:divBdr>
                    <w:top w:val="none" w:sz="0" w:space="0" w:color="auto"/>
                    <w:left w:val="none" w:sz="0" w:space="0" w:color="auto"/>
                    <w:bottom w:val="none" w:sz="0" w:space="0" w:color="auto"/>
                    <w:right w:val="none" w:sz="0" w:space="0" w:color="auto"/>
                  </w:divBdr>
                  <w:divsChild>
                    <w:div w:id="4073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3662">
          <w:marLeft w:val="0"/>
          <w:marRight w:val="0"/>
          <w:marTop w:val="0"/>
          <w:marBottom w:val="0"/>
          <w:divBdr>
            <w:top w:val="none" w:sz="0" w:space="0" w:color="auto"/>
            <w:left w:val="none" w:sz="0" w:space="0" w:color="auto"/>
            <w:bottom w:val="none" w:sz="0" w:space="0" w:color="auto"/>
            <w:right w:val="none" w:sz="0" w:space="0" w:color="auto"/>
          </w:divBdr>
        </w:div>
        <w:div w:id="668555022">
          <w:marLeft w:val="0"/>
          <w:marRight w:val="0"/>
          <w:marTop w:val="0"/>
          <w:marBottom w:val="0"/>
          <w:divBdr>
            <w:top w:val="none" w:sz="0" w:space="0" w:color="auto"/>
            <w:left w:val="none" w:sz="0" w:space="0" w:color="auto"/>
            <w:bottom w:val="none" w:sz="0" w:space="0" w:color="auto"/>
            <w:right w:val="none" w:sz="0" w:space="0" w:color="auto"/>
          </w:divBdr>
          <w:divsChild>
            <w:div w:id="260769149">
              <w:marLeft w:val="0"/>
              <w:marRight w:val="0"/>
              <w:marTop w:val="0"/>
              <w:marBottom w:val="0"/>
              <w:divBdr>
                <w:top w:val="none" w:sz="0" w:space="0" w:color="auto"/>
                <w:left w:val="none" w:sz="0" w:space="0" w:color="auto"/>
                <w:bottom w:val="none" w:sz="0" w:space="0" w:color="auto"/>
                <w:right w:val="none" w:sz="0" w:space="0" w:color="auto"/>
              </w:divBdr>
              <w:divsChild>
                <w:div w:id="928806400">
                  <w:marLeft w:val="0"/>
                  <w:marRight w:val="0"/>
                  <w:marTop w:val="0"/>
                  <w:marBottom w:val="0"/>
                  <w:divBdr>
                    <w:top w:val="none" w:sz="0" w:space="0" w:color="auto"/>
                    <w:left w:val="none" w:sz="0" w:space="0" w:color="auto"/>
                    <w:bottom w:val="none" w:sz="0" w:space="0" w:color="auto"/>
                    <w:right w:val="none" w:sz="0" w:space="0" w:color="auto"/>
                  </w:divBdr>
                  <w:divsChild>
                    <w:div w:id="1886331794">
                      <w:marLeft w:val="0"/>
                      <w:marRight w:val="0"/>
                      <w:marTop w:val="0"/>
                      <w:marBottom w:val="0"/>
                      <w:divBdr>
                        <w:top w:val="none" w:sz="0" w:space="0" w:color="auto"/>
                        <w:left w:val="none" w:sz="0" w:space="0" w:color="auto"/>
                        <w:bottom w:val="none" w:sz="0" w:space="0" w:color="auto"/>
                        <w:right w:val="none" w:sz="0" w:space="0" w:color="auto"/>
                      </w:divBdr>
                      <w:divsChild>
                        <w:div w:id="16788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78327">
          <w:marLeft w:val="0"/>
          <w:marRight w:val="0"/>
          <w:marTop w:val="0"/>
          <w:marBottom w:val="0"/>
          <w:divBdr>
            <w:top w:val="none" w:sz="0" w:space="0" w:color="auto"/>
            <w:left w:val="none" w:sz="0" w:space="0" w:color="auto"/>
            <w:bottom w:val="none" w:sz="0" w:space="0" w:color="auto"/>
            <w:right w:val="none" w:sz="0" w:space="0" w:color="auto"/>
          </w:divBdr>
          <w:divsChild>
            <w:div w:id="790632015">
              <w:marLeft w:val="-225"/>
              <w:marRight w:val="-225"/>
              <w:marTop w:val="0"/>
              <w:marBottom w:val="0"/>
              <w:divBdr>
                <w:top w:val="none" w:sz="0" w:space="0" w:color="auto"/>
                <w:left w:val="none" w:sz="0" w:space="0" w:color="auto"/>
                <w:bottom w:val="none" w:sz="0" w:space="0" w:color="auto"/>
                <w:right w:val="none" w:sz="0" w:space="0" w:color="auto"/>
              </w:divBdr>
              <w:divsChild>
                <w:div w:id="1681810367">
                  <w:marLeft w:val="0"/>
                  <w:marRight w:val="0"/>
                  <w:marTop w:val="0"/>
                  <w:marBottom w:val="0"/>
                  <w:divBdr>
                    <w:top w:val="none" w:sz="0" w:space="0" w:color="auto"/>
                    <w:left w:val="none" w:sz="0" w:space="0" w:color="auto"/>
                    <w:bottom w:val="none" w:sz="0" w:space="0" w:color="auto"/>
                    <w:right w:val="none" w:sz="0" w:space="0" w:color="auto"/>
                  </w:divBdr>
                  <w:divsChild>
                    <w:div w:id="18992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946416">
      <w:bodyDiv w:val="1"/>
      <w:marLeft w:val="0"/>
      <w:marRight w:val="0"/>
      <w:marTop w:val="0"/>
      <w:marBottom w:val="0"/>
      <w:divBdr>
        <w:top w:val="none" w:sz="0" w:space="0" w:color="auto"/>
        <w:left w:val="none" w:sz="0" w:space="0" w:color="auto"/>
        <w:bottom w:val="none" w:sz="0" w:space="0" w:color="auto"/>
        <w:right w:val="none" w:sz="0" w:space="0" w:color="auto"/>
      </w:divBdr>
    </w:div>
    <w:div w:id="685407208">
      <w:bodyDiv w:val="1"/>
      <w:marLeft w:val="0"/>
      <w:marRight w:val="0"/>
      <w:marTop w:val="0"/>
      <w:marBottom w:val="0"/>
      <w:divBdr>
        <w:top w:val="none" w:sz="0" w:space="0" w:color="auto"/>
        <w:left w:val="none" w:sz="0" w:space="0" w:color="auto"/>
        <w:bottom w:val="none" w:sz="0" w:space="0" w:color="auto"/>
        <w:right w:val="none" w:sz="0" w:space="0" w:color="auto"/>
      </w:divBdr>
    </w:div>
    <w:div w:id="685903752">
      <w:bodyDiv w:val="1"/>
      <w:marLeft w:val="0"/>
      <w:marRight w:val="0"/>
      <w:marTop w:val="0"/>
      <w:marBottom w:val="0"/>
      <w:divBdr>
        <w:top w:val="none" w:sz="0" w:space="0" w:color="auto"/>
        <w:left w:val="none" w:sz="0" w:space="0" w:color="auto"/>
        <w:bottom w:val="none" w:sz="0" w:space="0" w:color="auto"/>
        <w:right w:val="none" w:sz="0" w:space="0" w:color="auto"/>
      </w:divBdr>
    </w:div>
    <w:div w:id="689455347">
      <w:bodyDiv w:val="1"/>
      <w:marLeft w:val="0"/>
      <w:marRight w:val="0"/>
      <w:marTop w:val="0"/>
      <w:marBottom w:val="0"/>
      <w:divBdr>
        <w:top w:val="none" w:sz="0" w:space="0" w:color="auto"/>
        <w:left w:val="none" w:sz="0" w:space="0" w:color="auto"/>
        <w:bottom w:val="none" w:sz="0" w:space="0" w:color="auto"/>
        <w:right w:val="none" w:sz="0" w:space="0" w:color="auto"/>
      </w:divBdr>
    </w:div>
    <w:div w:id="692341323">
      <w:bodyDiv w:val="1"/>
      <w:marLeft w:val="0"/>
      <w:marRight w:val="0"/>
      <w:marTop w:val="0"/>
      <w:marBottom w:val="0"/>
      <w:divBdr>
        <w:top w:val="none" w:sz="0" w:space="0" w:color="auto"/>
        <w:left w:val="none" w:sz="0" w:space="0" w:color="auto"/>
        <w:bottom w:val="none" w:sz="0" w:space="0" w:color="auto"/>
        <w:right w:val="none" w:sz="0" w:space="0" w:color="auto"/>
      </w:divBdr>
    </w:div>
    <w:div w:id="694695494">
      <w:bodyDiv w:val="1"/>
      <w:marLeft w:val="0"/>
      <w:marRight w:val="0"/>
      <w:marTop w:val="0"/>
      <w:marBottom w:val="0"/>
      <w:divBdr>
        <w:top w:val="none" w:sz="0" w:space="0" w:color="auto"/>
        <w:left w:val="none" w:sz="0" w:space="0" w:color="auto"/>
        <w:bottom w:val="none" w:sz="0" w:space="0" w:color="auto"/>
        <w:right w:val="none" w:sz="0" w:space="0" w:color="auto"/>
      </w:divBdr>
    </w:div>
    <w:div w:id="696807449">
      <w:bodyDiv w:val="1"/>
      <w:marLeft w:val="0"/>
      <w:marRight w:val="0"/>
      <w:marTop w:val="0"/>
      <w:marBottom w:val="0"/>
      <w:divBdr>
        <w:top w:val="none" w:sz="0" w:space="0" w:color="auto"/>
        <w:left w:val="none" w:sz="0" w:space="0" w:color="auto"/>
        <w:bottom w:val="none" w:sz="0" w:space="0" w:color="auto"/>
        <w:right w:val="none" w:sz="0" w:space="0" w:color="auto"/>
      </w:divBdr>
    </w:div>
    <w:div w:id="696976106">
      <w:bodyDiv w:val="1"/>
      <w:marLeft w:val="0"/>
      <w:marRight w:val="0"/>
      <w:marTop w:val="0"/>
      <w:marBottom w:val="0"/>
      <w:divBdr>
        <w:top w:val="none" w:sz="0" w:space="0" w:color="auto"/>
        <w:left w:val="none" w:sz="0" w:space="0" w:color="auto"/>
        <w:bottom w:val="none" w:sz="0" w:space="0" w:color="auto"/>
        <w:right w:val="none" w:sz="0" w:space="0" w:color="auto"/>
      </w:divBdr>
    </w:div>
    <w:div w:id="700515948">
      <w:bodyDiv w:val="1"/>
      <w:marLeft w:val="0"/>
      <w:marRight w:val="0"/>
      <w:marTop w:val="0"/>
      <w:marBottom w:val="0"/>
      <w:divBdr>
        <w:top w:val="none" w:sz="0" w:space="0" w:color="auto"/>
        <w:left w:val="none" w:sz="0" w:space="0" w:color="auto"/>
        <w:bottom w:val="none" w:sz="0" w:space="0" w:color="auto"/>
        <w:right w:val="none" w:sz="0" w:space="0" w:color="auto"/>
      </w:divBdr>
    </w:div>
    <w:div w:id="700859321">
      <w:bodyDiv w:val="1"/>
      <w:marLeft w:val="0"/>
      <w:marRight w:val="0"/>
      <w:marTop w:val="0"/>
      <w:marBottom w:val="0"/>
      <w:divBdr>
        <w:top w:val="none" w:sz="0" w:space="0" w:color="auto"/>
        <w:left w:val="none" w:sz="0" w:space="0" w:color="auto"/>
        <w:bottom w:val="none" w:sz="0" w:space="0" w:color="auto"/>
        <w:right w:val="none" w:sz="0" w:space="0" w:color="auto"/>
      </w:divBdr>
    </w:div>
    <w:div w:id="701832630">
      <w:bodyDiv w:val="1"/>
      <w:marLeft w:val="0"/>
      <w:marRight w:val="0"/>
      <w:marTop w:val="0"/>
      <w:marBottom w:val="0"/>
      <w:divBdr>
        <w:top w:val="none" w:sz="0" w:space="0" w:color="auto"/>
        <w:left w:val="none" w:sz="0" w:space="0" w:color="auto"/>
        <w:bottom w:val="none" w:sz="0" w:space="0" w:color="auto"/>
        <w:right w:val="none" w:sz="0" w:space="0" w:color="auto"/>
      </w:divBdr>
    </w:div>
    <w:div w:id="704645177">
      <w:bodyDiv w:val="1"/>
      <w:marLeft w:val="0"/>
      <w:marRight w:val="0"/>
      <w:marTop w:val="0"/>
      <w:marBottom w:val="0"/>
      <w:divBdr>
        <w:top w:val="none" w:sz="0" w:space="0" w:color="auto"/>
        <w:left w:val="none" w:sz="0" w:space="0" w:color="auto"/>
        <w:bottom w:val="none" w:sz="0" w:space="0" w:color="auto"/>
        <w:right w:val="none" w:sz="0" w:space="0" w:color="auto"/>
      </w:divBdr>
    </w:div>
    <w:div w:id="706756912">
      <w:bodyDiv w:val="1"/>
      <w:marLeft w:val="0"/>
      <w:marRight w:val="0"/>
      <w:marTop w:val="0"/>
      <w:marBottom w:val="0"/>
      <w:divBdr>
        <w:top w:val="none" w:sz="0" w:space="0" w:color="auto"/>
        <w:left w:val="none" w:sz="0" w:space="0" w:color="auto"/>
        <w:bottom w:val="none" w:sz="0" w:space="0" w:color="auto"/>
        <w:right w:val="none" w:sz="0" w:space="0" w:color="auto"/>
      </w:divBdr>
    </w:div>
    <w:div w:id="707411848">
      <w:bodyDiv w:val="1"/>
      <w:marLeft w:val="0"/>
      <w:marRight w:val="0"/>
      <w:marTop w:val="0"/>
      <w:marBottom w:val="0"/>
      <w:divBdr>
        <w:top w:val="none" w:sz="0" w:space="0" w:color="auto"/>
        <w:left w:val="none" w:sz="0" w:space="0" w:color="auto"/>
        <w:bottom w:val="none" w:sz="0" w:space="0" w:color="auto"/>
        <w:right w:val="none" w:sz="0" w:space="0" w:color="auto"/>
      </w:divBdr>
    </w:div>
    <w:div w:id="709111206">
      <w:bodyDiv w:val="1"/>
      <w:marLeft w:val="0"/>
      <w:marRight w:val="0"/>
      <w:marTop w:val="0"/>
      <w:marBottom w:val="0"/>
      <w:divBdr>
        <w:top w:val="none" w:sz="0" w:space="0" w:color="auto"/>
        <w:left w:val="none" w:sz="0" w:space="0" w:color="auto"/>
        <w:bottom w:val="none" w:sz="0" w:space="0" w:color="auto"/>
        <w:right w:val="none" w:sz="0" w:space="0" w:color="auto"/>
      </w:divBdr>
    </w:div>
    <w:div w:id="709181781">
      <w:bodyDiv w:val="1"/>
      <w:marLeft w:val="0"/>
      <w:marRight w:val="0"/>
      <w:marTop w:val="0"/>
      <w:marBottom w:val="0"/>
      <w:divBdr>
        <w:top w:val="none" w:sz="0" w:space="0" w:color="auto"/>
        <w:left w:val="none" w:sz="0" w:space="0" w:color="auto"/>
        <w:bottom w:val="none" w:sz="0" w:space="0" w:color="auto"/>
        <w:right w:val="none" w:sz="0" w:space="0" w:color="auto"/>
      </w:divBdr>
    </w:div>
    <w:div w:id="716321703">
      <w:bodyDiv w:val="1"/>
      <w:marLeft w:val="0"/>
      <w:marRight w:val="0"/>
      <w:marTop w:val="0"/>
      <w:marBottom w:val="0"/>
      <w:divBdr>
        <w:top w:val="none" w:sz="0" w:space="0" w:color="auto"/>
        <w:left w:val="none" w:sz="0" w:space="0" w:color="auto"/>
        <w:bottom w:val="none" w:sz="0" w:space="0" w:color="auto"/>
        <w:right w:val="none" w:sz="0" w:space="0" w:color="auto"/>
      </w:divBdr>
    </w:div>
    <w:div w:id="717557244">
      <w:bodyDiv w:val="1"/>
      <w:marLeft w:val="0"/>
      <w:marRight w:val="0"/>
      <w:marTop w:val="0"/>
      <w:marBottom w:val="0"/>
      <w:divBdr>
        <w:top w:val="none" w:sz="0" w:space="0" w:color="auto"/>
        <w:left w:val="none" w:sz="0" w:space="0" w:color="auto"/>
        <w:bottom w:val="none" w:sz="0" w:space="0" w:color="auto"/>
        <w:right w:val="none" w:sz="0" w:space="0" w:color="auto"/>
      </w:divBdr>
    </w:div>
    <w:div w:id="720128908">
      <w:bodyDiv w:val="1"/>
      <w:marLeft w:val="0"/>
      <w:marRight w:val="0"/>
      <w:marTop w:val="0"/>
      <w:marBottom w:val="0"/>
      <w:divBdr>
        <w:top w:val="none" w:sz="0" w:space="0" w:color="auto"/>
        <w:left w:val="none" w:sz="0" w:space="0" w:color="auto"/>
        <w:bottom w:val="none" w:sz="0" w:space="0" w:color="auto"/>
        <w:right w:val="none" w:sz="0" w:space="0" w:color="auto"/>
      </w:divBdr>
      <w:divsChild>
        <w:div w:id="1085958155">
          <w:marLeft w:val="0"/>
          <w:marRight w:val="0"/>
          <w:marTop w:val="0"/>
          <w:marBottom w:val="0"/>
          <w:divBdr>
            <w:top w:val="none" w:sz="0" w:space="0" w:color="auto"/>
            <w:left w:val="none" w:sz="0" w:space="0" w:color="auto"/>
            <w:bottom w:val="none" w:sz="0" w:space="0" w:color="auto"/>
            <w:right w:val="none" w:sz="0" w:space="0" w:color="auto"/>
          </w:divBdr>
          <w:divsChild>
            <w:div w:id="1247306627">
              <w:marLeft w:val="-225"/>
              <w:marRight w:val="-225"/>
              <w:marTop w:val="0"/>
              <w:marBottom w:val="0"/>
              <w:divBdr>
                <w:top w:val="none" w:sz="0" w:space="0" w:color="auto"/>
                <w:left w:val="none" w:sz="0" w:space="0" w:color="auto"/>
                <w:bottom w:val="none" w:sz="0" w:space="0" w:color="auto"/>
                <w:right w:val="none" w:sz="0" w:space="0" w:color="auto"/>
              </w:divBdr>
              <w:divsChild>
                <w:div w:id="958267674">
                  <w:marLeft w:val="0"/>
                  <w:marRight w:val="0"/>
                  <w:marTop w:val="0"/>
                  <w:marBottom w:val="0"/>
                  <w:divBdr>
                    <w:top w:val="none" w:sz="0" w:space="0" w:color="auto"/>
                    <w:left w:val="none" w:sz="0" w:space="0" w:color="auto"/>
                    <w:bottom w:val="none" w:sz="0" w:space="0" w:color="auto"/>
                    <w:right w:val="none" w:sz="0" w:space="0" w:color="auto"/>
                  </w:divBdr>
                  <w:divsChild>
                    <w:div w:id="99172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98339">
          <w:marLeft w:val="0"/>
          <w:marRight w:val="0"/>
          <w:marTop w:val="0"/>
          <w:marBottom w:val="0"/>
          <w:divBdr>
            <w:top w:val="none" w:sz="0" w:space="0" w:color="auto"/>
            <w:left w:val="none" w:sz="0" w:space="0" w:color="auto"/>
            <w:bottom w:val="none" w:sz="0" w:space="0" w:color="auto"/>
            <w:right w:val="none" w:sz="0" w:space="0" w:color="auto"/>
          </w:divBdr>
          <w:divsChild>
            <w:div w:id="693270365">
              <w:marLeft w:val="0"/>
              <w:marRight w:val="0"/>
              <w:marTop w:val="0"/>
              <w:marBottom w:val="0"/>
              <w:divBdr>
                <w:top w:val="single" w:sz="6" w:space="24" w:color="EBEEF5"/>
                <w:left w:val="none" w:sz="0" w:space="0" w:color="auto"/>
                <w:bottom w:val="single" w:sz="6" w:space="18" w:color="EBEEF5"/>
                <w:right w:val="none" w:sz="0" w:space="0" w:color="auto"/>
              </w:divBdr>
              <w:divsChild>
                <w:div w:id="1059132325">
                  <w:marLeft w:val="0"/>
                  <w:marRight w:val="0"/>
                  <w:marTop w:val="0"/>
                  <w:marBottom w:val="0"/>
                  <w:divBdr>
                    <w:top w:val="none" w:sz="0" w:space="0" w:color="auto"/>
                    <w:left w:val="none" w:sz="0" w:space="0" w:color="auto"/>
                    <w:bottom w:val="none" w:sz="0" w:space="0" w:color="auto"/>
                    <w:right w:val="none" w:sz="0" w:space="0" w:color="auto"/>
                  </w:divBdr>
                  <w:divsChild>
                    <w:div w:id="1177813064">
                      <w:marLeft w:val="0"/>
                      <w:marRight w:val="0"/>
                      <w:marTop w:val="0"/>
                      <w:marBottom w:val="0"/>
                      <w:divBdr>
                        <w:top w:val="none" w:sz="0" w:space="0" w:color="auto"/>
                        <w:left w:val="none" w:sz="0" w:space="0" w:color="auto"/>
                        <w:bottom w:val="none" w:sz="0" w:space="0" w:color="auto"/>
                        <w:right w:val="none" w:sz="0" w:space="0" w:color="auto"/>
                      </w:divBdr>
                      <w:divsChild>
                        <w:div w:id="624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8646">
          <w:marLeft w:val="0"/>
          <w:marRight w:val="0"/>
          <w:marTop w:val="0"/>
          <w:marBottom w:val="0"/>
          <w:divBdr>
            <w:top w:val="none" w:sz="0" w:space="0" w:color="auto"/>
            <w:left w:val="none" w:sz="0" w:space="0" w:color="auto"/>
            <w:bottom w:val="none" w:sz="0" w:space="0" w:color="auto"/>
            <w:right w:val="none" w:sz="0" w:space="0" w:color="auto"/>
          </w:divBdr>
          <w:divsChild>
            <w:div w:id="1712535662">
              <w:marLeft w:val="-225"/>
              <w:marRight w:val="-225"/>
              <w:marTop w:val="0"/>
              <w:marBottom w:val="0"/>
              <w:divBdr>
                <w:top w:val="none" w:sz="0" w:space="0" w:color="auto"/>
                <w:left w:val="none" w:sz="0" w:space="0" w:color="auto"/>
                <w:bottom w:val="none" w:sz="0" w:space="0" w:color="auto"/>
                <w:right w:val="none" w:sz="0" w:space="0" w:color="auto"/>
              </w:divBdr>
              <w:divsChild>
                <w:div w:id="1301690288">
                  <w:marLeft w:val="0"/>
                  <w:marRight w:val="0"/>
                  <w:marTop w:val="0"/>
                  <w:marBottom w:val="0"/>
                  <w:divBdr>
                    <w:top w:val="none" w:sz="0" w:space="0" w:color="auto"/>
                    <w:left w:val="none" w:sz="0" w:space="0" w:color="auto"/>
                    <w:bottom w:val="none" w:sz="0" w:space="0" w:color="auto"/>
                    <w:right w:val="none" w:sz="0" w:space="0" w:color="auto"/>
                  </w:divBdr>
                  <w:divsChild>
                    <w:div w:id="4047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8171">
          <w:marLeft w:val="0"/>
          <w:marRight w:val="0"/>
          <w:marTop w:val="0"/>
          <w:marBottom w:val="0"/>
          <w:divBdr>
            <w:top w:val="none" w:sz="0" w:space="0" w:color="auto"/>
            <w:left w:val="none" w:sz="0" w:space="0" w:color="auto"/>
            <w:bottom w:val="none" w:sz="0" w:space="0" w:color="auto"/>
            <w:right w:val="none" w:sz="0" w:space="0" w:color="auto"/>
          </w:divBdr>
        </w:div>
      </w:divsChild>
    </w:div>
    <w:div w:id="721367292">
      <w:bodyDiv w:val="1"/>
      <w:marLeft w:val="0"/>
      <w:marRight w:val="0"/>
      <w:marTop w:val="0"/>
      <w:marBottom w:val="0"/>
      <w:divBdr>
        <w:top w:val="none" w:sz="0" w:space="0" w:color="auto"/>
        <w:left w:val="none" w:sz="0" w:space="0" w:color="auto"/>
        <w:bottom w:val="none" w:sz="0" w:space="0" w:color="auto"/>
        <w:right w:val="none" w:sz="0" w:space="0" w:color="auto"/>
      </w:divBdr>
    </w:div>
    <w:div w:id="725105031">
      <w:bodyDiv w:val="1"/>
      <w:marLeft w:val="0"/>
      <w:marRight w:val="0"/>
      <w:marTop w:val="0"/>
      <w:marBottom w:val="0"/>
      <w:divBdr>
        <w:top w:val="none" w:sz="0" w:space="0" w:color="auto"/>
        <w:left w:val="none" w:sz="0" w:space="0" w:color="auto"/>
        <w:bottom w:val="none" w:sz="0" w:space="0" w:color="auto"/>
        <w:right w:val="none" w:sz="0" w:space="0" w:color="auto"/>
      </w:divBdr>
    </w:div>
    <w:div w:id="729116310">
      <w:bodyDiv w:val="1"/>
      <w:marLeft w:val="0"/>
      <w:marRight w:val="0"/>
      <w:marTop w:val="0"/>
      <w:marBottom w:val="0"/>
      <w:divBdr>
        <w:top w:val="none" w:sz="0" w:space="0" w:color="auto"/>
        <w:left w:val="none" w:sz="0" w:space="0" w:color="auto"/>
        <w:bottom w:val="none" w:sz="0" w:space="0" w:color="auto"/>
        <w:right w:val="none" w:sz="0" w:space="0" w:color="auto"/>
      </w:divBdr>
    </w:div>
    <w:div w:id="730269773">
      <w:bodyDiv w:val="1"/>
      <w:marLeft w:val="0"/>
      <w:marRight w:val="0"/>
      <w:marTop w:val="0"/>
      <w:marBottom w:val="0"/>
      <w:divBdr>
        <w:top w:val="none" w:sz="0" w:space="0" w:color="auto"/>
        <w:left w:val="none" w:sz="0" w:space="0" w:color="auto"/>
        <w:bottom w:val="none" w:sz="0" w:space="0" w:color="auto"/>
        <w:right w:val="none" w:sz="0" w:space="0" w:color="auto"/>
      </w:divBdr>
      <w:divsChild>
        <w:div w:id="630981411">
          <w:marLeft w:val="0"/>
          <w:marRight w:val="0"/>
          <w:marTop w:val="0"/>
          <w:marBottom w:val="0"/>
          <w:divBdr>
            <w:top w:val="none" w:sz="0" w:space="0" w:color="auto"/>
            <w:left w:val="none" w:sz="0" w:space="0" w:color="auto"/>
            <w:bottom w:val="none" w:sz="0" w:space="0" w:color="auto"/>
            <w:right w:val="none" w:sz="0" w:space="0" w:color="auto"/>
          </w:divBdr>
          <w:divsChild>
            <w:div w:id="2034374989">
              <w:marLeft w:val="-225"/>
              <w:marRight w:val="-225"/>
              <w:marTop w:val="0"/>
              <w:marBottom w:val="0"/>
              <w:divBdr>
                <w:top w:val="none" w:sz="0" w:space="0" w:color="auto"/>
                <w:left w:val="none" w:sz="0" w:space="0" w:color="auto"/>
                <w:bottom w:val="none" w:sz="0" w:space="0" w:color="auto"/>
                <w:right w:val="none" w:sz="0" w:space="0" w:color="auto"/>
              </w:divBdr>
              <w:divsChild>
                <w:div w:id="1206866402">
                  <w:marLeft w:val="0"/>
                  <w:marRight w:val="0"/>
                  <w:marTop w:val="0"/>
                  <w:marBottom w:val="0"/>
                  <w:divBdr>
                    <w:top w:val="none" w:sz="0" w:space="0" w:color="auto"/>
                    <w:left w:val="none" w:sz="0" w:space="0" w:color="auto"/>
                    <w:bottom w:val="none" w:sz="0" w:space="0" w:color="auto"/>
                    <w:right w:val="none" w:sz="0" w:space="0" w:color="auto"/>
                  </w:divBdr>
                  <w:divsChild>
                    <w:div w:id="252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84857">
          <w:marLeft w:val="0"/>
          <w:marRight w:val="0"/>
          <w:marTop w:val="0"/>
          <w:marBottom w:val="0"/>
          <w:divBdr>
            <w:top w:val="none" w:sz="0" w:space="0" w:color="auto"/>
            <w:left w:val="none" w:sz="0" w:space="0" w:color="auto"/>
            <w:bottom w:val="none" w:sz="0" w:space="0" w:color="auto"/>
            <w:right w:val="none" w:sz="0" w:space="0" w:color="auto"/>
          </w:divBdr>
        </w:div>
        <w:div w:id="1963418939">
          <w:marLeft w:val="0"/>
          <w:marRight w:val="0"/>
          <w:marTop w:val="0"/>
          <w:marBottom w:val="0"/>
          <w:divBdr>
            <w:top w:val="none" w:sz="0" w:space="0" w:color="auto"/>
            <w:left w:val="none" w:sz="0" w:space="0" w:color="auto"/>
            <w:bottom w:val="none" w:sz="0" w:space="0" w:color="auto"/>
            <w:right w:val="none" w:sz="0" w:space="0" w:color="auto"/>
          </w:divBdr>
          <w:divsChild>
            <w:div w:id="253321356">
              <w:marLeft w:val="-225"/>
              <w:marRight w:val="-225"/>
              <w:marTop w:val="0"/>
              <w:marBottom w:val="0"/>
              <w:divBdr>
                <w:top w:val="none" w:sz="0" w:space="0" w:color="auto"/>
                <w:left w:val="none" w:sz="0" w:space="0" w:color="auto"/>
                <w:bottom w:val="none" w:sz="0" w:space="0" w:color="auto"/>
                <w:right w:val="none" w:sz="0" w:space="0" w:color="auto"/>
              </w:divBdr>
              <w:divsChild>
                <w:div w:id="351297089">
                  <w:marLeft w:val="0"/>
                  <w:marRight w:val="0"/>
                  <w:marTop w:val="0"/>
                  <w:marBottom w:val="0"/>
                  <w:divBdr>
                    <w:top w:val="none" w:sz="0" w:space="0" w:color="auto"/>
                    <w:left w:val="none" w:sz="0" w:space="0" w:color="auto"/>
                    <w:bottom w:val="none" w:sz="0" w:space="0" w:color="auto"/>
                    <w:right w:val="none" w:sz="0" w:space="0" w:color="auto"/>
                  </w:divBdr>
                  <w:divsChild>
                    <w:div w:id="12860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1489">
          <w:marLeft w:val="0"/>
          <w:marRight w:val="0"/>
          <w:marTop w:val="0"/>
          <w:marBottom w:val="0"/>
          <w:divBdr>
            <w:top w:val="none" w:sz="0" w:space="0" w:color="auto"/>
            <w:left w:val="none" w:sz="0" w:space="0" w:color="auto"/>
            <w:bottom w:val="none" w:sz="0" w:space="0" w:color="auto"/>
            <w:right w:val="none" w:sz="0" w:space="0" w:color="auto"/>
          </w:divBdr>
          <w:divsChild>
            <w:div w:id="225996908">
              <w:marLeft w:val="0"/>
              <w:marRight w:val="0"/>
              <w:marTop w:val="0"/>
              <w:marBottom w:val="0"/>
              <w:divBdr>
                <w:top w:val="none" w:sz="0" w:space="0" w:color="auto"/>
                <w:left w:val="none" w:sz="0" w:space="0" w:color="auto"/>
                <w:bottom w:val="none" w:sz="0" w:space="0" w:color="auto"/>
                <w:right w:val="none" w:sz="0" w:space="0" w:color="auto"/>
              </w:divBdr>
              <w:divsChild>
                <w:div w:id="866875054">
                  <w:marLeft w:val="0"/>
                  <w:marRight w:val="0"/>
                  <w:marTop w:val="0"/>
                  <w:marBottom w:val="0"/>
                  <w:divBdr>
                    <w:top w:val="none" w:sz="0" w:space="0" w:color="auto"/>
                    <w:left w:val="none" w:sz="0" w:space="0" w:color="auto"/>
                    <w:bottom w:val="none" w:sz="0" w:space="0" w:color="auto"/>
                    <w:right w:val="none" w:sz="0" w:space="0" w:color="auto"/>
                  </w:divBdr>
                  <w:divsChild>
                    <w:div w:id="2055228653">
                      <w:marLeft w:val="0"/>
                      <w:marRight w:val="0"/>
                      <w:marTop w:val="0"/>
                      <w:marBottom w:val="0"/>
                      <w:divBdr>
                        <w:top w:val="none" w:sz="0" w:space="0" w:color="auto"/>
                        <w:left w:val="none" w:sz="0" w:space="0" w:color="auto"/>
                        <w:bottom w:val="none" w:sz="0" w:space="0" w:color="auto"/>
                        <w:right w:val="none" w:sz="0" w:space="0" w:color="auto"/>
                      </w:divBdr>
                      <w:divsChild>
                        <w:div w:id="16704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95520">
      <w:bodyDiv w:val="1"/>
      <w:marLeft w:val="0"/>
      <w:marRight w:val="0"/>
      <w:marTop w:val="0"/>
      <w:marBottom w:val="0"/>
      <w:divBdr>
        <w:top w:val="none" w:sz="0" w:space="0" w:color="auto"/>
        <w:left w:val="none" w:sz="0" w:space="0" w:color="auto"/>
        <w:bottom w:val="none" w:sz="0" w:space="0" w:color="auto"/>
        <w:right w:val="none" w:sz="0" w:space="0" w:color="auto"/>
      </w:divBdr>
    </w:div>
    <w:div w:id="733896362">
      <w:bodyDiv w:val="1"/>
      <w:marLeft w:val="0"/>
      <w:marRight w:val="0"/>
      <w:marTop w:val="0"/>
      <w:marBottom w:val="0"/>
      <w:divBdr>
        <w:top w:val="none" w:sz="0" w:space="0" w:color="auto"/>
        <w:left w:val="none" w:sz="0" w:space="0" w:color="auto"/>
        <w:bottom w:val="none" w:sz="0" w:space="0" w:color="auto"/>
        <w:right w:val="none" w:sz="0" w:space="0" w:color="auto"/>
      </w:divBdr>
    </w:div>
    <w:div w:id="735199555">
      <w:bodyDiv w:val="1"/>
      <w:marLeft w:val="0"/>
      <w:marRight w:val="0"/>
      <w:marTop w:val="0"/>
      <w:marBottom w:val="0"/>
      <w:divBdr>
        <w:top w:val="none" w:sz="0" w:space="0" w:color="auto"/>
        <w:left w:val="none" w:sz="0" w:space="0" w:color="auto"/>
        <w:bottom w:val="none" w:sz="0" w:space="0" w:color="auto"/>
        <w:right w:val="none" w:sz="0" w:space="0" w:color="auto"/>
      </w:divBdr>
    </w:div>
    <w:div w:id="737822559">
      <w:bodyDiv w:val="1"/>
      <w:marLeft w:val="0"/>
      <w:marRight w:val="0"/>
      <w:marTop w:val="0"/>
      <w:marBottom w:val="0"/>
      <w:divBdr>
        <w:top w:val="none" w:sz="0" w:space="0" w:color="auto"/>
        <w:left w:val="none" w:sz="0" w:space="0" w:color="auto"/>
        <w:bottom w:val="none" w:sz="0" w:space="0" w:color="auto"/>
        <w:right w:val="none" w:sz="0" w:space="0" w:color="auto"/>
      </w:divBdr>
    </w:div>
    <w:div w:id="739330221">
      <w:bodyDiv w:val="1"/>
      <w:marLeft w:val="0"/>
      <w:marRight w:val="0"/>
      <w:marTop w:val="0"/>
      <w:marBottom w:val="0"/>
      <w:divBdr>
        <w:top w:val="none" w:sz="0" w:space="0" w:color="auto"/>
        <w:left w:val="none" w:sz="0" w:space="0" w:color="auto"/>
        <w:bottom w:val="none" w:sz="0" w:space="0" w:color="auto"/>
        <w:right w:val="none" w:sz="0" w:space="0" w:color="auto"/>
      </w:divBdr>
    </w:div>
    <w:div w:id="741562561">
      <w:bodyDiv w:val="1"/>
      <w:marLeft w:val="0"/>
      <w:marRight w:val="0"/>
      <w:marTop w:val="0"/>
      <w:marBottom w:val="0"/>
      <w:divBdr>
        <w:top w:val="none" w:sz="0" w:space="0" w:color="auto"/>
        <w:left w:val="none" w:sz="0" w:space="0" w:color="auto"/>
        <w:bottom w:val="none" w:sz="0" w:space="0" w:color="auto"/>
        <w:right w:val="none" w:sz="0" w:space="0" w:color="auto"/>
      </w:divBdr>
    </w:div>
    <w:div w:id="745691556">
      <w:bodyDiv w:val="1"/>
      <w:marLeft w:val="0"/>
      <w:marRight w:val="0"/>
      <w:marTop w:val="0"/>
      <w:marBottom w:val="0"/>
      <w:divBdr>
        <w:top w:val="none" w:sz="0" w:space="0" w:color="auto"/>
        <w:left w:val="none" w:sz="0" w:space="0" w:color="auto"/>
        <w:bottom w:val="none" w:sz="0" w:space="0" w:color="auto"/>
        <w:right w:val="none" w:sz="0" w:space="0" w:color="auto"/>
      </w:divBdr>
    </w:div>
    <w:div w:id="747581416">
      <w:bodyDiv w:val="1"/>
      <w:marLeft w:val="0"/>
      <w:marRight w:val="0"/>
      <w:marTop w:val="0"/>
      <w:marBottom w:val="0"/>
      <w:divBdr>
        <w:top w:val="none" w:sz="0" w:space="0" w:color="auto"/>
        <w:left w:val="none" w:sz="0" w:space="0" w:color="auto"/>
        <w:bottom w:val="none" w:sz="0" w:space="0" w:color="auto"/>
        <w:right w:val="none" w:sz="0" w:space="0" w:color="auto"/>
      </w:divBdr>
      <w:divsChild>
        <w:div w:id="280040122">
          <w:marLeft w:val="0"/>
          <w:marRight w:val="0"/>
          <w:marTop w:val="0"/>
          <w:marBottom w:val="0"/>
          <w:divBdr>
            <w:top w:val="none" w:sz="0" w:space="0" w:color="auto"/>
            <w:left w:val="none" w:sz="0" w:space="0" w:color="auto"/>
            <w:bottom w:val="none" w:sz="0" w:space="0" w:color="auto"/>
            <w:right w:val="none" w:sz="0" w:space="0" w:color="auto"/>
          </w:divBdr>
          <w:divsChild>
            <w:div w:id="244993593">
              <w:marLeft w:val="0"/>
              <w:marRight w:val="0"/>
              <w:marTop w:val="0"/>
              <w:marBottom w:val="0"/>
              <w:divBdr>
                <w:top w:val="single" w:sz="6" w:space="24" w:color="EBEEF5"/>
                <w:left w:val="none" w:sz="0" w:space="0" w:color="auto"/>
                <w:bottom w:val="single" w:sz="6" w:space="18" w:color="EBEEF5"/>
                <w:right w:val="none" w:sz="0" w:space="0" w:color="auto"/>
              </w:divBdr>
              <w:divsChild>
                <w:div w:id="2002809457">
                  <w:marLeft w:val="0"/>
                  <w:marRight w:val="0"/>
                  <w:marTop w:val="0"/>
                  <w:marBottom w:val="0"/>
                  <w:divBdr>
                    <w:top w:val="none" w:sz="0" w:space="0" w:color="auto"/>
                    <w:left w:val="none" w:sz="0" w:space="0" w:color="auto"/>
                    <w:bottom w:val="none" w:sz="0" w:space="0" w:color="auto"/>
                    <w:right w:val="none" w:sz="0" w:space="0" w:color="auto"/>
                  </w:divBdr>
                  <w:divsChild>
                    <w:div w:id="1214195030">
                      <w:marLeft w:val="0"/>
                      <w:marRight w:val="0"/>
                      <w:marTop w:val="0"/>
                      <w:marBottom w:val="0"/>
                      <w:divBdr>
                        <w:top w:val="none" w:sz="0" w:space="0" w:color="auto"/>
                        <w:left w:val="none" w:sz="0" w:space="0" w:color="auto"/>
                        <w:bottom w:val="none" w:sz="0" w:space="0" w:color="auto"/>
                        <w:right w:val="none" w:sz="0" w:space="0" w:color="auto"/>
                      </w:divBdr>
                      <w:divsChild>
                        <w:div w:id="10296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044801">
          <w:marLeft w:val="0"/>
          <w:marRight w:val="0"/>
          <w:marTop w:val="0"/>
          <w:marBottom w:val="0"/>
          <w:divBdr>
            <w:top w:val="none" w:sz="0" w:space="0" w:color="auto"/>
            <w:left w:val="none" w:sz="0" w:space="0" w:color="auto"/>
            <w:bottom w:val="none" w:sz="0" w:space="0" w:color="auto"/>
            <w:right w:val="none" w:sz="0" w:space="0" w:color="auto"/>
          </w:divBdr>
          <w:divsChild>
            <w:div w:id="596137704">
              <w:marLeft w:val="-225"/>
              <w:marRight w:val="-225"/>
              <w:marTop w:val="0"/>
              <w:marBottom w:val="0"/>
              <w:divBdr>
                <w:top w:val="none" w:sz="0" w:space="0" w:color="auto"/>
                <w:left w:val="none" w:sz="0" w:space="0" w:color="auto"/>
                <w:bottom w:val="none" w:sz="0" w:space="0" w:color="auto"/>
                <w:right w:val="none" w:sz="0" w:space="0" w:color="auto"/>
              </w:divBdr>
              <w:divsChild>
                <w:div w:id="920262698">
                  <w:marLeft w:val="0"/>
                  <w:marRight w:val="0"/>
                  <w:marTop w:val="0"/>
                  <w:marBottom w:val="0"/>
                  <w:divBdr>
                    <w:top w:val="none" w:sz="0" w:space="0" w:color="auto"/>
                    <w:left w:val="none" w:sz="0" w:space="0" w:color="auto"/>
                    <w:bottom w:val="none" w:sz="0" w:space="0" w:color="auto"/>
                    <w:right w:val="none" w:sz="0" w:space="0" w:color="auto"/>
                  </w:divBdr>
                  <w:divsChild>
                    <w:div w:id="3621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65605">
          <w:marLeft w:val="0"/>
          <w:marRight w:val="0"/>
          <w:marTop w:val="0"/>
          <w:marBottom w:val="0"/>
          <w:divBdr>
            <w:top w:val="none" w:sz="0" w:space="0" w:color="auto"/>
            <w:left w:val="none" w:sz="0" w:space="0" w:color="auto"/>
            <w:bottom w:val="none" w:sz="0" w:space="0" w:color="auto"/>
            <w:right w:val="none" w:sz="0" w:space="0" w:color="auto"/>
          </w:divBdr>
          <w:divsChild>
            <w:div w:id="1538926928">
              <w:marLeft w:val="-225"/>
              <w:marRight w:val="-225"/>
              <w:marTop w:val="0"/>
              <w:marBottom w:val="0"/>
              <w:divBdr>
                <w:top w:val="none" w:sz="0" w:space="0" w:color="auto"/>
                <w:left w:val="none" w:sz="0" w:space="0" w:color="auto"/>
                <w:bottom w:val="none" w:sz="0" w:space="0" w:color="auto"/>
                <w:right w:val="none" w:sz="0" w:space="0" w:color="auto"/>
              </w:divBdr>
              <w:divsChild>
                <w:div w:id="1035694137">
                  <w:marLeft w:val="0"/>
                  <w:marRight w:val="0"/>
                  <w:marTop w:val="0"/>
                  <w:marBottom w:val="0"/>
                  <w:divBdr>
                    <w:top w:val="none" w:sz="0" w:space="0" w:color="auto"/>
                    <w:left w:val="none" w:sz="0" w:space="0" w:color="auto"/>
                    <w:bottom w:val="none" w:sz="0" w:space="0" w:color="auto"/>
                    <w:right w:val="none" w:sz="0" w:space="0" w:color="auto"/>
                  </w:divBdr>
                  <w:divsChild>
                    <w:div w:id="1366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4263">
          <w:marLeft w:val="0"/>
          <w:marRight w:val="0"/>
          <w:marTop w:val="0"/>
          <w:marBottom w:val="0"/>
          <w:divBdr>
            <w:top w:val="none" w:sz="0" w:space="0" w:color="auto"/>
            <w:left w:val="none" w:sz="0" w:space="0" w:color="auto"/>
            <w:bottom w:val="none" w:sz="0" w:space="0" w:color="auto"/>
            <w:right w:val="none" w:sz="0" w:space="0" w:color="auto"/>
          </w:divBdr>
        </w:div>
      </w:divsChild>
    </w:div>
    <w:div w:id="751894696">
      <w:bodyDiv w:val="1"/>
      <w:marLeft w:val="0"/>
      <w:marRight w:val="0"/>
      <w:marTop w:val="0"/>
      <w:marBottom w:val="0"/>
      <w:divBdr>
        <w:top w:val="none" w:sz="0" w:space="0" w:color="auto"/>
        <w:left w:val="none" w:sz="0" w:space="0" w:color="auto"/>
        <w:bottom w:val="none" w:sz="0" w:space="0" w:color="auto"/>
        <w:right w:val="none" w:sz="0" w:space="0" w:color="auto"/>
      </w:divBdr>
      <w:divsChild>
        <w:div w:id="1005667694">
          <w:marLeft w:val="0"/>
          <w:marRight w:val="0"/>
          <w:marTop w:val="0"/>
          <w:marBottom w:val="0"/>
          <w:divBdr>
            <w:top w:val="none" w:sz="0" w:space="0" w:color="auto"/>
            <w:left w:val="none" w:sz="0" w:space="0" w:color="auto"/>
            <w:bottom w:val="none" w:sz="0" w:space="0" w:color="auto"/>
            <w:right w:val="none" w:sz="0" w:space="0" w:color="auto"/>
          </w:divBdr>
          <w:divsChild>
            <w:div w:id="8336636">
              <w:marLeft w:val="-225"/>
              <w:marRight w:val="-225"/>
              <w:marTop w:val="0"/>
              <w:marBottom w:val="0"/>
              <w:divBdr>
                <w:top w:val="none" w:sz="0" w:space="0" w:color="auto"/>
                <w:left w:val="none" w:sz="0" w:space="0" w:color="auto"/>
                <w:bottom w:val="none" w:sz="0" w:space="0" w:color="auto"/>
                <w:right w:val="none" w:sz="0" w:space="0" w:color="auto"/>
              </w:divBdr>
              <w:divsChild>
                <w:div w:id="1037509855">
                  <w:marLeft w:val="0"/>
                  <w:marRight w:val="0"/>
                  <w:marTop w:val="0"/>
                  <w:marBottom w:val="0"/>
                  <w:divBdr>
                    <w:top w:val="none" w:sz="0" w:space="0" w:color="auto"/>
                    <w:left w:val="none" w:sz="0" w:space="0" w:color="auto"/>
                    <w:bottom w:val="none" w:sz="0" w:space="0" w:color="auto"/>
                    <w:right w:val="none" w:sz="0" w:space="0" w:color="auto"/>
                  </w:divBdr>
                  <w:divsChild>
                    <w:div w:id="2385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1241">
          <w:marLeft w:val="0"/>
          <w:marRight w:val="0"/>
          <w:marTop w:val="0"/>
          <w:marBottom w:val="0"/>
          <w:divBdr>
            <w:top w:val="none" w:sz="0" w:space="0" w:color="auto"/>
            <w:left w:val="none" w:sz="0" w:space="0" w:color="auto"/>
            <w:bottom w:val="none" w:sz="0" w:space="0" w:color="auto"/>
            <w:right w:val="none" w:sz="0" w:space="0" w:color="auto"/>
          </w:divBdr>
        </w:div>
        <w:div w:id="1359236229">
          <w:marLeft w:val="0"/>
          <w:marRight w:val="0"/>
          <w:marTop w:val="0"/>
          <w:marBottom w:val="0"/>
          <w:divBdr>
            <w:top w:val="none" w:sz="0" w:space="0" w:color="auto"/>
            <w:left w:val="none" w:sz="0" w:space="0" w:color="auto"/>
            <w:bottom w:val="none" w:sz="0" w:space="0" w:color="auto"/>
            <w:right w:val="none" w:sz="0" w:space="0" w:color="auto"/>
          </w:divBdr>
          <w:divsChild>
            <w:div w:id="165899360">
              <w:marLeft w:val="-225"/>
              <w:marRight w:val="-225"/>
              <w:marTop w:val="0"/>
              <w:marBottom w:val="0"/>
              <w:divBdr>
                <w:top w:val="none" w:sz="0" w:space="0" w:color="auto"/>
                <w:left w:val="none" w:sz="0" w:space="0" w:color="auto"/>
                <w:bottom w:val="none" w:sz="0" w:space="0" w:color="auto"/>
                <w:right w:val="none" w:sz="0" w:space="0" w:color="auto"/>
              </w:divBdr>
              <w:divsChild>
                <w:div w:id="1016465475">
                  <w:marLeft w:val="0"/>
                  <w:marRight w:val="0"/>
                  <w:marTop w:val="0"/>
                  <w:marBottom w:val="0"/>
                  <w:divBdr>
                    <w:top w:val="none" w:sz="0" w:space="0" w:color="auto"/>
                    <w:left w:val="none" w:sz="0" w:space="0" w:color="auto"/>
                    <w:bottom w:val="none" w:sz="0" w:space="0" w:color="auto"/>
                    <w:right w:val="none" w:sz="0" w:space="0" w:color="auto"/>
                  </w:divBdr>
                  <w:divsChild>
                    <w:div w:id="5435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4509">
          <w:marLeft w:val="0"/>
          <w:marRight w:val="0"/>
          <w:marTop w:val="0"/>
          <w:marBottom w:val="0"/>
          <w:divBdr>
            <w:top w:val="none" w:sz="0" w:space="0" w:color="auto"/>
            <w:left w:val="none" w:sz="0" w:space="0" w:color="auto"/>
            <w:bottom w:val="none" w:sz="0" w:space="0" w:color="auto"/>
            <w:right w:val="none" w:sz="0" w:space="0" w:color="auto"/>
          </w:divBdr>
          <w:divsChild>
            <w:div w:id="1649548839">
              <w:marLeft w:val="0"/>
              <w:marRight w:val="0"/>
              <w:marTop w:val="0"/>
              <w:marBottom w:val="0"/>
              <w:divBdr>
                <w:top w:val="none" w:sz="0" w:space="0" w:color="auto"/>
                <w:left w:val="none" w:sz="0" w:space="0" w:color="auto"/>
                <w:bottom w:val="none" w:sz="0" w:space="0" w:color="auto"/>
                <w:right w:val="none" w:sz="0" w:space="0" w:color="auto"/>
              </w:divBdr>
              <w:divsChild>
                <w:div w:id="1337923174">
                  <w:marLeft w:val="0"/>
                  <w:marRight w:val="0"/>
                  <w:marTop w:val="0"/>
                  <w:marBottom w:val="0"/>
                  <w:divBdr>
                    <w:top w:val="none" w:sz="0" w:space="0" w:color="auto"/>
                    <w:left w:val="none" w:sz="0" w:space="0" w:color="auto"/>
                    <w:bottom w:val="none" w:sz="0" w:space="0" w:color="auto"/>
                    <w:right w:val="none" w:sz="0" w:space="0" w:color="auto"/>
                  </w:divBdr>
                  <w:divsChild>
                    <w:div w:id="1778675205">
                      <w:marLeft w:val="0"/>
                      <w:marRight w:val="0"/>
                      <w:marTop w:val="0"/>
                      <w:marBottom w:val="0"/>
                      <w:divBdr>
                        <w:top w:val="none" w:sz="0" w:space="0" w:color="auto"/>
                        <w:left w:val="none" w:sz="0" w:space="0" w:color="auto"/>
                        <w:bottom w:val="none" w:sz="0" w:space="0" w:color="auto"/>
                        <w:right w:val="none" w:sz="0" w:space="0" w:color="auto"/>
                      </w:divBdr>
                      <w:divsChild>
                        <w:div w:id="10167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434903">
      <w:bodyDiv w:val="1"/>
      <w:marLeft w:val="0"/>
      <w:marRight w:val="0"/>
      <w:marTop w:val="0"/>
      <w:marBottom w:val="0"/>
      <w:divBdr>
        <w:top w:val="none" w:sz="0" w:space="0" w:color="auto"/>
        <w:left w:val="none" w:sz="0" w:space="0" w:color="auto"/>
        <w:bottom w:val="none" w:sz="0" w:space="0" w:color="auto"/>
        <w:right w:val="none" w:sz="0" w:space="0" w:color="auto"/>
      </w:divBdr>
      <w:divsChild>
        <w:div w:id="783302465">
          <w:marLeft w:val="0"/>
          <w:marRight w:val="0"/>
          <w:marTop w:val="0"/>
          <w:marBottom w:val="0"/>
          <w:divBdr>
            <w:top w:val="none" w:sz="0" w:space="0" w:color="auto"/>
            <w:left w:val="none" w:sz="0" w:space="0" w:color="auto"/>
            <w:bottom w:val="none" w:sz="0" w:space="0" w:color="auto"/>
            <w:right w:val="none" w:sz="0" w:space="0" w:color="auto"/>
          </w:divBdr>
        </w:div>
        <w:div w:id="866678507">
          <w:marLeft w:val="0"/>
          <w:marRight w:val="0"/>
          <w:marTop w:val="0"/>
          <w:marBottom w:val="0"/>
          <w:divBdr>
            <w:top w:val="none" w:sz="0" w:space="0" w:color="auto"/>
            <w:left w:val="none" w:sz="0" w:space="0" w:color="auto"/>
            <w:bottom w:val="none" w:sz="0" w:space="0" w:color="auto"/>
            <w:right w:val="none" w:sz="0" w:space="0" w:color="auto"/>
          </w:divBdr>
          <w:divsChild>
            <w:div w:id="2025206735">
              <w:marLeft w:val="-225"/>
              <w:marRight w:val="-225"/>
              <w:marTop w:val="0"/>
              <w:marBottom w:val="0"/>
              <w:divBdr>
                <w:top w:val="none" w:sz="0" w:space="0" w:color="auto"/>
                <w:left w:val="none" w:sz="0" w:space="0" w:color="auto"/>
                <w:bottom w:val="none" w:sz="0" w:space="0" w:color="auto"/>
                <w:right w:val="none" w:sz="0" w:space="0" w:color="auto"/>
              </w:divBdr>
              <w:divsChild>
                <w:div w:id="1856841524">
                  <w:marLeft w:val="0"/>
                  <w:marRight w:val="0"/>
                  <w:marTop w:val="0"/>
                  <w:marBottom w:val="0"/>
                  <w:divBdr>
                    <w:top w:val="none" w:sz="0" w:space="0" w:color="auto"/>
                    <w:left w:val="none" w:sz="0" w:space="0" w:color="auto"/>
                    <w:bottom w:val="none" w:sz="0" w:space="0" w:color="auto"/>
                    <w:right w:val="none" w:sz="0" w:space="0" w:color="auto"/>
                  </w:divBdr>
                  <w:divsChild>
                    <w:div w:id="9757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7940">
          <w:marLeft w:val="0"/>
          <w:marRight w:val="0"/>
          <w:marTop w:val="0"/>
          <w:marBottom w:val="0"/>
          <w:divBdr>
            <w:top w:val="none" w:sz="0" w:space="0" w:color="auto"/>
            <w:left w:val="none" w:sz="0" w:space="0" w:color="auto"/>
            <w:bottom w:val="none" w:sz="0" w:space="0" w:color="auto"/>
            <w:right w:val="none" w:sz="0" w:space="0" w:color="auto"/>
          </w:divBdr>
          <w:divsChild>
            <w:div w:id="1903445285">
              <w:marLeft w:val="0"/>
              <w:marRight w:val="0"/>
              <w:marTop w:val="0"/>
              <w:marBottom w:val="0"/>
              <w:divBdr>
                <w:top w:val="none" w:sz="0" w:space="0" w:color="auto"/>
                <w:left w:val="none" w:sz="0" w:space="0" w:color="auto"/>
                <w:bottom w:val="none" w:sz="0" w:space="0" w:color="auto"/>
                <w:right w:val="none" w:sz="0" w:space="0" w:color="auto"/>
              </w:divBdr>
              <w:divsChild>
                <w:div w:id="987437998">
                  <w:marLeft w:val="0"/>
                  <w:marRight w:val="0"/>
                  <w:marTop w:val="0"/>
                  <w:marBottom w:val="0"/>
                  <w:divBdr>
                    <w:top w:val="none" w:sz="0" w:space="0" w:color="auto"/>
                    <w:left w:val="none" w:sz="0" w:space="0" w:color="auto"/>
                    <w:bottom w:val="none" w:sz="0" w:space="0" w:color="auto"/>
                    <w:right w:val="none" w:sz="0" w:space="0" w:color="auto"/>
                  </w:divBdr>
                  <w:divsChild>
                    <w:div w:id="856313296">
                      <w:marLeft w:val="0"/>
                      <w:marRight w:val="0"/>
                      <w:marTop w:val="0"/>
                      <w:marBottom w:val="0"/>
                      <w:divBdr>
                        <w:top w:val="none" w:sz="0" w:space="0" w:color="auto"/>
                        <w:left w:val="none" w:sz="0" w:space="0" w:color="auto"/>
                        <w:bottom w:val="none" w:sz="0" w:space="0" w:color="auto"/>
                        <w:right w:val="none" w:sz="0" w:space="0" w:color="auto"/>
                      </w:divBdr>
                      <w:divsChild>
                        <w:div w:id="11723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61084">
          <w:marLeft w:val="0"/>
          <w:marRight w:val="0"/>
          <w:marTop w:val="0"/>
          <w:marBottom w:val="0"/>
          <w:divBdr>
            <w:top w:val="none" w:sz="0" w:space="0" w:color="auto"/>
            <w:left w:val="none" w:sz="0" w:space="0" w:color="auto"/>
            <w:bottom w:val="none" w:sz="0" w:space="0" w:color="auto"/>
            <w:right w:val="none" w:sz="0" w:space="0" w:color="auto"/>
          </w:divBdr>
          <w:divsChild>
            <w:div w:id="1695184923">
              <w:marLeft w:val="-225"/>
              <w:marRight w:val="-225"/>
              <w:marTop w:val="0"/>
              <w:marBottom w:val="0"/>
              <w:divBdr>
                <w:top w:val="none" w:sz="0" w:space="0" w:color="auto"/>
                <w:left w:val="none" w:sz="0" w:space="0" w:color="auto"/>
                <w:bottom w:val="none" w:sz="0" w:space="0" w:color="auto"/>
                <w:right w:val="none" w:sz="0" w:space="0" w:color="auto"/>
              </w:divBdr>
              <w:divsChild>
                <w:div w:id="1784691745">
                  <w:marLeft w:val="0"/>
                  <w:marRight w:val="0"/>
                  <w:marTop w:val="0"/>
                  <w:marBottom w:val="0"/>
                  <w:divBdr>
                    <w:top w:val="none" w:sz="0" w:space="0" w:color="auto"/>
                    <w:left w:val="none" w:sz="0" w:space="0" w:color="auto"/>
                    <w:bottom w:val="none" w:sz="0" w:space="0" w:color="auto"/>
                    <w:right w:val="none" w:sz="0" w:space="0" w:color="auto"/>
                  </w:divBdr>
                  <w:divsChild>
                    <w:div w:id="34309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509767">
      <w:bodyDiv w:val="1"/>
      <w:marLeft w:val="0"/>
      <w:marRight w:val="0"/>
      <w:marTop w:val="0"/>
      <w:marBottom w:val="0"/>
      <w:divBdr>
        <w:top w:val="none" w:sz="0" w:space="0" w:color="auto"/>
        <w:left w:val="none" w:sz="0" w:space="0" w:color="auto"/>
        <w:bottom w:val="none" w:sz="0" w:space="0" w:color="auto"/>
        <w:right w:val="none" w:sz="0" w:space="0" w:color="auto"/>
      </w:divBdr>
    </w:div>
    <w:div w:id="755243981">
      <w:bodyDiv w:val="1"/>
      <w:marLeft w:val="0"/>
      <w:marRight w:val="0"/>
      <w:marTop w:val="0"/>
      <w:marBottom w:val="0"/>
      <w:divBdr>
        <w:top w:val="none" w:sz="0" w:space="0" w:color="auto"/>
        <w:left w:val="none" w:sz="0" w:space="0" w:color="auto"/>
        <w:bottom w:val="none" w:sz="0" w:space="0" w:color="auto"/>
        <w:right w:val="none" w:sz="0" w:space="0" w:color="auto"/>
      </w:divBdr>
    </w:div>
    <w:div w:id="756053387">
      <w:bodyDiv w:val="1"/>
      <w:marLeft w:val="0"/>
      <w:marRight w:val="0"/>
      <w:marTop w:val="0"/>
      <w:marBottom w:val="0"/>
      <w:divBdr>
        <w:top w:val="none" w:sz="0" w:space="0" w:color="auto"/>
        <w:left w:val="none" w:sz="0" w:space="0" w:color="auto"/>
        <w:bottom w:val="none" w:sz="0" w:space="0" w:color="auto"/>
        <w:right w:val="none" w:sz="0" w:space="0" w:color="auto"/>
      </w:divBdr>
    </w:div>
    <w:div w:id="757285388">
      <w:bodyDiv w:val="1"/>
      <w:marLeft w:val="0"/>
      <w:marRight w:val="0"/>
      <w:marTop w:val="0"/>
      <w:marBottom w:val="0"/>
      <w:divBdr>
        <w:top w:val="none" w:sz="0" w:space="0" w:color="auto"/>
        <w:left w:val="none" w:sz="0" w:space="0" w:color="auto"/>
        <w:bottom w:val="none" w:sz="0" w:space="0" w:color="auto"/>
        <w:right w:val="none" w:sz="0" w:space="0" w:color="auto"/>
      </w:divBdr>
      <w:divsChild>
        <w:div w:id="1699358430">
          <w:marLeft w:val="0"/>
          <w:marRight w:val="0"/>
          <w:marTop w:val="240"/>
          <w:marBottom w:val="240"/>
          <w:divBdr>
            <w:top w:val="none" w:sz="0" w:space="0" w:color="auto"/>
            <w:left w:val="none" w:sz="0" w:space="0" w:color="auto"/>
            <w:bottom w:val="none" w:sz="0" w:space="0" w:color="auto"/>
            <w:right w:val="none" w:sz="0" w:space="0" w:color="auto"/>
          </w:divBdr>
        </w:div>
      </w:divsChild>
    </w:div>
    <w:div w:id="757796077">
      <w:bodyDiv w:val="1"/>
      <w:marLeft w:val="0"/>
      <w:marRight w:val="0"/>
      <w:marTop w:val="0"/>
      <w:marBottom w:val="0"/>
      <w:divBdr>
        <w:top w:val="none" w:sz="0" w:space="0" w:color="auto"/>
        <w:left w:val="none" w:sz="0" w:space="0" w:color="auto"/>
        <w:bottom w:val="none" w:sz="0" w:space="0" w:color="auto"/>
        <w:right w:val="none" w:sz="0" w:space="0" w:color="auto"/>
      </w:divBdr>
    </w:div>
    <w:div w:id="762651646">
      <w:bodyDiv w:val="1"/>
      <w:marLeft w:val="0"/>
      <w:marRight w:val="0"/>
      <w:marTop w:val="0"/>
      <w:marBottom w:val="0"/>
      <w:divBdr>
        <w:top w:val="none" w:sz="0" w:space="0" w:color="auto"/>
        <w:left w:val="none" w:sz="0" w:space="0" w:color="auto"/>
        <w:bottom w:val="none" w:sz="0" w:space="0" w:color="auto"/>
        <w:right w:val="none" w:sz="0" w:space="0" w:color="auto"/>
      </w:divBdr>
    </w:div>
    <w:div w:id="764495444">
      <w:bodyDiv w:val="1"/>
      <w:marLeft w:val="0"/>
      <w:marRight w:val="0"/>
      <w:marTop w:val="0"/>
      <w:marBottom w:val="0"/>
      <w:divBdr>
        <w:top w:val="none" w:sz="0" w:space="0" w:color="auto"/>
        <w:left w:val="none" w:sz="0" w:space="0" w:color="auto"/>
        <w:bottom w:val="none" w:sz="0" w:space="0" w:color="auto"/>
        <w:right w:val="none" w:sz="0" w:space="0" w:color="auto"/>
      </w:divBdr>
    </w:div>
    <w:div w:id="768548388">
      <w:bodyDiv w:val="1"/>
      <w:marLeft w:val="0"/>
      <w:marRight w:val="0"/>
      <w:marTop w:val="0"/>
      <w:marBottom w:val="0"/>
      <w:divBdr>
        <w:top w:val="none" w:sz="0" w:space="0" w:color="auto"/>
        <w:left w:val="none" w:sz="0" w:space="0" w:color="auto"/>
        <w:bottom w:val="none" w:sz="0" w:space="0" w:color="auto"/>
        <w:right w:val="none" w:sz="0" w:space="0" w:color="auto"/>
      </w:divBdr>
    </w:div>
    <w:div w:id="772163650">
      <w:bodyDiv w:val="1"/>
      <w:marLeft w:val="0"/>
      <w:marRight w:val="0"/>
      <w:marTop w:val="0"/>
      <w:marBottom w:val="0"/>
      <w:divBdr>
        <w:top w:val="none" w:sz="0" w:space="0" w:color="auto"/>
        <w:left w:val="none" w:sz="0" w:space="0" w:color="auto"/>
        <w:bottom w:val="none" w:sz="0" w:space="0" w:color="auto"/>
        <w:right w:val="none" w:sz="0" w:space="0" w:color="auto"/>
      </w:divBdr>
      <w:divsChild>
        <w:div w:id="1103188745">
          <w:marLeft w:val="0"/>
          <w:marRight w:val="0"/>
          <w:marTop w:val="0"/>
          <w:marBottom w:val="0"/>
          <w:divBdr>
            <w:top w:val="none" w:sz="0" w:space="0" w:color="auto"/>
            <w:left w:val="none" w:sz="0" w:space="0" w:color="auto"/>
            <w:bottom w:val="none" w:sz="0" w:space="0" w:color="auto"/>
            <w:right w:val="none" w:sz="0" w:space="0" w:color="auto"/>
          </w:divBdr>
          <w:divsChild>
            <w:div w:id="1777948153">
              <w:marLeft w:val="-225"/>
              <w:marRight w:val="-225"/>
              <w:marTop w:val="0"/>
              <w:marBottom w:val="0"/>
              <w:divBdr>
                <w:top w:val="none" w:sz="0" w:space="0" w:color="auto"/>
                <w:left w:val="none" w:sz="0" w:space="0" w:color="auto"/>
                <w:bottom w:val="none" w:sz="0" w:space="0" w:color="auto"/>
                <w:right w:val="none" w:sz="0" w:space="0" w:color="auto"/>
              </w:divBdr>
              <w:divsChild>
                <w:div w:id="219445536">
                  <w:marLeft w:val="0"/>
                  <w:marRight w:val="0"/>
                  <w:marTop w:val="0"/>
                  <w:marBottom w:val="0"/>
                  <w:divBdr>
                    <w:top w:val="none" w:sz="0" w:space="0" w:color="auto"/>
                    <w:left w:val="none" w:sz="0" w:space="0" w:color="auto"/>
                    <w:bottom w:val="none" w:sz="0" w:space="0" w:color="auto"/>
                    <w:right w:val="none" w:sz="0" w:space="0" w:color="auto"/>
                  </w:divBdr>
                  <w:divsChild>
                    <w:div w:id="12070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5458">
          <w:marLeft w:val="0"/>
          <w:marRight w:val="0"/>
          <w:marTop w:val="0"/>
          <w:marBottom w:val="0"/>
          <w:divBdr>
            <w:top w:val="none" w:sz="0" w:space="0" w:color="auto"/>
            <w:left w:val="none" w:sz="0" w:space="0" w:color="auto"/>
            <w:bottom w:val="none" w:sz="0" w:space="0" w:color="auto"/>
            <w:right w:val="none" w:sz="0" w:space="0" w:color="auto"/>
          </w:divBdr>
          <w:divsChild>
            <w:div w:id="1645574368">
              <w:marLeft w:val="-225"/>
              <w:marRight w:val="-225"/>
              <w:marTop w:val="0"/>
              <w:marBottom w:val="0"/>
              <w:divBdr>
                <w:top w:val="none" w:sz="0" w:space="0" w:color="auto"/>
                <w:left w:val="none" w:sz="0" w:space="0" w:color="auto"/>
                <w:bottom w:val="none" w:sz="0" w:space="0" w:color="auto"/>
                <w:right w:val="none" w:sz="0" w:space="0" w:color="auto"/>
              </w:divBdr>
              <w:divsChild>
                <w:div w:id="891310422">
                  <w:marLeft w:val="0"/>
                  <w:marRight w:val="0"/>
                  <w:marTop w:val="0"/>
                  <w:marBottom w:val="0"/>
                  <w:divBdr>
                    <w:top w:val="none" w:sz="0" w:space="0" w:color="auto"/>
                    <w:left w:val="none" w:sz="0" w:space="0" w:color="auto"/>
                    <w:bottom w:val="none" w:sz="0" w:space="0" w:color="auto"/>
                    <w:right w:val="none" w:sz="0" w:space="0" w:color="auto"/>
                  </w:divBdr>
                  <w:divsChild>
                    <w:div w:id="718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1677">
          <w:marLeft w:val="0"/>
          <w:marRight w:val="0"/>
          <w:marTop w:val="0"/>
          <w:marBottom w:val="0"/>
          <w:divBdr>
            <w:top w:val="none" w:sz="0" w:space="0" w:color="auto"/>
            <w:left w:val="none" w:sz="0" w:space="0" w:color="auto"/>
            <w:bottom w:val="none" w:sz="0" w:space="0" w:color="auto"/>
            <w:right w:val="none" w:sz="0" w:space="0" w:color="auto"/>
          </w:divBdr>
        </w:div>
        <w:div w:id="1826437195">
          <w:marLeft w:val="0"/>
          <w:marRight w:val="0"/>
          <w:marTop w:val="0"/>
          <w:marBottom w:val="0"/>
          <w:divBdr>
            <w:top w:val="none" w:sz="0" w:space="0" w:color="auto"/>
            <w:left w:val="none" w:sz="0" w:space="0" w:color="auto"/>
            <w:bottom w:val="none" w:sz="0" w:space="0" w:color="auto"/>
            <w:right w:val="none" w:sz="0" w:space="0" w:color="auto"/>
          </w:divBdr>
          <w:divsChild>
            <w:div w:id="18823365">
              <w:marLeft w:val="0"/>
              <w:marRight w:val="0"/>
              <w:marTop w:val="0"/>
              <w:marBottom w:val="0"/>
              <w:divBdr>
                <w:top w:val="none" w:sz="0" w:space="0" w:color="auto"/>
                <w:left w:val="none" w:sz="0" w:space="0" w:color="auto"/>
                <w:bottom w:val="none" w:sz="0" w:space="0" w:color="auto"/>
                <w:right w:val="none" w:sz="0" w:space="0" w:color="auto"/>
              </w:divBdr>
              <w:divsChild>
                <w:div w:id="2018842555">
                  <w:marLeft w:val="0"/>
                  <w:marRight w:val="0"/>
                  <w:marTop w:val="0"/>
                  <w:marBottom w:val="0"/>
                  <w:divBdr>
                    <w:top w:val="none" w:sz="0" w:space="0" w:color="auto"/>
                    <w:left w:val="none" w:sz="0" w:space="0" w:color="auto"/>
                    <w:bottom w:val="none" w:sz="0" w:space="0" w:color="auto"/>
                    <w:right w:val="none" w:sz="0" w:space="0" w:color="auto"/>
                  </w:divBdr>
                  <w:divsChild>
                    <w:div w:id="1036806521">
                      <w:marLeft w:val="0"/>
                      <w:marRight w:val="0"/>
                      <w:marTop w:val="0"/>
                      <w:marBottom w:val="0"/>
                      <w:divBdr>
                        <w:top w:val="none" w:sz="0" w:space="0" w:color="auto"/>
                        <w:left w:val="none" w:sz="0" w:space="0" w:color="auto"/>
                        <w:bottom w:val="none" w:sz="0" w:space="0" w:color="auto"/>
                        <w:right w:val="none" w:sz="0" w:space="0" w:color="auto"/>
                      </w:divBdr>
                      <w:divsChild>
                        <w:div w:id="6476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599823">
      <w:bodyDiv w:val="1"/>
      <w:marLeft w:val="0"/>
      <w:marRight w:val="0"/>
      <w:marTop w:val="0"/>
      <w:marBottom w:val="0"/>
      <w:divBdr>
        <w:top w:val="none" w:sz="0" w:space="0" w:color="auto"/>
        <w:left w:val="none" w:sz="0" w:space="0" w:color="auto"/>
        <w:bottom w:val="none" w:sz="0" w:space="0" w:color="auto"/>
        <w:right w:val="none" w:sz="0" w:space="0" w:color="auto"/>
      </w:divBdr>
      <w:divsChild>
        <w:div w:id="39018454">
          <w:marLeft w:val="-225"/>
          <w:marRight w:val="-225"/>
          <w:marTop w:val="0"/>
          <w:marBottom w:val="0"/>
          <w:divBdr>
            <w:top w:val="none" w:sz="0" w:space="0" w:color="auto"/>
            <w:left w:val="none" w:sz="0" w:space="0" w:color="auto"/>
            <w:bottom w:val="none" w:sz="0" w:space="0" w:color="auto"/>
            <w:right w:val="none" w:sz="0" w:space="0" w:color="auto"/>
          </w:divBdr>
          <w:divsChild>
            <w:div w:id="1394083850">
              <w:marLeft w:val="0"/>
              <w:marRight w:val="0"/>
              <w:marTop w:val="0"/>
              <w:marBottom w:val="0"/>
              <w:divBdr>
                <w:top w:val="none" w:sz="0" w:space="0" w:color="auto"/>
                <w:left w:val="none" w:sz="0" w:space="0" w:color="auto"/>
                <w:bottom w:val="none" w:sz="0" w:space="0" w:color="auto"/>
                <w:right w:val="none" w:sz="0" w:space="0" w:color="auto"/>
              </w:divBdr>
            </w:div>
          </w:divsChild>
        </w:div>
        <w:div w:id="140119556">
          <w:marLeft w:val="0"/>
          <w:marRight w:val="0"/>
          <w:marTop w:val="0"/>
          <w:marBottom w:val="0"/>
          <w:divBdr>
            <w:top w:val="none" w:sz="0" w:space="0" w:color="auto"/>
            <w:left w:val="none" w:sz="0" w:space="0" w:color="auto"/>
            <w:bottom w:val="none" w:sz="0" w:space="0" w:color="auto"/>
            <w:right w:val="none" w:sz="0" w:space="0" w:color="auto"/>
          </w:divBdr>
        </w:div>
        <w:div w:id="254946469">
          <w:marLeft w:val="0"/>
          <w:marRight w:val="0"/>
          <w:marTop w:val="0"/>
          <w:marBottom w:val="0"/>
          <w:divBdr>
            <w:top w:val="none" w:sz="0" w:space="0" w:color="auto"/>
            <w:left w:val="none" w:sz="0" w:space="0" w:color="auto"/>
            <w:bottom w:val="none" w:sz="0" w:space="0" w:color="auto"/>
            <w:right w:val="none" w:sz="0" w:space="0" w:color="auto"/>
          </w:divBdr>
          <w:divsChild>
            <w:div w:id="315106680">
              <w:marLeft w:val="-225"/>
              <w:marRight w:val="-225"/>
              <w:marTop w:val="0"/>
              <w:marBottom w:val="0"/>
              <w:divBdr>
                <w:top w:val="none" w:sz="0" w:space="0" w:color="auto"/>
                <w:left w:val="none" w:sz="0" w:space="0" w:color="auto"/>
                <w:bottom w:val="none" w:sz="0" w:space="0" w:color="auto"/>
                <w:right w:val="none" w:sz="0" w:space="0" w:color="auto"/>
              </w:divBdr>
              <w:divsChild>
                <w:div w:id="1252664043">
                  <w:marLeft w:val="0"/>
                  <w:marRight w:val="0"/>
                  <w:marTop w:val="0"/>
                  <w:marBottom w:val="0"/>
                  <w:divBdr>
                    <w:top w:val="none" w:sz="0" w:space="0" w:color="auto"/>
                    <w:left w:val="none" w:sz="0" w:space="0" w:color="auto"/>
                    <w:bottom w:val="none" w:sz="0" w:space="0" w:color="auto"/>
                    <w:right w:val="none" w:sz="0" w:space="0" w:color="auto"/>
                  </w:divBdr>
                  <w:divsChild>
                    <w:div w:id="439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8529">
          <w:marLeft w:val="0"/>
          <w:marRight w:val="0"/>
          <w:marTop w:val="0"/>
          <w:marBottom w:val="0"/>
          <w:divBdr>
            <w:top w:val="none" w:sz="0" w:space="0" w:color="auto"/>
            <w:left w:val="none" w:sz="0" w:space="0" w:color="auto"/>
            <w:bottom w:val="none" w:sz="0" w:space="0" w:color="auto"/>
            <w:right w:val="none" w:sz="0" w:space="0" w:color="auto"/>
          </w:divBdr>
          <w:divsChild>
            <w:div w:id="975179374">
              <w:marLeft w:val="0"/>
              <w:marRight w:val="0"/>
              <w:marTop w:val="0"/>
              <w:marBottom w:val="0"/>
              <w:divBdr>
                <w:top w:val="single" w:sz="6" w:space="24" w:color="EBEEF5"/>
                <w:left w:val="none" w:sz="0" w:space="0" w:color="auto"/>
                <w:bottom w:val="single" w:sz="6" w:space="18" w:color="EBEEF5"/>
                <w:right w:val="none" w:sz="0" w:space="0" w:color="auto"/>
              </w:divBdr>
              <w:divsChild>
                <w:div w:id="763653466">
                  <w:marLeft w:val="0"/>
                  <w:marRight w:val="0"/>
                  <w:marTop w:val="0"/>
                  <w:marBottom w:val="0"/>
                  <w:divBdr>
                    <w:top w:val="none" w:sz="0" w:space="0" w:color="auto"/>
                    <w:left w:val="none" w:sz="0" w:space="0" w:color="auto"/>
                    <w:bottom w:val="none" w:sz="0" w:space="0" w:color="auto"/>
                    <w:right w:val="none" w:sz="0" w:space="0" w:color="auto"/>
                  </w:divBdr>
                  <w:divsChild>
                    <w:div w:id="400104868">
                      <w:marLeft w:val="0"/>
                      <w:marRight w:val="0"/>
                      <w:marTop w:val="0"/>
                      <w:marBottom w:val="0"/>
                      <w:divBdr>
                        <w:top w:val="none" w:sz="0" w:space="0" w:color="auto"/>
                        <w:left w:val="none" w:sz="0" w:space="0" w:color="auto"/>
                        <w:bottom w:val="none" w:sz="0" w:space="0" w:color="auto"/>
                        <w:right w:val="none" w:sz="0" w:space="0" w:color="auto"/>
                      </w:divBdr>
                      <w:divsChild>
                        <w:div w:id="20933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92266">
          <w:marLeft w:val="0"/>
          <w:marRight w:val="0"/>
          <w:marTop w:val="0"/>
          <w:marBottom w:val="0"/>
          <w:divBdr>
            <w:top w:val="none" w:sz="0" w:space="0" w:color="auto"/>
            <w:left w:val="none" w:sz="0" w:space="0" w:color="auto"/>
            <w:bottom w:val="none" w:sz="0" w:space="0" w:color="auto"/>
            <w:right w:val="none" w:sz="0" w:space="0" w:color="auto"/>
          </w:divBdr>
          <w:divsChild>
            <w:div w:id="1737973676">
              <w:marLeft w:val="-225"/>
              <w:marRight w:val="-225"/>
              <w:marTop w:val="0"/>
              <w:marBottom w:val="0"/>
              <w:divBdr>
                <w:top w:val="none" w:sz="0" w:space="0" w:color="auto"/>
                <w:left w:val="none" w:sz="0" w:space="0" w:color="auto"/>
                <w:bottom w:val="none" w:sz="0" w:space="0" w:color="auto"/>
                <w:right w:val="none" w:sz="0" w:space="0" w:color="auto"/>
              </w:divBdr>
              <w:divsChild>
                <w:div w:id="997003865">
                  <w:marLeft w:val="0"/>
                  <w:marRight w:val="0"/>
                  <w:marTop w:val="0"/>
                  <w:marBottom w:val="0"/>
                  <w:divBdr>
                    <w:top w:val="none" w:sz="0" w:space="0" w:color="auto"/>
                    <w:left w:val="none" w:sz="0" w:space="0" w:color="auto"/>
                    <w:bottom w:val="none" w:sz="0" w:space="0" w:color="auto"/>
                    <w:right w:val="none" w:sz="0" w:space="0" w:color="auto"/>
                  </w:divBdr>
                  <w:divsChild>
                    <w:div w:id="8325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737">
      <w:bodyDiv w:val="1"/>
      <w:marLeft w:val="0"/>
      <w:marRight w:val="0"/>
      <w:marTop w:val="0"/>
      <w:marBottom w:val="0"/>
      <w:divBdr>
        <w:top w:val="none" w:sz="0" w:space="0" w:color="auto"/>
        <w:left w:val="none" w:sz="0" w:space="0" w:color="auto"/>
        <w:bottom w:val="none" w:sz="0" w:space="0" w:color="auto"/>
        <w:right w:val="none" w:sz="0" w:space="0" w:color="auto"/>
      </w:divBdr>
    </w:div>
    <w:div w:id="778305875">
      <w:bodyDiv w:val="1"/>
      <w:marLeft w:val="0"/>
      <w:marRight w:val="0"/>
      <w:marTop w:val="0"/>
      <w:marBottom w:val="0"/>
      <w:divBdr>
        <w:top w:val="none" w:sz="0" w:space="0" w:color="auto"/>
        <w:left w:val="none" w:sz="0" w:space="0" w:color="auto"/>
        <w:bottom w:val="none" w:sz="0" w:space="0" w:color="auto"/>
        <w:right w:val="none" w:sz="0" w:space="0" w:color="auto"/>
      </w:divBdr>
    </w:div>
    <w:div w:id="781612937">
      <w:bodyDiv w:val="1"/>
      <w:marLeft w:val="0"/>
      <w:marRight w:val="0"/>
      <w:marTop w:val="0"/>
      <w:marBottom w:val="0"/>
      <w:divBdr>
        <w:top w:val="none" w:sz="0" w:space="0" w:color="auto"/>
        <w:left w:val="none" w:sz="0" w:space="0" w:color="auto"/>
        <w:bottom w:val="none" w:sz="0" w:space="0" w:color="auto"/>
        <w:right w:val="none" w:sz="0" w:space="0" w:color="auto"/>
      </w:divBdr>
    </w:div>
    <w:div w:id="788664763">
      <w:bodyDiv w:val="1"/>
      <w:marLeft w:val="0"/>
      <w:marRight w:val="0"/>
      <w:marTop w:val="0"/>
      <w:marBottom w:val="0"/>
      <w:divBdr>
        <w:top w:val="none" w:sz="0" w:space="0" w:color="auto"/>
        <w:left w:val="none" w:sz="0" w:space="0" w:color="auto"/>
        <w:bottom w:val="none" w:sz="0" w:space="0" w:color="auto"/>
        <w:right w:val="none" w:sz="0" w:space="0" w:color="auto"/>
      </w:divBdr>
    </w:div>
    <w:div w:id="790519613">
      <w:bodyDiv w:val="1"/>
      <w:marLeft w:val="0"/>
      <w:marRight w:val="0"/>
      <w:marTop w:val="0"/>
      <w:marBottom w:val="0"/>
      <w:divBdr>
        <w:top w:val="none" w:sz="0" w:space="0" w:color="auto"/>
        <w:left w:val="none" w:sz="0" w:space="0" w:color="auto"/>
        <w:bottom w:val="none" w:sz="0" w:space="0" w:color="auto"/>
        <w:right w:val="none" w:sz="0" w:space="0" w:color="auto"/>
      </w:divBdr>
      <w:divsChild>
        <w:div w:id="102893668">
          <w:marLeft w:val="0"/>
          <w:marRight w:val="0"/>
          <w:marTop w:val="0"/>
          <w:marBottom w:val="0"/>
          <w:divBdr>
            <w:top w:val="none" w:sz="0" w:space="0" w:color="auto"/>
            <w:left w:val="none" w:sz="0" w:space="0" w:color="auto"/>
            <w:bottom w:val="none" w:sz="0" w:space="0" w:color="auto"/>
            <w:right w:val="none" w:sz="0" w:space="0" w:color="auto"/>
          </w:divBdr>
          <w:divsChild>
            <w:div w:id="715277640">
              <w:marLeft w:val="-225"/>
              <w:marRight w:val="-225"/>
              <w:marTop w:val="0"/>
              <w:marBottom w:val="0"/>
              <w:divBdr>
                <w:top w:val="none" w:sz="0" w:space="0" w:color="auto"/>
                <w:left w:val="none" w:sz="0" w:space="0" w:color="auto"/>
                <w:bottom w:val="none" w:sz="0" w:space="0" w:color="auto"/>
                <w:right w:val="none" w:sz="0" w:space="0" w:color="auto"/>
              </w:divBdr>
              <w:divsChild>
                <w:div w:id="1896115345">
                  <w:marLeft w:val="0"/>
                  <w:marRight w:val="0"/>
                  <w:marTop w:val="0"/>
                  <w:marBottom w:val="0"/>
                  <w:divBdr>
                    <w:top w:val="none" w:sz="0" w:space="0" w:color="auto"/>
                    <w:left w:val="none" w:sz="0" w:space="0" w:color="auto"/>
                    <w:bottom w:val="none" w:sz="0" w:space="0" w:color="auto"/>
                    <w:right w:val="none" w:sz="0" w:space="0" w:color="auto"/>
                  </w:divBdr>
                  <w:divsChild>
                    <w:div w:id="10430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05418">
          <w:marLeft w:val="0"/>
          <w:marRight w:val="0"/>
          <w:marTop w:val="0"/>
          <w:marBottom w:val="0"/>
          <w:divBdr>
            <w:top w:val="none" w:sz="0" w:space="0" w:color="auto"/>
            <w:left w:val="none" w:sz="0" w:space="0" w:color="auto"/>
            <w:bottom w:val="none" w:sz="0" w:space="0" w:color="auto"/>
            <w:right w:val="none" w:sz="0" w:space="0" w:color="auto"/>
          </w:divBdr>
          <w:divsChild>
            <w:div w:id="1546333258">
              <w:marLeft w:val="0"/>
              <w:marRight w:val="0"/>
              <w:marTop w:val="0"/>
              <w:marBottom w:val="0"/>
              <w:divBdr>
                <w:top w:val="none" w:sz="0" w:space="0" w:color="auto"/>
                <w:left w:val="none" w:sz="0" w:space="0" w:color="auto"/>
                <w:bottom w:val="none" w:sz="0" w:space="0" w:color="auto"/>
                <w:right w:val="none" w:sz="0" w:space="0" w:color="auto"/>
              </w:divBdr>
              <w:divsChild>
                <w:div w:id="2094471045">
                  <w:marLeft w:val="0"/>
                  <w:marRight w:val="0"/>
                  <w:marTop w:val="0"/>
                  <w:marBottom w:val="0"/>
                  <w:divBdr>
                    <w:top w:val="none" w:sz="0" w:space="0" w:color="auto"/>
                    <w:left w:val="none" w:sz="0" w:space="0" w:color="auto"/>
                    <w:bottom w:val="none" w:sz="0" w:space="0" w:color="auto"/>
                    <w:right w:val="none" w:sz="0" w:space="0" w:color="auto"/>
                  </w:divBdr>
                  <w:divsChild>
                    <w:div w:id="1270626711">
                      <w:marLeft w:val="0"/>
                      <w:marRight w:val="0"/>
                      <w:marTop w:val="0"/>
                      <w:marBottom w:val="0"/>
                      <w:divBdr>
                        <w:top w:val="none" w:sz="0" w:space="0" w:color="auto"/>
                        <w:left w:val="none" w:sz="0" w:space="0" w:color="auto"/>
                        <w:bottom w:val="none" w:sz="0" w:space="0" w:color="auto"/>
                        <w:right w:val="none" w:sz="0" w:space="0" w:color="auto"/>
                      </w:divBdr>
                      <w:divsChild>
                        <w:div w:id="17192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3087">
          <w:marLeft w:val="0"/>
          <w:marRight w:val="0"/>
          <w:marTop w:val="0"/>
          <w:marBottom w:val="0"/>
          <w:divBdr>
            <w:top w:val="none" w:sz="0" w:space="0" w:color="auto"/>
            <w:left w:val="none" w:sz="0" w:space="0" w:color="auto"/>
            <w:bottom w:val="none" w:sz="0" w:space="0" w:color="auto"/>
            <w:right w:val="none" w:sz="0" w:space="0" w:color="auto"/>
          </w:divBdr>
        </w:div>
        <w:div w:id="2111777913">
          <w:marLeft w:val="0"/>
          <w:marRight w:val="0"/>
          <w:marTop w:val="0"/>
          <w:marBottom w:val="0"/>
          <w:divBdr>
            <w:top w:val="none" w:sz="0" w:space="0" w:color="auto"/>
            <w:left w:val="none" w:sz="0" w:space="0" w:color="auto"/>
            <w:bottom w:val="none" w:sz="0" w:space="0" w:color="auto"/>
            <w:right w:val="none" w:sz="0" w:space="0" w:color="auto"/>
          </w:divBdr>
          <w:divsChild>
            <w:div w:id="2123650624">
              <w:marLeft w:val="-225"/>
              <w:marRight w:val="-225"/>
              <w:marTop w:val="0"/>
              <w:marBottom w:val="0"/>
              <w:divBdr>
                <w:top w:val="none" w:sz="0" w:space="0" w:color="auto"/>
                <w:left w:val="none" w:sz="0" w:space="0" w:color="auto"/>
                <w:bottom w:val="none" w:sz="0" w:space="0" w:color="auto"/>
                <w:right w:val="none" w:sz="0" w:space="0" w:color="auto"/>
              </w:divBdr>
              <w:divsChild>
                <w:div w:id="847328426">
                  <w:marLeft w:val="0"/>
                  <w:marRight w:val="0"/>
                  <w:marTop w:val="0"/>
                  <w:marBottom w:val="0"/>
                  <w:divBdr>
                    <w:top w:val="none" w:sz="0" w:space="0" w:color="auto"/>
                    <w:left w:val="none" w:sz="0" w:space="0" w:color="auto"/>
                    <w:bottom w:val="none" w:sz="0" w:space="0" w:color="auto"/>
                    <w:right w:val="none" w:sz="0" w:space="0" w:color="auto"/>
                  </w:divBdr>
                  <w:divsChild>
                    <w:div w:id="6408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329626">
      <w:bodyDiv w:val="1"/>
      <w:marLeft w:val="0"/>
      <w:marRight w:val="0"/>
      <w:marTop w:val="0"/>
      <w:marBottom w:val="0"/>
      <w:divBdr>
        <w:top w:val="none" w:sz="0" w:space="0" w:color="auto"/>
        <w:left w:val="none" w:sz="0" w:space="0" w:color="auto"/>
        <w:bottom w:val="none" w:sz="0" w:space="0" w:color="auto"/>
        <w:right w:val="none" w:sz="0" w:space="0" w:color="auto"/>
      </w:divBdr>
    </w:div>
    <w:div w:id="793786933">
      <w:bodyDiv w:val="1"/>
      <w:marLeft w:val="0"/>
      <w:marRight w:val="0"/>
      <w:marTop w:val="0"/>
      <w:marBottom w:val="0"/>
      <w:divBdr>
        <w:top w:val="none" w:sz="0" w:space="0" w:color="auto"/>
        <w:left w:val="none" w:sz="0" w:space="0" w:color="auto"/>
        <w:bottom w:val="none" w:sz="0" w:space="0" w:color="auto"/>
        <w:right w:val="none" w:sz="0" w:space="0" w:color="auto"/>
      </w:divBdr>
    </w:div>
    <w:div w:id="797530711">
      <w:bodyDiv w:val="1"/>
      <w:marLeft w:val="0"/>
      <w:marRight w:val="0"/>
      <w:marTop w:val="0"/>
      <w:marBottom w:val="0"/>
      <w:divBdr>
        <w:top w:val="none" w:sz="0" w:space="0" w:color="auto"/>
        <w:left w:val="none" w:sz="0" w:space="0" w:color="auto"/>
        <w:bottom w:val="none" w:sz="0" w:space="0" w:color="auto"/>
        <w:right w:val="none" w:sz="0" w:space="0" w:color="auto"/>
      </w:divBdr>
      <w:divsChild>
        <w:div w:id="534926513">
          <w:marLeft w:val="-225"/>
          <w:marRight w:val="-225"/>
          <w:marTop w:val="0"/>
          <w:marBottom w:val="0"/>
          <w:divBdr>
            <w:top w:val="none" w:sz="0" w:space="0" w:color="auto"/>
            <w:left w:val="none" w:sz="0" w:space="0" w:color="auto"/>
            <w:bottom w:val="none" w:sz="0" w:space="0" w:color="auto"/>
            <w:right w:val="none" w:sz="0" w:space="0" w:color="auto"/>
          </w:divBdr>
          <w:divsChild>
            <w:div w:id="465661547">
              <w:marLeft w:val="0"/>
              <w:marRight w:val="0"/>
              <w:marTop w:val="0"/>
              <w:marBottom w:val="0"/>
              <w:divBdr>
                <w:top w:val="none" w:sz="0" w:space="0" w:color="auto"/>
                <w:left w:val="none" w:sz="0" w:space="0" w:color="auto"/>
                <w:bottom w:val="none" w:sz="0" w:space="0" w:color="auto"/>
                <w:right w:val="none" w:sz="0" w:space="0" w:color="auto"/>
              </w:divBdr>
              <w:divsChild>
                <w:div w:id="10210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4082">
      <w:bodyDiv w:val="1"/>
      <w:marLeft w:val="0"/>
      <w:marRight w:val="0"/>
      <w:marTop w:val="0"/>
      <w:marBottom w:val="0"/>
      <w:divBdr>
        <w:top w:val="none" w:sz="0" w:space="0" w:color="auto"/>
        <w:left w:val="none" w:sz="0" w:space="0" w:color="auto"/>
        <w:bottom w:val="none" w:sz="0" w:space="0" w:color="auto"/>
        <w:right w:val="none" w:sz="0" w:space="0" w:color="auto"/>
      </w:divBdr>
    </w:div>
    <w:div w:id="799762454">
      <w:bodyDiv w:val="1"/>
      <w:marLeft w:val="0"/>
      <w:marRight w:val="0"/>
      <w:marTop w:val="0"/>
      <w:marBottom w:val="0"/>
      <w:divBdr>
        <w:top w:val="none" w:sz="0" w:space="0" w:color="auto"/>
        <w:left w:val="none" w:sz="0" w:space="0" w:color="auto"/>
        <w:bottom w:val="none" w:sz="0" w:space="0" w:color="auto"/>
        <w:right w:val="none" w:sz="0" w:space="0" w:color="auto"/>
      </w:divBdr>
    </w:div>
    <w:div w:id="801381575">
      <w:bodyDiv w:val="1"/>
      <w:marLeft w:val="0"/>
      <w:marRight w:val="0"/>
      <w:marTop w:val="0"/>
      <w:marBottom w:val="0"/>
      <w:divBdr>
        <w:top w:val="none" w:sz="0" w:space="0" w:color="auto"/>
        <w:left w:val="none" w:sz="0" w:space="0" w:color="auto"/>
        <w:bottom w:val="none" w:sz="0" w:space="0" w:color="auto"/>
        <w:right w:val="none" w:sz="0" w:space="0" w:color="auto"/>
      </w:divBdr>
    </w:div>
    <w:div w:id="801850884">
      <w:bodyDiv w:val="1"/>
      <w:marLeft w:val="0"/>
      <w:marRight w:val="0"/>
      <w:marTop w:val="0"/>
      <w:marBottom w:val="0"/>
      <w:divBdr>
        <w:top w:val="none" w:sz="0" w:space="0" w:color="auto"/>
        <w:left w:val="none" w:sz="0" w:space="0" w:color="auto"/>
        <w:bottom w:val="none" w:sz="0" w:space="0" w:color="auto"/>
        <w:right w:val="none" w:sz="0" w:space="0" w:color="auto"/>
      </w:divBdr>
    </w:div>
    <w:div w:id="802767759">
      <w:bodyDiv w:val="1"/>
      <w:marLeft w:val="0"/>
      <w:marRight w:val="0"/>
      <w:marTop w:val="0"/>
      <w:marBottom w:val="0"/>
      <w:divBdr>
        <w:top w:val="none" w:sz="0" w:space="0" w:color="auto"/>
        <w:left w:val="none" w:sz="0" w:space="0" w:color="auto"/>
        <w:bottom w:val="none" w:sz="0" w:space="0" w:color="auto"/>
        <w:right w:val="none" w:sz="0" w:space="0" w:color="auto"/>
      </w:divBdr>
    </w:div>
    <w:div w:id="803893173">
      <w:bodyDiv w:val="1"/>
      <w:marLeft w:val="0"/>
      <w:marRight w:val="0"/>
      <w:marTop w:val="0"/>
      <w:marBottom w:val="0"/>
      <w:divBdr>
        <w:top w:val="none" w:sz="0" w:space="0" w:color="auto"/>
        <w:left w:val="none" w:sz="0" w:space="0" w:color="auto"/>
        <w:bottom w:val="none" w:sz="0" w:space="0" w:color="auto"/>
        <w:right w:val="none" w:sz="0" w:space="0" w:color="auto"/>
      </w:divBdr>
      <w:divsChild>
        <w:div w:id="351616463">
          <w:marLeft w:val="0"/>
          <w:marRight w:val="0"/>
          <w:marTop w:val="0"/>
          <w:marBottom w:val="0"/>
          <w:divBdr>
            <w:top w:val="none" w:sz="0" w:space="0" w:color="auto"/>
            <w:left w:val="none" w:sz="0" w:space="0" w:color="auto"/>
            <w:bottom w:val="none" w:sz="0" w:space="0" w:color="auto"/>
            <w:right w:val="none" w:sz="0" w:space="0" w:color="auto"/>
          </w:divBdr>
          <w:divsChild>
            <w:div w:id="1824352724">
              <w:marLeft w:val="0"/>
              <w:marRight w:val="0"/>
              <w:marTop w:val="0"/>
              <w:marBottom w:val="0"/>
              <w:divBdr>
                <w:top w:val="none" w:sz="0" w:space="0" w:color="auto"/>
                <w:left w:val="none" w:sz="0" w:space="0" w:color="auto"/>
                <w:bottom w:val="none" w:sz="0" w:space="0" w:color="auto"/>
                <w:right w:val="none" w:sz="0" w:space="0" w:color="auto"/>
              </w:divBdr>
              <w:divsChild>
                <w:div w:id="883835388">
                  <w:marLeft w:val="0"/>
                  <w:marRight w:val="0"/>
                  <w:marTop w:val="0"/>
                  <w:marBottom w:val="0"/>
                  <w:divBdr>
                    <w:top w:val="none" w:sz="0" w:space="0" w:color="auto"/>
                    <w:left w:val="none" w:sz="0" w:space="0" w:color="auto"/>
                    <w:bottom w:val="none" w:sz="0" w:space="0" w:color="auto"/>
                    <w:right w:val="none" w:sz="0" w:space="0" w:color="auto"/>
                  </w:divBdr>
                  <w:divsChild>
                    <w:div w:id="2125924614">
                      <w:marLeft w:val="0"/>
                      <w:marRight w:val="0"/>
                      <w:marTop w:val="0"/>
                      <w:marBottom w:val="0"/>
                      <w:divBdr>
                        <w:top w:val="none" w:sz="0" w:space="0" w:color="auto"/>
                        <w:left w:val="none" w:sz="0" w:space="0" w:color="auto"/>
                        <w:bottom w:val="none" w:sz="0" w:space="0" w:color="auto"/>
                        <w:right w:val="none" w:sz="0" w:space="0" w:color="auto"/>
                      </w:divBdr>
                      <w:divsChild>
                        <w:div w:id="15096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86790">
          <w:marLeft w:val="0"/>
          <w:marRight w:val="0"/>
          <w:marTop w:val="0"/>
          <w:marBottom w:val="0"/>
          <w:divBdr>
            <w:top w:val="none" w:sz="0" w:space="0" w:color="auto"/>
            <w:left w:val="none" w:sz="0" w:space="0" w:color="auto"/>
            <w:bottom w:val="none" w:sz="0" w:space="0" w:color="auto"/>
            <w:right w:val="none" w:sz="0" w:space="0" w:color="auto"/>
          </w:divBdr>
        </w:div>
        <w:div w:id="703484518">
          <w:marLeft w:val="0"/>
          <w:marRight w:val="0"/>
          <w:marTop w:val="0"/>
          <w:marBottom w:val="0"/>
          <w:divBdr>
            <w:top w:val="none" w:sz="0" w:space="0" w:color="auto"/>
            <w:left w:val="none" w:sz="0" w:space="0" w:color="auto"/>
            <w:bottom w:val="none" w:sz="0" w:space="0" w:color="auto"/>
            <w:right w:val="none" w:sz="0" w:space="0" w:color="auto"/>
          </w:divBdr>
          <w:divsChild>
            <w:div w:id="1150246626">
              <w:marLeft w:val="-225"/>
              <w:marRight w:val="-225"/>
              <w:marTop w:val="0"/>
              <w:marBottom w:val="0"/>
              <w:divBdr>
                <w:top w:val="none" w:sz="0" w:space="0" w:color="auto"/>
                <w:left w:val="none" w:sz="0" w:space="0" w:color="auto"/>
                <w:bottom w:val="none" w:sz="0" w:space="0" w:color="auto"/>
                <w:right w:val="none" w:sz="0" w:space="0" w:color="auto"/>
              </w:divBdr>
              <w:divsChild>
                <w:div w:id="37946103">
                  <w:marLeft w:val="0"/>
                  <w:marRight w:val="0"/>
                  <w:marTop w:val="0"/>
                  <w:marBottom w:val="0"/>
                  <w:divBdr>
                    <w:top w:val="none" w:sz="0" w:space="0" w:color="auto"/>
                    <w:left w:val="none" w:sz="0" w:space="0" w:color="auto"/>
                    <w:bottom w:val="none" w:sz="0" w:space="0" w:color="auto"/>
                    <w:right w:val="none" w:sz="0" w:space="0" w:color="auto"/>
                  </w:divBdr>
                  <w:divsChild>
                    <w:div w:id="9131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78817">
          <w:marLeft w:val="0"/>
          <w:marRight w:val="0"/>
          <w:marTop w:val="0"/>
          <w:marBottom w:val="0"/>
          <w:divBdr>
            <w:top w:val="none" w:sz="0" w:space="0" w:color="auto"/>
            <w:left w:val="none" w:sz="0" w:space="0" w:color="auto"/>
            <w:bottom w:val="none" w:sz="0" w:space="0" w:color="auto"/>
            <w:right w:val="none" w:sz="0" w:space="0" w:color="auto"/>
          </w:divBdr>
          <w:divsChild>
            <w:div w:id="977295308">
              <w:marLeft w:val="-225"/>
              <w:marRight w:val="-225"/>
              <w:marTop w:val="0"/>
              <w:marBottom w:val="0"/>
              <w:divBdr>
                <w:top w:val="none" w:sz="0" w:space="0" w:color="auto"/>
                <w:left w:val="none" w:sz="0" w:space="0" w:color="auto"/>
                <w:bottom w:val="none" w:sz="0" w:space="0" w:color="auto"/>
                <w:right w:val="none" w:sz="0" w:space="0" w:color="auto"/>
              </w:divBdr>
              <w:divsChild>
                <w:div w:id="1103187468">
                  <w:marLeft w:val="0"/>
                  <w:marRight w:val="0"/>
                  <w:marTop w:val="0"/>
                  <w:marBottom w:val="0"/>
                  <w:divBdr>
                    <w:top w:val="none" w:sz="0" w:space="0" w:color="auto"/>
                    <w:left w:val="none" w:sz="0" w:space="0" w:color="auto"/>
                    <w:bottom w:val="none" w:sz="0" w:space="0" w:color="auto"/>
                    <w:right w:val="none" w:sz="0" w:space="0" w:color="auto"/>
                  </w:divBdr>
                  <w:divsChild>
                    <w:div w:id="5145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93735">
      <w:bodyDiv w:val="1"/>
      <w:marLeft w:val="0"/>
      <w:marRight w:val="0"/>
      <w:marTop w:val="0"/>
      <w:marBottom w:val="0"/>
      <w:divBdr>
        <w:top w:val="none" w:sz="0" w:space="0" w:color="auto"/>
        <w:left w:val="none" w:sz="0" w:space="0" w:color="auto"/>
        <w:bottom w:val="none" w:sz="0" w:space="0" w:color="auto"/>
        <w:right w:val="none" w:sz="0" w:space="0" w:color="auto"/>
      </w:divBdr>
    </w:div>
    <w:div w:id="805244520">
      <w:bodyDiv w:val="1"/>
      <w:marLeft w:val="0"/>
      <w:marRight w:val="0"/>
      <w:marTop w:val="0"/>
      <w:marBottom w:val="0"/>
      <w:divBdr>
        <w:top w:val="none" w:sz="0" w:space="0" w:color="auto"/>
        <w:left w:val="none" w:sz="0" w:space="0" w:color="auto"/>
        <w:bottom w:val="none" w:sz="0" w:space="0" w:color="auto"/>
        <w:right w:val="none" w:sz="0" w:space="0" w:color="auto"/>
      </w:divBdr>
    </w:div>
    <w:div w:id="806363625">
      <w:bodyDiv w:val="1"/>
      <w:marLeft w:val="0"/>
      <w:marRight w:val="0"/>
      <w:marTop w:val="0"/>
      <w:marBottom w:val="0"/>
      <w:divBdr>
        <w:top w:val="none" w:sz="0" w:space="0" w:color="auto"/>
        <w:left w:val="none" w:sz="0" w:space="0" w:color="auto"/>
        <w:bottom w:val="none" w:sz="0" w:space="0" w:color="auto"/>
        <w:right w:val="none" w:sz="0" w:space="0" w:color="auto"/>
      </w:divBdr>
    </w:div>
    <w:div w:id="812143792">
      <w:bodyDiv w:val="1"/>
      <w:marLeft w:val="0"/>
      <w:marRight w:val="0"/>
      <w:marTop w:val="0"/>
      <w:marBottom w:val="0"/>
      <w:divBdr>
        <w:top w:val="none" w:sz="0" w:space="0" w:color="auto"/>
        <w:left w:val="none" w:sz="0" w:space="0" w:color="auto"/>
        <w:bottom w:val="none" w:sz="0" w:space="0" w:color="auto"/>
        <w:right w:val="none" w:sz="0" w:space="0" w:color="auto"/>
      </w:divBdr>
      <w:divsChild>
        <w:div w:id="202597422">
          <w:marLeft w:val="0"/>
          <w:marRight w:val="0"/>
          <w:marTop w:val="0"/>
          <w:marBottom w:val="0"/>
          <w:divBdr>
            <w:top w:val="none" w:sz="0" w:space="0" w:color="auto"/>
            <w:left w:val="none" w:sz="0" w:space="0" w:color="auto"/>
            <w:bottom w:val="none" w:sz="0" w:space="0" w:color="auto"/>
            <w:right w:val="none" w:sz="0" w:space="0" w:color="auto"/>
          </w:divBdr>
        </w:div>
        <w:div w:id="618489447">
          <w:marLeft w:val="0"/>
          <w:marRight w:val="0"/>
          <w:marTop w:val="0"/>
          <w:marBottom w:val="0"/>
          <w:divBdr>
            <w:top w:val="none" w:sz="0" w:space="0" w:color="auto"/>
            <w:left w:val="none" w:sz="0" w:space="0" w:color="auto"/>
            <w:bottom w:val="none" w:sz="0" w:space="0" w:color="auto"/>
            <w:right w:val="none" w:sz="0" w:space="0" w:color="auto"/>
          </w:divBdr>
          <w:divsChild>
            <w:div w:id="1150558555">
              <w:marLeft w:val="-225"/>
              <w:marRight w:val="-225"/>
              <w:marTop w:val="0"/>
              <w:marBottom w:val="0"/>
              <w:divBdr>
                <w:top w:val="none" w:sz="0" w:space="0" w:color="auto"/>
                <w:left w:val="none" w:sz="0" w:space="0" w:color="auto"/>
                <w:bottom w:val="none" w:sz="0" w:space="0" w:color="auto"/>
                <w:right w:val="none" w:sz="0" w:space="0" w:color="auto"/>
              </w:divBdr>
              <w:divsChild>
                <w:div w:id="574777737">
                  <w:marLeft w:val="0"/>
                  <w:marRight w:val="0"/>
                  <w:marTop w:val="0"/>
                  <w:marBottom w:val="0"/>
                  <w:divBdr>
                    <w:top w:val="none" w:sz="0" w:space="0" w:color="auto"/>
                    <w:left w:val="none" w:sz="0" w:space="0" w:color="auto"/>
                    <w:bottom w:val="none" w:sz="0" w:space="0" w:color="auto"/>
                    <w:right w:val="none" w:sz="0" w:space="0" w:color="auto"/>
                  </w:divBdr>
                  <w:divsChild>
                    <w:div w:id="18637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4773">
          <w:marLeft w:val="0"/>
          <w:marRight w:val="0"/>
          <w:marTop w:val="0"/>
          <w:marBottom w:val="0"/>
          <w:divBdr>
            <w:top w:val="none" w:sz="0" w:space="0" w:color="auto"/>
            <w:left w:val="none" w:sz="0" w:space="0" w:color="auto"/>
            <w:bottom w:val="none" w:sz="0" w:space="0" w:color="auto"/>
            <w:right w:val="none" w:sz="0" w:space="0" w:color="auto"/>
          </w:divBdr>
          <w:divsChild>
            <w:div w:id="844785424">
              <w:marLeft w:val="-225"/>
              <w:marRight w:val="-225"/>
              <w:marTop w:val="0"/>
              <w:marBottom w:val="0"/>
              <w:divBdr>
                <w:top w:val="none" w:sz="0" w:space="0" w:color="auto"/>
                <w:left w:val="none" w:sz="0" w:space="0" w:color="auto"/>
                <w:bottom w:val="none" w:sz="0" w:space="0" w:color="auto"/>
                <w:right w:val="none" w:sz="0" w:space="0" w:color="auto"/>
              </w:divBdr>
              <w:divsChild>
                <w:div w:id="313872898">
                  <w:marLeft w:val="0"/>
                  <w:marRight w:val="0"/>
                  <w:marTop w:val="0"/>
                  <w:marBottom w:val="0"/>
                  <w:divBdr>
                    <w:top w:val="none" w:sz="0" w:space="0" w:color="auto"/>
                    <w:left w:val="none" w:sz="0" w:space="0" w:color="auto"/>
                    <w:bottom w:val="none" w:sz="0" w:space="0" w:color="auto"/>
                    <w:right w:val="none" w:sz="0" w:space="0" w:color="auto"/>
                  </w:divBdr>
                  <w:divsChild>
                    <w:div w:id="15635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77102">
          <w:marLeft w:val="0"/>
          <w:marRight w:val="0"/>
          <w:marTop w:val="0"/>
          <w:marBottom w:val="0"/>
          <w:divBdr>
            <w:top w:val="none" w:sz="0" w:space="0" w:color="auto"/>
            <w:left w:val="none" w:sz="0" w:space="0" w:color="auto"/>
            <w:bottom w:val="none" w:sz="0" w:space="0" w:color="auto"/>
            <w:right w:val="none" w:sz="0" w:space="0" w:color="auto"/>
          </w:divBdr>
          <w:divsChild>
            <w:div w:id="1584100043">
              <w:marLeft w:val="0"/>
              <w:marRight w:val="0"/>
              <w:marTop w:val="0"/>
              <w:marBottom w:val="0"/>
              <w:divBdr>
                <w:top w:val="none" w:sz="0" w:space="0" w:color="auto"/>
                <w:left w:val="none" w:sz="0" w:space="0" w:color="auto"/>
                <w:bottom w:val="none" w:sz="0" w:space="0" w:color="auto"/>
                <w:right w:val="none" w:sz="0" w:space="0" w:color="auto"/>
              </w:divBdr>
              <w:divsChild>
                <w:div w:id="535050256">
                  <w:marLeft w:val="0"/>
                  <w:marRight w:val="0"/>
                  <w:marTop w:val="0"/>
                  <w:marBottom w:val="0"/>
                  <w:divBdr>
                    <w:top w:val="none" w:sz="0" w:space="0" w:color="auto"/>
                    <w:left w:val="none" w:sz="0" w:space="0" w:color="auto"/>
                    <w:bottom w:val="none" w:sz="0" w:space="0" w:color="auto"/>
                    <w:right w:val="none" w:sz="0" w:space="0" w:color="auto"/>
                  </w:divBdr>
                  <w:divsChild>
                    <w:div w:id="1228804852">
                      <w:marLeft w:val="0"/>
                      <w:marRight w:val="0"/>
                      <w:marTop w:val="0"/>
                      <w:marBottom w:val="0"/>
                      <w:divBdr>
                        <w:top w:val="none" w:sz="0" w:space="0" w:color="auto"/>
                        <w:left w:val="none" w:sz="0" w:space="0" w:color="auto"/>
                        <w:bottom w:val="none" w:sz="0" w:space="0" w:color="auto"/>
                        <w:right w:val="none" w:sz="0" w:space="0" w:color="auto"/>
                      </w:divBdr>
                      <w:divsChild>
                        <w:div w:id="8310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375066">
      <w:bodyDiv w:val="1"/>
      <w:marLeft w:val="0"/>
      <w:marRight w:val="0"/>
      <w:marTop w:val="0"/>
      <w:marBottom w:val="0"/>
      <w:divBdr>
        <w:top w:val="none" w:sz="0" w:space="0" w:color="auto"/>
        <w:left w:val="none" w:sz="0" w:space="0" w:color="auto"/>
        <w:bottom w:val="none" w:sz="0" w:space="0" w:color="auto"/>
        <w:right w:val="none" w:sz="0" w:space="0" w:color="auto"/>
      </w:divBdr>
      <w:divsChild>
        <w:div w:id="214507880">
          <w:marLeft w:val="0"/>
          <w:marRight w:val="0"/>
          <w:marTop w:val="0"/>
          <w:marBottom w:val="0"/>
          <w:divBdr>
            <w:top w:val="none" w:sz="0" w:space="0" w:color="auto"/>
            <w:left w:val="none" w:sz="0" w:space="0" w:color="auto"/>
            <w:bottom w:val="none" w:sz="0" w:space="0" w:color="auto"/>
            <w:right w:val="none" w:sz="0" w:space="0" w:color="auto"/>
          </w:divBdr>
          <w:divsChild>
            <w:div w:id="1634558449">
              <w:marLeft w:val="-225"/>
              <w:marRight w:val="-225"/>
              <w:marTop w:val="0"/>
              <w:marBottom w:val="0"/>
              <w:divBdr>
                <w:top w:val="none" w:sz="0" w:space="0" w:color="auto"/>
                <w:left w:val="none" w:sz="0" w:space="0" w:color="auto"/>
                <w:bottom w:val="none" w:sz="0" w:space="0" w:color="auto"/>
                <w:right w:val="none" w:sz="0" w:space="0" w:color="auto"/>
              </w:divBdr>
              <w:divsChild>
                <w:div w:id="1979147247">
                  <w:marLeft w:val="0"/>
                  <w:marRight w:val="0"/>
                  <w:marTop w:val="0"/>
                  <w:marBottom w:val="0"/>
                  <w:divBdr>
                    <w:top w:val="none" w:sz="0" w:space="0" w:color="auto"/>
                    <w:left w:val="none" w:sz="0" w:space="0" w:color="auto"/>
                    <w:bottom w:val="none" w:sz="0" w:space="0" w:color="auto"/>
                    <w:right w:val="none" w:sz="0" w:space="0" w:color="auto"/>
                  </w:divBdr>
                  <w:divsChild>
                    <w:div w:id="3346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4346">
          <w:marLeft w:val="0"/>
          <w:marRight w:val="0"/>
          <w:marTop w:val="0"/>
          <w:marBottom w:val="0"/>
          <w:divBdr>
            <w:top w:val="none" w:sz="0" w:space="0" w:color="auto"/>
            <w:left w:val="none" w:sz="0" w:space="0" w:color="auto"/>
            <w:bottom w:val="none" w:sz="0" w:space="0" w:color="auto"/>
            <w:right w:val="none" w:sz="0" w:space="0" w:color="auto"/>
          </w:divBdr>
          <w:divsChild>
            <w:div w:id="577904813">
              <w:marLeft w:val="0"/>
              <w:marRight w:val="0"/>
              <w:marTop w:val="0"/>
              <w:marBottom w:val="0"/>
              <w:divBdr>
                <w:top w:val="none" w:sz="0" w:space="0" w:color="auto"/>
                <w:left w:val="none" w:sz="0" w:space="0" w:color="auto"/>
                <w:bottom w:val="none" w:sz="0" w:space="0" w:color="auto"/>
                <w:right w:val="none" w:sz="0" w:space="0" w:color="auto"/>
              </w:divBdr>
              <w:divsChild>
                <w:div w:id="1926185199">
                  <w:marLeft w:val="0"/>
                  <w:marRight w:val="0"/>
                  <w:marTop w:val="0"/>
                  <w:marBottom w:val="0"/>
                  <w:divBdr>
                    <w:top w:val="none" w:sz="0" w:space="0" w:color="auto"/>
                    <w:left w:val="none" w:sz="0" w:space="0" w:color="auto"/>
                    <w:bottom w:val="none" w:sz="0" w:space="0" w:color="auto"/>
                    <w:right w:val="none" w:sz="0" w:space="0" w:color="auto"/>
                  </w:divBdr>
                  <w:divsChild>
                    <w:div w:id="1355231542">
                      <w:marLeft w:val="0"/>
                      <w:marRight w:val="0"/>
                      <w:marTop w:val="0"/>
                      <w:marBottom w:val="0"/>
                      <w:divBdr>
                        <w:top w:val="none" w:sz="0" w:space="0" w:color="auto"/>
                        <w:left w:val="none" w:sz="0" w:space="0" w:color="auto"/>
                        <w:bottom w:val="none" w:sz="0" w:space="0" w:color="auto"/>
                        <w:right w:val="none" w:sz="0" w:space="0" w:color="auto"/>
                      </w:divBdr>
                      <w:divsChild>
                        <w:div w:id="16063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15158">
          <w:marLeft w:val="0"/>
          <w:marRight w:val="0"/>
          <w:marTop w:val="0"/>
          <w:marBottom w:val="0"/>
          <w:divBdr>
            <w:top w:val="none" w:sz="0" w:space="0" w:color="auto"/>
            <w:left w:val="none" w:sz="0" w:space="0" w:color="auto"/>
            <w:bottom w:val="none" w:sz="0" w:space="0" w:color="auto"/>
            <w:right w:val="none" w:sz="0" w:space="0" w:color="auto"/>
          </w:divBdr>
          <w:divsChild>
            <w:div w:id="2042364972">
              <w:marLeft w:val="-225"/>
              <w:marRight w:val="-225"/>
              <w:marTop w:val="0"/>
              <w:marBottom w:val="0"/>
              <w:divBdr>
                <w:top w:val="none" w:sz="0" w:space="0" w:color="auto"/>
                <w:left w:val="none" w:sz="0" w:space="0" w:color="auto"/>
                <w:bottom w:val="none" w:sz="0" w:space="0" w:color="auto"/>
                <w:right w:val="none" w:sz="0" w:space="0" w:color="auto"/>
              </w:divBdr>
              <w:divsChild>
                <w:div w:id="492527949">
                  <w:marLeft w:val="0"/>
                  <w:marRight w:val="0"/>
                  <w:marTop w:val="0"/>
                  <w:marBottom w:val="0"/>
                  <w:divBdr>
                    <w:top w:val="none" w:sz="0" w:space="0" w:color="auto"/>
                    <w:left w:val="none" w:sz="0" w:space="0" w:color="auto"/>
                    <w:bottom w:val="none" w:sz="0" w:space="0" w:color="auto"/>
                    <w:right w:val="none" w:sz="0" w:space="0" w:color="auto"/>
                  </w:divBdr>
                  <w:divsChild>
                    <w:div w:id="16329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9923">
          <w:marLeft w:val="0"/>
          <w:marRight w:val="0"/>
          <w:marTop w:val="0"/>
          <w:marBottom w:val="0"/>
          <w:divBdr>
            <w:top w:val="none" w:sz="0" w:space="0" w:color="auto"/>
            <w:left w:val="none" w:sz="0" w:space="0" w:color="auto"/>
            <w:bottom w:val="none" w:sz="0" w:space="0" w:color="auto"/>
            <w:right w:val="none" w:sz="0" w:space="0" w:color="auto"/>
          </w:divBdr>
        </w:div>
      </w:divsChild>
    </w:div>
    <w:div w:id="816259825">
      <w:bodyDiv w:val="1"/>
      <w:marLeft w:val="0"/>
      <w:marRight w:val="0"/>
      <w:marTop w:val="0"/>
      <w:marBottom w:val="0"/>
      <w:divBdr>
        <w:top w:val="none" w:sz="0" w:space="0" w:color="auto"/>
        <w:left w:val="none" w:sz="0" w:space="0" w:color="auto"/>
        <w:bottom w:val="none" w:sz="0" w:space="0" w:color="auto"/>
        <w:right w:val="none" w:sz="0" w:space="0" w:color="auto"/>
      </w:divBdr>
    </w:div>
    <w:div w:id="818575929">
      <w:bodyDiv w:val="1"/>
      <w:marLeft w:val="0"/>
      <w:marRight w:val="0"/>
      <w:marTop w:val="0"/>
      <w:marBottom w:val="0"/>
      <w:divBdr>
        <w:top w:val="none" w:sz="0" w:space="0" w:color="auto"/>
        <w:left w:val="none" w:sz="0" w:space="0" w:color="auto"/>
        <w:bottom w:val="none" w:sz="0" w:space="0" w:color="auto"/>
        <w:right w:val="none" w:sz="0" w:space="0" w:color="auto"/>
      </w:divBdr>
    </w:div>
    <w:div w:id="820971349">
      <w:bodyDiv w:val="1"/>
      <w:marLeft w:val="0"/>
      <w:marRight w:val="0"/>
      <w:marTop w:val="0"/>
      <w:marBottom w:val="0"/>
      <w:divBdr>
        <w:top w:val="none" w:sz="0" w:space="0" w:color="auto"/>
        <w:left w:val="none" w:sz="0" w:space="0" w:color="auto"/>
        <w:bottom w:val="none" w:sz="0" w:space="0" w:color="auto"/>
        <w:right w:val="none" w:sz="0" w:space="0" w:color="auto"/>
      </w:divBdr>
    </w:div>
    <w:div w:id="822158284">
      <w:bodyDiv w:val="1"/>
      <w:marLeft w:val="0"/>
      <w:marRight w:val="0"/>
      <w:marTop w:val="0"/>
      <w:marBottom w:val="0"/>
      <w:divBdr>
        <w:top w:val="none" w:sz="0" w:space="0" w:color="auto"/>
        <w:left w:val="none" w:sz="0" w:space="0" w:color="auto"/>
        <w:bottom w:val="none" w:sz="0" w:space="0" w:color="auto"/>
        <w:right w:val="none" w:sz="0" w:space="0" w:color="auto"/>
      </w:divBdr>
    </w:div>
    <w:div w:id="822356251">
      <w:bodyDiv w:val="1"/>
      <w:marLeft w:val="0"/>
      <w:marRight w:val="0"/>
      <w:marTop w:val="0"/>
      <w:marBottom w:val="0"/>
      <w:divBdr>
        <w:top w:val="none" w:sz="0" w:space="0" w:color="auto"/>
        <w:left w:val="none" w:sz="0" w:space="0" w:color="auto"/>
        <w:bottom w:val="none" w:sz="0" w:space="0" w:color="auto"/>
        <w:right w:val="none" w:sz="0" w:space="0" w:color="auto"/>
      </w:divBdr>
    </w:div>
    <w:div w:id="822703632">
      <w:bodyDiv w:val="1"/>
      <w:marLeft w:val="0"/>
      <w:marRight w:val="0"/>
      <w:marTop w:val="0"/>
      <w:marBottom w:val="0"/>
      <w:divBdr>
        <w:top w:val="none" w:sz="0" w:space="0" w:color="auto"/>
        <w:left w:val="none" w:sz="0" w:space="0" w:color="auto"/>
        <w:bottom w:val="none" w:sz="0" w:space="0" w:color="auto"/>
        <w:right w:val="none" w:sz="0" w:space="0" w:color="auto"/>
      </w:divBdr>
    </w:div>
    <w:div w:id="826943062">
      <w:bodyDiv w:val="1"/>
      <w:marLeft w:val="0"/>
      <w:marRight w:val="0"/>
      <w:marTop w:val="0"/>
      <w:marBottom w:val="0"/>
      <w:divBdr>
        <w:top w:val="none" w:sz="0" w:space="0" w:color="auto"/>
        <w:left w:val="none" w:sz="0" w:space="0" w:color="auto"/>
        <w:bottom w:val="none" w:sz="0" w:space="0" w:color="auto"/>
        <w:right w:val="none" w:sz="0" w:space="0" w:color="auto"/>
      </w:divBdr>
    </w:div>
    <w:div w:id="827860753">
      <w:bodyDiv w:val="1"/>
      <w:marLeft w:val="0"/>
      <w:marRight w:val="0"/>
      <w:marTop w:val="0"/>
      <w:marBottom w:val="0"/>
      <w:divBdr>
        <w:top w:val="none" w:sz="0" w:space="0" w:color="auto"/>
        <w:left w:val="none" w:sz="0" w:space="0" w:color="auto"/>
        <w:bottom w:val="none" w:sz="0" w:space="0" w:color="auto"/>
        <w:right w:val="none" w:sz="0" w:space="0" w:color="auto"/>
      </w:divBdr>
    </w:div>
    <w:div w:id="831796047">
      <w:bodyDiv w:val="1"/>
      <w:marLeft w:val="0"/>
      <w:marRight w:val="0"/>
      <w:marTop w:val="0"/>
      <w:marBottom w:val="0"/>
      <w:divBdr>
        <w:top w:val="none" w:sz="0" w:space="0" w:color="auto"/>
        <w:left w:val="none" w:sz="0" w:space="0" w:color="auto"/>
        <w:bottom w:val="none" w:sz="0" w:space="0" w:color="auto"/>
        <w:right w:val="none" w:sz="0" w:space="0" w:color="auto"/>
      </w:divBdr>
    </w:div>
    <w:div w:id="836119673">
      <w:bodyDiv w:val="1"/>
      <w:marLeft w:val="0"/>
      <w:marRight w:val="0"/>
      <w:marTop w:val="0"/>
      <w:marBottom w:val="0"/>
      <w:divBdr>
        <w:top w:val="none" w:sz="0" w:space="0" w:color="auto"/>
        <w:left w:val="none" w:sz="0" w:space="0" w:color="auto"/>
        <w:bottom w:val="none" w:sz="0" w:space="0" w:color="auto"/>
        <w:right w:val="none" w:sz="0" w:space="0" w:color="auto"/>
      </w:divBdr>
      <w:divsChild>
        <w:div w:id="1354958637">
          <w:marLeft w:val="0"/>
          <w:marRight w:val="0"/>
          <w:marTop w:val="0"/>
          <w:marBottom w:val="0"/>
          <w:divBdr>
            <w:top w:val="none" w:sz="0" w:space="0" w:color="auto"/>
            <w:left w:val="none" w:sz="0" w:space="0" w:color="auto"/>
            <w:bottom w:val="none" w:sz="0" w:space="0" w:color="auto"/>
            <w:right w:val="none" w:sz="0" w:space="0" w:color="auto"/>
          </w:divBdr>
          <w:divsChild>
            <w:div w:id="1876112813">
              <w:marLeft w:val="0"/>
              <w:marRight w:val="0"/>
              <w:marTop w:val="0"/>
              <w:marBottom w:val="0"/>
              <w:divBdr>
                <w:top w:val="single" w:sz="6" w:space="24" w:color="EBEEF5"/>
                <w:left w:val="none" w:sz="0" w:space="0" w:color="auto"/>
                <w:bottom w:val="single" w:sz="6" w:space="18" w:color="EBEEF5"/>
                <w:right w:val="none" w:sz="0" w:space="0" w:color="auto"/>
              </w:divBdr>
              <w:divsChild>
                <w:div w:id="1716083971">
                  <w:marLeft w:val="0"/>
                  <w:marRight w:val="0"/>
                  <w:marTop w:val="0"/>
                  <w:marBottom w:val="0"/>
                  <w:divBdr>
                    <w:top w:val="none" w:sz="0" w:space="0" w:color="auto"/>
                    <w:left w:val="none" w:sz="0" w:space="0" w:color="auto"/>
                    <w:bottom w:val="none" w:sz="0" w:space="0" w:color="auto"/>
                    <w:right w:val="none" w:sz="0" w:space="0" w:color="auto"/>
                  </w:divBdr>
                  <w:divsChild>
                    <w:div w:id="663629560">
                      <w:marLeft w:val="0"/>
                      <w:marRight w:val="0"/>
                      <w:marTop w:val="0"/>
                      <w:marBottom w:val="0"/>
                      <w:divBdr>
                        <w:top w:val="none" w:sz="0" w:space="0" w:color="auto"/>
                        <w:left w:val="none" w:sz="0" w:space="0" w:color="auto"/>
                        <w:bottom w:val="none" w:sz="0" w:space="0" w:color="auto"/>
                        <w:right w:val="none" w:sz="0" w:space="0" w:color="auto"/>
                      </w:divBdr>
                      <w:divsChild>
                        <w:div w:id="20174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3670">
          <w:marLeft w:val="0"/>
          <w:marRight w:val="0"/>
          <w:marTop w:val="0"/>
          <w:marBottom w:val="0"/>
          <w:divBdr>
            <w:top w:val="none" w:sz="0" w:space="0" w:color="auto"/>
            <w:left w:val="none" w:sz="0" w:space="0" w:color="auto"/>
            <w:bottom w:val="none" w:sz="0" w:space="0" w:color="auto"/>
            <w:right w:val="none" w:sz="0" w:space="0" w:color="auto"/>
          </w:divBdr>
        </w:div>
        <w:div w:id="1825656193">
          <w:marLeft w:val="0"/>
          <w:marRight w:val="0"/>
          <w:marTop w:val="0"/>
          <w:marBottom w:val="0"/>
          <w:divBdr>
            <w:top w:val="none" w:sz="0" w:space="0" w:color="auto"/>
            <w:left w:val="none" w:sz="0" w:space="0" w:color="auto"/>
            <w:bottom w:val="none" w:sz="0" w:space="0" w:color="auto"/>
            <w:right w:val="none" w:sz="0" w:space="0" w:color="auto"/>
          </w:divBdr>
          <w:divsChild>
            <w:div w:id="1051419898">
              <w:marLeft w:val="-225"/>
              <w:marRight w:val="-225"/>
              <w:marTop w:val="0"/>
              <w:marBottom w:val="0"/>
              <w:divBdr>
                <w:top w:val="none" w:sz="0" w:space="0" w:color="auto"/>
                <w:left w:val="none" w:sz="0" w:space="0" w:color="auto"/>
                <w:bottom w:val="none" w:sz="0" w:space="0" w:color="auto"/>
                <w:right w:val="none" w:sz="0" w:space="0" w:color="auto"/>
              </w:divBdr>
              <w:divsChild>
                <w:div w:id="1848203876">
                  <w:marLeft w:val="0"/>
                  <w:marRight w:val="0"/>
                  <w:marTop w:val="0"/>
                  <w:marBottom w:val="0"/>
                  <w:divBdr>
                    <w:top w:val="none" w:sz="0" w:space="0" w:color="auto"/>
                    <w:left w:val="none" w:sz="0" w:space="0" w:color="auto"/>
                    <w:bottom w:val="none" w:sz="0" w:space="0" w:color="auto"/>
                    <w:right w:val="none" w:sz="0" w:space="0" w:color="auto"/>
                  </w:divBdr>
                  <w:divsChild>
                    <w:div w:id="20591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31237">
          <w:marLeft w:val="0"/>
          <w:marRight w:val="0"/>
          <w:marTop w:val="0"/>
          <w:marBottom w:val="0"/>
          <w:divBdr>
            <w:top w:val="none" w:sz="0" w:space="0" w:color="auto"/>
            <w:left w:val="none" w:sz="0" w:space="0" w:color="auto"/>
            <w:bottom w:val="none" w:sz="0" w:space="0" w:color="auto"/>
            <w:right w:val="none" w:sz="0" w:space="0" w:color="auto"/>
          </w:divBdr>
          <w:divsChild>
            <w:div w:id="389350844">
              <w:marLeft w:val="-225"/>
              <w:marRight w:val="-225"/>
              <w:marTop w:val="0"/>
              <w:marBottom w:val="0"/>
              <w:divBdr>
                <w:top w:val="none" w:sz="0" w:space="0" w:color="auto"/>
                <w:left w:val="none" w:sz="0" w:space="0" w:color="auto"/>
                <w:bottom w:val="none" w:sz="0" w:space="0" w:color="auto"/>
                <w:right w:val="none" w:sz="0" w:space="0" w:color="auto"/>
              </w:divBdr>
              <w:divsChild>
                <w:div w:id="1932810660">
                  <w:marLeft w:val="0"/>
                  <w:marRight w:val="0"/>
                  <w:marTop w:val="0"/>
                  <w:marBottom w:val="0"/>
                  <w:divBdr>
                    <w:top w:val="none" w:sz="0" w:space="0" w:color="auto"/>
                    <w:left w:val="none" w:sz="0" w:space="0" w:color="auto"/>
                    <w:bottom w:val="none" w:sz="0" w:space="0" w:color="auto"/>
                    <w:right w:val="none" w:sz="0" w:space="0" w:color="auto"/>
                  </w:divBdr>
                  <w:divsChild>
                    <w:div w:id="11031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12678">
      <w:bodyDiv w:val="1"/>
      <w:marLeft w:val="0"/>
      <w:marRight w:val="0"/>
      <w:marTop w:val="0"/>
      <w:marBottom w:val="0"/>
      <w:divBdr>
        <w:top w:val="none" w:sz="0" w:space="0" w:color="auto"/>
        <w:left w:val="none" w:sz="0" w:space="0" w:color="auto"/>
        <w:bottom w:val="none" w:sz="0" w:space="0" w:color="auto"/>
        <w:right w:val="none" w:sz="0" w:space="0" w:color="auto"/>
      </w:divBdr>
    </w:div>
    <w:div w:id="839541171">
      <w:bodyDiv w:val="1"/>
      <w:marLeft w:val="0"/>
      <w:marRight w:val="0"/>
      <w:marTop w:val="0"/>
      <w:marBottom w:val="0"/>
      <w:divBdr>
        <w:top w:val="none" w:sz="0" w:space="0" w:color="auto"/>
        <w:left w:val="none" w:sz="0" w:space="0" w:color="auto"/>
        <w:bottom w:val="none" w:sz="0" w:space="0" w:color="auto"/>
        <w:right w:val="none" w:sz="0" w:space="0" w:color="auto"/>
      </w:divBdr>
    </w:div>
    <w:div w:id="841629001">
      <w:bodyDiv w:val="1"/>
      <w:marLeft w:val="0"/>
      <w:marRight w:val="0"/>
      <w:marTop w:val="0"/>
      <w:marBottom w:val="0"/>
      <w:divBdr>
        <w:top w:val="none" w:sz="0" w:space="0" w:color="auto"/>
        <w:left w:val="none" w:sz="0" w:space="0" w:color="auto"/>
        <w:bottom w:val="none" w:sz="0" w:space="0" w:color="auto"/>
        <w:right w:val="none" w:sz="0" w:space="0" w:color="auto"/>
      </w:divBdr>
    </w:div>
    <w:div w:id="842941223">
      <w:bodyDiv w:val="1"/>
      <w:marLeft w:val="0"/>
      <w:marRight w:val="0"/>
      <w:marTop w:val="0"/>
      <w:marBottom w:val="0"/>
      <w:divBdr>
        <w:top w:val="none" w:sz="0" w:space="0" w:color="auto"/>
        <w:left w:val="none" w:sz="0" w:space="0" w:color="auto"/>
        <w:bottom w:val="none" w:sz="0" w:space="0" w:color="auto"/>
        <w:right w:val="none" w:sz="0" w:space="0" w:color="auto"/>
      </w:divBdr>
    </w:div>
    <w:div w:id="843517216">
      <w:bodyDiv w:val="1"/>
      <w:marLeft w:val="0"/>
      <w:marRight w:val="0"/>
      <w:marTop w:val="0"/>
      <w:marBottom w:val="0"/>
      <w:divBdr>
        <w:top w:val="none" w:sz="0" w:space="0" w:color="auto"/>
        <w:left w:val="none" w:sz="0" w:space="0" w:color="auto"/>
        <w:bottom w:val="none" w:sz="0" w:space="0" w:color="auto"/>
        <w:right w:val="none" w:sz="0" w:space="0" w:color="auto"/>
      </w:divBdr>
    </w:div>
    <w:div w:id="847519937">
      <w:bodyDiv w:val="1"/>
      <w:marLeft w:val="0"/>
      <w:marRight w:val="0"/>
      <w:marTop w:val="0"/>
      <w:marBottom w:val="0"/>
      <w:divBdr>
        <w:top w:val="none" w:sz="0" w:space="0" w:color="auto"/>
        <w:left w:val="none" w:sz="0" w:space="0" w:color="auto"/>
        <w:bottom w:val="none" w:sz="0" w:space="0" w:color="auto"/>
        <w:right w:val="none" w:sz="0" w:space="0" w:color="auto"/>
      </w:divBdr>
    </w:div>
    <w:div w:id="849566134">
      <w:bodyDiv w:val="1"/>
      <w:marLeft w:val="0"/>
      <w:marRight w:val="0"/>
      <w:marTop w:val="0"/>
      <w:marBottom w:val="0"/>
      <w:divBdr>
        <w:top w:val="none" w:sz="0" w:space="0" w:color="auto"/>
        <w:left w:val="none" w:sz="0" w:space="0" w:color="auto"/>
        <w:bottom w:val="none" w:sz="0" w:space="0" w:color="auto"/>
        <w:right w:val="none" w:sz="0" w:space="0" w:color="auto"/>
      </w:divBdr>
    </w:div>
    <w:div w:id="851771438">
      <w:bodyDiv w:val="1"/>
      <w:marLeft w:val="0"/>
      <w:marRight w:val="0"/>
      <w:marTop w:val="0"/>
      <w:marBottom w:val="0"/>
      <w:divBdr>
        <w:top w:val="none" w:sz="0" w:space="0" w:color="auto"/>
        <w:left w:val="none" w:sz="0" w:space="0" w:color="auto"/>
        <w:bottom w:val="none" w:sz="0" w:space="0" w:color="auto"/>
        <w:right w:val="none" w:sz="0" w:space="0" w:color="auto"/>
      </w:divBdr>
    </w:div>
    <w:div w:id="852689279">
      <w:bodyDiv w:val="1"/>
      <w:marLeft w:val="0"/>
      <w:marRight w:val="0"/>
      <w:marTop w:val="0"/>
      <w:marBottom w:val="0"/>
      <w:divBdr>
        <w:top w:val="none" w:sz="0" w:space="0" w:color="auto"/>
        <w:left w:val="none" w:sz="0" w:space="0" w:color="auto"/>
        <w:bottom w:val="none" w:sz="0" w:space="0" w:color="auto"/>
        <w:right w:val="none" w:sz="0" w:space="0" w:color="auto"/>
      </w:divBdr>
      <w:divsChild>
        <w:div w:id="1447389611">
          <w:marLeft w:val="0"/>
          <w:marRight w:val="0"/>
          <w:marTop w:val="0"/>
          <w:marBottom w:val="0"/>
          <w:divBdr>
            <w:top w:val="none" w:sz="0" w:space="0" w:color="auto"/>
            <w:left w:val="none" w:sz="0" w:space="0" w:color="auto"/>
            <w:bottom w:val="none" w:sz="0" w:space="0" w:color="auto"/>
            <w:right w:val="none" w:sz="0" w:space="0" w:color="auto"/>
          </w:divBdr>
          <w:divsChild>
            <w:div w:id="1606039658">
              <w:marLeft w:val="0"/>
              <w:marRight w:val="0"/>
              <w:marTop w:val="0"/>
              <w:marBottom w:val="0"/>
              <w:divBdr>
                <w:top w:val="single" w:sz="6" w:space="24" w:color="EBEEF5"/>
                <w:left w:val="none" w:sz="0" w:space="0" w:color="auto"/>
                <w:bottom w:val="single" w:sz="6" w:space="18" w:color="EBEEF5"/>
                <w:right w:val="none" w:sz="0" w:space="0" w:color="auto"/>
              </w:divBdr>
              <w:divsChild>
                <w:div w:id="379869102">
                  <w:marLeft w:val="0"/>
                  <w:marRight w:val="0"/>
                  <w:marTop w:val="0"/>
                  <w:marBottom w:val="0"/>
                  <w:divBdr>
                    <w:top w:val="none" w:sz="0" w:space="0" w:color="auto"/>
                    <w:left w:val="none" w:sz="0" w:space="0" w:color="auto"/>
                    <w:bottom w:val="none" w:sz="0" w:space="0" w:color="auto"/>
                    <w:right w:val="none" w:sz="0" w:space="0" w:color="auto"/>
                  </w:divBdr>
                  <w:divsChild>
                    <w:div w:id="1483349094">
                      <w:marLeft w:val="0"/>
                      <w:marRight w:val="0"/>
                      <w:marTop w:val="0"/>
                      <w:marBottom w:val="0"/>
                      <w:divBdr>
                        <w:top w:val="none" w:sz="0" w:space="0" w:color="auto"/>
                        <w:left w:val="none" w:sz="0" w:space="0" w:color="auto"/>
                        <w:bottom w:val="none" w:sz="0" w:space="0" w:color="auto"/>
                        <w:right w:val="none" w:sz="0" w:space="0" w:color="auto"/>
                      </w:divBdr>
                      <w:divsChild>
                        <w:div w:id="13286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64644">
          <w:marLeft w:val="0"/>
          <w:marRight w:val="0"/>
          <w:marTop w:val="0"/>
          <w:marBottom w:val="0"/>
          <w:divBdr>
            <w:top w:val="none" w:sz="0" w:space="0" w:color="auto"/>
            <w:left w:val="none" w:sz="0" w:space="0" w:color="auto"/>
            <w:bottom w:val="none" w:sz="0" w:space="0" w:color="auto"/>
            <w:right w:val="none" w:sz="0" w:space="0" w:color="auto"/>
          </w:divBdr>
          <w:divsChild>
            <w:div w:id="638147897">
              <w:marLeft w:val="-225"/>
              <w:marRight w:val="-225"/>
              <w:marTop w:val="0"/>
              <w:marBottom w:val="0"/>
              <w:divBdr>
                <w:top w:val="none" w:sz="0" w:space="0" w:color="auto"/>
                <w:left w:val="none" w:sz="0" w:space="0" w:color="auto"/>
                <w:bottom w:val="none" w:sz="0" w:space="0" w:color="auto"/>
                <w:right w:val="none" w:sz="0" w:space="0" w:color="auto"/>
              </w:divBdr>
              <w:divsChild>
                <w:div w:id="27068698">
                  <w:marLeft w:val="0"/>
                  <w:marRight w:val="0"/>
                  <w:marTop w:val="0"/>
                  <w:marBottom w:val="0"/>
                  <w:divBdr>
                    <w:top w:val="none" w:sz="0" w:space="0" w:color="auto"/>
                    <w:left w:val="none" w:sz="0" w:space="0" w:color="auto"/>
                    <w:bottom w:val="none" w:sz="0" w:space="0" w:color="auto"/>
                    <w:right w:val="none" w:sz="0" w:space="0" w:color="auto"/>
                  </w:divBdr>
                  <w:divsChild>
                    <w:div w:id="16527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4709">
          <w:marLeft w:val="0"/>
          <w:marRight w:val="0"/>
          <w:marTop w:val="0"/>
          <w:marBottom w:val="0"/>
          <w:divBdr>
            <w:top w:val="none" w:sz="0" w:space="0" w:color="auto"/>
            <w:left w:val="none" w:sz="0" w:space="0" w:color="auto"/>
            <w:bottom w:val="none" w:sz="0" w:space="0" w:color="auto"/>
            <w:right w:val="none" w:sz="0" w:space="0" w:color="auto"/>
          </w:divBdr>
          <w:divsChild>
            <w:div w:id="1144152828">
              <w:marLeft w:val="-225"/>
              <w:marRight w:val="-225"/>
              <w:marTop w:val="0"/>
              <w:marBottom w:val="0"/>
              <w:divBdr>
                <w:top w:val="none" w:sz="0" w:space="0" w:color="auto"/>
                <w:left w:val="none" w:sz="0" w:space="0" w:color="auto"/>
                <w:bottom w:val="none" w:sz="0" w:space="0" w:color="auto"/>
                <w:right w:val="none" w:sz="0" w:space="0" w:color="auto"/>
              </w:divBdr>
              <w:divsChild>
                <w:div w:id="804664395">
                  <w:marLeft w:val="0"/>
                  <w:marRight w:val="0"/>
                  <w:marTop w:val="0"/>
                  <w:marBottom w:val="0"/>
                  <w:divBdr>
                    <w:top w:val="none" w:sz="0" w:space="0" w:color="auto"/>
                    <w:left w:val="none" w:sz="0" w:space="0" w:color="auto"/>
                    <w:bottom w:val="none" w:sz="0" w:space="0" w:color="auto"/>
                    <w:right w:val="none" w:sz="0" w:space="0" w:color="auto"/>
                  </w:divBdr>
                  <w:divsChild>
                    <w:div w:id="15442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0339">
          <w:marLeft w:val="0"/>
          <w:marRight w:val="0"/>
          <w:marTop w:val="0"/>
          <w:marBottom w:val="0"/>
          <w:divBdr>
            <w:top w:val="none" w:sz="0" w:space="0" w:color="auto"/>
            <w:left w:val="none" w:sz="0" w:space="0" w:color="auto"/>
            <w:bottom w:val="none" w:sz="0" w:space="0" w:color="auto"/>
            <w:right w:val="none" w:sz="0" w:space="0" w:color="auto"/>
          </w:divBdr>
        </w:div>
      </w:divsChild>
    </w:div>
    <w:div w:id="852961973">
      <w:bodyDiv w:val="1"/>
      <w:marLeft w:val="0"/>
      <w:marRight w:val="0"/>
      <w:marTop w:val="0"/>
      <w:marBottom w:val="0"/>
      <w:divBdr>
        <w:top w:val="none" w:sz="0" w:space="0" w:color="auto"/>
        <w:left w:val="none" w:sz="0" w:space="0" w:color="auto"/>
        <w:bottom w:val="none" w:sz="0" w:space="0" w:color="auto"/>
        <w:right w:val="none" w:sz="0" w:space="0" w:color="auto"/>
      </w:divBdr>
    </w:div>
    <w:div w:id="854806069">
      <w:bodyDiv w:val="1"/>
      <w:marLeft w:val="0"/>
      <w:marRight w:val="0"/>
      <w:marTop w:val="0"/>
      <w:marBottom w:val="0"/>
      <w:divBdr>
        <w:top w:val="none" w:sz="0" w:space="0" w:color="auto"/>
        <w:left w:val="none" w:sz="0" w:space="0" w:color="auto"/>
        <w:bottom w:val="none" w:sz="0" w:space="0" w:color="auto"/>
        <w:right w:val="none" w:sz="0" w:space="0" w:color="auto"/>
      </w:divBdr>
      <w:divsChild>
        <w:div w:id="486479266">
          <w:marLeft w:val="0"/>
          <w:marRight w:val="0"/>
          <w:marTop w:val="0"/>
          <w:marBottom w:val="0"/>
          <w:divBdr>
            <w:top w:val="none" w:sz="0" w:space="0" w:color="auto"/>
            <w:left w:val="none" w:sz="0" w:space="0" w:color="auto"/>
            <w:bottom w:val="none" w:sz="0" w:space="0" w:color="auto"/>
            <w:right w:val="none" w:sz="0" w:space="0" w:color="auto"/>
          </w:divBdr>
        </w:div>
        <w:div w:id="2082673630">
          <w:marLeft w:val="0"/>
          <w:marRight w:val="0"/>
          <w:marTop w:val="0"/>
          <w:marBottom w:val="0"/>
          <w:divBdr>
            <w:top w:val="none" w:sz="0" w:space="0" w:color="auto"/>
            <w:left w:val="none" w:sz="0" w:space="0" w:color="auto"/>
            <w:bottom w:val="none" w:sz="0" w:space="0" w:color="auto"/>
            <w:right w:val="none" w:sz="0" w:space="0" w:color="auto"/>
          </w:divBdr>
          <w:divsChild>
            <w:div w:id="829061875">
              <w:marLeft w:val="0"/>
              <w:marRight w:val="0"/>
              <w:marTop w:val="0"/>
              <w:marBottom w:val="0"/>
              <w:divBdr>
                <w:top w:val="none" w:sz="0" w:space="0" w:color="auto"/>
                <w:left w:val="none" w:sz="0" w:space="0" w:color="auto"/>
                <w:bottom w:val="none" w:sz="0" w:space="0" w:color="auto"/>
                <w:right w:val="none" w:sz="0" w:space="0" w:color="auto"/>
              </w:divBdr>
              <w:divsChild>
                <w:div w:id="557712419">
                  <w:marLeft w:val="0"/>
                  <w:marRight w:val="0"/>
                  <w:marTop w:val="0"/>
                  <w:marBottom w:val="0"/>
                  <w:divBdr>
                    <w:top w:val="none" w:sz="0" w:space="0" w:color="auto"/>
                    <w:left w:val="none" w:sz="0" w:space="0" w:color="auto"/>
                    <w:bottom w:val="none" w:sz="0" w:space="0" w:color="auto"/>
                    <w:right w:val="none" w:sz="0" w:space="0" w:color="auto"/>
                  </w:divBdr>
                  <w:divsChild>
                    <w:div w:id="18546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83740">
      <w:bodyDiv w:val="1"/>
      <w:marLeft w:val="0"/>
      <w:marRight w:val="0"/>
      <w:marTop w:val="0"/>
      <w:marBottom w:val="0"/>
      <w:divBdr>
        <w:top w:val="none" w:sz="0" w:space="0" w:color="auto"/>
        <w:left w:val="none" w:sz="0" w:space="0" w:color="auto"/>
        <w:bottom w:val="none" w:sz="0" w:space="0" w:color="auto"/>
        <w:right w:val="none" w:sz="0" w:space="0" w:color="auto"/>
      </w:divBdr>
    </w:div>
    <w:div w:id="856046839">
      <w:bodyDiv w:val="1"/>
      <w:marLeft w:val="0"/>
      <w:marRight w:val="0"/>
      <w:marTop w:val="0"/>
      <w:marBottom w:val="0"/>
      <w:divBdr>
        <w:top w:val="none" w:sz="0" w:space="0" w:color="auto"/>
        <w:left w:val="none" w:sz="0" w:space="0" w:color="auto"/>
        <w:bottom w:val="none" w:sz="0" w:space="0" w:color="auto"/>
        <w:right w:val="none" w:sz="0" w:space="0" w:color="auto"/>
      </w:divBdr>
    </w:div>
    <w:div w:id="857428922">
      <w:bodyDiv w:val="1"/>
      <w:marLeft w:val="0"/>
      <w:marRight w:val="0"/>
      <w:marTop w:val="0"/>
      <w:marBottom w:val="0"/>
      <w:divBdr>
        <w:top w:val="none" w:sz="0" w:space="0" w:color="auto"/>
        <w:left w:val="none" w:sz="0" w:space="0" w:color="auto"/>
        <w:bottom w:val="none" w:sz="0" w:space="0" w:color="auto"/>
        <w:right w:val="none" w:sz="0" w:space="0" w:color="auto"/>
      </w:divBdr>
    </w:div>
    <w:div w:id="858814981">
      <w:bodyDiv w:val="1"/>
      <w:marLeft w:val="0"/>
      <w:marRight w:val="0"/>
      <w:marTop w:val="0"/>
      <w:marBottom w:val="0"/>
      <w:divBdr>
        <w:top w:val="none" w:sz="0" w:space="0" w:color="auto"/>
        <w:left w:val="none" w:sz="0" w:space="0" w:color="auto"/>
        <w:bottom w:val="none" w:sz="0" w:space="0" w:color="auto"/>
        <w:right w:val="none" w:sz="0" w:space="0" w:color="auto"/>
      </w:divBdr>
    </w:div>
    <w:div w:id="859121167">
      <w:bodyDiv w:val="1"/>
      <w:marLeft w:val="0"/>
      <w:marRight w:val="0"/>
      <w:marTop w:val="0"/>
      <w:marBottom w:val="0"/>
      <w:divBdr>
        <w:top w:val="none" w:sz="0" w:space="0" w:color="auto"/>
        <w:left w:val="none" w:sz="0" w:space="0" w:color="auto"/>
        <w:bottom w:val="none" w:sz="0" w:space="0" w:color="auto"/>
        <w:right w:val="none" w:sz="0" w:space="0" w:color="auto"/>
      </w:divBdr>
    </w:div>
    <w:div w:id="863399150">
      <w:bodyDiv w:val="1"/>
      <w:marLeft w:val="0"/>
      <w:marRight w:val="0"/>
      <w:marTop w:val="0"/>
      <w:marBottom w:val="0"/>
      <w:divBdr>
        <w:top w:val="none" w:sz="0" w:space="0" w:color="auto"/>
        <w:left w:val="none" w:sz="0" w:space="0" w:color="auto"/>
        <w:bottom w:val="none" w:sz="0" w:space="0" w:color="auto"/>
        <w:right w:val="none" w:sz="0" w:space="0" w:color="auto"/>
      </w:divBdr>
    </w:div>
    <w:div w:id="863834361">
      <w:bodyDiv w:val="1"/>
      <w:marLeft w:val="0"/>
      <w:marRight w:val="0"/>
      <w:marTop w:val="0"/>
      <w:marBottom w:val="0"/>
      <w:divBdr>
        <w:top w:val="none" w:sz="0" w:space="0" w:color="auto"/>
        <w:left w:val="none" w:sz="0" w:space="0" w:color="auto"/>
        <w:bottom w:val="none" w:sz="0" w:space="0" w:color="auto"/>
        <w:right w:val="none" w:sz="0" w:space="0" w:color="auto"/>
      </w:divBdr>
      <w:divsChild>
        <w:div w:id="770465683">
          <w:marLeft w:val="-225"/>
          <w:marRight w:val="-225"/>
          <w:marTop w:val="0"/>
          <w:marBottom w:val="0"/>
          <w:divBdr>
            <w:top w:val="none" w:sz="0" w:space="0" w:color="auto"/>
            <w:left w:val="none" w:sz="0" w:space="0" w:color="auto"/>
            <w:bottom w:val="none" w:sz="0" w:space="0" w:color="auto"/>
            <w:right w:val="none" w:sz="0" w:space="0" w:color="auto"/>
          </w:divBdr>
          <w:divsChild>
            <w:div w:id="1963144724">
              <w:marLeft w:val="0"/>
              <w:marRight w:val="0"/>
              <w:marTop w:val="0"/>
              <w:marBottom w:val="0"/>
              <w:divBdr>
                <w:top w:val="none" w:sz="0" w:space="0" w:color="auto"/>
                <w:left w:val="none" w:sz="0" w:space="0" w:color="auto"/>
                <w:bottom w:val="none" w:sz="0" w:space="0" w:color="auto"/>
                <w:right w:val="none" w:sz="0" w:space="0" w:color="auto"/>
              </w:divBdr>
              <w:divsChild>
                <w:div w:id="4871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4679">
      <w:bodyDiv w:val="1"/>
      <w:marLeft w:val="0"/>
      <w:marRight w:val="0"/>
      <w:marTop w:val="0"/>
      <w:marBottom w:val="0"/>
      <w:divBdr>
        <w:top w:val="none" w:sz="0" w:space="0" w:color="auto"/>
        <w:left w:val="none" w:sz="0" w:space="0" w:color="auto"/>
        <w:bottom w:val="none" w:sz="0" w:space="0" w:color="auto"/>
        <w:right w:val="none" w:sz="0" w:space="0" w:color="auto"/>
      </w:divBdr>
    </w:div>
    <w:div w:id="868110118">
      <w:bodyDiv w:val="1"/>
      <w:marLeft w:val="0"/>
      <w:marRight w:val="0"/>
      <w:marTop w:val="0"/>
      <w:marBottom w:val="0"/>
      <w:divBdr>
        <w:top w:val="none" w:sz="0" w:space="0" w:color="auto"/>
        <w:left w:val="none" w:sz="0" w:space="0" w:color="auto"/>
        <w:bottom w:val="none" w:sz="0" w:space="0" w:color="auto"/>
        <w:right w:val="none" w:sz="0" w:space="0" w:color="auto"/>
      </w:divBdr>
      <w:divsChild>
        <w:div w:id="874999510">
          <w:marLeft w:val="0"/>
          <w:marRight w:val="0"/>
          <w:marTop w:val="0"/>
          <w:marBottom w:val="0"/>
          <w:divBdr>
            <w:top w:val="none" w:sz="0" w:space="0" w:color="auto"/>
            <w:left w:val="none" w:sz="0" w:space="0" w:color="auto"/>
            <w:bottom w:val="none" w:sz="0" w:space="0" w:color="auto"/>
            <w:right w:val="none" w:sz="0" w:space="0" w:color="auto"/>
          </w:divBdr>
          <w:divsChild>
            <w:div w:id="62266729">
              <w:marLeft w:val="0"/>
              <w:marRight w:val="0"/>
              <w:marTop w:val="0"/>
              <w:marBottom w:val="0"/>
              <w:divBdr>
                <w:top w:val="none" w:sz="0" w:space="0" w:color="auto"/>
                <w:left w:val="none" w:sz="0" w:space="0" w:color="auto"/>
                <w:bottom w:val="none" w:sz="0" w:space="0" w:color="auto"/>
                <w:right w:val="none" w:sz="0" w:space="0" w:color="auto"/>
              </w:divBdr>
            </w:div>
            <w:div w:id="12227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6507">
      <w:bodyDiv w:val="1"/>
      <w:marLeft w:val="0"/>
      <w:marRight w:val="0"/>
      <w:marTop w:val="0"/>
      <w:marBottom w:val="0"/>
      <w:divBdr>
        <w:top w:val="none" w:sz="0" w:space="0" w:color="auto"/>
        <w:left w:val="none" w:sz="0" w:space="0" w:color="auto"/>
        <w:bottom w:val="none" w:sz="0" w:space="0" w:color="auto"/>
        <w:right w:val="none" w:sz="0" w:space="0" w:color="auto"/>
      </w:divBdr>
    </w:div>
    <w:div w:id="871110446">
      <w:bodyDiv w:val="1"/>
      <w:marLeft w:val="0"/>
      <w:marRight w:val="0"/>
      <w:marTop w:val="0"/>
      <w:marBottom w:val="0"/>
      <w:divBdr>
        <w:top w:val="none" w:sz="0" w:space="0" w:color="auto"/>
        <w:left w:val="none" w:sz="0" w:space="0" w:color="auto"/>
        <w:bottom w:val="none" w:sz="0" w:space="0" w:color="auto"/>
        <w:right w:val="none" w:sz="0" w:space="0" w:color="auto"/>
      </w:divBdr>
    </w:div>
    <w:div w:id="871763954">
      <w:bodyDiv w:val="1"/>
      <w:marLeft w:val="0"/>
      <w:marRight w:val="0"/>
      <w:marTop w:val="0"/>
      <w:marBottom w:val="0"/>
      <w:divBdr>
        <w:top w:val="none" w:sz="0" w:space="0" w:color="auto"/>
        <w:left w:val="none" w:sz="0" w:space="0" w:color="auto"/>
        <w:bottom w:val="none" w:sz="0" w:space="0" w:color="auto"/>
        <w:right w:val="none" w:sz="0" w:space="0" w:color="auto"/>
      </w:divBdr>
    </w:div>
    <w:div w:id="876237313">
      <w:bodyDiv w:val="1"/>
      <w:marLeft w:val="0"/>
      <w:marRight w:val="0"/>
      <w:marTop w:val="0"/>
      <w:marBottom w:val="0"/>
      <w:divBdr>
        <w:top w:val="none" w:sz="0" w:space="0" w:color="auto"/>
        <w:left w:val="none" w:sz="0" w:space="0" w:color="auto"/>
        <w:bottom w:val="none" w:sz="0" w:space="0" w:color="auto"/>
        <w:right w:val="none" w:sz="0" w:space="0" w:color="auto"/>
      </w:divBdr>
      <w:divsChild>
        <w:div w:id="157230487">
          <w:marLeft w:val="-225"/>
          <w:marRight w:val="-225"/>
          <w:marTop w:val="0"/>
          <w:marBottom w:val="0"/>
          <w:divBdr>
            <w:top w:val="none" w:sz="0" w:space="0" w:color="auto"/>
            <w:left w:val="none" w:sz="0" w:space="0" w:color="auto"/>
            <w:bottom w:val="none" w:sz="0" w:space="0" w:color="auto"/>
            <w:right w:val="none" w:sz="0" w:space="0" w:color="auto"/>
          </w:divBdr>
          <w:divsChild>
            <w:div w:id="1658606141">
              <w:marLeft w:val="0"/>
              <w:marRight w:val="0"/>
              <w:marTop w:val="0"/>
              <w:marBottom w:val="0"/>
              <w:divBdr>
                <w:top w:val="none" w:sz="0" w:space="0" w:color="auto"/>
                <w:left w:val="none" w:sz="0" w:space="0" w:color="auto"/>
                <w:bottom w:val="none" w:sz="0" w:space="0" w:color="auto"/>
                <w:right w:val="none" w:sz="0" w:space="0" w:color="auto"/>
              </w:divBdr>
              <w:divsChild>
                <w:div w:id="9554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1897">
      <w:bodyDiv w:val="1"/>
      <w:marLeft w:val="0"/>
      <w:marRight w:val="0"/>
      <w:marTop w:val="0"/>
      <w:marBottom w:val="0"/>
      <w:divBdr>
        <w:top w:val="none" w:sz="0" w:space="0" w:color="auto"/>
        <w:left w:val="none" w:sz="0" w:space="0" w:color="auto"/>
        <w:bottom w:val="none" w:sz="0" w:space="0" w:color="auto"/>
        <w:right w:val="none" w:sz="0" w:space="0" w:color="auto"/>
      </w:divBdr>
    </w:div>
    <w:div w:id="879439193">
      <w:bodyDiv w:val="1"/>
      <w:marLeft w:val="0"/>
      <w:marRight w:val="0"/>
      <w:marTop w:val="0"/>
      <w:marBottom w:val="0"/>
      <w:divBdr>
        <w:top w:val="none" w:sz="0" w:space="0" w:color="auto"/>
        <w:left w:val="none" w:sz="0" w:space="0" w:color="auto"/>
        <w:bottom w:val="none" w:sz="0" w:space="0" w:color="auto"/>
        <w:right w:val="none" w:sz="0" w:space="0" w:color="auto"/>
      </w:divBdr>
    </w:div>
    <w:div w:id="884222590">
      <w:bodyDiv w:val="1"/>
      <w:marLeft w:val="0"/>
      <w:marRight w:val="0"/>
      <w:marTop w:val="0"/>
      <w:marBottom w:val="0"/>
      <w:divBdr>
        <w:top w:val="none" w:sz="0" w:space="0" w:color="auto"/>
        <w:left w:val="none" w:sz="0" w:space="0" w:color="auto"/>
        <w:bottom w:val="none" w:sz="0" w:space="0" w:color="auto"/>
        <w:right w:val="none" w:sz="0" w:space="0" w:color="auto"/>
      </w:divBdr>
      <w:divsChild>
        <w:div w:id="275412871">
          <w:marLeft w:val="0"/>
          <w:marRight w:val="0"/>
          <w:marTop w:val="0"/>
          <w:marBottom w:val="0"/>
          <w:divBdr>
            <w:top w:val="none" w:sz="0" w:space="0" w:color="auto"/>
            <w:left w:val="none" w:sz="0" w:space="0" w:color="auto"/>
            <w:bottom w:val="none" w:sz="0" w:space="0" w:color="auto"/>
            <w:right w:val="none" w:sz="0" w:space="0" w:color="auto"/>
          </w:divBdr>
          <w:divsChild>
            <w:div w:id="1870331984">
              <w:marLeft w:val="-225"/>
              <w:marRight w:val="-225"/>
              <w:marTop w:val="0"/>
              <w:marBottom w:val="0"/>
              <w:divBdr>
                <w:top w:val="none" w:sz="0" w:space="0" w:color="auto"/>
                <w:left w:val="none" w:sz="0" w:space="0" w:color="auto"/>
                <w:bottom w:val="none" w:sz="0" w:space="0" w:color="auto"/>
                <w:right w:val="none" w:sz="0" w:space="0" w:color="auto"/>
              </w:divBdr>
              <w:divsChild>
                <w:div w:id="2092660247">
                  <w:marLeft w:val="0"/>
                  <w:marRight w:val="0"/>
                  <w:marTop w:val="0"/>
                  <w:marBottom w:val="0"/>
                  <w:divBdr>
                    <w:top w:val="none" w:sz="0" w:space="0" w:color="auto"/>
                    <w:left w:val="none" w:sz="0" w:space="0" w:color="auto"/>
                    <w:bottom w:val="none" w:sz="0" w:space="0" w:color="auto"/>
                    <w:right w:val="none" w:sz="0" w:space="0" w:color="auto"/>
                  </w:divBdr>
                  <w:divsChild>
                    <w:div w:id="3883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1992">
          <w:marLeft w:val="0"/>
          <w:marRight w:val="0"/>
          <w:marTop w:val="0"/>
          <w:marBottom w:val="0"/>
          <w:divBdr>
            <w:top w:val="none" w:sz="0" w:space="0" w:color="auto"/>
            <w:left w:val="none" w:sz="0" w:space="0" w:color="auto"/>
            <w:bottom w:val="none" w:sz="0" w:space="0" w:color="auto"/>
            <w:right w:val="none" w:sz="0" w:space="0" w:color="auto"/>
          </w:divBdr>
          <w:divsChild>
            <w:div w:id="342973415">
              <w:marLeft w:val="-225"/>
              <w:marRight w:val="-225"/>
              <w:marTop w:val="0"/>
              <w:marBottom w:val="0"/>
              <w:divBdr>
                <w:top w:val="none" w:sz="0" w:space="0" w:color="auto"/>
                <w:left w:val="none" w:sz="0" w:space="0" w:color="auto"/>
                <w:bottom w:val="none" w:sz="0" w:space="0" w:color="auto"/>
                <w:right w:val="none" w:sz="0" w:space="0" w:color="auto"/>
              </w:divBdr>
              <w:divsChild>
                <w:div w:id="885415436">
                  <w:marLeft w:val="0"/>
                  <w:marRight w:val="0"/>
                  <w:marTop w:val="0"/>
                  <w:marBottom w:val="0"/>
                  <w:divBdr>
                    <w:top w:val="none" w:sz="0" w:space="0" w:color="auto"/>
                    <w:left w:val="none" w:sz="0" w:space="0" w:color="auto"/>
                    <w:bottom w:val="none" w:sz="0" w:space="0" w:color="auto"/>
                    <w:right w:val="none" w:sz="0" w:space="0" w:color="auto"/>
                  </w:divBdr>
                  <w:divsChild>
                    <w:div w:id="13010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4453">
          <w:marLeft w:val="0"/>
          <w:marRight w:val="0"/>
          <w:marTop w:val="0"/>
          <w:marBottom w:val="0"/>
          <w:divBdr>
            <w:top w:val="none" w:sz="0" w:space="0" w:color="auto"/>
            <w:left w:val="none" w:sz="0" w:space="0" w:color="auto"/>
            <w:bottom w:val="none" w:sz="0" w:space="0" w:color="auto"/>
            <w:right w:val="none" w:sz="0" w:space="0" w:color="auto"/>
          </w:divBdr>
        </w:div>
      </w:divsChild>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070020">
      <w:bodyDiv w:val="1"/>
      <w:marLeft w:val="0"/>
      <w:marRight w:val="0"/>
      <w:marTop w:val="0"/>
      <w:marBottom w:val="0"/>
      <w:divBdr>
        <w:top w:val="none" w:sz="0" w:space="0" w:color="auto"/>
        <w:left w:val="none" w:sz="0" w:space="0" w:color="auto"/>
        <w:bottom w:val="none" w:sz="0" w:space="0" w:color="auto"/>
        <w:right w:val="none" w:sz="0" w:space="0" w:color="auto"/>
      </w:divBdr>
    </w:div>
    <w:div w:id="887885508">
      <w:bodyDiv w:val="1"/>
      <w:marLeft w:val="0"/>
      <w:marRight w:val="0"/>
      <w:marTop w:val="0"/>
      <w:marBottom w:val="0"/>
      <w:divBdr>
        <w:top w:val="none" w:sz="0" w:space="0" w:color="auto"/>
        <w:left w:val="none" w:sz="0" w:space="0" w:color="auto"/>
        <w:bottom w:val="none" w:sz="0" w:space="0" w:color="auto"/>
        <w:right w:val="none" w:sz="0" w:space="0" w:color="auto"/>
      </w:divBdr>
    </w:div>
    <w:div w:id="895361008">
      <w:bodyDiv w:val="1"/>
      <w:marLeft w:val="0"/>
      <w:marRight w:val="0"/>
      <w:marTop w:val="0"/>
      <w:marBottom w:val="0"/>
      <w:divBdr>
        <w:top w:val="none" w:sz="0" w:space="0" w:color="auto"/>
        <w:left w:val="none" w:sz="0" w:space="0" w:color="auto"/>
        <w:bottom w:val="none" w:sz="0" w:space="0" w:color="auto"/>
        <w:right w:val="none" w:sz="0" w:space="0" w:color="auto"/>
      </w:divBdr>
    </w:div>
    <w:div w:id="901257627">
      <w:bodyDiv w:val="1"/>
      <w:marLeft w:val="0"/>
      <w:marRight w:val="0"/>
      <w:marTop w:val="0"/>
      <w:marBottom w:val="0"/>
      <w:divBdr>
        <w:top w:val="none" w:sz="0" w:space="0" w:color="auto"/>
        <w:left w:val="none" w:sz="0" w:space="0" w:color="auto"/>
        <w:bottom w:val="none" w:sz="0" w:space="0" w:color="auto"/>
        <w:right w:val="none" w:sz="0" w:space="0" w:color="auto"/>
      </w:divBdr>
    </w:div>
    <w:div w:id="901990604">
      <w:bodyDiv w:val="1"/>
      <w:marLeft w:val="0"/>
      <w:marRight w:val="0"/>
      <w:marTop w:val="0"/>
      <w:marBottom w:val="0"/>
      <w:divBdr>
        <w:top w:val="none" w:sz="0" w:space="0" w:color="auto"/>
        <w:left w:val="none" w:sz="0" w:space="0" w:color="auto"/>
        <w:bottom w:val="none" w:sz="0" w:space="0" w:color="auto"/>
        <w:right w:val="none" w:sz="0" w:space="0" w:color="auto"/>
      </w:divBdr>
    </w:div>
    <w:div w:id="902570405">
      <w:bodyDiv w:val="1"/>
      <w:marLeft w:val="0"/>
      <w:marRight w:val="0"/>
      <w:marTop w:val="0"/>
      <w:marBottom w:val="0"/>
      <w:divBdr>
        <w:top w:val="none" w:sz="0" w:space="0" w:color="auto"/>
        <w:left w:val="none" w:sz="0" w:space="0" w:color="auto"/>
        <w:bottom w:val="none" w:sz="0" w:space="0" w:color="auto"/>
        <w:right w:val="none" w:sz="0" w:space="0" w:color="auto"/>
      </w:divBdr>
    </w:div>
    <w:div w:id="903106035">
      <w:bodyDiv w:val="1"/>
      <w:marLeft w:val="0"/>
      <w:marRight w:val="0"/>
      <w:marTop w:val="0"/>
      <w:marBottom w:val="0"/>
      <w:divBdr>
        <w:top w:val="none" w:sz="0" w:space="0" w:color="auto"/>
        <w:left w:val="none" w:sz="0" w:space="0" w:color="auto"/>
        <w:bottom w:val="none" w:sz="0" w:space="0" w:color="auto"/>
        <w:right w:val="none" w:sz="0" w:space="0" w:color="auto"/>
      </w:divBdr>
      <w:divsChild>
        <w:div w:id="490633306">
          <w:marLeft w:val="0"/>
          <w:marRight w:val="0"/>
          <w:marTop w:val="0"/>
          <w:marBottom w:val="0"/>
          <w:divBdr>
            <w:top w:val="none" w:sz="0" w:space="0" w:color="auto"/>
            <w:left w:val="none" w:sz="0" w:space="0" w:color="auto"/>
            <w:bottom w:val="none" w:sz="0" w:space="0" w:color="auto"/>
            <w:right w:val="none" w:sz="0" w:space="0" w:color="auto"/>
          </w:divBdr>
          <w:divsChild>
            <w:div w:id="911039005">
              <w:marLeft w:val="0"/>
              <w:marRight w:val="0"/>
              <w:marTop w:val="0"/>
              <w:marBottom w:val="0"/>
              <w:divBdr>
                <w:top w:val="none" w:sz="0" w:space="0" w:color="auto"/>
                <w:left w:val="none" w:sz="0" w:space="0" w:color="auto"/>
                <w:bottom w:val="none" w:sz="0" w:space="0" w:color="auto"/>
                <w:right w:val="none" w:sz="0" w:space="0" w:color="auto"/>
              </w:divBdr>
              <w:divsChild>
                <w:div w:id="1815681878">
                  <w:marLeft w:val="0"/>
                  <w:marRight w:val="0"/>
                  <w:marTop w:val="0"/>
                  <w:marBottom w:val="0"/>
                  <w:divBdr>
                    <w:top w:val="none" w:sz="0" w:space="0" w:color="auto"/>
                    <w:left w:val="none" w:sz="0" w:space="0" w:color="auto"/>
                    <w:bottom w:val="none" w:sz="0" w:space="0" w:color="auto"/>
                    <w:right w:val="none" w:sz="0" w:space="0" w:color="auto"/>
                  </w:divBdr>
                  <w:divsChild>
                    <w:div w:id="1945578985">
                      <w:marLeft w:val="0"/>
                      <w:marRight w:val="0"/>
                      <w:marTop w:val="0"/>
                      <w:marBottom w:val="0"/>
                      <w:divBdr>
                        <w:top w:val="none" w:sz="0" w:space="0" w:color="auto"/>
                        <w:left w:val="none" w:sz="0" w:space="0" w:color="auto"/>
                        <w:bottom w:val="none" w:sz="0" w:space="0" w:color="auto"/>
                        <w:right w:val="none" w:sz="0" w:space="0" w:color="auto"/>
                      </w:divBdr>
                      <w:divsChild>
                        <w:div w:id="17852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3277">
          <w:marLeft w:val="0"/>
          <w:marRight w:val="0"/>
          <w:marTop w:val="0"/>
          <w:marBottom w:val="0"/>
          <w:divBdr>
            <w:top w:val="none" w:sz="0" w:space="0" w:color="auto"/>
            <w:left w:val="none" w:sz="0" w:space="0" w:color="auto"/>
            <w:bottom w:val="none" w:sz="0" w:space="0" w:color="auto"/>
            <w:right w:val="none" w:sz="0" w:space="0" w:color="auto"/>
          </w:divBdr>
          <w:divsChild>
            <w:div w:id="1530801927">
              <w:marLeft w:val="-225"/>
              <w:marRight w:val="-225"/>
              <w:marTop w:val="0"/>
              <w:marBottom w:val="0"/>
              <w:divBdr>
                <w:top w:val="none" w:sz="0" w:space="0" w:color="auto"/>
                <w:left w:val="none" w:sz="0" w:space="0" w:color="auto"/>
                <w:bottom w:val="none" w:sz="0" w:space="0" w:color="auto"/>
                <w:right w:val="none" w:sz="0" w:space="0" w:color="auto"/>
              </w:divBdr>
              <w:divsChild>
                <w:div w:id="1265842990">
                  <w:marLeft w:val="0"/>
                  <w:marRight w:val="0"/>
                  <w:marTop w:val="0"/>
                  <w:marBottom w:val="0"/>
                  <w:divBdr>
                    <w:top w:val="none" w:sz="0" w:space="0" w:color="auto"/>
                    <w:left w:val="none" w:sz="0" w:space="0" w:color="auto"/>
                    <w:bottom w:val="none" w:sz="0" w:space="0" w:color="auto"/>
                    <w:right w:val="none" w:sz="0" w:space="0" w:color="auto"/>
                  </w:divBdr>
                  <w:divsChild>
                    <w:div w:id="6742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69200">
          <w:marLeft w:val="0"/>
          <w:marRight w:val="0"/>
          <w:marTop w:val="0"/>
          <w:marBottom w:val="0"/>
          <w:divBdr>
            <w:top w:val="none" w:sz="0" w:space="0" w:color="auto"/>
            <w:left w:val="none" w:sz="0" w:space="0" w:color="auto"/>
            <w:bottom w:val="none" w:sz="0" w:space="0" w:color="auto"/>
            <w:right w:val="none" w:sz="0" w:space="0" w:color="auto"/>
          </w:divBdr>
        </w:div>
        <w:div w:id="1909415150">
          <w:marLeft w:val="0"/>
          <w:marRight w:val="0"/>
          <w:marTop w:val="0"/>
          <w:marBottom w:val="0"/>
          <w:divBdr>
            <w:top w:val="none" w:sz="0" w:space="0" w:color="auto"/>
            <w:left w:val="none" w:sz="0" w:space="0" w:color="auto"/>
            <w:bottom w:val="none" w:sz="0" w:space="0" w:color="auto"/>
            <w:right w:val="none" w:sz="0" w:space="0" w:color="auto"/>
          </w:divBdr>
          <w:divsChild>
            <w:div w:id="729958428">
              <w:marLeft w:val="-225"/>
              <w:marRight w:val="-225"/>
              <w:marTop w:val="0"/>
              <w:marBottom w:val="0"/>
              <w:divBdr>
                <w:top w:val="none" w:sz="0" w:space="0" w:color="auto"/>
                <w:left w:val="none" w:sz="0" w:space="0" w:color="auto"/>
                <w:bottom w:val="none" w:sz="0" w:space="0" w:color="auto"/>
                <w:right w:val="none" w:sz="0" w:space="0" w:color="auto"/>
              </w:divBdr>
              <w:divsChild>
                <w:div w:id="1606421239">
                  <w:marLeft w:val="0"/>
                  <w:marRight w:val="0"/>
                  <w:marTop w:val="0"/>
                  <w:marBottom w:val="0"/>
                  <w:divBdr>
                    <w:top w:val="none" w:sz="0" w:space="0" w:color="auto"/>
                    <w:left w:val="none" w:sz="0" w:space="0" w:color="auto"/>
                    <w:bottom w:val="none" w:sz="0" w:space="0" w:color="auto"/>
                    <w:right w:val="none" w:sz="0" w:space="0" w:color="auto"/>
                  </w:divBdr>
                  <w:divsChild>
                    <w:div w:id="12186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23166">
      <w:bodyDiv w:val="1"/>
      <w:marLeft w:val="0"/>
      <w:marRight w:val="0"/>
      <w:marTop w:val="0"/>
      <w:marBottom w:val="0"/>
      <w:divBdr>
        <w:top w:val="none" w:sz="0" w:space="0" w:color="auto"/>
        <w:left w:val="none" w:sz="0" w:space="0" w:color="auto"/>
        <w:bottom w:val="none" w:sz="0" w:space="0" w:color="auto"/>
        <w:right w:val="none" w:sz="0" w:space="0" w:color="auto"/>
      </w:divBdr>
    </w:div>
    <w:div w:id="913318006">
      <w:bodyDiv w:val="1"/>
      <w:marLeft w:val="0"/>
      <w:marRight w:val="0"/>
      <w:marTop w:val="0"/>
      <w:marBottom w:val="0"/>
      <w:divBdr>
        <w:top w:val="none" w:sz="0" w:space="0" w:color="auto"/>
        <w:left w:val="none" w:sz="0" w:space="0" w:color="auto"/>
        <w:bottom w:val="none" w:sz="0" w:space="0" w:color="auto"/>
        <w:right w:val="none" w:sz="0" w:space="0" w:color="auto"/>
      </w:divBdr>
    </w:div>
    <w:div w:id="914048355">
      <w:bodyDiv w:val="1"/>
      <w:marLeft w:val="0"/>
      <w:marRight w:val="0"/>
      <w:marTop w:val="0"/>
      <w:marBottom w:val="0"/>
      <w:divBdr>
        <w:top w:val="none" w:sz="0" w:space="0" w:color="auto"/>
        <w:left w:val="none" w:sz="0" w:space="0" w:color="auto"/>
        <w:bottom w:val="none" w:sz="0" w:space="0" w:color="auto"/>
        <w:right w:val="none" w:sz="0" w:space="0" w:color="auto"/>
      </w:divBdr>
    </w:div>
    <w:div w:id="915746365">
      <w:bodyDiv w:val="1"/>
      <w:marLeft w:val="0"/>
      <w:marRight w:val="0"/>
      <w:marTop w:val="0"/>
      <w:marBottom w:val="0"/>
      <w:divBdr>
        <w:top w:val="none" w:sz="0" w:space="0" w:color="auto"/>
        <w:left w:val="none" w:sz="0" w:space="0" w:color="auto"/>
        <w:bottom w:val="none" w:sz="0" w:space="0" w:color="auto"/>
        <w:right w:val="none" w:sz="0" w:space="0" w:color="auto"/>
      </w:divBdr>
    </w:div>
    <w:div w:id="915936317">
      <w:bodyDiv w:val="1"/>
      <w:marLeft w:val="0"/>
      <w:marRight w:val="0"/>
      <w:marTop w:val="0"/>
      <w:marBottom w:val="0"/>
      <w:divBdr>
        <w:top w:val="none" w:sz="0" w:space="0" w:color="auto"/>
        <w:left w:val="none" w:sz="0" w:space="0" w:color="auto"/>
        <w:bottom w:val="none" w:sz="0" w:space="0" w:color="auto"/>
        <w:right w:val="none" w:sz="0" w:space="0" w:color="auto"/>
      </w:divBdr>
    </w:div>
    <w:div w:id="919872780">
      <w:bodyDiv w:val="1"/>
      <w:marLeft w:val="0"/>
      <w:marRight w:val="0"/>
      <w:marTop w:val="0"/>
      <w:marBottom w:val="0"/>
      <w:divBdr>
        <w:top w:val="none" w:sz="0" w:space="0" w:color="auto"/>
        <w:left w:val="none" w:sz="0" w:space="0" w:color="auto"/>
        <w:bottom w:val="none" w:sz="0" w:space="0" w:color="auto"/>
        <w:right w:val="none" w:sz="0" w:space="0" w:color="auto"/>
      </w:divBdr>
    </w:div>
    <w:div w:id="920992049">
      <w:bodyDiv w:val="1"/>
      <w:marLeft w:val="0"/>
      <w:marRight w:val="0"/>
      <w:marTop w:val="0"/>
      <w:marBottom w:val="0"/>
      <w:divBdr>
        <w:top w:val="none" w:sz="0" w:space="0" w:color="auto"/>
        <w:left w:val="none" w:sz="0" w:space="0" w:color="auto"/>
        <w:bottom w:val="none" w:sz="0" w:space="0" w:color="auto"/>
        <w:right w:val="none" w:sz="0" w:space="0" w:color="auto"/>
      </w:divBdr>
    </w:div>
    <w:div w:id="928123842">
      <w:bodyDiv w:val="1"/>
      <w:marLeft w:val="0"/>
      <w:marRight w:val="0"/>
      <w:marTop w:val="0"/>
      <w:marBottom w:val="0"/>
      <w:divBdr>
        <w:top w:val="none" w:sz="0" w:space="0" w:color="auto"/>
        <w:left w:val="none" w:sz="0" w:space="0" w:color="auto"/>
        <w:bottom w:val="none" w:sz="0" w:space="0" w:color="auto"/>
        <w:right w:val="none" w:sz="0" w:space="0" w:color="auto"/>
      </w:divBdr>
    </w:div>
    <w:div w:id="931158770">
      <w:bodyDiv w:val="1"/>
      <w:marLeft w:val="0"/>
      <w:marRight w:val="0"/>
      <w:marTop w:val="0"/>
      <w:marBottom w:val="0"/>
      <w:divBdr>
        <w:top w:val="none" w:sz="0" w:space="0" w:color="auto"/>
        <w:left w:val="none" w:sz="0" w:space="0" w:color="auto"/>
        <w:bottom w:val="none" w:sz="0" w:space="0" w:color="auto"/>
        <w:right w:val="none" w:sz="0" w:space="0" w:color="auto"/>
      </w:divBdr>
    </w:div>
    <w:div w:id="931546145">
      <w:bodyDiv w:val="1"/>
      <w:marLeft w:val="0"/>
      <w:marRight w:val="0"/>
      <w:marTop w:val="0"/>
      <w:marBottom w:val="0"/>
      <w:divBdr>
        <w:top w:val="none" w:sz="0" w:space="0" w:color="auto"/>
        <w:left w:val="none" w:sz="0" w:space="0" w:color="auto"/>
        <w:bottom w:val="none" w:sz="0" w:space="0" w:color="auto"/>
        <w:right w:val="none" w:sz="0" w:space="0" w:color="auto"/>
      </w:divBdr>
    </w:div>
    <w:div w:id="932124102">
      <w:bodyDiv w:val="1"/>
      <w:marLeft w:val="0"/>
      <w:marRight w:val="0"/>
      <w:marTop w:val="0"/>
      <w:marBottom w:val="0"/>
      <w:divBdr>
        <w:top w:val="none" w:sz="0" w:space="0" w:color="auto"/>
        <w:left w:val="none" w:sz="0" w:space="0" w:color="auto"/>
        <w:bottom w:val="none" w:sz="0" w:space="0" w:color="auto"/>
        <w:right w:val="none" w:sz="0" w:space="0" w:color="auto"/>
      </w:divBdr>
    </w:div>
    <w:div w:id="932931460">
      <w:bodyDiv w:val="1"/>
      <w:marLeft w:val="0"/>
      <w:marRight w:val="0"/>
      <w:marTop w:val="0"/>
      <w:marBottom w:val="0"/>
      <w:divBdr>
        <w:top w:val="none" w:sz="0" w:space="0" w:color="auto"/>
        <w:left w:val="none" w:sz="0" w:space="0" w:color="auto"/>
        <w:bottom w:val="none" w:sz="0" w:space="0" w:color="auto"/>
        <w:right w:val="none" w:sz="0" w:space="0" w:color="auto"/>
      </w:divBdr>
    </w:div>
    <w:div w:id="943540486">
      <w:bodyDiv w:val="1"/>
      <w:marLeft w:val="0"/>
      <w:marRight w:val="0"/>
      <w:marTop w:val="0"/>
      <w:marBottom w:val="0"/>
      <w:divBdr>
        <w:top w:val="none" w:sz="0" w:space="0" w:color="auto"/>
        <w:left w:val="none" w:sz="0" w:space="0" w:color="auto"/>
        <w:bottom w:val="none" w:sz="0" w:space="0" w:color="auto"/>
        <w:right w:val="none" w:sz="0" w:space="0" w:color="auto"/>
      </w:divBdr>
    </w:div>
    <w:div w:id="946037581">
      <w:bodyDiv w:val="1"/>
      <w:marLeft w:val="0"/>
      <w:marRight w:val="0"/>
      <w:marTop w:val="0"/>
      <w:marBottom w:val="0"/>
      <w:divBdr>
        <w:top w:val="none" w:sz="0" w:space="0" w:color="auto"/>
        <w:left w:val="none" w:sz="0" w:space="0" w:color="auto"/>
        <w:bottom w:val="none" w:sz="0" w:space="0" w:color="auto"/>
        <w:right w:val="none" w:sz="0" w:space="0" w:color="auto"/>
      </w:divBdr>
    </w:div>
    <w:div w:id="946039055">
      <w:bodyDiv w:val="1"/>
      <w:marLeft w:val="0"/>
      <w:marRight w:val="0"/>
      <w:marTop w:val="0"/>
      <w:marBottom w:val="0"/>
      <w:divBdr>
        <w:top w:val="none" w:sz="0" w:space="0" w:color="auto"/>
        <w:left w:val="none" w:sz="0" w:space="0" w:color="auto"/>
        <w:bottom w:val="none" w:sz="0" w:space="0" w:color="auto"/>
        <w:right w:val="none" w:sz="0" w:space="0" w:color="auto"/>
      </w:divBdr>
    </w:div>
    <w:div w:id="949626872">
      <w:bodyDiv w:val="1"/>
      <w:marLeft w:val="0"/>
      <w:marRight w:val="0"/>
      <w:marTop w:val="0"/>
      <w:marBottom w:val="0"/>
      <w:divBdr>
        <w:top w:val="none" w:sz="0" w:space="0" w:color="auto"/>
        <w:left w:val="none" w:sz="0" w:space="0" w:color="auto"/>
        <w:bottom w:val="none" w:sz="0" w:space="0" w:color="auto"/>
        <w:right w:val="none" w:sz="0" w:space="0" w:color="auto"/>
      </w:divBdr>
    </w:div>
    <w:div w:id="952637571">
      <w:bodyDiv w:val="1"/>
      <w:marLeft w:val="0"/>
      <w:marRight w:val="0"/>
      <w:marTop w:val="0"/>
      <w:marBottom w:val="0"/>
      <w:divBdr>
        <w:top w:val="none" w:sz="0" w:space="0" w:color="auto"/>
        <w:left w:val="none" w:sz="0" w:space="0" w:color="auto"/>
        <w:bottom w:val="none" w:sz="0" w:space="0" w:color="auto"/>
        <w:right w:val="none" w:sz="0" w:space="0" w:color="auto"/>
      </w:divBdr>
      <w:divsChild>
        <w:div w:id="1043214507">
          <w:marLeft w:val="0"/>
          <w:marRight w:val="0"/>
          <w:marTop w:val="0"/>
          <w:marBottom w:val="0"/>
          <w:divBdr>
            <w:top w:val="none" w:sz="0" w:space="0" w:color="auto"/>
            <w:left w:val="none" w:sz="0" w:space="0" w:color="auto"/>
            <w:bottom w:val="none" w:sz="0" w:space="0" w:color="auto"/>
            <w:right w:val="none" w:sz="0" w:space="0" w:color="auto"/>
          </w:divBdr>
          <w:divsChild>
            <w:div w:id="1044980857">
              <w:marLeft w:val="-225"/>
              <w:marRight w:val="-225"/>
              <w:marTop w:val="0"/>
              <w:marBottom w:val="0"/>
              <w:divBdr>
                <w:top w:val="none" w:sz="0" w:space="0" w:color="auto"/>
                <w:left w:val="none" w:sz="0" w:space="0" w:color="auto"/>
                <w:bottom w:val="none" w:sz="0" w:space="0" w:color="auto"/>
                <w:right w:val="none" w:sz="0" w:space="0" w:color="auto"/>
              </w:divBdr>
              <w:divsChild>
                <w:div w:id="1091469272">
                  <w:marLeft w:val="0"/>
                  <w:marRight w:val="0"/>
                  <w:marTop w:val="0"/>
                  <w:marBottom w:val="0"/>
                  <w:divBdr>
                    <w:top w:val="none" w:sz="0" w:space="0" w:color="auto"/>
                    <w:left w:val="none" w:sz="0" w:space="0" w:color="auto"/>
                    <w:bottom w:val="none" w:sz="0" w:space="0" w:color="auto"/>
                    <w:right w:val="none" w:sz="0" w:space="0" w:color="auto"/>
                  </w:divBdr>
                  <w:divsChild>
                    <w:div w:id="20329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54369">
          <w:marLeft w:val="0"/>
          <w:marRight w:val="0"/>
          <w:marTop w:val="0"/>
          <w:marBottom w:val="0"/>
          <w:divBdr>
            <w:top w:val="none" w:sz="0" w:space="0" w:color="auto"/>
            <w:left w:val="none" w:sz="0" w:space="0" w:color="auto"/>
            <w:bottom w:val="none" w:sz="0" w:space="0" w:color="auto"/>
            <w:right w:val="none" w:sz="0" w:space="0" w:color="auto"/>
          </w:divBdr>
          <w:divsChild>
            <w:div w:id="741100785">
              <w:marLeft w:val="-225"/>
              <w:marRight w:val="-225"/>
              <w:marTop w:val="0"/>
              <w:marBottom w:val="0"/>
              <w:divBdr>
                <w:top w:val="none" w:sz="0" w:space="0" w:color="auto"/>
                <w:left w:val="none" w:sz="0" w:space="0" w:color="auto"/>
                <w:bottom w:val="none" w:sz="0" w:space="0" w:color="auto"/>
                <w:right w:val="none" w:sz="0" w:space="0" w:color="auto"/>
              </w:divBdr>
              <w:divsChild>
                <w:div w:id="1040129167">
                  <w:marLeft w:val="0"/>
                  <w:marRight w:val="0"/>
                  <w:marTop w:val="0"/>
                  <w:marBottom w:val="0"/>
                  <w:divBdr>
                    <w:top w:val="none" w:sz="0" w:space="0" w:color="auto"/>
                    <w:left w:val="none" w:sz="0" w:space="0" w:color="auto"/>
                    <w:bottom w:val="none" w:sz="0" w:space="0" w:color="auto"/>
                    <w:right w:val="none" w:sz="0" w:space="0" w:color="auto"/>
                  </w:divBdr>
                  <w:divsChild>
                    <w:div w:id="1802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6521">
          <w:marLeft w:val="0"/>
          <w:marRight w:val="0"/>
          <w:marTop w:val="0"/>
          <w:marBottom w:val="0"/>
          <w:divBdr>
            <w:top w:val="none" w:sz="0" w:space="0" w:color="auto"/>
            <w:left w:val="none" w:sz="0" w:space="0" w:color="auto"/>
            <w:bottom w:val="none" w:sz="0" w:space="0" w:color="auto"/>
            <w:right w:val="none" w:sz="0" w:space="0" w:color="auto"/>
          </w:divBdr>
          <w:divsChild>
            <w:div w:id="1964264586">
              <w:marLeft w:val="0"/>
              <w:marRight w:val="0"/>
              <w:marTop w:val="0"/>
              <w:marBottom w:val="0"/>
              <w:divBdr>
                <w:top w:val="single" w:sz="6" w:space="24" w:color="EBEEF5"/>
                <w:left w:val="none" w:sz="0" w:space="0" w:color="auto"/>
                <w:bottom w:val="single" w:sz="6" w:space="18" w:color="EBEEF5"/>
                <w:right w:val="none" w:sz="0" w:space="0" w:color="auto"/>
              </w:divBdr>
              <w:divsChild>
                <w:div w:id="1594392528">
                  <w:marLeft w:val="0"/>
                  <w:marRight w:val="0"/>
                  <w:marTop w:val="0"/>
                  <w:marBottom w:val="0"/>
                  <w:divBdr>
                    <w:top w:val="none" w:sz="0" w:space="0" w:color="auto"/>
                    <w:left w:val="none" w:sz="0" w:space="0" w:color="auto"/>
                    <w:bottom w:val="none" w:sz="0" w:space="0" w:color="auto"/>
                    <w:right w:val="none" w:sz="0" w:space="0" w:color="auto"/>
                  </w:divBdr>
                  <w:divsChild>
                    <w:div w:id="1214002075">
                      <w:marLeft w:val="0"/>
                      <w:marRight w:val="0"/>
                      <w:marTop w:val="0"/>
                      <w:marBottom w:val="0"/>
                      <w:divBdr>
                        <w:top w:val="none" w:sz="0" w:space="0" w:color="auto"/>
                        <w:left w:val="none" w:sz="0" w:space="0" w:color="auto"/>
                        <w:bottom w:val="none" w:sz="0" w:space="0" w:color="auto"/>
                        <w:right w:val="none" w:sz="0" w:space="0" w:color="auto"/>
                      </w:divBdr>
                      <w:divsChild>
                        <w:div w:id="11184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60370">
          <w:marLeft w:val="0"/>
          <w:marRight w:val="0"/>
          <w:marTop w:val="0"/>
          <w:marBottom w:val="0"/>
          <w:divBdr>
            <w:top w:val="none" w:sz="0" w:space="0" w:color="auto"/>
            <w:left w:val="none" w:sz="0" w:space="0" w:color="auto"/>
            <w:bottom w:val="none" w:sz="0" w:space="0" w:color="auto"/>
            <w:right w:val="none" w:sz="0" w:space="0" w:color="auto"/>
          </w:divBdr>
        </w:div>
      </w:divsChild>
    </w:div>
    <w:div w:id="953636688">
      <w:bodyDiv w:val="1"/>
      <w:marLeft w:val="0"/>
      <w:marRight w:val="0"/>
      <w:marTop w:val="0"/>
      <w:marBottom w:val="0"/>
      <w:divBdr>
        <w:top w:val="none" w:sz="0" w:space="0" w:color="auto"/>
        <w:left w:val="none" w:sz="0" w:space="0" w:color="auto"/>
        <w:bottom w:val="none" w:sz="0" w:space="0" w:color="auto"/>
        <w:right w:val="none" w:sz="0" w:space="0" w:color="auto"/>
      </w:divBdr>
    </w:div>
    <w:div w:id="956258745">
      <w:bodyDiv w:val="1"/>
      <w:marLeft w:val="0"/>
      <w:marRight w:val="0"/>
      <w:marTop w:val="0"/>
      <w:marBottom w:val="0"/>
      <w:divBdr>
        <w:top w:val="none" w:sz="0" w:space="0" w:color="auto"/>
        <w:left w:val="none" w:sz="0" w:space="0" w:color="auto"/>
        <w:bottom w:val="none" w:sz="0" w:space="0" w:color="auto"/>
        <w:right w:val="none" w:sz="0" w:space="0" w:color="auto"/>
      </w:divBdr>
    </w:div>
    <w:div w:id="957180569">
      <w:bodyDiv w:val="1"/>
      <w:marLeft w:val="0"/>
      <w:marRight w:val="0"/>
      <w:marTop w:val="0"/>
      <w:marBottom w:val="0"/>
      <w:divBdr>
        <w:top w:val="none" w:sz="0" w:space="0" w:color="auto"/>
        <w:left w:val="none" w:sz="0" w:space="0" w:color="auto"/>
        <w:bottom w:val="none" w:sz="0" w:space="0" w:color="auto"/>
        <w:right w:val="none" w:sz="0" w:space="0" w:color="auto"/>
      </w:divBdr>
    </w:div>
    <w:div w:id="959459749">
      <w:bodyDiv w:val="1"/>
      <w:marLeft w:val="0"/>
      <w:marRight w:val="0"/>
      <w:marTop w:val="0"/>
      <w:marBottom w:val="0"/>
      <w:divBdr>
        <w:top w:val="none" w:sz="0" w:space="0" w:color="auto"/>
        <w:left w:val="none" w:sz="0" w:space="0" w:color="auto"/>
        <w:bottom w:val="none" w:sz="0" w:space="0" w:color="auto"/>
        <w:right w:val="none" w:sz="0" w:space="0" w:color="auto"/>
      </w:divBdr>
    </w:div>
    <w:div w:id="960840030">
      <w:bodyDiv w:val="1"/>
      <w:marLeft w:val="0"/>
      <w:marRight w:val="0"/>
      <w:marTop w:val="0"/>
      <w:marBottom w:val="0"/>
      <w:divBdr>
        <w:top w:val="none" w:sz="0" w:space="0" w:color="auto"/>
        <w:left w:val="none" w:sz="0" w:space="0" w:color="auto"/>
        <w:bottom w:val="none" w:sz="0" w:space="0" w:color="auto"/>
        <w:right w:val="none" w:sz="0" w:space="0" w:color="auto"/>
      </w:divBdr>
    </w:div>
    <w:div w:id="964116542">
      <w:bodyDiv w:val="1"/>
      <w:marLeft w:val="0"/>
      <w:marRight w:val="0"/>
      <w:marTop w:val="0"/>
      <w:marBottom w:val="0"/>
      <w:divBdr>
        <w:top w:val="none" w:sz="0" w:space="0" w:color="auto"/>
        <w:left w:val="none" w:sz="0" w:space="0" w:color="auto"/>
        <w:bottom w:val="none" w:sz="0" w:space="0" w:color="auto"/>
        <w:right w:val="none" w:sz="0" w:space="0" w:color="auto"/>
      </w:divBdr>
    </w:div>
    <w:div w:id="971059474">
      <w:bodyDiv w:val="1"/>
      <w:marLeft w:val="0"/>
      <w:marRight w:val="0"/>
      <w:marTop w:val="0"/>
      <w:marBottom w:val="0"/>
      <w:divBdr>
        <w:top w:val="none" w:sz="0" w:space="0" w:color="auto"/>
        <w:left w:val="none" w:sz="0" w:space="0" w:color="auto"/>
        <w:bottom w:val="none" w:sz="0" w:space="0" w:color="auto"/>
        <w:right w:val="none" w:sz="0" w:space="0" w:color="auto"/>
      </w:divBdr>
    </w:div>
    <w:div w:id="973489623">
      <w:bodyDiv w:val="1"/>
      <w:marLeft w:val="0"/>
      <w:marRight w:val="0"/>
      <w:marTop w:val="0"/>
      <w:marBottom w:val="0"/>
      <w:divBdr>
        <w:top w:val="none" w:sz="0" w:space="0" w:color="auto"/>
        <w:left w:val="none" w:sz="0" w:space="0" w:color="auto"/>
        <w:bottom w:val="none" w:sz="0" w:space="0" w:color="auto"/>
        <w:right w:val="none" w:sz="0" w:space="0" w:color="auto"/>
      </w:divBdr>
    </w:div>
    <w:div w:id="973557130">
      <w:bodyDiv w:val="1"/>
      <w:marLeft w:val="0"/>
      <w:marRight w:val="0"/>
      <w:marTop w:val="0"/>
      <w:marBottom w:val="0"/>
      <w:divBdr>
        <w:top w:val="none" w:sz="0" w:space="0" w:color="auto"/>
        <w:left w:val="none" w:sz="0" w:space="0" w:color="auto"/>
        <w:bottom w:val="none" w:sz="0" w:space="0" w:color="auto"/>
        <w:right w:val="none" w:sz="0" w:space="0" w:color="auto"/>
      </w:divBdr>
    </w:div>
    <w:div w:id="973758825">
      <w:bodyDiv w:val="1"/>
      <w:marLeft w:val="0"/>
      <w:marRight w:val="0"/>
      <w:marTop w:val="0"/>
      <w:marBottom w:val="0"/>
      <w:divBdr>
        <w:top w:val="none" w:sz="0" w:space="0" w:color="auto"/>
        <w:left w:val="none" w:sz="0" w:space="0" w:color="auto"/>
        <w:bottom w:val="none" w:sz="0" w:space="0" w:color="auto"/>
        <w:right w:val="none" w:sz="0" w:space="0" w:color="auto"/>
      </w:divBdr>
    </w:div>
    <w:div w:id="977032630">
      <w:bodyDiv w:val="1"/>
      <w:marLeft w:val="0"/>
      <w:marRight w:val="0"/>
      <w:marTop w:val="0"/>
      <w:marBottom w:val="0"/>
      <w:divBdr>
        <w:top w:val="none" w:sz="0" w:space="0" w:color="auto"/>
        <w:left w:val="none" w:sz="0" w:space="0" w:color="auto"/>
        <w:bottom w:val="none" w:sz="0" w:space="0" w:color="auto"/>
        <w:right w:val="none" w:sz="0" w:space="0" w:color="auto"/>
      </w:divBdr>
    </w:div>
    <w:div w:id="981539780">
      <w:bodyDiv w:val="1"/>
      <w:marLeft w:val="0"/>
      <w:marRight w:val="0"/>
      <w:marTop w:val="0"/>
      <w:marBottom w:val="0"/>
      <w:divBdr>
        <w:top w:val="none" w:sz="0" w:space="0" w:color="auto"/>
        <w:left w:val="none" w:sz="0" w:space="0" w:color="auto"/>
        <w:bottom w:val="none" w:sz="0" w:space="0" w:color="auto"/>
        <w:right w:val="none" w:sz="0" w:space="0" w:color="auto"/>
      </w:divBdr>
    </w:div>
    <w:div w:id="983117280">
      <w:bodyDiv w:val="1"/>
      <w:marLeft w:val="0"/>
      <w:marRight w:val="0"/>
      <w:marTop w:val="0"/>
      <w:marBottom w:val="0"/>
      <w:divBdr>
        <w:top w:val="none" w:sz="0" w:space="0" w:color="auto"/>
        <w:left w:val="none" w:sz="0" w:space="0" w:color="auto"/>
        <w:bottom w:val="none" w:sz="0" w:space="0" w:color="auto"/>
        <w:right w:val="none" w:sz="0" w:space="0" w:color="auto"/>
      </w:divBdr>
    </w:div>
    <w:div w:id="984314067">
      <w:bodyDiv w:val="1"/>
      <w:marLeft w:val="0"/>
      <w:marRight w:val="0"/>
      <w:marTop w:val="0"/>
      <w:marBottom w:val="0"/>
      <w:divBdr>
        <w:top w:val="none" w:sz="0" w:space="0" w:color="auto"/>
        <w:left w:val="none" w:sz="0" w:space="0" w:color="auto"/>
        <w:bottom w:val="none" w:sz="0" w:space="0" w:color="auto"/>
        <w:right w:val="none" w:sz="0" w:space="0" w:color="auto"/>
      </w:divBdr>
    </w:div>
    <w:div w:id="987703748">
      <w:bodyDiv w:val="1"/>
      <w:marLeft w:val="0"/>
      <w:marRight w:val="0"/>
      <w:marTop w:val="0"/>
      <w:marBottom w:val="0"/>
      <w:divBdr>
        <w:top w:val="none" w:sz="0" w:space="0" w:color="auto"/>
        <w:left w:val="none" w:sz="0" w:space="0" w:color="auto"/>
        <w:bottom w:val="none" w:sz="0" w:space="0" w:color="auto"/>
        <w:right w:val="none" w:sz="0" w:space="0" w:color="auto"/>
      </w:divBdr>
    </w:div>
    <w:div w:id="988830444">
      <w:bodyDiv w:val="1"/>
      <w:marLeft w:val="0"/>
      <w:marRight w:val="0"/>
      <w:marTop w:val="0"/>
      <w:marBottom w:val="0"/>
      <w:divBdr>
        <w:top w:val="none" w:sz="0" w:space="0" w:color="auto"/>
        <w:left w:val="none" w:sz="0" w:space="0" w:color="auto"/>
        <w:bottom w:val="none" w:sz="0" w:space="0" w:color="auto"/>
        <w:right w:val="none" w:sz="0" w:space="0" w:color="auto"/>
      </w:divBdr>
    </w:div>
    <w:div w:id="995113851">
      <w:bodyDiv w:val="1"/>
      <w:marLeft w:val="0"/>
      <w:marRight w:val="0"/>
      <w:marTop w:val="0"/>
      <w:marBottom w:val="0"/>
      <w:divBdr>
        <w:top w:val="none" w:sz="0" w:space="0" w:color="auto"/>
        <w:left w:val="none" w:sz="0" w:space="0" w:color="auto"/>
        <w:bottom w:val="none" w:sz="0" w:space="0" w:color="auto"/>
        <w:right w:val="none" w:sz="0" w:space="0" w:color="auto"/>
      </w:divBdr>
    </w:div>
    <w:div w:id="996374887">
      <w:bodyDiv w:val="1"/>
      <w:marLeft w:val="0"/>
      <w:marRight w:val="0"/>
      <w:marTop w:val="0"/>
      <w:marBottom w:val="0"/>
      <w:divBdr>
        <w:top w:val="none" w:sz="0" w:space="0" w:color="auto"/>
        <w:left w:val="none" w:sz="0" w:space="0" w:color="auto"/>
        <w:bottom w:val="none" w:sz="0" w:space="0" w:color="auto"/>
        <w:right w:val="none" w:sz="0" w:space="0" w:color="auto"/>
      </w:divBdr>
    </w:div>
    <w:div w:id="999305569">
      <w:bodyDiv w:val="1"/>
      <w:marLeft w:val="0"/>
      <w:marRight w:val="0"/>
      <w:marTop w:val="0"/>
      <w:marBottom w:val="0"/>
      <w:divBdr>
        <w:top w:val="none" w:sz="0" w:space="0" w:color="auto"/>
        <w:left w:val="none" w:sz="0" w:space="0" w:color="auto"/>
        <w:bottom w:val="none" w:sz="0" w:space="0" w:color="auto"/>
        <w:right w:val="none" w:sz="0" w:space="0" w:color="auto"/>
      </w:divBdr>
      <w:divsChild>
        <w:div w:id="674261481">
          <w:marLeft w:val="0"/>
          <w:marRight w:val="0"/>
          <w:marTop w:val="0"/>
          <w:marBottom w:val="0"/>
          <w:divBdr>
            <w:top w:val="none" w:sz="0" w:space="0" w:color="auto"/>
            <w:left w:val="none" w:sz="0" w:space="0" w:color="auto"/>
            <w:bottom w:val="none" w:sz="0" w:space="0" w:color="auto"/>
            <w:right w:val="none" w:sz="0" w:space="0" w:color="auto"/>
          </w:divBdr>
          <w:divsChild>
            <w:div w:id="1266184695">
              <w:marLeft w:val="-225"/>
              <w:marRight w:val="-225"/>
              <w:marTop w:val="0"/>
              <w:marBottom w:val="0"/>
              <w:divBdr>
                <w:top w:val="none" w:sz="0" w:space="0" w:color="auto"/>
                <w:left w:val="none" w:sz="0" w:space="0" w:color="auto"/>
                <w:bottom w:val="none" w:sz="0" w:space="0" w:color="auto"/>
                <w:right w:val="none" w:sz="0" w:space="0" w:color="auto"/>
              </w:divBdr>
              <w:divsChild>
                <w:div w:id="722607301">
                  <w:marLeft w:val="0"/>
                  <w:marRight w:val="0"/>
                  <w:marTop w:val="0"/>
                  <w:marBottom w:val="0"/>
                  <w:divBdr>
                    <w:top w:val="none" w:sz="0" w:space="0" w:color="auto"/>
                    <w:left w:val="none" w:sz="0" w:space="0" w:color="auto"/>
                    <w:bottom w:val="none" w:sz="0" w:space="0" w:color="auto"/>
                    <w:right w:val="none" w:sz="0" w:space="0" w:color="auto"/>
                  </w:divBdr>
                  <w:divsChild>
                    <w:div w:id="6132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0365">
          <w:marLeft w:val="0"/>
          <w:marRight w:val="0"/>
          <w:marTop w:val="0"/>
          <w:marBottom w:val="0"/>
          <w:divBdr>
            <w:top w:val="none" w:sz="0" w:space="0" w:color="auto"/>
            <w:left w:val="none" w:sz="0" w:space="0" w:color="auto"/>
            <w:bottom w:val="none" w:sz="0" w:space="0" w:color="auto"/>
            <w:right w:val="none" w:sz="0" w:space="0" w:color="auto"/>
          </w:divBdr>
        </w:div>
        <w:div w:id="1225678636">
          <w:marLeft w:val="0"/>
          <w:marRight w:val="0"/>
          <w:marTop w:val="0"/>
          <w:marBottom w:val="0"/>
          <w:divBdr>
            <w:top w:val="none" w:sz="0" w:space="0" w:color="auto"/>
            <w:left w:val="none" w:sz="0" w:space="0" w:color="auto"/>
            <w:bottom w:val="none" w:sz="0" w:space="0" w:color="auto"/>
            <w:right w:val="none" w:sz="0" w:space="0" w:color="auto"/>
          </w:divBdr>
          <w:divsChild>
            <w:div w:id="1442722811">
              <w:marLeft w:val="-225"/>
              <w:marRight w:val="-225"/>
              <w:marTop w:val="0"/>
              <w:marBottom w:val="0"/>
              <w:divBdr>
                <w:top w:val="none" w:sz="0" w:space="0" w:color="auto"/>
                <w:left w:val="none" w:sz="0" w:space="0" w:color="auto"/>
                <w:bottom w:val="none" w:sz="0" w:space="0" w:color="auto"/>
                <w:right w:val="none" w:sz="0" w:space="0" w:color="auto"/>
              </w:divBdr>
              <w:divsChild>
                <w:div w:id="1794713548">
                  <w:marLeft w:val="0"/>
                  <w:marRight w:val="0"/>
                  <w:marTop w:val="0"/>
                  <w:marBottom w:val="0"/>
                  <w:divBdr>
                    <w:top w:val="none" w:sz="0" w:space="0" w:color="auto"/>
                    <w:left w:val="none" w:sz="0" w:space="0" w:color="auto"/>
                    <w:bottom w:val="none" w:sz="0" w:space="0" w:color="auto"/>
                    <w:right w:val="none" w:sz="0" w:space="0" w:color="auto"/>
                  </w:divBdr>
                  <w:divsChild>
                    <w:div w:id="891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57911">
          <w:marLeft w:val="0"/>
          <w:marRight w:val="0"/>
          <w:marTop w:val="0"/>
          <w:marBottom w:val="0"/>
          <w:divBdr>
            <w:top w:val="none" w:sz="0" w:space="0" w:color="auto"/>
            <w:left w:val="none" w:sz="0" w:space="0" w:color="auto"/>
            <w:bottom w:val="none" w:sz="0" w:space="0" w:color="auto"/>
            <w:right w:val="none" w:sz="0" w:space="0" w:color="auto"/>
          </w:divBdr>
          <w:divsChild>
            <w:div w:id="987783470">
              <w:marLeft w:val="0"/>
              <w:marRight w:val="0"/>
              <w:marTop w:val="0"/>
              <w:marBottom w:val="0"/>
              <w:divBdr>
                <w:top w:val="none" w:sz="0" w:space="0" w:color="auto"/>
                <w:left w:val="none" w:sz="0" w:space="0" w:color="auto"/>
                <w:bottom w:val="none" w:sz="0" w:space="0" w:color="auto"/>
                <w:right w:val="none" w:sz="0" w:space="0" w:color="auto"/>
              </w:divBdr>
              <w:divsChild>
                <w:div w:id="1378819639">
                  <w:marLeft w:val="0"/>
                  <w:marRight w:val="0"/>
                  <w:marTop w:val="0"/>
                  <w:marBottom w:val="0"/>
                  <w:divBdr>
                    <w:top w:val="none" w:sz="0" w:space="0" w:color="auto"/>
                    <w:left w:val="none" w:sz="0" w:space="0" w:color="auto"/>
                    <w:bottom w:val="none" w:sz="0" w:space="0" w:color="auto"/>
                    <w:right w:val="none" w:sz="0" w:space="0" w:color="auto"/>
                  </w:divBdr>
                  <w:divsChild>
                    <w:div w:id="1470247138">
                      <w:marLeft w:val="0"/>
                      <w:marRight w:val="0"/>
                      <w:marTop w:val="0"/>
                      <w:marBottom w:val="0"/>
                      <w:divBdr>
                        <w:top w:val="none" w:sz="0" w:space="0" w:color="auto"/>
                        <w:left w:val="none" w:sz="0" w:space="0" w:color="auto"/>
                        <w:bottom w:val="none" w:sz="0" w:space="0" w:color="auto"/>
                        <w:right w:val="none" w:sz="0" w:space="0" w:color="auto"/>
                      </w:divBdr>
                      <w:divsChild>
                        <w:div w:id="9061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9897">
      <w:bodyDiv w:val="1"/>
      <w:marLeft w:val="0"/>
      <w:marRight w:val="0"/>
      <w:marTop w:val="0"/>
      <w:marBottom w:val="0"/>
      <w:divBdr>
        <w:top w:val="none" w:sz="0" w:space="0" w:color="auto"/>
        <w:left w:val="none" w:sz="0" w:space="0" w:color="auto"/>
        <w:bottom w:val="none" w:sz="0" w:space="0" w:color="auto"/>
        <w:right w:val="none" w:sz="0" w:space="0" w:color="auto"/>
      </w:divBdr>
      <w:divsChild>
        <w:div w:id="586116552">
          <w:marLeft w:val="-225"/>
          <w:marRight w:val="-225"/>
          <w:marTop w:val="0"/>
          <w:marBottom w:val="0"/>
          <w:divBdr>
            <w:top w:val="none" w:sz="0" w:space="0" w:color="auto"/>
            <w:left w:val="none" w:sz="0" w:space="0" w:color="auto"/>
            <w:bottom w:val="none" w:sz="0" w:space="0" w:color="auto"/>
            <w:right w:val="none" w:sz="0" w:space="0" w:color="auto"/>
          </w:divBdr>
          <w:divsChild>
            <w:div w:id="1289124083">
              <w:marLeft w:val="0"/>
              <w:marRight w:val="0"/>
              <w:marTop w:val="0"/>
              <w:marBottom w:val="0"/>
              <w:divBdr>
                <w:top w:val="none" w:sz="0" w:space="0" w:color="auto"/>
                <w:left w:val="none" w:sz="0" w:space="0" w:color="auto"/>
                <w:bottom w:val="none" w:sz="0" w:space="0" w:color="auto"/>
                <w:right w:val="none" w:sz="0" w:space="0" w:color="auto"/>
              </w:divBdr>
              <w:divsChild>
                <w:div w:id="5421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6849">
      <w:bodyDiv w:val="1"/>
      <w:marLeft w:val="0"/>
      <w:marRight w:val="0"/>
      <w:marTop w:val="0"/>
      <w:marBottom w:val="0"/>
      <w:divBdr>
        <w:top w:val="none" w:sz="0" w:space="0" w:color="auto"/>
        <w:left w:val="none" w:sz="0" w:space="0" w:color="auto"/>
        <w:bottom w:val="none" w:sz="0" w:space="0" w:color="auto"/>
        <w:right w:val="none" w:sz="0" w:space="0" w:color="auto"/>
      </w:divBdr>
    </w:div>
    <w:div w:id="1003238879">
      <w:bodyDiv w:val="1"/>
      <w:marLeft w:val="0"/>
      <w:marRight w:val="0"/>
      <w:marTop w:val="0"/>
      <w:marBottom w:val="0"/>
      <w:divBdr>
        <w:top w:val="none" w:sz="0" w:space="0" w:color="auto"/>
        <w:left w:val="none" w:sz="0" w:space="0" w:color="auto"/>
        <w:bottom w:val="none" w:sz="0" w:space="0" w:color="auto"/>
        <w:right w:val="none" w:sz="0" w:space="0" w:color="auto"/>
      </w:divBdr>
    </w:div>
    <w:div w:id="1003819117">
      <w:bodyDiv w:val="1"/>
      <w:marLeft w:val="0"/>
      <w:marRight w:val="0"/>
      <w:marTop w:val="0"/>
      <w:marBottom w:val="0"/>
      <w:divBdr>
        <w:top w:val="none" w:sz="0" w:space="0" w:color="auto"/>
        <w:left w:val="none" w:sz="0" w:space="0" w:color="auto"/>
        <w:bottom w:val="none" w:sz="0" w:space="0" w:color="auto"/>
        <w:right w:val="none" w:sz="0" w:space="0" w:color="auto"/>
      </w:divBdr>
    </w:div>
    <w:div w:id="1007290336">
      <w:bodyDiv w:val="1"/>
      <w:marLeft w:val="0"/>
      <w:marRight w:val="0"/>
      <w:marTop w:val="0"/>
      <w:marBottom w:val="0"/>
      <w:divBdr>
        <w:top w:val="none" w:sz="0" w:space="0" w:color="auto"/>
        <w:left w:val="none" w:sz="0" w:space="0" w:color="auto"/>
        <w:bottom w:val="none" w:sz="0" w:space="0" w:color="auto"/>
        <w:right w:val="none" w:sz="0" w:space="0" w:color="auto"/>
      </w:divBdr>
    </w:div>
    <w:div w:id="1007296075">
      <w:bodyDiv w:val="1"/>
      <w:marLeft w:val="0"/>
      <w:marRight w:val="0"/>
      <w:marTop w:val="0"/>
      <w:marBottom w:val="0"/>
      <w:divBdr>
        <w:top w:val="none" w:sz="0" w:space="0" w:color="auto"/>
        <w:left w:val="none" w:sz="0" w:space="0" w:color="auto"/>
        <w:bottom w:val="none" w:sz="0" w:space="0" w:color="auto"/>
        <w:right w:val="none" w:sz="0" w:space="0" w:color="auto"/>
      </w:divBdr>
      <w:divsChild>
        <w:div w:id="1243106868">
          <w:marLeft w:val="0"/>
          <w:marRight w:val="0"/>
          <w:marTop w:val="0"/>
          <w:marBottom w:val="0"/>
          <w:divBdr>
            <w:top w:val="none" w:sz="0" w:space="0" w:color="auto"/>
            <w:left w:val="none" w:sz="0" w:space="0" w:color="auto"/>
            <w:bottom w:val="none" w:sz="0" w:space="0" w:color="auto"/>
            <w:right w:val="none" w:sz="0" w:space="0" w:color="auto"/>
          </w:divBdr>
        </w:div>
        <w:div w:id="1407802782">
          <w:marLeft w:val="0"/>
          <w:marRight w:val="0"/>
          <w:marTop w:val="0"/>
          <w:marBottom w:val="0"/>
          <w:divBdr>
            <w:top w:val="none" w:sz="0" w:space="0" w:color="auto"/>
            <w:left w:val="none" w:sz="0" w:space="0" w:color="auto"/>
            <w:bottom w:val="none" w:sz="0" w:space="0" w:color="auto"/>
            <w:right w:val="none" w:sz="0" w:space="0" w:color="auto"/>
          </w:divBdr>
          <w:divsChild>
            <w:div w:id="517818545">
              <w:marLeft w:val="-225"/>
              <w:marRight w:val="-225"/>
              <w:marTop w:val="0"/>
              <w:marBottom w:val="0"/>
              <w:divBdr>
                <w:top w:val="none" w:sz="0" w:space="0" w:color="auto"/>
                <w:left w:val="none" w:sz="0" w:space="0" w:color="auto"/>
                <w:bottom w:val="none" w:sz="0" w:space="0" w:color="auto"/>
                <w:right w:val="none" w:sz="0" w:space="0" w:color="auto"/>
              </w:divBdr>
              <w:divsChild>
                <w:div w:id="1576428412">
                  <w:marLeft w:val="0"/>
                  <w:marRight w:val="0"/>
                  <w:marTop w:val="0"/>
                  <w:marBottom w:val="0"/>
                  <w:divBdr>
                    <w:top w:val="none" w:sz="0" w:space="0" w:color="auto"/>
                    <w:left w:val="none" w:sz="0" w:space="0" w:color="auto"/>
                    <w:bottom w:val="none" w:sz="0" w:space="0" w:color="auto"/>
                    <w:right w:val="none" w:sz="0" w:space="0" w:color="auto"/>
                  </w:divBdr>
                  <w:divsChild>
                    <w:div w:id="987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9902">
          <w:marLeft w:val="0"/>
          <w:marRight w:val="0"/>
          <w:marTop w:val="0"/>
          <w:marBottom w:val="0"/>
          <w:divBdr>
            <w:top w:val="none" w:sz="0" w:space="0" w:color="auto"/>
            <w:left w:val="none" w:sz="0" w:space="0" w:color="auto"/>
            <w:bottom w:val="none" w:sz="0" w:space="0" w:color="auto"/>
            <w:right w:val="none" w:sz="0" w:space="0" w:color="auto"/>
          </w:divBdr>
          <w:divsChild>
            <w:div w:id="1706365499">
              <w:marLeft w:val="0"/>
              <w:marRight w:val="0"/>
              <w:marTop w:val="0"/>
              <w:marBottom w:val="0"/>
              <w:divBdr>
                <w:top w:val="none" w:sz="0" w:space="0" w:color="auto"/>
                <w:left w:val="none" w:sz="0" w:space="0" w:color="auto"/>
                <w:bottom w:val="none" w:sz="0" w:space="0" w:color="auto"/>
                <w:right w:val="none" w:sz="0" w:space="0" w:color="auto"/>
              </w:divBdr>
              <w:divsChild>
                <w:div w:id="1950700816">
                  <w:marLeft w:val="0"/>
                  <w:marRight w:val="0"/>
                  <w:marTop w:val="0"/>
                  <w:marBottom w:val="0"/>
                  <w:divBdr>
                    <w:top w:val="none" w:sz="0" w:space="0" w:color="auto"/>
                    <w:left w:val="none" w:sz="0" w:space="0" w:color="auto"/>
                    <w:bottom w:val="none" w:sz="0" w:space="0" w:color="auto"/>
                    <w:right w:val="none" w:sz="0" w:space="0" w:color="auto"/>
                  </w:divBdr>
                  <w:divsChild>
                    <w:div w:id="188877621">
                      <w:marLeft w:val="0"/>
                      <w:marRight w:val="0"/>
                      <w:marTop w:val="0"/>
                      <w:marBottom w:val="0"/>
                      <w:divBdr>
                        <w:top w:val="none" w:sz="0" w:space="0" w:color="auto"/>
                        <w:left w:val="none" w:sz="0" w:space="0" w:color="auto"/>
                        <w:bottom w:val="none" w:sz="0" w:space="0" w:color="auto"/>
                        <w:right w:val="none" w:sz="0" w:space="0" w:color="auto"/>
                      </w:divBdr>
                      <w:divsChild>
                        <w:div w:id="2422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83118">
          <w:marLeft w:val="0"/>
          <w:marRight w:val="0"/>
          <w:marTop w:val="0"/>
          <w:marBottom w:val="0"/>
          <w:divBdr>
            <w:top w:val="none" w:sz="0" w:space="0" w:color="auto"/>
            <w:left w:val="none" w:sz="0" w:space="0" w:color="auto"/>
            <w:bottom w:val="none" w:sz="0" w:space="0" w:color="auto"/>
            <w:right w:val="none" w:sz="0" w:space="0" w:color="auto"/>
          </w:divBdr>
          <w:divsChild>
            <w:div w:id="684022176">
              <w:marLeft w:val="-225"/>
              <w:marRight w:val="-225"/>
              <w:marTop w:val="0"/>
              <w:marBottom w:val="0"/>
              <w:divBdr>
                <w:top w:val="none" w:sz="0" w:space="0" w:color="auto"/>
                <w:left w:val="none" w:sz="0" w:space="0" w:color="auto"/>
                <w:bottom w:val="none" w:sz="0" w:space="0" w:color="auto"/>
                <w:right w:val="none" w:sz="0" w:space="0" w:color="auto"/>
              </w:divBdr>
              <w:divsChild>
                <w:div w:id="1429931176">
                  <w:marLeft w:val="0"/>
                  <w:marRight w:val="0"/>
                  <w:marTop w:val="0"/>
                  <w:marBottom w:val="0"/>
                  <w:divBdr>
                    <w:top w:val="none" w:sz="0" w:space="0" w:color="auto"/>
                    <w:left w:val="none" w:sz="0" w:space="0" w:color="auto"/>
                    <w:bottom w:val="none" w:sz="0" w:space="0" w:color="auto"/>
                    <w:right w:val="none" w:sz="0" w:space="0" w:color="auto"/>
                  </w:divBdr>
                  <w:divsChild>
                    <w:div w:id="13933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7079">
      <w:bodyDiv w:val="1"/>
      <w:marLeft w:val="0"/>
      <w:marRight w:val="0"/>
      <w:marTop w:val="0"/>
      <w:marBottom w:val="0"/>
      <w:divBdr>
        <w:top w:val="none" w:sz="0" w:space="0" w:color="auto"/>
        <w:left w:val="none" w:sz="0" w:space="0" w:color="auto"/>
        <w:bottom w:val="none" w:sz="0" w:space="0" w:color="auto"/>
        <w:right w:val="none" w:sz="0" w:space="0" w:color="auto"/>
      </w:divBdr>
      <w:divsChild>
        <w:div w:id="1162433003">
          <w:marLeft w:val="0"/>
          <w:marRight w:val="0"/>
          <w:marTop w:val="0"/>
          <w:marBottom w:val="0"/>
          <w:divBdr>
            <w:top w:val="none" w:sz="0" w:space="0" w:color="auto"/>
            <w:left w:val="none" w:sz="0" w:space="0" w:color="auto"/>
            <w:bottom w:val="none" w:sz="0" w:space="0" w:color="auto"/>
            <w:right w:val="none" w:sz="0" w:space="0" w:color="auto"/>
          </w:divBdr>
          <w:divsChild>
            <w:div w:id="890069794">
              <w:marLeft w:val="-225"/>
              <w:marRight w:val="-225"/>
              <w:marTop w:val="0"/>
              <w:marBottom w:val="0"/>
              <w:divBdr>
                <w:top w:val="none" w:sz="0" w:space="0" w:color="auto"/>
                <w:left w:val="none" w:sz="0" w:space="0" w:color="auto"/>
                <w:bottom w:val="none" w:sz="0" w:space="0" w:color="auto"/>
                <w:right w:val="none" w:sz="0" w:space="0" w:color="auto"/>
              </w:divBdr>
              <w:divsChild>
                <w:div w:id="558828419">
                  <w:marLeft w:val="0"/>
                  <w:marRight w:val="0"/>
                  <w:marTop w:val="0"/>
                  <w:marBottom w:val="0"/>
                  <w:divBdr>
                    <w:top w:val="none" w:sz="0" w:space="0" w:color="auto"/>
                    <w:left w:val="none" w:sz="0" w:space="0" w:color="auto"/>
                    <w:bottom w:val="none" w:sz="0" w:space="0" w:color="auto"/>
                    <w:right w:val="none" w:sz="0" w:space="0" w:color="auto"/>
                  </w:divBdr>
                  <w:divsChild>
                    <w:div w:id="1994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1910">
          <w:marLeft w:val="0"/>
          <w:marRight w:val="0"/>
          <w:marTop w:val="0"/>
          <w:marBottom w:val="0"/>
          <w:divBdr>
            <w:top w:val="none" w:sz="0" w:space="0" w:color="auto"/>
            <w:left w:val="none" w:sz="0" w:space="0" w:color="auto"/>
            <w:bottom w:val="none" w:sz="0" w:space="0" w:color="auto"/>
            <w:right w:val="none" w:sz="0" w:space="0" w:color="auto"/>
          </w:divBdr>
          <w:divsChild>
            <w:div w:id="370613205">
              <w:marLeft w:val="-225"/>
              <w:marRight w:val="-225"/>
              <w:marTop w:val="0"/>
              <w:marBottom w:val="0"/>
              <w:divBdr>
                <w:top w:val="none" w:sz="0" w:space="0" w:color="auto"/>
                <w:left w:val="none" w:sz="0" w:space="0" w:color="auto"/>
                <w:bottom w:val="none" w:sz="0" w:space="0" w:color="auto"/>
                <w:right w:val="none" w:sz="0" w:space="0" w:color="auto"/>
              </w:divBdr>
              <w:divsChild>
                <w:div w:id="2015917311">
                  <w:marLeft w:val="0"/>
                  <w:marRight w:val="0"/>
                  <w:marTop w:val="0"/>
                  <w:marBottom w:val="0"/>
                  <w:divBdr>
                    <w:top w:val="none" w:sz="0" w:space="0" w:color="auto"/>
                    <w:left w:val="none" w:sz="0" w:space="0" w:color="auto"/>
                    <w:bottom w:val="none" w:sz="0" w:space="0" w:color="auto"/>
                    <w:right w:val="none" w:sz="0" w:space="0" w:color="auto"/>
                  </w:divBdr>
                  <w:divsChild>
                    <w:div w:id="18987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8352">
          <w:marLeft w:val="0"/>
          <w:marRight w:val="0"/>
          <w:marTop w:val="0"/>
          <w:marBottom w:val="0"/>
          <w:divBdr>
            <w:top w:val="none" w:sz="0" w:space="0" w:color="auto"/>
            <w:left w:val="none" w:sz="0" w:space="0" w:color="auto"/>
            <w:bottom w:val="none" w:sz="0" w:space="0" w:color="auto"/>
            <w:right w:val="none" w:sz="0" w:space="0" w:color="auto"/>
          </w:divBdr>
        </w:div>
      </w:divsChild>
    </w:div>
    <w:div w:id="1011448287">
      <w:bodyDiv w:val="1"/>
      <w:marLeft w:val="0"/>
      <w:marRight w:val="0"/>
      <w:marTop w:val="0"/>
      <w:marBottom w:val="0"/>
      <w:divBdr>
        <w:top w:val="none" w:sz="0" w:space="0" w:color="auto"/>
        <w:left w:val="none" w:sz="0" w:space="0" w:color="auto"/>
        <w:bottom w:val="none" w:sz="0" w:space="0" w:color="auto"/>
        <w:right w:val="none" w:sz="0" w:space="0" w:color="auto"/>
      </w:divBdr>
    </w:div>
    <w:div w:id="1015689152">
      <w:bodyDiv w:val="1"/>
      <w:marLeft w:val="0"/>
      <w:marRight w:val="0"/>
      <w:marTop w:val="0"/>
      <w:marBottom w:val="0"/>
      <w:divBdr>
        <w:top w:val="none" w:sz="0" w:space="0" w:color="auto"/>
        <w:left w:val="none" w:sz="0" w:space="0" w:color="auto"/>
        <w:bottom w:val="none" w:sz="0" w:space="0" w:color="auto"/>
        <w:right w:val="none" w:sz="0" w:space="0" w:color="auto"/>
      </w:divBdr>
      <w:divsChild>
        <w:div w:id="823007962">
          <w:marLeft w:val="-225"/>
          <w:marRight w:val="-225"/>
          <w:marTop w:val="0"/>
          <w:marBottom w:val="0"/>
          <w:divBdr>
            <w:top w:val="none" w:sz="0" w:space="0" w:color="auto"/>
            <w:left w:val="none" w:sz="0" w:space="0" w:color="auto"/>
            <w:bottom w:val="none" w:sz="0" w:space="0" w:color="auto"/>
            <w:right w:val="none" w:sz="0" w:space="0" w:color="auto"/>
          </w:divBdr>
          <w:divsChild>
            <w:div w:id="1515605709">
              <w:marLeft w:val="0"/>
              <w:marRight w:val="0"/>
              <w:marTop w:val="0"/>
              <w:marBottom w:val="0"/>
              <w:divBdr>
                <w:top w:val="none" w:sz="0" w:space="0" w:color="auto"/>
                <w:left w:val="none" w:sz="0" w:space="0" w:color="auto"/>
                <w:bottom w:val="none" w:sz="0" w:space="0" w:color="auto"/>
                <w:right w:val="none" w:sz="0" w:space="0" w:color="auto"/>
              </w:divBdr>
              <w:divsChild>
                <w:div w:id="6834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0508">
      <w:bodyDiv w:val="1"/>
      <w:marLeft w:val="0"/>
      <w:marRight w:val="0"/>
      <w:marTop w:val="0"/>
      <w:marBottom w:val="0"/>
      <w:divBdr>
        <w:top w:val="none" w:sz="0" w:space="0" w:color="auto"/>
        <w:left w:val="none" w:sz="0" w:space="0" w:color="auto"/>
        <w:bottom w:val="none" w:sz="0" w:space="0" w:color="auto"/>
        <w:right w:val="none" w:sz="0" w:space="0" w:color="auto"/>
      </w:divBdr>
    </w:div>
    <w:div w:id="1017386932">
      <w:bodyDiv w:val="1"/>
      <w:marLeft w:val="0"/>
      <w:marRight w:val="0"/>
      <w:marTop w:val="0"/>
      <w:marBottom w:val="0"/>
      <w:divBdr>
        <w:top w:val="none" w:sz="0" w:space="0" w:color="auto"/>
        <w:left w:val="none" w:sz="0" w:space="0" w:color="auto"/>
        <w:bottom w:val="none" w:sz="0" w:space="0" w:color="auto"/>
        <w:right w:val="none" w:sz="0" w:space="0" w:color="auto"/>
      </w:divBdr>
      <w:divsChild>
        <w:div w:id="346952153">
          <w:marLeft w:val="0"/>
          <w:marRight w:val="0"/>
          <w:marTop w:val="0"/>
          <w:marBottom w:val="0"/>
          <w:divBdr>
            <w:top w:val="none" w:sz="0" w:space="0" w:color="auto"/>
            <w:left w:val="none" w:sz="0" w:space="0" w:color="auto"/>
            <w:bottom w:val="none" w:sz="0" w:space="0" w:color="auto"/>
            <w:right w:val="none" w:sz="0" w:space="0" w:color="auto"/>
          </w:divBdr>
          <w:divsChild>
            <w:div w:id="24718133">
              <w:marLeft w:val="-225"/>
              <w:marRight w:val="-225"/>
              <w:marTop w:val="0"/>
              <w:marBottom w:val="0"/>
              <w:divBdr>
                <w:top w:val="none" w:sz="0" w:space="0" w:color="auto"/>
                <w:left w:val="none" w:sz="0" w:space="0" w:color="auto"/>
                <w:bottom w:val="none" w:sz="0" w:space="0" w:color="auto"/>
                <w:right w:val="none" w:sz="0" w:space="0" w:color="auto"/>
              </w:divBdr>
              <w:divsChild>
                <w:div w:id="1095707981">
                  <w:marLeft w:val="0"/>
                  <w:marRight w:val="0"/>
                  <w:marTop w:val="0"/>
                  <w:marBottom w:val="0"/>
                  <w:divBdr>
                    <w:top w:val="none" w:sz="0" w:space="0" w:color="auto"/>
                    <w:left w:val="none" w:sz="0" w:space="0" w:color="auto"/>
                    <w:bottom w:val="none" w:sz="0" w:space="0" w:color="auto"/>
                    <w:right w:val="none" w:sz="0" w:space="0" w:color="auto"/>
                  </w:divBdr>
                  <w:divsChild>
                    <w:div w:id="8397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99467">
          <w:marLeft w:val="0"/>
          <w:marRight w:val="0"/>
          <w:marTop w:val="0"/>
          <w:marBottom w:val="0"/>
          <w:divBdr>
            <w:top w:val="none" w:sz="0" w:space="0" w:color="auto"/>
            <w:left w:val="none" w:sz="0" w:space="0" w:color="auto"/>
            <w:bottom w:val="none" w:sz="0" w:space="0" w:color="auto"/>
            <w:right w:val="none" w:sz="0" w:space="0" w:color="auto"/>
          </w:divBdr>
        </w:div>
        <w:div w:id="1463645310">
          <w:marLeft w:val="0"/>
          <w:marRight w:val="0"/>
          <w:marTop w:val="0"/>
          <w:marBottom w:val="0"/>
          <w:divBdr>
            <w:top w:val="none" w:sz="0" w:space="0" w:color="auto"/>
            <w:left w:val="none" w:sz="0" w:space="0" w:color="auto"/>
            <w:bottom w:val="none" w:sz="0" w:space="0" w:color="auto"/>
            <w:right w:val="none" w:sz="0" w:space="0" w:color="auto"/>
          </w:divBdr>
          <w:divsChild>
            <w:div w:id="1931616854">
              <w:marLeft w:val="0"/>
              <w:marRight w:val="0"/>
              <w:marTop w:val="0"/>
              <w:marBottom w:val="0"/>
              <w:divBdr>
                <w:top w:val="none" w:sz="0" w:space="0" w:color="auto"/>
                <w:left w:val="none" w:sz="0" w:space="0" w:color="auto"/>
                <w:bottom w:val="none" w:sz="0" w:space="0" w:color="auto"/>
                <w:right w:val="none" w:sz="0" w:space="0" w:color="auto"/>
              </w:divBdr>
              <w:divsChild>
                <w:div w:id="2026593496">
                  <w:marLeft w:val="0"/>
                  <w:marRight w:val="0"/>
                  <w:marTop w:val="0"/>
                  <w:marBottom w:val="0"/>
                  <w:divBdr>
                    <w:top w:val="none" w:sz="0" w:space="0" w:color="auto"/>
                    <w:left w:val="none" w:sz="0" w:space="0" w:color="auto"/>
                    <w:bottom w:val="none" w:sz="0" w:space="0" w:color="auto"/>
                    <w:right w:val="none" w:sz="0" w:space="0" w:color="auto"/>
                  </w:divBdr>
                  <w:divsChild>
                    <w:div w:id="1572959797">
                      <w:marLeft w:val="0"/>
                      <w:marRight w:val="0"/>
                      <w:marTop w:val="0"/>
                      <w:marBottom w:val="0"/>
                      <w:divBdr>
                        <w:top w:val="none" w:sz="0" w:space="0" w:color="auto"/>
                        <w:left w:val="none" w:sz="0" w:space="0" w:color="auto"/>
                        <w:bottom w:val="none" w:sz="0" w:space="0" w:color="auto"/>
                        <w:right w:val="none" w:sz="0" w:space="0" w:color="auto"/>
                      </w:divBdr>
                      <w:divsChild>
                        <w:div w:id="12518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2939">
          <w:marLeft w:val="0"/>
          <w:marRight w:val="0"/>
          <w:marTop w:val="0"/>
          <w:marBottom w:val="0"/>
          <w:divBdr>
            <w:top w:val="none" w:sz="0" w:space="0" w:color="auto"/>
            <w:left w:val="none" w:sz="0" w:space="0" w:color="auto"/>
            <w:bottom w:val="none" w:sz="0" w:space="0" w:color="auto"/>
            <w:right w:val="none" w:sz="0" w:space="0" w:color="auto"/>
          </w:divBdr>
          <w:divsChild>
            <w:div w:id="206911671">
              <w:marLeft w:val="-225"/>
              <w:marRight w:val="-225"/>
              <w:marTop w:val="0"/>
              <w:marBottom w:val="0"/>
              <w:divBdr>
                <w:top w:val="none" w:sz="0" w:space="0" w:color="auto"/>
                <w:left w:val="none" w:sz="0" w:space="0" w:color="auto"/>
                <w:bottom w:val="none" w:sz="0" w:space="0" w:color="auto"/>
                <w:right w:val="none" w:sz="0" w:space="0" w:color="auto"/>
              </w:divBdr>
              <w:divsChild>
                <w:div w:id="1736778898">
                  <w:marLeft w:val="0"/>
                  <w:marRight w:val="0"/>
                  <w:marTop w:val="0"/>
                  <w:marBottom w:val="0"/>
                  <w:divBdr>
                    <w:top w:val="none" w:sz="0" w:space="0" w:color="auto"/>
                    <w:left w:val="none" w:sz="0" w:space="0" w:color="auto"/>
                    <w:bottom w:val="none" w:sz="0" w:space="0" w:color="auto"/>
                    <w:right w:val="none" w:sz="0" w:space="0" w:color="auto"/>
                  </w:divBdr>
                  <w:divsChild>
                    <w:div w:id="206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33731">
      <w:bodyDiv w:val="1"/>
      <w:marLeft w:val="0"/>
      <w:marRight w:val="0"/>
      <w:marTop w:val="0"/>
      <w:marBottom w:val="0"/>
      <w:divBdr>
        <w:top w:val="none" w:sz="0" w:space="0" w:color="auto"/>
        <w:left w:val="none" w:sz="0" w:space="0" w:color="auto"/>
        <w:bottom w:val="none" w:sz="0" w:space="0" w:color="auto"/>
        <w:right w:val="none" w:sz="0" w:space="0" w:color="auto"/>
      </w:divBdr>
    </w:div>
    <w:div w:id="1018000110">
      <w:bodyDiv w:val="1"/>
      <w:marLeft w:val="0"/>
      <w:marRight w:val="0"/>
      <w:marTop w:val="0"/>
      <w:marBottom w:val="0"/>
      <w:divBdr>
        <w:top w:val="none" w:sz="0" w:space="0" w:color="auto"/>
        <w:left w:val="none" w:sz="0" w:space="0" w:color="auto"/>
        <w:bottom w:val="none" w:sz="0" w:space="0" w:color="auto"/>
        <w:right w:val="none" w:sz="0" w:space="0" w:color="auto"/>
      </w:divBdr>
    </w:div>
    <w:div w:id="1018890469">
      <w:bodyDiv w:val="1"/>
      <w:marLeft w:val="0"/>
      <w:marRight w:val="0"/>
      <w:marTop w:val="0"/>
      <w:marBottom w:val="0"/>
      <w:divBdr>
        <w:top w:val="none" w:sz="0" w:space="0" w:color="auto"/>
        <w:left w:val="none" w:sz="0" w:space="0" w:color="auto"/>
        <w:bottom w:val="none" w:sz="0" w:space="0" w:color="auto"/>
        <w:right w:val="none" w:sz="0" w:space="0" w:color="auto"/>
      </w:divBdr>
    </w:div>
    <w:div w:id="1022903932">
      <w:bodyDiv w:val="1"/>
      <w:marLeft w:val="0"/>
      <w:marRight w:val="0"/>
      <w:marTop w:val="0"/>
      <w:marBottom w:val="0"/>
      <w:divBdr>
        <w:top w:val="none" w:sz="0" w:space="0" w:color="auto"/>
        <w:left w:val="none" w:sz="0" w:space="0" w:color="auto"/>
        <w:bottom w:val="none" w:sz="0" w:space="0" w:color="auto"/>
        <w:right w:val="none" w:sz="0" w:space="0" w:color="auto"/>
      </w:divBdr>
    </w:div>
    <w:div w:id="1023633327">
      <w:bodyDiv w:val="1"/>
      <w:marLeft w:val="0"/>
      <w:marRight w:val="0"/>
      <w:marTop w:val="0"/>
      <w:marBottom w:val="0"/>
      <w:divBdr>
        <w:top w:val="none" w:sz="0" w:space="0" w:color="auto"/>
        <w:left w:val="none" w:sz="0" w:space="0" w:color="auto"/>
        <w:bottom w:val="none" w:sz="0" w:space="0" w:color="auto"/>
        <w:right w:val="none" w:sz="0" w:space="0" w:color="auto"/>
      </w:divBdr>
    </w:div>
    <w:div w:id="1025642961">
      <w:bodyDiv w:val="1"/>
      <w:marLeft w:val="0"/>
      <w:marRight w:val="0"/>
      <w:marTop w:val="0"/>
      <w:marBottom w:val="0"/>
      <w:divBdr>
        <w:top w:val="none" w:sz="0" w:space="0" w:color="auto"/>
        <w:left w:val="none" w:sz="0" w:space="0" w:color="auto"/>
        <w:bottom w:val="none" w:sz="0" w:space="0" w:color="auto"/>
        <w:right w:val="none" w:sz="0" w:space="0" w:color="auto"/>
      </w:divBdr>
    </w:div>
    <w:div w:id="1025904529">
      <w:bodyDiv w:val="1"/>
      <w:marLeft w:val="0"/>
      <w:marRight w:val="0"/>
      <w:marTop w:val="0"/>
      <w:marBottom w:val="0"/>
      <w:divBdr>
        <w:top w:val="none" w:sz="0" w:space="0" w:color="auto"/>
        <w:left w:val="none" w:sz="0" w:space="0" w:color="auto"/>
        <w:bottom w:val="none" w:sz="0" w:space="0" w:color="auto"/>
        <w:right w:val="none" w:sz="0" w:space="0" w:color="auto"/>
      </w:divBdr>
    </w:div>
    <w:div w:id="1026491708">
      <w:bodyDiv w:val="1"/>
      <w:marLeft w:val="0"/>
      <w:marRight w:val="0"/>
      <w:marTop w:val="0"/>
      <w:marBottom w:val="0"/>
      <w:divBdr>
        <w:top w:val="none" w:sz="0" w:space="0" w:color="auto"/>
        <w:left w:val="none" w:sz="0" w:space="0" w:color="auto"/>
        <w:bottom w:val="none" w:sz="0" w:space="0" w:color="auto"/>
        <w:right w:val="none" w:sz="0" w:space="0" w:color="auto"/>
      </w:divBdr>
      <w:divsChild>
        <w:div w:id="52387258">
          <w:marLeft w:val="0"/>
          <w:marRight w:val="0"/>
          <w:marTop w:val="0"/>
          <w:marBottom w:val="0"/>
          <w:divBdr>
            <w:top w:val="none" w:sz="0" w:space="0" w:color="auto"/>
            <w:left w:val="none" w:sz="0" w:space="0" w:color="auto"/>
            <w:bottom w:val="none" w:sz="0" w:space="0" w:color="auto"/>
            <w:right w:val="none" w:sz="0" w:space="0" w:color="auto"/>
          </w:divBdr>
          <w:divsChild>
            <w:div w:id="347368365">
              <w:marLeft w:val="-225"/>
              <w:marRight w:val="-225"/>
              <w:marTop w:val="0"/>
              <w:marBottom w:val="0"/>
              <w:divBdr>
                <w:top w:val="none" w:sz="0" w:space="0" w:color="auto"/>
                <w:left w:val="none" w:sz="0" w:space="0" w:color="auto"/>
                <w:bottom w:val="none" w:sz="0" w:space="0" w:color="auto"/>
                <w:right w:val="none" w:sz="0" w:space="0" w:color="auto"/>
              </w:divBdr>
              <w:divsChild>
                <w:div w:id="833108650">
                  <w:marLeft w:val="0"/>
                  <w:marRight w:val="0"/>
                  <w:marTop w:val="0"/>
                  <w:marBottom w:val="0"/>
                  <w:divBdr>
                    <w:top w:val="none" w:sz="0" w:space="0" w:color="auto"/>
                    <w:left w:val="none" w:sz="0" w:space="0" w:color="auto"/>
                    <w:bottom w:val="none" w:sz="0" w:space="0" w:color="auto"/>
                    <w:right w:val="none" w:sz="0" w:space="0" w:color="auto"/>
                  </w:divBdr>
                  <w:divsChild>
                    <w:div w:id="11158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37512">
          <w:marLeft w:val="0"/>
          <w:marRight w:val="0"/>
          <w:marTop w:val="0"/>
          <w:marBottom w:val="0"/>
          <w:divBdr>
            <w:top w:val="none" w:sz="0" w:space="0" w:color="auto"/>
            <w:left w:val="none" w:sz="0" w:space="0" w:color="auto"/>
            <w:bottom w:val="none" w:sz="0" w:space="0" w:color="auto"/>
            <w:right w:val="none" w:sz="0" w:space="0" w:color="auto"/>
          </w:divBdr>
          <w:divsChild>
            <w:div w:id="948124910">
              <w:marLeft w:val="0"/>
              <w:marRight w:val="0"/>
              <w:marTop w:val="0"/>
              <w:marBottom w:val="0"/>
              <w:divBdr>
                <w:top w:val="single" w:sz="6" w:space="24" w:color="EBEEF5"/>
                <w:left w:val="none" w:sz="0" w:space="0" w:color="auto"/>
                <w:bottom w:val="single" w:sz="6" w:space="18" w:color="EBEEF5"/>
                <w:right w:val="none" w:sz="0" w:space="0" w:color="auto"/>
              </w:divBdr>
              <w:divsChild>
                <w:div w:id="1015576142">
                  <w:marLeft w:val="0"/>
                  <w:marRight w:val="0"/>
                  <w:marTop w:val="0"/>
                  <w:marBottom w:val="0"/>
                  <w:divBdr>
                    <w:top w:val="none" w:sz="0" w:space="0" w:color="auto"/>
                    <w:left w:val="none" w:sz="0" w:space="0" w:color="auto"/>
                    <w:bottom w:val="none" w:sz="0" w:space="0" w:color="auto"/>
                    <w:right w:val="none" w:sz="0" w:space="0" w:color="auto"/>
                  </w:divBdr>
                  <w:divsChild>
                    <w:div w:id="2078938589">
                      <w:marLeft w:val="0"/>
                      <w:marRight w:val="0"/>
                      <w:marTop w:val="0"/>
                      <w:marBottom w:val="0"/>
                      <w:divBdr>
                        <w:top w:val="none" w:sz="0" w:space="0" w:color="auto"/>
                        <w:left w:val="none" w:sz="0" w:space="0" w:color="auto"/>
                        <w:bottom w:val="none" w:sz="0" w:space="0" w:color="auto"/>
                        <w:right w:val="none" w:sz="0" w:space="0" w:color="auto"/>
                      </w:divBdr>
                      <w:divsChild>
                        <w:div w:id="978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70534">
          <w:marLeft w:val="0"/>
          <w:marRight w:val="0"/>
          <w:marTop w:val="0"/>
          <w:marBottom w:val="0"/>
          <w:divBdr>
            <w:top w:val="none" w:sz="0" w:space="0" w:color="auto"/>
            <w:left w:val="none" w:sz="0" w:space="0" w:color="auto"/>
            <w:bottom w:val="none" w:sz="0" w:space="0" w:color="auto"/>
            <w:right w:val="none" w:sz="0" w:space="0" w:color="auto"/>
          </w:divBdr>
        </w:div>
        <w:div w:id="2014843089">
          <w:marLeft w:val="0"/>
          <w:marRight w:val="0"/>
          <w:marTop w:val="0"/>
          <w:marBottom w:val="0"/>
          <w:divBdr>
            <w:top w:val="none" w:sz="0" w:space="0" w:color="auto"/>
            <w:left w:val="none" w:sz="0" w:space="0" w:color="auto"/>
            <w:bottom w:val="none" w:sz="0" w:space="0" w:color="auto"/>
            <w:right w:val="none" w:sz="0" w:space="0" w:color="auto"/>
          </w:divBdr>
          <w:divsChild>
            <w:div w:id="72121369">
              <w:marLeft w:val="-225"/>
              <w:marRight w:val="-225"/>
              <w:marTop w:val="0"/>
              <w:marBottom w:val="0"/>
              <w:divBdr>
                <w:top w:val="none" w:sz="0" w:space="0" w:color="auto"/>
                <w:left w:val="none" w:sz="0" w:space="0" w:color="auto"/>
                <w:bottom w:val="none" w:sz="0" w:space="0" w:color="auto"/>
                <w:right w:val="none" w:sz="0" w:space="0" w:color="auto"/>
              </w:divBdr>
              <w:divsChild>
                <w:div w:id="1686782507">
                  <w:marLeft w:val="0"/>
                  <w:marRight w:val="0"/>
                  <w:marTop w:val="0"/>
                  <w:marBottom w:val="0"/>
                  <w:divBdr>
                    <w:top w:val="none" w:sz="0" w:space="0" w:color="auto"/>
                    <w:left w:val="none" w:sz="0" w:space="0" w:color="auto"/>
                    <w:bottom w:val="none" w:sz="0" w:space="0" w:color="auto"/>
                    <w:right w:val="none" w:sz="0" w:space="0" w:color="auto"/>
                  </w:divBdr>
                  <w:divsChild>
                    <w:div w:id="19273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76308">
      <w:bodyDiv w:val="1"/>
      <w:marLeft w:val="0"/>
      <w:marRight w:val="0"/>
      <w:marTop w:val="0"/>
      <w:marBottom w:val="0"/>
      <w:divBdr>
        <w:top w:val="none" w:sz="0" w:space="0" w:color="auto"/>
        <w:left w:val="none" w:sz="0" w:space="0" w:color="auto"/>
        <w:bottom w:val="none" w:sz="0" w:space="0" w:color="auto"/>
        <w:right w:val="none" w:sz="0" w:space="0" w:color="auto"/>
      </w:divBdr>
    </w:div>
    <w:div w:id="1040546201">
      <w:bodyDiv w:val="1"/>
      <w:marLeft w:val="0"/>
      <w:marRight w:val="0"/>
      <w:marTop w:val="0"/>
      <w:marBottom w:val="0"/>
      <w:divBdr>
        <w:top w:val="none" w:sz="0" w:space="0" w:color="auto"/>
        <w:left w:val="none" w:sz="0" w:space="0" w:color="auto"/>
        <w:bottom w:val="none" w:sz="0" w:space="0" w:color="auto"/>
        <w:right w:val="none" w:sz="0" w:space="0" w:color="auto"/>
      </w:divBdr>
      <w:divsChild>
        <w:div w:id="171845640">
          <w:marLeft w:val="-225"/>
          <w:marRight w:val="-225"/>
          <w:marTop w:val="0"/>
          <w:marBottom w:val="0"/>
          <w:divBdr>
            <w:top w:val="none" w:sz="0" w:space="0" w:color="auto"/>
            <w:left w:val="none" w:sz="0" w:space="0" w:color="auto"/>
            <w:bottom w:val="none" w:sz="0" w:space="0" w:color="auto"/>
            <w:right w:val="none" w:sz="0" w:space="0" w:color="auto"/>
          </w:divBdr>
          <w:divsChild>
            <w:div w:id="1376275775">
              <w:marLeft w:val="0"/>
              <w:marRight w:val="0"/>
              <w:marTop w:val="0"/>
              <w:marBottom w:val="0"/>
              <w:divBdr>
                <w:top w:val="none" w:sz="0" w:space="0" w:color="auto"/>
                <w:left w:val="none" w:sz="0" w:space="0" w:color="auto"/>
                <w:bottom w:val="none" w:sz="0" w:space="0" w:color="auto"/>
                <w:right w:val="none" w:sz="0" w:space="0" w:color="auto"/>
              </w:divBdr>
              <w:divsChild>
                <w:div w:id="9595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71630">
      <w:bodyDiv w:val="1"/>
      <w:marLeft w:val="0"/>
      <w:marRight w:val="0"/>
      <w:marTop w:val="0"/>
      <w:marBottom w:val="0"/>
      <w:divBdr>
        <w:top w:val="none" w:sz="0" w:space="0" w:color="auto"/>
        <w:left w:val="none" w:sz="0" w:space="0" w:color="auto"/>
        <w:bottom w:val="none" w:sz="0" w:space="0" w:color="auto"/>
        <w:right w:val="none" w:sz="0" w:space="0" w:color="auto"/>
      </w:divBdr>
    </w:div>
    <w:div w:id="1041595104">
      <w:bodyDiv w:val="1"/>
      <w:marLeft w:val="0"/>
      <w:marRight w:val="0"/>
      <w:marTop w:val="0"/>
      <w:marBottom w:val="0"/>
      <w:divBdr>
        <w:top w:val="none" w:sz="0" w:space="0" w:color="auto"/>
        <w:left w:val="none" w:sz="0" w:space="0" w:color="auto"/>
        <w:bottom w:val="none" w:sz="0" w:space="0" w:color="auto"/>
        <w:right w:val="none" w:sz="0" w:space="0" w:color="auto"/>
      </w:divBdr>
    </w:div>
    <w:div w:id="1042630420">
      <w:bodyDiv w:val="1"/>
      <w:marLeft w:val="0"/>
      <w:marRight w:val="0"/>
      <w:marTop w:val="0"/>
      <w:marBottom w:val="0"/>
      <w:divBdr>
        <w:top w:val="none" w:sz="0" w:space="0" w:color="auto"/>
        <w:left w:val="none" w:sz="0" w:space="0" w:color="auto"/>
        <w:bottom w:val="none" w:sz="0" w:space="0" w:color="auto"/>
        <w:right w:val="none" w:sz="0" w:space="0" w:color="auto"/>
      </w:divBdr>
    </w:div>
    <w:div w:id="1043675300">
      <w:bodyDiv w:val="1"/>
      <w:marLeft w:val="0"/>
      <w:marRight w:val="0"/>
      <w:marTop w:val="0"/>
      <w:marBottom w:val="0"/>
      <w:divBdr>
        <w:top w:val="none" w:sz="0" w:space="0" w:color="auto"/>
        <w:left w:val="none" w:sz="0" w:space="0" w:color="auto"/>
        <w:bottom w:val="none" w:sz="0" w:space="0" w:color="auto"/>
        <w:right w:val="none" w:sz="0" w:space="0" w:color="auto"/>
      </w:divBdr>
    </w:div>
    <w:div w:id="1045567559">
      <w:bodyDiv w:val="1"/>
      <w:marLeft w:val="0"/>
      <w:marRight w:val="0"/>
      <w:marTop w:val="0"/>
      <w:marBottom w:val="0"/>
      <w:divBdr>
        <w:top w:val="none" w:sz="0" w:space="0" w:color="auto"/>
        <w:left w:val="none" w:sz="0" w:space="0" w:color="auto"/>
        <w:bottom w:val="none" w:sz="0" w:space="0" w:color="auto"/>
        <w:right w:val="none" w:sz="0" w:space="0" w:color="auto"/>
      </w:divBdr>
    </w:div>
    <w:div w:id="1045761493">
      <w:bodyDiv w:val="1"/>
      <w:marLeft w:val="0"/>
      <w:marRight w:val="0"/>
      <w:marTop w:val="0"/>
      <w:marBottom w:val="0"/>
      <w:divBdr>
        <w:top w:val="none" w:sz="0" w:space="0" w:color="auto"/>
        <w:left w:val="none" w:sz="0" w:space="0" w:color="auto"/>
        <w:bottom w:val="none" w:sz="0" w:space="0" w:color="auto"/>
        <w:right w:val="none" w:sz="0" w:space="0" w:color="auto"/>
      </w:divBdr>
    </w:div>
    <w:div w:id="1046833838">
      <w:bodyDiv w:val="1"/>
      <w:marLeft w:val="0"/>
      <w:marRight w:val="0"/>
      <w:marTop w:val="0"/>
      <w:marBottom w:val="0"/>
      <w:divBdr>
        <w:top w:val="none" w:sz="0" w:space="0" w:color="auto"/>
        <w:left w:val="none" w:sz="0" w:space="0" w:color="auto"/>
        <w:bottom w:val="none" w:sz="0" w:space="0" w:color="auto"/>
        <w:right w:val="none" w:sz="0" w:space="0" w:color="auto"/>
      </w:divBdr>
      <w:divsChild>
        <w:div w:id="541476317">
          <w:marLeft w:val="0"/>
          <w:marRight w:val="0"/>
          <w:marTop w:val="0"/>
          <w:marBottom w:val="0"/>
          <w:divBdr>
            <w:top w:val="none" w:sz="0" w:space="0" w:color="auto"/>
            <w:left w:val="none" w:sz="0" w:space="0" w:color="auto"/>
            <w:bottom w:val="none" w:sz="0" w:space="0" w:color="auto"/>
            <w:right w:val="none" w:sz="0" w:space="0" w:color="auto"/>
          </w:divBdr>
          <w:divsChild>
            <w:div w:id="1937399582">
              <w:marLeft w:val="-225"/>
              <w:marRight w:val="-225"/>
              <w:marTop w:val="0"/>
              <w:marBottom w:val="0"/>
              <w:divBdr>
                <w:top w:val="none" w:sz="0" w:space="0" w:color="auto"/>
                <w:left w:val="none" w:sz="0" w:space="0" w:color="auto"/>
                <w:bottom w:val="none" w:sz="0" w:space="0" w:color="auto"/>
                <w:right w:val="none" w:sz="0" w:space="0" w:color="auto"/>
              </w:divBdr>
              <w:divsChild>
                <w:div w:id="569079129">
                  <w:marLeft w:val="0"/>
                  <w:marRight w:val="0"/>
                  <w:marTop w:val="0"/>
                  <w:marBottom w:val="0"/>
                  <w:divBdr>
                    <w:top w:val="none" w:sz="0" w:space="0" w:color="auto"/>
                    <w:left w:val="none" w:sz="0" w:space="0" w:color="auto"/>
                    <w:bottom w:val="none" w:sz="0" w:space="0" w:color="auto"/>
                    <w:right w:val="none" w:sz="0" w:space="0" w:color="auto"/>
                  </w:divBdr>
                  <w:divsChild>
                    <w:div w:id="7951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26390">
          <w:marLeft w:val="0"/>
          <w:marRight w:val="0"/>
          <w:marTop w:val="0"/>
          <w:marBottom w:val="0"/>
          <w:divBdr>
            <w:top w:val="none" w:sz="0" w:space="0" w:color="auto"/>
            <w:left w:val="none" w:sz="0" w:space="0" w:color="auto"/>
            <w:bottom w:val="none" w:sz="0" w:space="0" w:color="auto"/>
            <w:right w:val="none" w:sz="0" w:space="0" w:color="auto"/>
          </w:divBdr>
          <w:divsChild>
            <w:div w:id="787239933">
              <w:marLeft w:val="-225"/>
              <w:marRight w:val="-225"/>
              <w:marTop w:val="0"/>
              <w:marBottom w:val="0"/>
              <w:divBdr>
                <w:top w:val="none" w:sz="0" w:space="0" w:color="auto"/>
                <w:left w:val="none" w:sz="0" w:space="0" w:color="auto"/>
                <w:bottom w:val="none" w:sz="0" w:space="0" w:color="auto"/>
                <w:right w:val="none" w:sz="0" w:space="0" w:color="auto"/>
              </w:divBdr>
              <w:divsChild>
                <w:div w:id="620495646">
                  <w:marLeft w:val="0"/>
                  <w:marRight w:val="0"/>
                  <w:marTop w:val="0"/>
                  <w:marBottom w:val="0"/>
                  <w:divBdr>
                    <w:top w:val="none" w:sz="0" w:space="0" w:color="auto"/>
                    <w:left w:val="none" w:sz="0" w:space="0" w:color="auto"/>
                    <w:bottom w:val="none" w:sz="0" w:space="0" w:color="auto"/>
                    <w:right w:val="none" w:sz="0" w:space="0" w:color="auto"/>
                  </w:divBdr>
                  <w:divsChild>
                    <w:div w:id="2097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0699">
          <w:marLeft w:val="0"/>
          <w:marRight w:val="0"/>
          <w:marTop w:val="0"/>
          <w:marBottom w:val="0"/>
          <w:divBdr>
            <w:top w:val="none" w:sz="0" w:space="0" w:color="auto"/>
            <w:left w:val="none" w:sz="0" w:space="0" w:color="auto"/>
            <w:bottom w:val="none" w:sz="0" w:space="0" w:color="auto"/>
            <w:right w:val="none" w:sz="0" w:space="0" w:color="auto"/>
          </w:divBdr>
          <w:divsChild>
            <w:div w:id="1549102066">
              <w:marLeft w:val="0"/>
              <w:marRight w:val="0"/>
              <w:marTop w:val="0"/>
              <w:marBottom w:val="0"/>
              <w:divBdr>
                <w:top w:val="single" w:sz="6" w:space="24" w:color="EBEEF5"/>
                <w:left w:val="none" w:sz="0" w:space="0" w:color="auto"/>
                <w:bottom w:val="single" w:sz="6" w:space="18" w:color="EBEEF5"/>
                <w:right w:val="none" w:sz="0" w:space="0" w:color="auto"/>
              </w:divBdr>
              <w:divsChild>
                <w:div w:id="1163351195">
                  <w:marLeft w:val="0"/>
                  <w:marRight w:val="0"/>
                  <w:marTop w:val="0"/>
                  <w:marBottom w:val="0"/>
                  <w:divBdr>
                    <w:top w:val="none" w:sz="0" w:space="0" w:color="auto"/>
                    <w:left w:val="none" w:sz="0" w:space="0" w:color="auto"/>
                    <w:bottom w:val="none" w:sz="0" w:space="0" w:color="auto"/>
                    <w:right w:val="none" w:sz="0" w:space="0" w:color="auto"/>
                  </w:divBdr>
                  <w:divsChild>
                    <w:div w:id="1868130593">
                      <w:marLeft w:val="0"/>
                      <w:marRight w:val="0"/>
                      <w:marTop w:val="0"/>
                      <w:marBottom w:val="0"/>
                      <w:divBdr>
                        <w:top w:val="none" w:sz="0" w:space="0" w:color="auto"/>
                        <w:left w:val="none" w:sz="0" w:space="0" w:color="auto"/>
                        <w:bottom w:val="none" w:sz="0" w:space="0" w:color="auto"/>
                        <w:right w:val="none" w:sz="0" w:space="0" w:color="auto"/>
                      </w:divBdr>
                      <w:divsChild>
                        <w:div w:id="7671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49907">
          <w:marLeft w:val="0"/>
          <w:marRight w:val="0"/>
          <w:marTop w:val="0"/>
          <w:marBottom w:val="0"/>
          <w:divBdr>
            <w:top w:val="none" w:sz="0" w:space="0" w:color="auto"/>
            <w:left w:val="none" w:sz="0" w:space="0" w:color="auto"/>
            <w:bottom w:val="none" w:sz="0" w:space="0" w:color="auto"/>
            <w:right w:val="none" w:sz="0" w:space="0" w:color="auto"/>
          </w:divBdr>
        </w:div>
      </w:divsChild>
    </w:div>
    <w:div w:id="1047099071">
      <w:bodyDiv w:val="1"/>
      <w:marLeft w:val="0"/>
      <w:marRight w:val="0"/>
      <w:marTop w:val="0"/>
      <w:marBottom w:val="0"/>
      <w:divBdr>
        <w:top w:val="none" w:sz="0" w:space="0" w:color="auto"/>
        <w:left w:val="none" w:sz="0" w:space="0" w:color="auto"/>
        <w:bottom w:val="none" w:sz="0" w:space="0" w:color="auto"/>
        <w:right w:val="none" w:sz="0" w:space="0" w:color="auto"/>
      </w:divBdr>
    </w:div>
    <w:div w:id="1048266484">
      <w:bodyDiv w:val="1"/>
      <w:marLeft w:val="0"/>
      <w:marRight w:val="0"/>
      <w:marTop w:val="0"/>
      <w:marBottom w:val="0"/>
      <w:divBdr>
        <w:top w:val="none" w:sz="0" w:space="0" w:color="auto"/>
        <w:left w:val="none" w:sz="0" w:space="0" w:color="auto"/>
        <w:bottom w:val="none" w:sz="0" w:space="0" w:color="auto"/>
        <w:right w:val="none" w:sz="0" w:space="0" w:color="auto"/>
      </w:divBdr>
    </w:div>
    <w:div w:id="1055855885">
      <w:bodyDiv w:val="1"/>
      <w:marLeft w:val="0"/>
      <w:marRight w:val="0"/>
      <w:marTop w:val="0"/>
      <w:marBottom w:val="0"/>
      <w:divBdr>
        <w:top w:val="none" w:sz="0" w:space="0" w:color="auto"/>
        <w:left w:val="none" w:sz="0" w:space="0" w:color="auto"/>
        <w:bottom w:val="none" w:sz="0" w:space="0" w:color="auto"/>
        <w:right w:val="none" w:sz="0" w:space="0" w:color="auto"/>
      </w:divBdr>
    </w:div>
    <w:div w:id="1057901890">
      <w:bodyDiv w:val="1"/>
      <w:marLeft w:val="0"/>
      <w:marRight w:val="0"/>
      <w:marTop w:val="0"/>
      <w:marBottom w:val="0"/>
      <w:divBdr>
        <w:top w:val="none" w:sz="0" w:space="0" w:color="auto"/>
        <w:left w:val="none" w:sz="0" w:space="0" w:color="auto"/>
        <w:bottom w:val="none" w:sz="0" w:space="0" w:color="auto"/>
        <w:right w:val="none" w:sz="0" w:space="0" w:color="auto"/>
      </w:divBdr>
    </w:div>
    <w:div w:id="1058432486">
      <w:bodyDiv w:val="1"/>
      <w:marLeft w:val="0"/>
      <w:marRight w:val="0"/>
      <w:marTop w:val="0"/>
      <w:marBottom w:val="0"/>
      <w:divBdr>
        <w:top w:val="none" w:sz="0" w:space="0" w:color="auto"/>
        <w:left w:val="none" w:sz="0" w:space="0" w:color="auto"/>
        <w:bottom w:val="none" w:sz="0" w:space="0" w:color="auto"/>
        <w:right w:val="none" w:sz="0" w:space="0" w:color="auto"/>
      </w:divBdr>
    </w:div>
    <w:div w:id="1060788065">
      <w:bodyDiv w:val="1"/>
      <w:marLeft w:val="0"/>
      <w:marRight w:val="0"/>
      <w:marTop w:val="0"/>
      <w:marBottom w:val="0"/>
      <w:divBdr>
        <w:top w:val="none" w:sz="0" w:space="0" w:color="auto"/>
        <w:left w:val="none" w:sz="0" w:space="0" w:color="auto"/>
        <w:bottom w:val="none" w:sz="0" w:space="0" w:color="auto"/>
        <w:right w:val="none" w:sz="0" w:space="0" w:color="auto"/>
      </w:divBdr>
    </w:div>
    <w:div w:id="1064063811">
      <w:bodyDiv w:val="1"/>
      <w:marLeft w:val="0"/>
      <w:marRight w:val="0"/>
      <w:marTop w:val="0"/>
      <w:marBottom w:val="0"/>
      <w:divBdr>
        <w:top w:val="none" w:sz="0" w:space="0" w:color="auto"/>
        <w:left w:val="none" w:sz="0" w:space="0" w:color="auto"/>
        <w:bottom w:val="none" w:sz="0" w:space="0" w:color="auto"/>
        <w:right w:val="none" w:sz="0" w:space="0" w:color="auto"/>
      </w:divBdr>
    </w:div>
    <w:div w:id="1080833610">
      <w:bodyDiv w:val="1"/>
      <w:marLeft w:val="0"/>
      <w:marRight w:val="0"/>
      <w:marTop w:val="0"/>
      <w:marBottom w:val="0"/>
      <w:divBdr>
        <w:top w:val="none" w:sz="0" w:space="0" w:color="auto"/>
        <w:left w:val="none" w:sz="0" w:space="0" w:color="auto"/>
        <w:bottom w:val="none" w:sz="0" w:space="0" w:color="auto"/>
        <w:right w:val="none" w:sz="0" w:space="0" w:color="auto"/>
      </w:divBdr>
    </w:div>
    <w:div w:id="1080836323">
      <w:bodyDiv w:val="1"/>
      <w:marLeft w:val="0"/>
      <w:marRight w:val="0"/>
      <w:marTop w:val="0"/>
      <w:marBottom w:val="0"/>
      <w:divBdr>
        <w:top w:val="none" w:sz="0" w:space="0" w:color="auto"/>
        <w:left w:val="none" w:sz="0" w:space="0" w:color="auto"/>
        <w:bottom w:val="none" w:sz="0" w:space="0" w:color="auto"/>
        <w:right w:val="none" w:sz="0" w:space="0" w:color="auto"/>
      </w:divBdr>
    </w:div>
    <w:div w:id="1081175792">
      <w:bodyDiv w:val="1"/>
      <w:marLeft w:val="0"/>
      <w:marRight w:val="0"/>
      <w:marTop w:val="0"/>
      <w:marBottom w:val="0"/>
      <w:divBdr>
        <w:top w:val="none" w:sz="0" w:space="0" w:color="auto"/>
        <w:left w:val="none" w:sz="0" w:space="0" w:color="auto"/>
        <w:bottom w:val="none" w:sz="0" w:space="0" w:color="auto"/>
        <w:right w:val="none" w:sz="0" w:space="0" w:color="auto"/>
      </w:divBdr>
    </w:div>
    <w:div w:id="1081878670">
      <w:bodyDiv w:val="1"/>
      <w:marLeft w:val="0"/>
      <w:marRight w:val="0"/>
      <w:marTop w:val="0"/>
      <w:marBottom w:val="0"/>
      <w:divBdr>
        <w:top w:val="none" w:sz="0" w:space="0" w:color="auto"/>
        <w:left w:val="none" w:sz="0" w:space="0" w:color="auto"/>
        <w:bottom w:val="none" w:sz="0" w:space="0" w:color="auto"/>
        <w:right w:val="none" w:sz="0" w:space="0" w:color="auto"/>
      </w:divBdr>
    </w:div>
    <w:div w:id="1082145136">
      <w:bodyDiv w:val="1"/>
      <w:marLeft w:val="0"/>
      <w:marRight w:val="0"/>
      <w:marTop w:val="0"/>
      <w:marBottom w:val="0"/>
      <w:divBdr>
        <w:top w:val="none" w:sz="0" w:space="0" w:color="auto"/>
        <w:left w:val="none" w:sz="0" w:space="0" w:color="auto"/>
        <w:bottom w:val="none" w:sz="0" w:space="0" w:color="auto"/>
        <w:right w:val="none" w:sz="0" w:space="0" w:color="auto"/>
      </w:divBdr>
    </w:div>
    <w:div w:id="1086146606">
      <w:bodyDiv w:val="1"/>
      <w:marLeft w:val="0"/>
      <w:marRight w:val="0"/>
      <w:marTop w:val="0"/>
      <w:marBottom w:val="0"/>
      <w:divBdr>
        <w:top w:val="none" w:sz="0" w:space="0" w:color="auto"/>
        <w:left w:val="none" w:sz="0" w:space="0" w:color="auto"/>
        <w:bottom w:val="none" w:sz="0" w:space="0" w:color="auto"/>
        <w:right w:val="none" w:sz="0" w:space="0" w:color="auto"/>
      </w:divBdr>
    </w:div>
    <w:div w:id="1087574776">
      <w:bodyDiv w:val="1"/>
      <w:marLeft w:val="0"/>
      <w:marRight w:val="0"/>
      <w:marTop w:val="0"/>
      <w:marBottom w:val="0"/>
      <w:divBdr>
        <w:top w:val="none" w:sz="0" w:space="0" w:color="auto"/>
        <w:left w:val="none" w:sz="0" w:space="0" w:color="auto"/>
        <w:bottom w:val="none" w:sz="0" w:space="0" w:color="auto"/>
        <w:right w:val="none" w:sz="0" w:space="0" w:color="auto"/>
      </w:divBdr>
    </w:div>
    <w:div w:id="1090390112">
      <w:bodyDiv w:val="1"/>
      <w:marLeft w:val="0"/>
      <w:marRight w:val="0"/>
      <w:marTop w:val="0"/>
      <w:marBottom w:val="0"/>
      <w:divBdr>
        <w:top w:val="none" w:sz="0" w:space="0" w:color="auto"/>
        <w:left w:val="none" w:sz="0" w:space="0" w:color="auto"/>
        <w:bottom w:val="none" w:sz="0" w:space="0" w:color="auto"/>
        <w:right w:val="none" w:sz="0" w:space="0" w:color="auto"/>
      </w:divBdr>
    </w:div>
    <w:div w:id="1091662160">
      <w:bodyDiv w:val="1"/>
      <w:marLeft w:val="0"/>
      <w:marRight w:val="0"/>
      <w:marTop w:val="0"/>
      <w:marBottom w:val="0"/>
      <w:divBdr>
        <w:top w:val="none" w:sz="0" w:space="0" w:color="auto"/>
        <w:left w:val="none" w:sz="0" w:space="0" w:color="auto"/>
        <w:bottom w:val="none" w:sz="0" w:space="0" w:color="auto"/>
        <w:right w:val="none" w:sz="0" w:space="0" w:color="auto"/>
      </w:divBdr>
    </w:div>
    <w:div w:id="1091775559">
      <w:bodyDiv w:val="1"/>
      <w:marLeft w:val="0"/>
      <w:marRight w:val="0"/>
      <w:marTop w:val="0"/>
      <w:marBottom w:val="0"/>
      <w:divBdr>
        <w:top w:val="none" w:sz="0" w:space="0" w:color="auto"/>
        <w:left w:val="none" w:sz="0" w:space="0" w:color="auto"/>
        <w:bottom w:val="none" w:sz="0" w:space="0" w:color="auto"/>
        <w:right w:val="none" w:sz="0" w:space="0" w:color="auto"/>
      </w:divBdr>
    </w:div>
    <w:div w:id="1094548522">
      <w:bodyDiv w:val="1"/>
      <w:marLeft w:val="0"/>
      <w:marRight w:val="0"/>
      <w:marTop w:val="0"/>
      <w:marBottom w:val="0"/>
      <w:divBdr>
        <w:top w:val="none" w:sz="0" w:space="0" w:color="auto"/>
        <w:left w:val="none" w:sz="0" w:space="0" w:color="auto"/>
        <w:bottom w:val="none" w:sz="0" w:space="0" w:color="auto"/>
        <w:right w:val="none" w:sz="0" w:space="0" w:color="auto"/>
      </w:divBdr>
    </w:div>
    <w:div w:id="1096246150">
      <w:bodyDiv w:val="1"/>
      <w:marLeft w:val="0"/>
      <w:marRight w:val="0"/>
      <w:marTop w:val="0"/>
      <w:marBottom w:val="0"/>
      <w:divBdr>
        <w:top w:val="none" w:sz="0" w:space="0" w:color="auto"/>
        <w:left w:val="none" w:sz="0" w:space="0" w:color="auto"/>
        <w:bottom w:val="none" w:sz="0" w:space="0" w:color="auto"/>
        <w:right w:val="none" w:sz="0" w:space="0" w:color="auto"/>
      </w:divBdr>
    </w:div>
    <w:div w:id="1097873492">
      <w:bodyDiv w:val="1"/>
      <w:marLeft w:val="0"/>
      <w:marRight w:val="0"/>
      <w:marTop w:val="0"/>
      <w:marBottom w:val="0"/>
      <w:divBdr>
        <w:top w:val="none" w:sz="0" w:space="0" w:color="auto"/>
        <w:left w:val="none" w:sz="0" w:space="0" w:color="auto"/>
        <w:bottom w:val="none" w:sz="0" w:space="0" w:color="auto"/>
        <w:right w:val="none" w:sz="0" w:space="0" w:color="auto"/>
      </w:divBdr>
      <w:divsChild>
        <w:div w:id="596207408">
          <w:marLeft w:val="0"/>
          <w:marRight w:val="0"/>
          <w:marTop w:val="0"/>
          <w:marBottom w:val="0"/>
          <w:divBdr>
            <w:top w:val="none" w:sz="0" w:space="0" w:color="auto"/>
            <w:left w:val="none" w:sz="0" w:space="0" w:color="auto"/>
            <w:bottom w:val="none" w:sz="0" w:space="0" w:color="auto"/>
            <w:right w:val="none" w:sz="0" w:space="0" w:color="auto"/>
          </w:divBdr>
        </w:div>
        <w:div w:id="831066862">
          <w:marLeft w:val="0"/>
          <w:marRight w:val="0"/>
          <w:marTop w:val="0"/>
          <w:marBottom w:val="0"/>
          <w:divBdr>
            <w:top w:val="none" w:sz="0" w:space="0" w:color="auto"/>
            <w:left w:val="none" w:sz="0" w:space="0" w:color="auto"/>
            <w:bottom w:val="none" w:sz="0" w:space="0" w:color="auto"/>
            <w:right w:val="none" w:sz="0" w:space="0" w:color="auto"/>
          </w:divBdr>
          <w:divsChild>
            <w:div w:id="1857421874">
              <w:marLeft w:val="0"/>
              <w:marRight w:val="0"/>
              <w:marTop w:val="0"/>
              <w:marBottom w:val="0"/>
              <w:divBdr>
                <w:top w:val="single" w:sz="6" w:space="24" w:color="EBEEF5"/>
                <w:left w:val="none" w:sz="0" w:space="0" w:color="auto"/>
                <w:bottom w:val="single" w:sz="6" w:space="18" w:color="EBEEF5"/>
                <w:right w:val="none" w:sz="0" w:space="0" w:color="auto"/>
              </w:divBdr>
              <w:divsChild>
                <w:div w:id="1849248229">
                  <w:marLeft w:val="0"/>
                  <w:marRight w:val="0"/>
                  <w:marTop w:val="0"/>
                  <w:marBottom w:val="0"/>
                  <w:divBdr>
                    <w:top w:val="none" w:sz="0" w:space="0" w:color="auto"/>
                    <w:left w:val="none" w:sz="0" w:space="0" w:color="auto"/>
                    <w:bottom w:val="none" w:sz="0" w:space="0" w:color="auto"/>
                    <w:right w:val="none" w:sz="0" w:space="0" w:color="auto"/>
                  </w:divBdr>
                  <w:divsChild>
                    <w:div w:id="1831478574">
                      <w:marLeft w:val="0"/>
                      <w:marRight w:val="0"/>
                      <w:marTop w:val="0"/>
                      <w:marBottom w:val="0"/>
                      <w:divBdr>
                        <w:top w:val="none" w:sz="0" w:space="0" w:color="auto"/>
                        <w:left w:val="none" w:sz="0" w:space="0" w:color="auto"/>
                        <w:bottom w:val="none" w:sz="0" w:space="0" w:color="auto"/>
                        <w:right w:val="none" w:sz="0" w:space="0" w:color="auto"/>
                      </w:divBdr>
                      <w:divsChild>
                        <w:div w:id="2247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19699">
          <w:marLeft w:val="0"/>
          <w:marRight w:val="0"/>
          <w:marTop w:val="0"/>
          <w:marBottom w:val="0"/>
          <w:divBdr>
            <w:top w:val="none" w:sz="0" w:space="0" w:color="auto"/>
            <w:left w:val="none" w:sz="0" w:space="0" w:color="auto"/>
            <w:bottom w:val="none" w:sz="0" w:space="0" w:color="auto"/>
            <w:right w:val="none" w:sz="0" w:space="0" w:color="auto"/>
          </w:divBdr>
          <w:divsChild>
            <w:div w:id="166095427">
              <w:marLeft w:val="-225"/>
              <w:marRight w:val="-225"/>
              <w:marTop w:val="0"/>
              <w:marBottom w:val="0"/>
              <w:divBdr>
                <w:top w:val="none" w:sz="0" w:space="0" w:color="auto"/>
                <w:left w:val="none" w:sz="0" w:space="0" w:color="auto"/>
                <w:bottom w:val="none" w:sz="0" w:space="0" w:color="auto"/>
                <w:right w:val="none" w:sz="0" w:space="0" w:color="auto"/>
              </w:divBdr>
              <w:divsChild>
                <w:div w:id="1891921317">
                  <w:marLeft w:val="0"/>
                  <w:marRight w:val="0"/>
                  <w:marTop w:val="0"/>
                  <w:marBottom w:val="0"/>
                  <w:divBdr>
                    <w:top w:val="none" w:sz="0" w:space="0" w:color="auto"/>
                    <w:left w:val="none" w:sz="0" w:space="0" w:color="auto"/>
                    <w:bottom w:val="none" w:sz="0" w:space="0" w:color="auto"/>
                    <w:right w:val="none" w:sz="0" w:space="0" w:color="auto"/>
                  </w:divBdr>
                  <w:divsChild>
                    <w:div w:id="15926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36189">
          <w:marLeft w:val="0"/>
          <w:marRight w:val="0"/>
          <w:marTop w:val="0"/>
          <w:marBottom w:val="0"/>
          <w:divBdr>
            <w:top w:val="none" w:sz="0" w:space="0" w:color="auto"/>
            <w:left w:val="none" w:sz="0" w:space="0" w:color="auto"/>
            <w:bottom w:val="none" w:sz="0" w:space="0" w:color="auto"/>
            <w:right w:val="none" w:sz="0" w:space="0" w:color="auto"/>
          </w:divBdr>
          <w:divsChild>
            <w:div w:id="1206219216">
              <w:marLeft w:val="-225"/>
              <w:marRight w:val="-225"/>
              <w:marTop w:val="0"/>
              <w:marBottom w:val="0"/>
              <w:divBdr>
                <w:top w:val="none" w:sz="0" w:space="0" w:color="auto"/>
                <w:left w:val="none" w:sz="0" w:space="0" w:color="auto"/>
                <w:bottom w:val="none" w:sz="0" w:space="0" w:color="auto"/>
                <w:right w:val="none" w:sz="0" w:space="0" w:color="auto"/>
              </w:divBdr>
              <w:divsChild>
                <w:div w:id="1221870388">
                  <w:marLeft w:val="0"/>
                  <w:marRight w:val="0"/>
                  <w:marTop w:val="0"/>
                  <w:marBottom w:val="0"/>
                  <w:divBdr>
                    <w:top w:val="none" w:sz="0" w:space="0" w:color="auto"/>
                    <w:left w:val="none" w:sz="0" w:space="0" w:color="auto"/>
                    <w:bottom w:val="none" w:sz="0" w:space="0" w:color="auto"/>
                    <w:right w:val="none" w:sz="0" w:space="0" w:color="auto"/>
                  </w:divBdr>
                  <w:divsChild>
                    <w:div w:id="13223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7913">
      <w:bodyDiv w:val="1"/>
      <w:marLeft w:val="0"/>
      <w:marRight w:val="0"/>
      <w:marTop w:val="0"/>
      <w:marBottom w:val="0"/>
      <w:divBdr>
        <w:top w:val="none" w:sz="0" w:space="0" w:color="auto"/>
        <w:left w:val="none" w:sz="0" w:space="0" w:color="auto"/>
        <w:bottom w:val="none" w:sz="0" w:space="0" w:color="auto"/>
        <w:right w:val="none" w:sz="0" w:space="0" w:color="auto"/>
      </w:divBdr>
    </w:div>
    <w:div w:id="1099721245">
      <w:bodyDiv w:val="1"/>
      <w:marLeft w:val="0"/>
      <w:marRight w:val="0"/>
      <w:marTop w:val="0"/>
      <w:marBottom w:val="0"/>
      <w:divBdr>
        <w:top w:val="none" w:sz="0" w:space="0" w:color="auto"/>
        <w:left w:val="none" w:sz="0" w:space="0" w:color="auto"/>
        <w:bottom w:val="none" w:sz="0" w:space="0" w:color="auto"/>
        <w:right w:val="none" w:sz="0" w:space="0" w:color="auto"/>
      </w:divBdr>
    </w:div>
    <w:div w:id="1102456085">
      <w:bodyDiv w:val="1"/>
      <w:marLeft w:val="0"/>
      <w:marRight w:val="0"/>
      <w:marTop w:val="0"/>
      <w:marBottom w:val="0"/>
      <w:divBdr>
        <w:top w:val="none" w:sz="0" w:space="0" w:color="auto"/>
        <w:left w:val="none" w:sz="0" w:space="0" w:color="auto"/>
        <w:bottom w:val="none" w:sz="0" w:space="0" w:color="auto"/>
        <w:right w:val="none" w:sz="0" w:space="0" w:color="auto"/>
      </w:divBdr>
    </w:div>
    <w:div w:id="1102460817">
      <w:bodyDiv w:val="1"/>
      <w:marLeft w:val="0"/>
      <w:marRight w:val="0"/>
      <w:marTop w:val="0"/>
      <w:marBottom w:val="0"/>
      <w:divBdr>
        <w:top w:val="none" w:sz="0" w:space="0" w:color="auto"/>
        <w:left w:val="none" w:sz="0" w:space="0" w:color="auto"/>
        <w:bottom w:val="none" w:sz="0" w:space="0" w:color="auto"/>
        <w:right w:val="none" w:sz="0" w:space="0" w:color="auto"/>
      </w:divBdr>
      <w:divsChild>
        <w:div w:id="24332765">
          <w:marLeft w:val="-225"/>
          <w:marRight w:val="-225"/>
          <w:marTop w:val="0"/>
          <w:marBottom w:val="0"/>
          <w:divBdr>
            <w:top w:val="none" w:sz="0" w:space="0" w:color="auto"/>
            <w:left w:val="none" w:sz="0" w:space="0" w:color="auto"/>
            <w:bottom w:val="none" w:sz="0" w:space="0" w:color="auto"/>
            <w:right w:val="none" w:sz="0" w:space="0" w:color="auto"/>
          </w:divBdr>
          <w:divsChild>
            <w:div w:id="959727901">
              <w:marLeft w:val="0"/>
              <w:marRight w:val="0"/>
              <w:marTop w:val="0"/>
              <w:marBottom w:val="0"/>
              <w:divBdr>
                <w:top w:val="none" w:sz="0" w:space="0" w:color="auto"/>
                <w:left w:val="none" w:sz="0" w:space="0" w:color="auto"/>
                <w:bottom w:val="none" w:sz="0" w:space="0" w:color="auto"/>
                <w:right w:val="none" w:sz="0" w:space="0" w:color="auto"/>
              </w:divBdr>
              <w:divsChild>
                <w:div w:id="88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97058">
      <w:bodyDiv w:val="1"/>
      <w:marLeft w:val="0"/>
      <w:marRight w:val="0"/>
      <w:marTop w:val="0"/>
      <w:marBottom w:val="0"/>
      <w:divBdr>
        <w:top w:val="none" w:sz="0" w:space="0" w:color="auto"/>
        <w:left w:val="none" w:sz="0" w:space="0" w:color="auto"/>
        <w:bottom w:val="none" w:sz="0" w:space="0" w:color="auto"/>
        <w:right w:val="none" w:sz="0" w:space="0" w:color="auto"/>
      </w:divBdr>
    </w:div>
    <w:div w:id="1102914528">
      <w:bodyDiv w:val="1"/>
      <w:marLeft w:val="0"/>
      <w:marRight w:val="0"/>
      <w:marTop w:val="0"/>
      <w:marBottom w:val="0"/>
      <w:divBdr>
        <w:top w:val="none" w:sz="0" w:space="0" w:color="auto"/>
        <w:left w:val="none" w:sz="0" w:space="0" w:color="auto"/>
        <w:bottom w:val="none" w:sz="0" w:space="0" w:color="auto"/>
        <w:right w:val="none" w:sz="0" w:space="0" w:color="auto"/>
      </w:divBdr>
    </w:div>
    <w:div w:id="1103838880">
      <w:bodyDiv w:val="1"/>
      <w:marLeft w:val="0"/>
      <w:marRight w:val="0"/>
      <w:marTop w:val="0"/>
      <w:marBottom w:val="0"/>
      <w:divBdr>
        <w:top w:val="none" w:sz="0" w:space="0" w:color="auto"/>
        <w:left w:val="none" w:sz="0" w:space="0" w:color="auto"/>
        <w:bottom w:val="none" w:sz="0" w:space="0" w:color="auto"/>
        <w:right w:val="none" w:sz="0" w:space="0" w:color="auto"/>
      </w:divBdr>
    </w:div>
    <w:div w:id="1105077090">
      <w:bodyDiv w:val="1"/>
      <w:marLeft w:val="0"/>
      <w:marRight w:val="0"/>
      <w:marTop w:val="0"/>
      <w:marBottom w:val="0"/>
      <w:divBdr>
        <w:top w:val="none" w:sz="0" w:space="0" w:color="auto"/>
        <w:left w:val="none" w:sz="0" w:space="0" w:color="auto"/>
        <w:bottom w:val="none" w:sz="0" w:space="0" w:color="auto"/>
        <w:right w:val="none" w:sz="0" w:space="0" w:color="auto"/>
      </w:divBdr>
    </w:div>
    <w:div w:id="1106315581">
      <w:bodyDiv w:val="1"/>
      <w:marLeft w:val="0"/>
      <w:marRight w:val="0"/>
      <w:marTop w:val="0"/>
      <w:marBottom w:val="0"/>
      <w:divBdr>
        <w:top w:val="none" w:sz="0" w:space="0" w:color="auto"/>
        <w:left w:val="none" w:sz="0" w:space="0" w:color="auto"/>
        <w:bottom w:val="none" w:sz="0" w:space="0" w:color="auto"/>
        <w:right w:val="none" w:sz="0" w:space="0" w:color="auto"/>
      </w:divBdr>
    </w:div>
    <w:div w:id="1106345500">
      <w:bodyDiv w:val="1"/>
      <w:marLeft w:val="0"/>
      <w:marRight w:val="0"/>
      <w:marTop w:val="0"/>
      <w:marBottom w:val="0"/>
      <w:divBdr>
        <w:top w:val="none" w:sz="0" w:space="0" w:color="auto"/>
        <w:left w:val="none" w:sz="0" w:space="0" w:color="auto"/>
        <w:bottom w:val="none" w:sz="0" w:space="0" w:color="auto"/>
        <w:right w:val="none" w:sz="0" w:space="0" w:color="auto"/>
      </w:divBdr>
    </w:div>
    <w:div w:id="1107580319">
      <w:bodyDiv w:val="1"/>
      <w:marLeft w:val="0"/>
      <w:marRight w:val="0"/>
      <w:marTop w:val="0"/>
      <w:marBottom w:val="0"/>
      <w:divBdr>
        <w:top w:val="none" w:sz="0" w:space="0" w:color="auto"/>
        <w:left w:val="none" w:sz="0" w:space="0" w:color="auto"/>
        <w:bottom w:val="none" w:sz="0" w:space="0" w:color="auto"/>
        <w:right w:val="none" w:sz="0" w:space="0" w:color="auto"/>
      </w:divBdr>
    </w:div>
    <w:div w:id="1108350659">
      <w:bodyDiv w:val="1"/>
      <w:marLeft w:val="0"/>
      <w:marRight w:val="0"/>
      <w:marTop w:val="0"/>
      <w:marBottom w:val="0"/>
      <w:divBdr>
        <w:top w:val="none" w:sz="0" w:space="0" w:color="auto"/>
        <w:left w:val="none" w:sz="0" w:space="0" w:color="auto"/>
        <w:bottom w:val="none" w:sz="0" w:space="0" w:color="auto"/>
        <w:right w:val="none" w:sz="0" w:space="0" w:color="auto"/>
      </w:divBdr>
    </w:div>
    <w:div w:id="1112750487">
      <w:bodyDiv w:val="1"/>
      <w:marLeft w:val="0"/>
      <w:marRight w:val="0"/>
      <w:marTop w:val="0"/>
      <w:marBottom w:val="0"/>
      <w:divBdr>
        <w:top w:val="none" w:sz="0" w:space="0" w:color="auto"/>
        <w:left w:val="none" w:sz="0" w:space="0" w:color="auto"/>
        <w:bottom w:val="none" w:sz="0" w:space="0" w:color="auto"/>
        <w:right w:val="none" w:sz="0" w:space="0" w:color="auto"/>
      </w:divBdr>
    </w:div>
    <w:div w:id="1113287201">
      <w:bodyDiv w:val="1"/>
      <w:marLeft w:val="0"/>
      <w:marRight w:val="0"/>
      <w:marTop w:val="0"/>
      <w:marBottom w:val="0"/>
      <w:divBdr>
        <w:top w:val="none" w:sz="0" w:space="0" w:color="auto"/>
        <w:left w:val="none" w:sz="0" w:space="0" w:color="auto"/>
        <w:bottom w:val="none" w:sz="0" w:space="0" w:color="auto"/>
        <w:right w:val="none" w:sz="0" w:space="0" w:color="auto"/>
      </w:divBdr>
    </w:div>
    <w:div w:id="1115365452">
      <w:bodyDiv w:val="1"/>
      <w:marLeft w:val="0"/>
      <w:marRight w:val="0"/>
      <w:marTop w:val="0"/>
      <w:marBottom w:val="0"/>
      <w:divBdr>
        <w:top w:val="none" w:sz="0" w:space="0" w:color="auto"/>
        <w:left w:val="none" w:sz="0" w:space="0" w:color="auto"/>
        <w:bottom w:val="none" w:sz="0" w:space="0" w:color="auto"/>
        <w:right w:val="none" w:sz="0" w:space="0" w:color="auto"/>
      </w:divBdr>
    </w:div>
    <w:div w:id="1116606736">
      <w:bodyDiv w:val="1"/>
      <w:marLeft w:val="0"/>
      <w:marRight w:val="0"/>
      <w:marTop w:val="0"/>
      <w:marBottom w:val="0"/>
      <w:divBdr>
        <w:top w:val="none" w:sz="0" w:space="0" w:color="auto"/>
        <w:left w:val="none" w:sz="0" w:space="0" w:color="auto"/>
        <w:bottom w:val="none" w:sz="0" w:space="0" w:color="auto"/>
        <w:right w:val="none" w:sz="0" w:space="0" w:color="auto"/>
      </w:divBdr>
      <w:divsChild>
        <w:div w:id="871655536">
          <w:marLeft w:val="-225"/>
          <w:marRight w:val="-225"/>
          <w:marTop w:val="0"/>
          <w:marBottom w:val="0"/>
          <w:divBdr>
            <w:top w:val="none" w:sz="0" w:space="0" w:color="auto"/>
            <w:left w:val="none" w:sz="0" w:space="0" w:color="auto"/>
            <w:bottom w:val="none" w:sz="0" w:space="0" w:color="auto"/>
            <w:right w:val="none" w:sz="0" w:space="0" w:color="auto"/>
          </w:divBdr>
          <w:divsChild>
            <w:div w:id="989332745">
              <w:marLeft w:val="0"/>
              <w:marRight w:val="0"/>
              <w:marTop w:val="0"/>
              <w:marBottom w:val="0"/>
              <w:divBdr>
                <w:top w:val="none" w:sz="0" w:space="0" w:color="auto"/>
                <w:left w:val="none" w:sz="0" w:space="0" w:color="auto"/>
                <w:bottom w:val="none" w:sz="0" w:space="0" w:color="auto"/>
                <w:right w:val="none" w:sz="0" w:space="0" w:color="auto"/>
              </w:divBdr>
              <w:divsChild>
                <w:div w:id="8092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2763">
      <w:bodyDiv w:val="1"/>
      <w:marLeft w:val="0"/>
      <w:marRight w:val="0"/>
      <w:marTop w:val="0"/>
      <w:marBottom w:val="0"/>
      <w:divBdr>
        <w:top w:val="none" w:sz="0" w:space="0" w:color="auto"/>
        <w:left w:val="none" w:sz="0" w:space="0" w:color="auto"/>
        <w:bottom w:val="none" w:sz="0" w:space="0" w:color="auto"/>
        <w:right w:val="none" w:sz="0" w:space="0" w:color="auto"/>
      </w:divBdr>
      <w:divsChild>
        <w:div w:id="431629985">
          <w:marLeft w:val="0"/>
          <w:marRight w:val="0"/>
          <w:marTop w:val="0"/>
          <w:marBottom w:val="0"/>
          <w:divBdr>
            <w:top w:val="none" w:sz="0" w:space="0" w:color="auto"/>
            <w:left w:val="none" w:sz="0" w:space="0" w:color="auto"/>
            <w:bottom w:val="none" w:sz="0" w:space="0" w:color="auto"/>
            <w:right w:val="none" w:sz="0" w:space="0" w:color="auto"/>
          </w:divBdr>
          <w:divsChild>
            <w:div w:id="1293097856">
              <w:marLeft w:val="0"/>
              <w:marRight w:val="0"/>
              <w:marTop w:val="0"/>
              <w:marBottom w:val="0"/>
              <w:divBdr>
                <w:top w:val="single" w:sz="6" w:space="24" w:color="EBEEF5"/>
                <w:left w:val="none" w:sz="0" w:space="0" w:color="auto"/>
                <w:bottom w:val="single" w:sz="6" w:space="18" w:color="EBEEF5"/>
                <w:right w:val="none" w:sz="0" w:space="0" w:color="auto"/>
              </w:divBdr>
              <w:divsChild>
                <w:div w:id="1756589229">
                  <w:marLeft w:val="0"/>
                  <w:marRight w:val="0"/>
                  <w:marTop w:val="0"/>
                  <w:marBottom w:val="0"/>
                  <w:divBdr>
                    <w:top w:val="none" w:sz="0" w:space="0" w:color="auto"/>
                    <w:left w:val="none" w:sz="0" w:space="0" w:color="auto"/>
                    <w:bottom w:val="none" w:sz="0" w:space="0" w:color="auto"/>
                    <w:right w:val="none" w:sz="0" w:space="0" w:color="auto"/>
                  </w:divBdr>
                  <w:divsChild>
                    <w:div w:id="804544872">
                      <w:marLeft w:val="0"/>
                      <w:marRight w:val="0"/>
                      <w:marTop w:val="0"/>
                      <w:marBottom w:val="0"/>
                      <w:divBdr>
                        <w:top w:val="none" w:sz="0" w:space="0" w:color="auto"/>
                        <w:left w:val="none" w:sz="0" w:space="0" w:color="auto"/>
                        <w:bottom w:val="none" w:sz="0" w:space="0" w:color="auto"/>
                        <w:right w:val="none" w:sz="0" w:space="0" w:color="auto"/>
                      </w:divBdr>
                      <w:divsChild>
                        <w:div w:id="14990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39993">
          <w:marLeft w:val="0"/>
          <w:marRight w:val="0"/>
          <w:marTop w:val="0"/>
          <w:marBottom w:val="0"/>
          <w:divBdr>
            <w:top w:val="none" w:sz="0" w:space="0" w:color="auto"/>
            <w:left w:val="none" w:sz="0" w:space="0" w:color="auto"/>
            <w:bottom w:val="none" w:sz="0" w:space="0" w:color="auto"/>
            <w:right w:val="none" w:sz="0" w:space="0" w:color="auto"/>
          </w:divBdr>
          <w:divsChild>
            <w:div w:id="833179382">
              <w:marLeft w:val="-225"/>
              <w:marRight w:val="-225"/>
              <w:marTop w:val="0"/>
              <w:marBottom w:val="0"/>
              <w:divBdr>
                <w:top w:val="none" w:sz="0" w:space="0" w:color="auto"/>
                <w:left w:val="none" w:sz="0" w:space="0" w:color="auto"/>
                <w:bottom w:val="none" w:sz="0" w:space="0" w:color="auto"/>
                <w:right w:val="none" w:sz="0" w:space="0" w:color="auto"/>
              </w:divBdr>
              <w:divsChild>
                <w:div w:id="706032655">
                  <w:marLeft w:val="0"/>
                  <w:marRight w:val="0"/>
                  <w:marTop w:val="0"/>
                  <w:marBottom w:val="0"/>
                  <w:divBdr>
                    <w:top w:val="none" w:sz="0" w:space="0" w:color="auto"/>
                    <w:left w:val="none" w:sz="0" w:space="0" w:color="auto"/>
                    <w:bottom w:val="none" w:sz="0" w:space="0" w:color="auto"/>
                    <w:right w:val="none" w:sz="0" w:space="0" w:color="auto"/>
                  </w:divBdr>
                  <w:divsChild>
                    <w:div w:id="1959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79704">
          <w:marLeft w:val="0"/>
          <w:marRight w:val="0"/>
          <w:marTop w:val="0"/>
          <w:marBottom w:val="0"/>
          <w:divBdr>
            <w:top w:val="none" w:sz="0" w:space="0" w:color="auto"/>
            <w:left w:val="none" w:sz="0" w:space="0" w:color="auto"/>
            <w:bottom w:val="none" w:sz="0" w:space="0" w:color="auto"/>
            <w:right w:val="none" w:sz="0" w:space="0" w:color="auto"/>
          </w:divBdr>
        </w:div>
        <w:div w:id="1871455159">
          <w:marLeft w:val="0"/>
          <w:marRight w:val="0"/>
          <w:marTop w:val="0"/>
          <w:marBottom w:val="0"/>
          <w:divBdr>
            <w:top w:val="none" w:sz="0" w:space="0" w:color="auto"/>
            <w:left w:val="none" w:sz="0" w:space="0" w:color="auto"/>
            <w:bottom w:val="none" w:sz="0" w:space="0" w:color="auto"/>
            <w:right w:val="none" w:sz="0" w:space="0" w:color="auto"/>
          </w:divBdr>
          <w:divsChild>
            <w:div w:id="146362773">
              <w:marLeft w:val="-225"/>
              <w:marRight w:val="-225"/>
              <w:marTop w:val="0"/>
              <w:marBottom w:val="0"/>
              <w:divBdr>
                <w:top w:val="none" w:sz="0" w:space="0" w:color="auto"/>
                <w:left w:val="none" w:sz="0" w:space="0" w:color="auto"/>
                <w:bottom w:val="none" w:sz="0" w:space="0" w:color="auto"/>
                <w:right w:val="none" w:sz="0" w:space="0" w:color="auto"/>
              </w:divBdr>
              <w:divsChild>
                <w:div w:id="1580627589">
                  <w:marLeft w:val="0"/>
                  <w:marRight w:val="0"/>
                  <w:marTop w:val="0"/>
                  <w:marBottom w:val="0"/>
                  <w:divBdr>
                    <w:top w:val="none" w:sz="0" w:space="0" w:color="auto"/>
                    <w:left w:val="none" w:sz="0" w:space="0" w:color="auto"/>
                    <w:bottom w:val="none" w:sz="0" w:space="0" w:color="auto"/>
                    <w:right w:val="none" w:sz="0" w:space="0" w:color="auto"/>
                  </w:divBdr>
                  <w:divsChild>
                    <w:div w:id="21003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15785">
      <w:bodyDiv w:val="1"/>
      <w:marLeft w:val="0"/>
      <w:marRight w:val="0"/>
      <w:marTop w:val="0"/>
      <w:marBottom w:val="0"/>
      <w:divBdr>
        <w:top w:val="none" w:sz="0" w:space="0" w:color="auto"/>
        <w:left w:val="none" w:sz="0" w:space="0" w:color="auto"/>
        <w:bottom w:val="none" w:sz="0" w:space="0" w:color="auto"/>
        <w:right w:val="none" w:sz="0" w:space="0" w:color="auto"/>
      </w:divBdr>
    </w:div>
    <w:div w:id="1126267000">
      <w:bodyDiv w:val="1"/>
      <w:marLeft w:val="0"/>
      <w:marRight w:val="0"/>
      <w:marTop w:val="0"/>
      <w:marBottom w:val="0"/>
      <w:divBdr>
        <w:top w:val="none" w:sz="0" w:space="0" w:color="auto"/>
        <w:left w:val="none" w:sz="0" w:space="0" w:color="auto"/>
        <w:bottom w:val="none" w:sz="0" w:space="0" w:color="auto"/>
        <w:right w:val="none" w:sz="0" w:space="0" w:color="auto"/>
      </w:divBdr>
    </w:div>
    <w:div w:id="1129203513">
      <w:bodyDiv w:val="1"/>
      <w:marLeft w:val="0"/>
      <w:marRight w:val="0"/>
      <w:marTop w:val="0"/>
      <w:marBottom w:val="0"/>
      <w:divBdr>
        <w:top w:val="none" w:sz="0" w:space="0" w:color="auto"/>
        <w:left w:val="none" w:sz="0" w:space="0" w:color="auto"/>
        <w:bottom w:val="none" w:sz="0" w:space="0" w:color="auto"/>
        <w:right w:val="none" w:sz="0" w:space="0" w:color="auto"/>
      </w:divBdr>
    </w:div>
    <w:div w:id="1131556288">
      <w:bodyDiv w:val="1"/>
      <w:marLeft w:val="0"/>
      <w:marRight w:val="0"/>
      <w:marTop w:val="0"/>
      <w:marBottom w:val="0"/>
      <w:divBdr>
        <w:top w:val="none" w:sz="0" w:space="0" w:color="auto"/>
        <w:left w:val="none" w:sz="0" w:space="0" w:color="auto"/>
        <w:bottom w:val="none" w:sz="0" w:space="0" w:color="auto"/>
        <w:right w:val="none" w:sz="0" w:space="0" w:color="auto"/>
      </w:divBdr>
    </w:div>
    <w:div w:id="1132135703">
      <w:bodyDiv w:val="1"/>
      <w:marLeft w:val="0"/>
      <w:marRight w:val="0"/>
      <w:marTop w:val="0"/>
      <w:marBottom w:val="0"/>
      <w:divBdr>
        <w:top w:val="none" w:sz="0" w:space="0" w:color="auto"/>
        <w:left w:val="none" w:sz="0" w:space="0" w:color="auto"/>
        <w:bottom w:val="none" w:sz="0" w:space="0" w:color="auto"/>
        <w:right w:val="none" w:sz="0" w:space="0" w:color="auto"/>
      </w:divBdr>
    </w:div>
    <w:div w:id="1133257086">
      <w:bodyDiv w:val="1"/>
      <w:marLeft w:val="0"/>
      <w:marRight w:val="0"/>
      <w:marTop w:val="0"/>
      <w:marBottom w:val="0"/>
      <w:divBdr>
        <w:top w:val="none" w:sz="0" w:space="0" w:color="auto"/>
        <w:left w:val="none" w:sz="0" w:space="0" w:color="auto"/>
        <w:bottom w:val="none" w:sz="0" w:space="0" w:color="auto"/>
        <w:right w:val="none" w:sz="0" w:space="0" w:color="auto"/>
      </w:divBdr>
    </w:div>
    <w:div w:id="1136140405">
      <w:bodyDiv w:val="1"/>
      <w:marLeft w:val="0"/>
      <w:marRight w:val="0"/>
      <w:marTop w:val="0"/>
      <w:marBottom w:val="0"/>
      <w:divBdr>
        <w:top w:val="none" w:sz="0" w:space="0" w:color="auto"/>
        <w:left w:val="none" w:sz="0" w:space="0" w:color="auto"/>
        <w:bottom w:val="none" w:sz="0" w:space="0" w:color="auto"/>
        <w:right w:val="none" w:sz="0" w:space="0" w:color="auto"/>
      </w:divBdr>
    </w:div>
    <w:div w:id="1139151599">
      <w:bodyDiv w:val="1"/>
      <w:marLeft w:val="0"/>
      <w:marRight w:val="0"/>
      <w:marTop w:val="0"/>
      <w:marBottom w:val="0"/>
      <w:divBdr>
        <w:top w:val="none" w:sz="0" w:space="0" w:color="auto"/>
        <w:left w:val="none" w:sz="0" w:space="0" w:color="auto"/>
        <w:bottom w:val="none" w:sz="0" w:space="0" w:color="auto"/>
        <w:right w:val="none" w:sz="0" w:space="0" w:color="auto"/>
      </w:divBdr>
    </w:div>
    <w:div w:id="1140464766">
      <w:bodyDiv w:val="1"/>
      <w:marLeft w:val="0"/>
      <w:marRight w:val="0"/>
      <w:marTop w:val="0"/>
      <w:marBottom w:val="0"/>
      <w:divBdr>
        <w:top w:val="none" w:sz="0" w:space="0" w:color="auto"/>
        <w:left w:val="none" w:sz="0" w:space="0" w:color="auto"/>
        <w:bottom w:val="none" w:sz="0" w:space="0" w:color="auto"/>
        <w:right w:val="none" w:sz="0" w:space="0" w:color="auto"/>
      </w:divBdr>
    </w:div>
    <w:div w:id="1141339006">
      <w:bodyDiv w:val="1"/>
      <w:marLeft w:val="0"/>
      <w:marRight w:val="0"/>
      <w:marTop w:val="0"/>
      <w:marBottom w:val="0"/>
      <w:divBdr>
        <w:top w:val="none" w:sz="0" w:space="0" w:color="auto"/>
        <w:left w:val="none" w:sz="0" w:space="0" w:color="auto"/>
        <w:bottom w:val="none" w:sz="0" w:space="0" w:color="auto"/>
        <w:right w:val="none" w:sz="0" w:space="0" w:color="auto"/>
      </w:divBdr>
    </w:div>
    <w:div w:id="1145732760">
      <w:bodyDiv w:val="1"/>
      <w:marLeft w:val="0"/>
      <w:marRight w:val="0"/>
      <w:marTop w:val="0"/>
      <w:marBottom w:val="0"/>
      <w:divBdr>
        <w:top w:val="none" w:sz="0" w:space="0" w:color="auto"/>
        <w:left w:val="none" w:sz="0" w:space="0" w:color="auto"/>
        <w:bottom w:val="none" w:sz="0" w:space="0" w:color="auto"/>
        <w:right w:val="none" w:sz="0" w:space="0" w:color="auto"/>
      </w:divBdr>
    </w:div>
    <w:div w:id="1146824343">
      <w:bodyDiv w:val="1"/>
      <w:marLeft w:val="0"/>
      <w:marRight w:val="0"/>
      <w:marTop w:val="0"/>
      <w:marBottom w:val="0"/>
      <w:divBdr>
        <w:top w:val="none" w:sz="0" w:space="0" w:color="auto"/>
        <w:left w:val="none" w:sz="0" w:space="0" w:color="auto"/>
        <w:bottom w:val="none" w:sz="0" w:space="0" w:color="auto"/>
        <w:right w:val="none" w:sz="0" w:space="0" w:color="auto"/>
      </w:divBdr>
    </w:div>
    <w:div w:id="1147894647">
      <w:bodyDiv w:val="1"/>
      <w:marLeft w:val="0"/>
      <w:marRight w:val="0"/>
      <w:marTop w:val="0"/>
      <w:marBottom w:val="0"/>
      <w:divBdr>
        <w:top w:val="none" w:sz="0" w:space="0" w:color="auto"/>
        <w:left w:val="none" w:sz="0" w:space="0" w:color="auto"/>
        <w:bottom w:val="none" w:sz="0" w:space="0" w:color="auto"/>
        <w:right w:val="none" w:sz="0" w:space="0" w:color="auto"/>
      </w:divBdr>
    </w:div>
    <w:div w:id="1149984336">
      <w:bodyDiv w:val="1"/>
      <w:marLeft w:val="0"/>
      <w:marRight w:val="0"/>
      <w:marTop w:val="0"/>
      <w:marBottom w:val="0"/>
      <w:divBdr>
        <w:top w:val="none" w:sz="0" w:space="0" w:color="auto"/>
        <w:left w:val="none" w:sz="0" w:space="0" w:color="auto"/>
        <w:bottom w:val="none" w:sz="0" w:space="0" w:color="auto"/>
        <w:right w:val="none" w:sz="0" w:space="0" w:color="auto"/>
      </w:divBdr>
    </w:div>
    <w:div w:id="1153326407">
      <w:bodyDiv w:val="1"/>
      <w:marLeft w:val="0"/>
      <w:marRight w:val="0"/>
      <w:marTop w:val="0"/>
      <w:marBottom w:val="0"/>
      <w:divBdr>
        <w:top w:val="none" w:sz="0" w:space="0" w:color="auto"/>
        <w:left w:val="none" w:sz="0" w:space="0" w:color="auto"/>
        <w:bottom w:val="none" w:sz="0" w:space="0" w:color="auto"/>
        <w:right w:val="none" w:sz="0" w:space="0" w:color="auto"/>
      </w:divBdr>
    </w:div>
    <w:div w:id="1153527057">
      <w:bodyDiv w:val="1"/>
      <w:marLeft w:val="0"/>
      <w:marRight w:val="0"/>
      <w:marTop w:val="0"/>
      <w:marBottom w:val="0"/>
      <w:divBdr>
        <w:top w:val="none" w:sz="0" w:space="0" w:color="auto"/>
        <w:left w:val="none" w:sz="0" w:space="0" w:color="auto"/>
        <w:bottom w:val="none" w:sz="0" w:space="0" w:color="auto"/>
        <w:right w:val="none" w:sz="0" w:space="0" w:color="auto"/>
      </w:divBdr>
    </w:div>
    <w:div w:id="1153836345">
      <w:bodyDiv w:val="1"/>
      <w:marLeft w:val="0"/>
      <w:marRight w:val="0"/>
      <w:marTop w:val="0"/>
      <w:marBottom w:val="0"/>
      <w:divBdr>
        <w:top w:val="none" w:sz="0" w:space="0" w:color="auto"/>
        <w:left w:val="none" w:sz="0" w:space="0" w:color="auto"/>
        <w:bottom w:val="none" w:sz="0" w:space="0" w:color="auto"/>
        <w:right w:val="none" w:sz="0" w:space="0" w:color="auto"/>
      </w:divBdr>
    </w:div>
    <w:div w:id="1153914327">
      <w:bodyDiv w:val="1"/>
      <w:marLeft w:val="0"/>
      <w:marRight w:val="0"/>
      <w:marTop w:val="0"/>
      <w:marBottom w:val="0"/>
      <w:divBdr>
        <w:top w:val="none" w:sz="0" w:space="0" w:color="auto"/>
        <w:left w:val="none" w:sz="0" w:space="0" w:color="auto"/>
        <w:bottom w:val="none" w:sz="0" w:space="0" w:color="auto"/>
        <w:right w:val="none" w:sz="0" w:space="0" w:color="auto"/>
      </w:divBdr>
    </w:div>
    <w:div w:id="1156804460">
      <w:bodyDiv w:val="1"/>
      <w:marLeft w:val="0"/>
      <w:marRight w:val="0"/>
      <w:marTop w:val="0"/>
      <w:marBottom w:val="0"/>
      <w:divBdr>
        <w:top w:val="none" w:sz="0" w:space="0" w:color="auto"/>
        <w:left w:val="none" w:sz="0" w:space="0" w:color="auto"/>
        <w:bottom w:val="none" w:sz="0" w:space="0" w:color="auto"/>
        <w:right w:val="none" w:sz="0" w:space="0" w:color="auto"/>
      </w:divBdr>
    </w:div>
    <w:div w:id="1166283725">
      <w:bodyDiv w:val="1"/>
      <w:marLeft w:val="0"/>
      <w:marRight w:val="0"/>
      <w:marTop w:val="0"/>
      <w:marBottom w:val="0"/>
      <w:divBdr>
        <w:top w:val="none" w:sz="0" w:space="0" w:color="auto"/>
        <w:left w:val="none" w:sz="0" w:space="0" w:color="auto"/>
        <w:bottom w:val="none" w:sz="0" w:space="0" w:color="auto"/>
        <w:right w:val="none" w:sz="0" w:space="0" w:color="auto"/>
      </w:divBdr>
    </w:div>
    <w:div w:id="1168327034">
      <w:bodyDiv w:val="1"/>
      <w:marLeft w:val="0"/>
      <w:marRight w:val="0"/>
      <w:marTop w:val="0"/>
      <w:marBottom w:val="0"/>
      <w:divBdr>
        <w:top w:val="none" w:sz="0" w:space="0" w:color="auto"/>
        <w:left w:val="none" w:sz="0" w:space="0" w:color="auto"/>
        <w:bottom w:val="none" w:sz="0" w:space="0" w:color="auto"/>
        <w:right w:val="none" w:sz="0" w:space="0" w:color="auto"/>
      </w:divBdr>
      <w:divsChild>
        <w:div w:id="592512080">
          <w:marLeft w:val="0"/>
          <w:marRight w:val="0"/>
          <w:marTop w:val="0"/>
          <w:marBottom w:val="0"/>
          <w:divBdr>
            <w:top w:val="none" w:sz="0" w:space="0" w:color="auto"/>
            <w:left w:val="none" w:sz="0" w:space="0" w:color="auto"/>
            <w:bottom w:val="none" w:sz="0" w:space="0" w:color="auto"/>
            <w:right w:val="none" w:sz="0" w:space="0" w:color="auto"/>
          </w:divBdr>
          <w:divsChild>
            <w:div w:id="151872697">
              <w:marLeft w:val="-225"/>
              <w:marRight w:val="-225"/>
              <w:marTop w:val="0"/>
              <w:marBottom w:val="0"/>
              <w:divBdr>
                <w:top w:val="none" w:sz="0" w:space="0" w:color="auto"/>
                <w:left w:val="none" w:sz="0" w:space="0" w:color="auto"/>
                <w:bottom w:val="none" w:sz="0" w:space="0" w:color="auto"/>
                <w:right w:val="none" w:sz="0" w:space="0" w:color="auto"/>
              </w:divBdr>
              <w:divsChild>
                <w:div w:id="355471882">
                  <w:marLeft w:val="0"/>
                  <w:marRight w:val="0"/>
                  <w:marTop w:val="0"/>
                  <w:marBottom w:val="0"/>
                  <w:divBdr>
                    <w:top w:val="none" w:sz="0" w:space="0" w:color="auto"/>
                    <w:left w:val="none" w:sz="0" w:space="0" w:color="auto"/>
                    <w:bottom w:val="none" w:sz="0" w:space="0" w:color="auto"/>
                    <w:right w:val="none" w:sz="0" w:space="0" w:color="auto"/>
                  </w:divBdr>
                  <w:divsChild>
                    <w:div w:id="13978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78500">
          <w:marLeft w:val="0"/>
          <w:marRight w:val="0"/>
          <w:marTop w:val="0"/>
          <w:marBottom w:val="0"/>
          <w:divBdr>
            <w:top w:val="none" w:sz="0" w:space="0" w:color="auto"/>
            <w:left w:val="none" w:sz="0" w:space="0" w:color="auto"/>
            <w:bottom w:val="none" w:sz="0" w:space="0" w:color="auto"/>
            <w:right w:val="none" w:sz="0" w:space="0" w:color="auto"/>
          </w:divBdr>
          <w:divsChild>
            <w:div w:id="1703044885">
              <w:marLeft w:val="0"/>
              <w:marRight w:val="0"/>
              <w:marTop w:val="0"/>
              <w:marBottom w:val="0"/>
              <w:divBdr>
                <w:top w:val="none" w:sz="0" w:space="0" w:color="auto"/>
                <w:left w:val="none" w:sz="0" w:space="0" w:color="auto"/>
                <w:bottom w:val="none" w:sz="0" w:space="0" w:color="auto"/>
                <w:right w:val="none" w:sz="0" w:space="0" w:color="auto"/>
              </w:divBdr>
              <w:divsChild>
                <w:div w:id="1930919494">
                  <w:marLeft w:val="0"/>
                  <w:marRight w:val="0"/>
                  <w:marTop w:val="0"/>
                  <w:marBottom w:val="0"/>
                  <w:divBdr>
                    <w:top w:val="none" w:sz="0" w:space="0" w:color="auto"/>
                    <w:left w:val="none" w:sz="0" w:space="0" w:color="auto"/>
                    <w:bottom w:val="none" w:sz="0" w:space="0" w:color="auto"/>
                    <w:right w:val="none" w:sz="0" w:space="0" w:color="auto"/>
                  </w:divBdr>
                  <w:divsChild>
                    <w:div w:id="373194137">
                      <w:marLeft w:val="0"/>
                      <w:marRight w:val="0"/>
                      <w:marTop w:val="0"/>
                      <w:marBottom w:val="0"/>
                      <w:divBdr>
                        <w:top w:val="none" w:sz="0" w:space="0" w:color="auto"/>
                        <w:left w:val="none" w:sz="0" w:space="0" w:color="auto"/>
                        <w:bottom w:val="none" w:sz="0" w:space="0" w:color="auto"/>
                        <w:right w:val="none" w:sz="0" w:space="0" w:color="auto"/>
                      </w:divBdr>
                      <w:divsChild>
                        <w:div w:id="19995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91632">
          <w:marLeft w:val="0"/>
          <w:marRight w:val="0"/>
          <w:marTop w:val="0"/>
          <w:marBottom w:val="0"/>
          <w:divBdr>
            <w:top w:val="none" w:sz="0" w:space="0" w:color="auto"/>
            <w:left w:val="none" w:sz="0" w:space="0" w:color="auto"/>
            <w:bottom w:val="none" w:sz="0" w:space="0" w:color="auto"/>
            <w:right w:val="none" w:sz="0" w:space="0" w:color="auto"/>
          </w:divBdr>
          <w:divsChild>
            <w:div w:id="1129863893">
              <w:marLeft w:val="-225"/>
              <w:marRight w:val="-225"/>
              <w:marTop w:val="0"/>
              <w:marBottom w:val="0"/>
              <w:divBdr>
                <w:top w:val="none" w:sz="0" w:space="0" w:color="auto"/>
                <w:left w:val="none" w:sz="0" w:space="0" w:color="auto"/>
                <w:bottom w:val="none" w:sz="0" w:space="0" w:color="auto"/>
                <w:right w:val="none" w:sz="0" w:space="0" w:color="auto"/>
              </w:divBdr>
              <w:divsChild>
                <w:div w:id="1325550048">
                  <w:marLeft w:val="0"/>
                  <w:marRight w:val="0"/>
                  <w:marTop w:val="0"/>
                  <w:marBottom w:val="0"/>
                  <w:divBdr>
                    <w:top w:val="none" w:sz="0" w:space="0" w:color="auto"/>
                    <w:left w:val="none" w:sz="0" w:space="0" w:color="auto"/>
                    <w:bottom w:val="none" w:sz="0" w:space="0" w:color="auto"/>
                    <w:right w:val="none" w:sz="0" w:space="0" w:color="auto"/>
                  </w:divBdr>
                  <w:divsChild>
                    <w:div w:id="8827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7075">
          <w:marLeft w:val="0"/>
          <w:marRight w:val="0"/>
          <w:marTop w:val="0"/>
          <w:marBottom w:val="0"/>
          <w:divBdr>
            <w:top w:val="none" w:sz="0" w:space="0" w:color="auto"/>
            <w:left w:val="none" w:sz="0" w:space="0" w:color="auto"/>
            <w:bottom w:val="none" w:sz="0" w:space="0" w:color="auto"/>
            <w:right w:val="none" w:sz="0" w:space="0" w:color="auto"/>
          </w:divBdr>
        </w:div>
      </w:divsChild>
    </w:div>
    <w:div w:id="1170566295">
      <w:bodyDiv w:val="1"/>
      <w:marLeft w:val="0"/>
      <w:marRight w:val="0"/>
      <w:marTop w:val="0"/>
      <w:marBottom w:val="0"/>
      <w:divBdr>
        <w:top w:val="none" w:sz="0" w:space="0" w:color="auto"/>
        <w:left w:val="none" w:sz="0" w:space="0" w:color="auto"/>
        <w:bottom w:val="none" w:sz="0" w:space="0" w:color="auto"/>
        <w:right w:val="none" w:sz="0" w:space="0" w:color="auto"/>
      </w:divBdr>
    </w:div>
    <w:div w:id="1172911046">
      <w:bodyDiv w:val="1"/>
      <w:marLeft w:val="0"/>
      <w:marRight w:val="0"/>
      <w:marTop w:val="0"/>
      <w:marBottom w:val="0"/>
      <w:divBdr>
        <w:top w:val="none" w:sz="0" w:space="0" w:color="auto"/>
        <w:left w:val="none" w:sz="0" w:space="0" w:color="auto"/>
        <w:bottom w:val="none" w:sz="0" w:space="0" w:color="auto"/>
        <w:right w:val="none" w:sz="0" w:space="0" w:color="auto"/>
      </w:divBdr>
    </w:div>
    <w:div w:id="1174299084">
      <w:bodyDiv w:val="1"/>
      <w:marLeft w:val="0"/>
      <w:marRight w:val="0"/>
      <w:marTop w:val="0"/>
      <w:marBottom w:val="0"/>
      <w:divBdr>
        <w:top w:val="none" w:sz="0" w:space="0" w:color="auto"/>
        <w:left w:val="none" w:sz="0" w:space="0" w:color="auto"/>
        <w:bottom w:val="none" w:sz="0" w:space="0" w:color="auto"/>
        <w:right w:val="none" w:sz="0" w:space="0" w:color="auto"/>
      </w:divBdr>
    </w:div>
    <w:div w:id="1175220958">
      <w:bodyDiv w:val="1"/>
      <w:marLeft w:val="0"/>
      <w:marRight w:val="0"/>
      <w:marTop w:val="0"/>
      <w:marBottom w:val="0"/>
      <w:divBdr>
        <w:top w:val="none" w:sz="0" w:space="0" w:color="auto"/>
        <w:left w:val="none" w:sz="0" w:space="0" w:color="auto"/>
        <w:bottom w:val="none" w:sz="0" w:space="0" w:color="auto"/>
        <w:right w:val="none" w:sz="0" w:space="0" w:color="auto"/>
      </w:divBdr>
    </w:div>
    <w:div w:id="1178234106">
      <w:bodyDiv w:val="1"/>
      <w:marLeft w:val="0"/>
      <w:marRight w:val="0"/>
      <w:marTop w:val="0"/>
      <w:marBottom w:val="0"/>
      <w:divBdr>
        <w:top w:val="none" w:sz="0" w:space="0" w:color="auto"/>
        <w:left w:val="none" w:sz="0" w:space="0" w:color="auto"/>
        <w:bottom w:val="none" w:sz="0" w:space="0" w:color="auto"/>
        <w:right w:val="none" w:sz="0" w:space="0" w:color="auto"/>
      </w:divBdr>
    </w:div>
    <w:div w:id="1180386140">
      <w:bodyDiv w:val="1"/>
      <w:marLeft w:val="0"/>
      <w:marRight w:val="0"/>
      <w:marTop w:val="0"/>
      <w:marBottom w:val="0"/>
      <w:divBdr>
        <w:top w:val="none" w:sz="0" w:space="0" w:color="auto"/>
        <w:left w:val="none" w:sz="0" w:space="0" w:color="auto"/>
        <w:bottom w:val="none" w:sz="0" w:space="0" w:color="auto"/>
        <w:right w:val="none" w:sz="0" w:space="0" w:color="auto"/>
      </w:divBdr>
    </w:div>
    <w:div w:id="1188761896">
      <w:bodyDiv w:val="1"/>
      <w:marLeft w:val="0"/>
      <w:marRight w:val="0"/>
      <w:marTop w:val="0"/>
      <w:marBottom w:val="0"/>
      <w:divBdr>
        <w:top w:val="none" w:sz="0" w:space="0" w:color="auto"/>
        <w:left w:val="none" w:sz="0" w:space="0" w:color="auto"/>
        <w:bottom w:val="none" w:sz="0" w:space="0" w:color="auto"/>
        <w:right w:val="none" w:sz="0" w:space="0" w:color="auto"/>
      </w:divBdr>
      <w:divsChild>
        <w:div w:id="587227141">
          <w:marLeft w:val="0"/>
          <w:marRight w:val="0"/>
          <w:marTop w:val="0"/>
          <w:marBottom w:val="0"/>
          <w:divBdr>
            <w:top w:val="none" w:sz="0" w:space="0" w:color="auto"/>
            <w:left w:val="none" w:sz="0" w:space="0" w:color="auto"/>
            <w:bottom w:val="none" w:sz="0" w:space="0" w:color="auto"/>
            <w:right w:val="none" w:sz="0" w:space="0" w:color="auto"/>
          </w:divBdr>
        </w:div>
        <w:div w:id="594629199">
          <w:marLeft w:val="0"/>
          <w:marRight w:val="0"/>
          <w:marTop w:val="0"/>
          <w:marBottom w:val="0"/>
          <w:divBdr>
            <w:top w:val="none" w:sz="0" w:space="0" w:color="auto"/>
            <w:left w:val="none" w:sz="0" w:space="0" w:color="auto"/>
            <w:bottom w:val="none" w:sz="0" w:space="0" w:color="auto"/>
            <w:right w:val="none" w:sz="0" w:space="0" w:color="auto"/>
          </w:divBdr>
          <w:divsChild>
            <w:div w:id="1830829351">
              <w:marLeft w:val="-225"/>
              <w:marRight w:val="-225"/>
              <w:marTop w:val="0"/>
              <w:marBottom w:val="0"/>
              <w:divBdr>
                <w:top w:val="none" w:sz="0" w:space="0" w:color="auto"/>
                <w:left w:val="none" w:sz="0" w:space="0" w:color="auto"/>
                <w:bottom w:val="none" w:sz="0" w:space="0" w:color="auto"/>
                <w:right w:val="none" w:sz="0" w:space="0" w:color="auto"/>
              </w:divBdr>
              <w:divsChild>
                <w:div w:id="2022659037">
                  <w:marLeft w:val="0"/>
                  <w:marRight w:val="0"/>
                  <w:marTop w:val="0"/>
                  <w:marBottom w:val="0"/>
                  <w:divBdr>
                    <w:top w:val="none" w:sz="0" w:space="0" w:color="auto"/>
                    <w:left w:val="none" w:sz="0" w:space="0" w:color="auto"/>
                    <w:bottom w:val="none" w:sz="0" w:space="0" w:color="auto"/>
                    <w:right w:val="none" w:sz="0" w:space="0" w:color="auto"/>
                  </w:divBdr>
                  <w:divsChild>
                    <w:div w:id="9720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5489">
          <w:marLeft w:val="0"/>
          <w:marRight w:val="0"/>
          <w:marTop w:val="0"/>
          <w:marBottom w:val="0"/>
          <w:divBdr>
            <w:top w:val="none" w:sz="0" w:space="0" w:color="auto"/>
            <w:left w:val="none" w:sz="0" w:space="0" w:color="auto"/>
            <w:bottom w:val="none" w:sz="0" w:space="0" w:color="auto"/>
            <w:right w:val="none" w:sz="0" w:space="0" w:color="auto"/>
          </w:divBdr>
          <w:divsChild>
            <w:div w:id="738137572">
              <w:marLeft w:val="-225"/>
              <w:marRight w:val="-225"/>
              <w:marTop w:val="0"/>
              <w:marBottom w:val="0"/>
              <w:divBdr>
                <w:top w:val="none" w:sz="0" w:space="0" w:color="auto"/>
                <w:left w:val="none" w:sz="0" w:space="0" w:color="auto"/>
                <w:bottom w:val="none" w:sz="0" w:space="0" w:color="auto"/>
                <w:right w:val="none" w:sz="0" w:space="0" w:color="auto"/>
              </w:divBdr>
              <w:divsChild>
                <w:div w:id="52429288">
                  <w:marLeft w:val="0"/>
                  <w:marRight w:val="0"/>
                  <w:marTop w:val="0"/>
                  <w:marBottom w:val="0"/>
                  <w:divBdr>
                    <w:top w:val="none" w:sz="0" w:space="0" w:color="auto"/>
                    <w:left w:val="none" w:sz="0" w:space="0" w:color="auto"/>
                    <w:bottom w:val="none" w:sz="0" w:space="0" w:color="auto"/>
                    <w:right w:val="none" w:sz="0" w:space="0" w:color="auto"/>
                  </w:divBdr>
                  <w:divsChild>
                    <w:div w:id="9396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6505">
          <w:marLeft w:val="0"/>
          <w:marRight w:val="0"/>
          <w:marTop w:val="0"/>
          <w:marBottom w:val="0"/>
          <w:divBdr>
            <w:top w:val="none" w:sz="0" w:space="0" w:color="auto"/>
            <w:left w:val="none" w:sz="0" w:space="0" w:color="auto"/>
            <w:bottom w:val="none" w:sz="0" w:space="0" w:color="auto"/>
            <w:right w:val="none" w:sz="0" w:space="0" w:color="auto"/>
          </w:divBdr>
          <w:divsChild>
            <w:div w:id="57746524">
              <w:marLeft w:val="0"/>
              <w:marRight w:val="0"/>
              <w:marTop w:val="0"/>
              <w:marBottom w:val="0"/>
              <w:divBdr>
                <w:top w:val="none" w:sz="0" w:space="0" w:color="auto"/>
                <w:left w:val="none" w:sz="0" w:space="0" w:color="auto"/>
                <w:bottom w:val="none" w:sz="0" w:space="0" w:color="auto"/>
                <w:right w:val="none" w:sz="0" w:space="0" w:color="auto"/>
              </w:divBdr>
              <w:divsChild>
                <w:div w:id="699088133">
                  <w:marLeft w:val="0"/>
                  <w:marRight w:val="0"/>
                  <w:marTop w:val="0"/>
                  <w:marBottom w:val="0"/>
                  <w:divBdr>
                    <w:top w:val="none" w:sz="0" w:space="0" w:color="auto"/>
                    <w:left w:val="none" w:sz="0" w:space="0" w:color="auto"/>
                    <w:bottom w:val="none" w:sz="0" w:space="0" w:color="auto"/>
                    <w:right w:val="none" w:sz="0" w:space="0" w:color="auto"/>
                  </w:divBdr>
                  <w:divsChild>
                    <w:div w:id="285016088">
                      <w:marLeft w:val="0"/>
                      <w:marRight w:val="0"/>
                      <w:marTop w:val="0"/>
                      <w:marBottom w:val="0"/>
                      <w:divBdr>
                        <w:top w:val="none" w:sz="0" w:space="0" w:color="auto"/>
                        <w:left w:val="none" w:sz="0" w:space="0" w:color="auto"/>
                        <w:bottom w:val="none" w:sz="0" w:space="0" w:color="auto"/>
                        <w:right w:val="none" w:sz="0" w:space="0" w:color="auto"/>
                      </w:divBdr>
                      <w:divsChild>
                        <w:div w:id="13070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30809">
      <w:bodyDiv w:val="1"/>
      <w:marLeft w:val="0"/>
      <w:marRight w:val="0"/>
      <w:marTop w:val="0"/>
      <w:marBottom w:val="0"/>
      <w:divBdr>
        <w:top w:val="none" w:sz="0" w:space="0" w:color="auto"/>
        <w:left w:val="none" w:sz="0" w:space="0" w:color="auto"/>
        <w:bottom w:val="none" w:sz="0" w:space="0" w:color="auto"/>
        <w:right w:val="none" w:sz="0" w:space="0" w:color="auto"/>
      </w:divBdr>
    </w:div>
    <w:div w:id="1190023336">
      <w:bodyDiv w:val="1"/>
      <w:marLeft w:val="0"/>
      <w:marRight w:val="0"/>
      <w:marTop w:val="0"/>
      <w:marBottom w:val="0"/>
      <w:divBdr>
        <w:top w:val="none" w:sz="0" w:space="0" w:color="auto"/>
        <w:left w:val="none" w:sz="0" w:space="0" w:color="auto"/>
        <w:bottom w:val="none" w:sz="0" w:space="0" w:color="auto"/>
        <w:right w:val="none" w:sz="0" w:space="0" w:color="auto"/>
      </w:divBdr>
      <w:divsChild>
        <w:div w:id="945770753">
          <w:marLeft w:val="0"/>
          <w:marRight w:val="0"/>
          <w:marTop w:val="0"/>
          <w:marBottom w:val="0"/>
          <w:divBdr>
            <w:top w:val="none" w:sz="0" w:space="0" w:color="auto"/>
            <w:left w:val="none" w:sz="0" w:space="0" w:color="auto"/>
            <w:bottom w:val="none" w:sz="0" w:space="0" w:color="auto"/>
            <w:right w:val="none" w:sz="0" w:space="0" w:color="auto"/>
          </w:divBdr>
        </w:div>
        <w:div w:id="1258178148">
          <w:marLeft w:val="0"/>
          <w:marRight w:val="0"/>
          <w:marTop w:val="0"/>
          <w:marBottom w:val="0"/>
          <w:divBdr>
            <w:top w:val="none" w:sz="0" w:space="0" w:color="auto"/>
            <w:left w:val="none" w:sz="0" w:space="0" w:color="auto"/>
            <w:bottom w:val="none" w:sz="0" w:space="0" w:color="auto"/>
            <w:right w:val="none" w:sz="0" w:space="0" w:color="auto"/>
          </w:divBdr>
          <w:divsChild>
            <w:div w:id="528252175">
              <w:marLeft w:val="-225"/>
              <w:marRight w:val="-225"/>
              <w:marTop w:val="0"/>
              <w:marBottom w:val="0"/>
              <w:divBdr>
                <w:top w:val="none" w:sz="0" w:space="0" w:color="auto"/>
                <w:left w:val="none" w:sz="0" w:space="0" w:color="auto"/>
                <w:bottom w:val="none" w:sz="0" w:space="0" w:color="auto"/>
                <w:right w:val="none" w:sz="0" w:space="0" w:color="auto"/>
              </w:divBdr>
              <w:divsChild>
                <w:div w:id="690376937">
                  <w:marLeft w:val="0"/>
                  <w:marRight w:val="0"/>
                  <w:marTop w:val="0"/>
                  <w:marBottom w:val="0"/>
                  <w:divBdr>
                    <w:top w:val="none" w:sz="0" w:space="0" w:color="auto"/>
                    <w:left w:val="none" w:sz="0" w:space="0" w:color="auto"/>
                    <w:bottom w:val="none" w:sz="0" w:space="0" w:color="auto"/>
                    <w:right w:val="none" w:sz="0" w:space="0" w:color="auto"/>
                  </w:divBdr>
                  <w:divsChild>
                    <w:div w:id="8080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4916">
          <w:marLeft w:val="0"/>
          <w:marRight w:val="0"/>
          <w:marTop w:val="0"/>
          <w:marBottom w:val="0"/>
          <w:divBdr>
            <w:top w:val="none" w:sz="0" w:space="0" w:color="auto"/>
            <w:left w:val="none" w:sz="0" w:space="0" w:color="auto"/>
            <w:bottom w:val="none" w:sz="0" w:space="0" w:color="auto"/>
            <w:right w:val="none" w:sz="0" w:space="0" w:color="auto"/>
          </w:divBdr>
          <w:divsChild>
            <w:div w:id="808400538">
              <w:marLeft w:val="0"/>
              <w:marRight w:val="0"/>
              <w:marTop w:val="0"/>
              <w:marBottom w:val="0"/>
              <w:divBdr>
                <w:top w:val="none" w:sz="0" w:space="0" w:color="auto"/>
                <w:left w:val="none" w:sz="0" w:space="0" w:color="auto"/>
                <w:bottom w:val="none" w:sz="0" w:space="0" w:color="auto"/>
                <w:right w:val="none" w:sz="0" w:space="0" w:color="auto"/>
              </w:divBdr>
              <w:divsChild>
                <w:div w:id="139614459">
                  <w:marLeft w:val="0"/>
                  <w:marRight w:val="0"/>
                  <w:marTop w:val="0"/>
                  <w:marBottom w:val="0"/>
                  <w:divBdr>
                    <w:top w:val="none" w:sz="0" w:space="0" w:color="auto"/>
                    <w:left w:val="none" w:sz="0" w:space="0" w:color="auto"/>
                    <w:bottom w:val="none" w:sz="0" w:space="0" w:color="auto"/>
                    <w:right w:val="none" w:sz="0" w:space="0" w:color="auto"/>
                  </w:divBdr>
                  <w:divsChild>
                    <w:div w:id="1696687979">
                      <w:marLeft w:val="0"/>
                      <w:marRight w:val="0"/>
                      <w:marTop w:val="0"/>
                      <w:marBottom w:val="0"/>
                      <w:divBdr>
                        <w:top w:val="none" w:sz="0" w:space="0" w:color="auto"/>
                        <w:left w:val="none" w:sz="0" w:space="0" w:color="auto"/>
                        <w:bottom w:val="none" w:sz="0" w:space="0" w:color="auto"/>
                        <w:right w:val="none" w:sz="0" w:space="0" w:color="auto"/>
                      </w:divBdr>
                      <w:divsChild>
                        <w:div w:id="2052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127514">
          <w:marLeft w:val="0"/>
          <w:marRight w:val="0"/>
          <w:marTop w:val="0"/>
          <w:marBottom w:val="0"/>
          <w:divBdr>
            <w:top w:val="none" w:sz="0" w:space="0" w:color="auto"/>
            <w:left w:val="none" w:sz="0" w:space="0" w:color="auto"/>
            <w:bottom w:val="none" w:sz="0" w:space="0" w:color="auto"/>
            <w:right w:val="none" w:sz="0" w:space="0" w:color="auto"/>
          </w:divBdr>
          <w:divsChild>
            <w:div w:id="506284454">
              <w:marLeft w:val="-225"/>
              <w:marRight w:val="-225"/>
              <w:marTop w:val="0"/>
              <w:marBottom w:val="0"/>
              <w:divBdr>
                <w:top w:val="none" w:sz="0" w:space="0" w:color="auto"/>
                <w:left w:val="none" w:sz="0" w:space="0" w:color="auto"/>
                <w:bottom w:val="none" w:sz="0" w:space="0" w:color="auto"/>
                <w:right w:val="none" w:sz="0" w:space="0" w:color="auto"/>
              </w:divBdr>
              <w:divsChild>
                <w:div w:id="611664998">
                  <w:marLeft w:val="0"/>
                  <w:marRight w:val="0"/>
                  <w:marTop w:val="0"/>
                  <w:marBottom w:val="0"/>
                  <w:divBdr>
                    <w:top w:val="none" w:sz="0" w:space="0" w:color="auto"/>
                    <w:left w:val="none" w:sz="0" w:space="0" w:color="auto"/>
                    <w:bottom w:val="none" w:sz="0" w:space="0" w:color="auto"/>
                    <w:right w:val="none" w:sz="0" w:space="0" w:color="auto"/>
                  </w:divBdr>
                  <w:divsChild>
                    <w:div w:id="14264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452886">
      <w:bodyDiv w:val="1"/>
      <w:marLeft w:val="0"/>
      <w:marRight w:val="0"/>
      <w:marTop w:val="0"/>
      <w:marBottom w:val="0"/>
      <w:divBdr>
        <w:top w:val="none" w:sz="0" w:space="0" w:color="auto"/>
        <w:left w:val="none" w:sz="0" w:space="0" w:color="auto"/>
        <w:bottom w:val="none" w:sz="0" w:space="0" w:color="auto"/>
        <w:right w:val="none" w:sz="0" w:space="0" w:color="auto"/>
      </w:divBdr>
      <w:divsChild>
        <w:div w:id="718431038">
          <w:marLeft w:val="0"/>
          <w:marRight w:val="0"/>
          <w:marTop w:val="0"/>
          <w:marBottom w:val="0"/>
          <w:divBdr>
            <w:top w:val="none" w:sz="0" w:space="0" w:color="auto"/>
            <w:left w:val="none" w:sz="0" w:space="0" w:color="auto"/>
            <w:bottom w:val="none" w:sz="0" w:space="0" w:color="auto"/>
            <w:right w:val="none" w:sz="0" w:space="0" w:color="auto"/>
          </w:divBdr>
          <w:divsChild>
            <w:div w:id="666710891">
              <w:marLeft w:val="-225"/>
              <w:marRight w:val="-225"/>
              <w:marTop w:val="0"/>
              <w:marBottom w:val="0"/>
              <w:divBdr>
                <w:top w:val="none" w:sz="0" w:space="0" w:color="auto"/>
                <w:left w:val="none" w:sz="0" w:space="0" w:color="auto"/>
                <w:bottom w:val="none" w:sz="0" w:space="0" w:color="auto"/>
                <w:right w:val="none" w:sz="0" w:space="0" w:color="auto"/>
              </w:divBdr>
              <w:divsChild>
                <w:div w:id="218127047">
                  <w:marLeft w:val="0"/>
                  <w:marRight w:val="0"/>
                  <w:marTop w:val="0"/>
                  <w:marBottom w:val="0"/>
                  <w:divBdr>
                    <w:top w:val="none" w:sz="0" w:space="0" w:color="auto"/>
                    <w:left w:val="none" w:sz="0" w:space="0" w:color="auto"/>
                    <w:bottom w:val="none" w:sz="0" w:space="0" w:color="auto"/>
                    <w:right w:val="none" w:sz="0" w:space="0" w:color="auto"/>
                  </w:divBdr>
                  <w:divsChild>
                    <w:div w:id="13957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7192">
          <w:marLeft w:val="0"/>
          <w:marRight w:val="0"/>
          <w:marTop w:val="0"/>
          <w:marBottom w:val="0"/>
          <w:divBdr>
            <w:top w:val="none" w:sz="0" w:space="0" w:color="auto"/>
            <w:left w:val="none" w:sz="0" w:space="0" w:color="auto"/>
            <w:bottom w:val="none" w:sz="0" w:space="0" w:color="auto"/>
            <w:right w:val="none" w:sz="0" w:space="0" w:color="auto"/>
          </w:divBdr>
          <w:divsChild>
            <w:div w:id="532689860">
              <w:marLeft w:val="0"/>
              <w:marRight w:val="0"/>
              <w:marTop w:val="0"/>
              <w:marBottom w:val="0"/>
              <w:divBdr>
                <w:top w:val="none" w:sz="0" w:space="0" w:color="auto"/>
                <w:left w:val="none" w:sz="0" w:space="0" w:color="auto"/>
                <w:bottom w:val="none" w:sz="0" w:space="0" w:color="auto"/>
                <w:right w:val="none" w:sz="0" w:space="0" w:color="auto"/>
              </w:divBdr>
              <w:divsChild>
                <w:div w:id="1204177319">
                  <w:marLeft w:val="0"/>
                  <w:marRight w:val="0"/>
                  <w:marTop w:val="0"/>
                  <w:marBottom w:val="0"/>
                  <w:divBdr>
                    <w:top w:val="none" w:sz="0" w:space="0" w:color="auto"/>
                    <w:left w:val="none" w:sz="0" w:space="0" w:color="auto"/>
                    <w:bottom w:val="none" w:sz="0" w:space="0" w:color="auto"/>
                    <w:right w:val="none" w:sz="0" w:space="0" w:color="auto"/>
                  </w:divBdr>
                  <w:divsChild>
                    <w:div w:id="473379425">
                      <w:marLeft w:val="0"/>
                      <w:marRight w:val="0"/>
                      <w:marTop w:val="0"/>
                      <w:marBottom w:val="0"/>
                      <w:divBdr>
                        <w:top w:val="none" w:sz="0" w:space="0" w:color="auto"/>
                        <w:left w:val="none" w:sz="0" w:space="0" w:color="auto"/>
                        <w:bottom w:val="none" w:sz="0" w:space="0" w:color="auto"/>
                        <w:right w:val="none" w:sz="0" w:space="0" w:color="auto"/>
                      </w:divBdr>
                      <w:divsChild>
                        <w:div w:id="17868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6390">
          <w:marLeft w:val="0"/>
          <w:marRight w:val="0"/>
          <w:marTop w:val="0"/>
          <w:marBottom w:val="0"/>
          <w:divBdr>
            <w:top w:val="none" w:sz="0" w:space="0" w:color="auto"/>
            <w:left w:val="none" w:sz="0" w:space="0" w:color="auto"/>
            <w:bottom w:val="none" w:sz="0" w:space="0" w:color="auto"/>
            <w:right w:val="none" w:sz="0" w:space="0" w:color="auto"/>
          </w:divBdr>
          <w:divsChild>
            <w:div w:id="644235481">
              <w:marLeft w:val="-225"/>
              <w:marRight w:val="-225"/>
              <w:marTop w:val="0"/>
              <w:marBottom w:val="0"/>
              <w:divBdr>
                <w:top w:val="none" w:sz="0" w:space="0" w:color="auto"/>
                <w:left w:val="none" w:sz="0" w:space="0" w:color="auto"/>
                <w:bottom w:val="none" w:sz="0" w:space="0" w:color="auto"/>
                <w:right w:val="none" w:sz="0" w:space="0" w:color="auto"/>
              </w:divBdr>
              <w:divsChild>
                <w:div w:id="1922789435">
                  <w:marLeft w:val="0"/>
                  <w:marRight w:val="0"/>
                  <w:marTop w:val="0"/>
                  <w:marBottom w:val="0"/>
                  <w:divBdr>
                    <w:top w:val="none" w:sz="0" w:space="0" w:color="auto"/>
                    <w:left w:val="none" w:sz="0" w:space="0" w:color="auto"/>
                    <w:bottom w:val="none" w:sz="0" w:space="0" w:color="auto"/>
                    <w:right w:val="none" w:sz="0" w:space="0" w:color="auto"/>
                  </w:divBdr>
                  <w:divsChild>
                    <w:div w:id="1436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3579">
          <w:marLeft w:val="0"/>
          <w:marRight w:val="0"/>
          <w:marTop w:val="0"/>
          <w:marBottom w:val="0"/>
          <w:divBdr>
            <w:top w:val="none" w:sz="0" w:space="0" w:color="auto"/>
            <w:left w:val="none" w:sz="0" w:space="0" w:color="auto"/>
            <w:bottom w:val="none" w:sz="0" w:space="0" w:color="auto"/>
            <w:right w:val="none" w:sz="0" w:space="0" w:color="auto"/>
          </w:divBdr>
        </w:div>
      </w:divsChild>
    </w:div>
    <w:div w:id="1193613585">
      <w:bodyDiv w:val="1"/>
      <w:marLeft w:val="0"/>
      <w:marRight w:val="0"/>
      <w:marTop w:val="0"/>
      <w:marBottom w:val="0"/>
      <w:divBdr>
        <w:top w:val="none" w:sz="0" w:space="0" w:color="auto"/>
        <w:left w:val="none" w:sz="0" w:space="0" w:color="auto"/>
        <w:bottom w:val="none" w:sz="0" w:space="0" w:color="auto"/>
        <w:right w:val="none" w:sz="0" w:space="0" w:color="auto"/>
      </w:divBdr>
    </w:div>
    <w:div w:id="1193961677">
      <w:bodyDiv w:val="1"/>
      <w:marLeft w:val="0"/>
      <w:marRight w:val="0"/>
      <w:marTop w:val="0"/>
      <w:marBottom w:val="0"/>
      <w:divBdr>
        <w:top w:val="none" w:sz="0" w:space="0" w:color="auto"/>
        <w:left w:val="none" w:sz="0" w:space="0" w:color="auto"/>
        <w:bottom w:val="none" w:sz="0" w:space="0" w:color="auto"/>
        <w:right w:val="none" w:sz="0" w:space="0" w:color="auto"/>
      </w:divBdr>
    </w:div>
    <w:div w:id="1199707038">
      <w:bodyDiv w:val="1"/>
      <w:marLeft w:val="0"/>
      <w:marRight w:val="0"/>
      <w:marTop w:val="0"/>
      <w:marBottom w:val="0"/>
      <w:divBdr>
        <w:top w:val="none" w:sz="0" w:space="0" w:color="auto"/>
        <w:left w:val="none" w:sz="0" w:space="0" w:color="auto"/>
        <w:bottom w:val="none" w:sz="0" w:space="0" w:color="auto"/>
        <w:right w:val="none" w:sz="0" w:space="0" w:color="auto"/>
      </w:divBdr>
      <w:divsChild>
        <w:div w:id="1161315203">
          <w:marLeft w:val="0"/>
          <w:marRight w:val="0"/>
          <w:marTop w:val="0"/>
          <w:marBottom w:val="0"/>
          <w:divBdr>
            <w:top w:val="none" w:sz="0" w:space="0" w:color="auto"/>
            <w:left w:val="none" w:sz="0" w:space="0" w:color="auto"/>
            <w:bottom w:val="none" w:sz="0" w:space="0" w:color="auto"/>
            <w:right w:val="none" w:sz="0" w:space="0" w:color="auto"/>
          </w:divBdr>
        </w:div>
        <w:div w:id="1563785486">
          <w:marLeft w:val="0"/>
          <w:marRight w:val="0"/>
          <w:marTop w:val="0"/>
          <w:marBottom w:val="0"/>
          <w:divBdr>
            <w:top w:val="none" w:sz="0" w:space="0" w:color="auto"/>
            <w:left w:val="none" w:sz="0" w:space="0" w:color="auto"/>
            <w:bottom w:val="none" w:sz="0" w:space="0" w:color="auto"/>
            <w:right w:val="none" w:sz="0" w:space="0" w:color="auto"/>
          </w:divBdr>
          <w:divsChild>
            <w:div w:id="1741560262">
              <w:marLeft w:val="-225"/>
              <w:marRight w:val="-225"/>
              <w:marTop w:val="0"/>
              <w:marBottom w:val="0"/>
              <w:divBdr>
                <w:top w:val="none" w:sz="0" w:space="0" w:color="auto"/>
                <w:left w:val="none" w:sz="0" w:space="0" w:color="auto"/>
                <w:bottom w:val="none" w:sz="0" w:space="0" w:color="auto"/>
                <w:right w:val="none" w:sz="0" w:space="0" w:color="auto"/>
              </w:divBdr>
              <w:divsChild>
                <w:div w:id="1422802307">
                  <w:marLeft w:val="0"/>
                  <w:marRight w:val="0"/>
                  <w:marTop w:val="0"/>
                  <w:marBottom w:val="0"/>
                  <w:divBdr>
                    <w:top w:val="none" w:sz="0" w:space="0" w:color="auto"/>
                    <w:left w:val="none" w:sz="0" w:space="0" w:color="auto"/>
                    <w:bottom w:val="none" w:sz="0" w:space="0" w:color="auto"/>
                    <w:right w:val="none" w:sz="0" w:space="0" w:color="auto"/>
                  </w:divBdr>
                  <w:divsChild>
                    <w:div w:id="19089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8224">
          <w:marLeft w:val="0"/>
          <w:marRight w:val="0"/>
          <w:marTop w:val="0"/>
          <w:marBottom w:val="0"/>
          <w:divBdr>
            <w:top w:val="none" w:sz="0" w:space="0" w:color="auto"/>
            <w:left w:val="none" w:sz="0" w:space="0" w:color="auto"/>
            <w:bottom w:val="none" w:sz="0" w:space="0" w:color="auto"/>
            <w:right w:val="none" w:sz="0" w:space="0" w:color="auto"/>
          </w:divBdr>
          <w:divsChild>
            <w:div w:id="107550487">
              <w:marLeft w:val="-225"/>
              <w:marRight w:val="-225"/>
              <w:marTop w:val="0"/>
              <w:marBottom w:val="0"/>
              <w:divBdr>
                <w:top w:val="none" w:sz="0" w:space="0" w:color="auto"/>
                <w:left w:val="none" w:sz="0" w:space="0" w:color="auto"/>
                <w:bottom w:val="none" w:sz="0" w:space="0" w:color="auto"/>
                <w:right w:val="none" w:sz="0" w:space="0" w:color="auto"/>
              </w:divBdr>
              <w:divsChild>
                <w:div w:id="1734503942">
                  <w:marLeft w:val="0"/>
                  <w:marRight w:val="0"/>
                  <w:marTop w:val="0"/>
                  <w:marBottom w:val="0"/>
                  <w:divBdr>
                    <w:top w:val="none" w:sz="0" w:space="0" w:color="auto"/>
                    <w:left w:val="none" w:sz="0" w:space="0" w:color="auto"/>
                    <w:bottom w:val="none" w:sz="0" w:space="0" w:color="auto"/>
                    <w:right w:val="none" w:sz="0" w:space="0" w:color="auto"/>
                  </w:divBdr>
                  <w:divsChild>
                    <w:div w:id="5079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81127">
          <w:marLeft w:val="0"/>
          <w:marRight w:val="0"/>
          <w:marTop w:val="0"/>
          <w:marBottom w:val="0"/>
          <w:divBdr>
            <w:top w:val="none" w:sz="0" w:space="0" w:color="auto"/>
            <w:left w:val="none" w:sz="0" w:space="0" w:color="auto"/>
            <w:bottom w:val="none" w:sz="0" w:space="0" w:color="auto"/>
            <w:right w:val="none" w:sz="0" w:space="0" w:color="auto"/>
          </w:divBdr>
          <w:divsChild>
            <w:div w:id="1793283531">
              <w:marLeft w:val="0"/>
              <w:marRight w:val="0"/>
              <w:marTop w:val="0"/>
              <w:marBottom w:val="0"/>
              <w:divBdr>
                <w:top w:val="single" w:sz="6" w:space="24" w:color="EBEEF5"/>
                <w:left w:val="none" w:sz="0" w:space="0" w:color="auto"/>
                <w:bottom w:val="single" w:sz="6" w:space="18" w:color="EBEEF5"/>
                <w:right w:val="none" w:sz="0" w:space="0" w:color="auto"/>
              </w:divBdr>
              <w:divsChild>
                <w:div w:id="456997731">
                  <w:marLeft w:val="0"/>
                  <w:marRight w:val="0"/>
                  <w:marTop w:val="0"/>
                  <w:marBottom w:val="0"/>
                  <w:divBdr>
                    <w:top w:val="none" w:sz="0" w:space="0" w:color="auto"/>
                    <w:left w:val="none" w:sz="0" w:space="0" w:color="auto"/>
                    <w:bottom w:val="none" w:sz="0" w:space="0" w:color="auto"/>
                    <w:right w:val="none" w:sz="0" w:space="0" w:color="auto"/>
                  </w:divBdr>
                  <w:divsChild>
                    <w:div w:id="711418097">
                      <w:marLeft w:val="0"/>
                      <w:marRight w:val="0"/>
                      <w:marTop w:val="0"/>
                      <w:marBottom w:val="0"/>
                      <w:divBdr>
                        <w:top w:val="none" w:sz="0" w:space="0" w:color="auto"/>
                        <w:left w:val="none" w:sz="0" w:space="0" w:color="auto"/>
                        <w:bottom w:val="none" w:sz="0" w:space="0" w:color="auto"/>
                        <w:right w:val="none" w:sz="0" w:space="0" w:color="auto"/>
                      </w:divBdr>
                      <w:divsChild>
                        <w:div w:id="10000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594070">
      <w:bodyDiv w:val="1"/>
      <w:marLeft w:val="0"/>
      <w:marRight w:val="0"/>
      <w:marTop w:val="0"/>
      <w:marBottom w:val="0"/>
      <w:divBdr>
        <w:top w:val="none" w:sz="0" w:space="0" w:color="auto"/>
        <w:left w:val="none" w:sz="0" w:space="0" w:color="auto"/>
        <w:bottom w:val="none" w:sz="0" w:space="0" w:color="auto"/>
        <w:right w:val="none" w:sz="0" w:space="0" w:color="auto"/>
      </w:divBdr>
    </w:div>
    <w:div w:id="1202867255">
      <w:bodyDiv w:val="1"/>
      <w:marLeft w:val="0"/>
      <w:marRight w:val="0"/>
      <w:marTop w:val="0"/>
      <w:marBottom w:val="0"/>
      <w:divBdr>
        <w:top w:val="none" w:sz="0" w:space="0" w:color="auto"/>
        <w:left w:val="none" w:sz="0" w:space="0" w:color="auto"/>
        <w:bottom w:val="none" w:sz="0" w:space="0" w:color="auto"/>
        <w:right w:val="none" w:sz="0" w:space="0" w:color="auto"/>
      </w:divBdr>
    </w:div>
    <w:div w:id="1203592722">
      <w:bodyDiv w:val="1"/>
      <w:marLeft w:val="0"/>
      <w:marRight w:val="0"/>
      <w:marTop w:val="0"/>
      <w:marBottom w:val="0"/>
      <w:divBdr>
        <w:top w:val="none" w:sz="0" w:space="0" w:color="auto"/>
        <w:left w:val="none" w:sz="0" w:space="0" w:color="auto"/>
        <w:bottom w:val="none" w:sz="0" w:space="0" w:color="auto"/>
        <w:right w:val="none" w:sz="0" w:space="0" w:color="auto"/>
      </w:divBdr>
    </w:div>
    <w:div w:id="1205948207">
      <w:bodyDiv w:val="1"/>
      <w:marLeft w:val="0"/>
      <w:marRight w:val="0"/>
      <w:marTop w:val="0"/>
      <w:marBottom w:val="0"/>
      <w:divBdr>
        <w:top w:val="none" w:sz="0" w:space="0" w:color="auto"/>
        <w:left w:val="none" w:sz="0" w:space="0" w:color="auto"/>
        <w:bottom w:val="none" w:sz="0" w:space="0" w:color="auto"/>
        <w:right w:val="none" w:sz="0" w:space="0" w:color="auto"/>
      </w:divBdr>
    </w:div>
    <w:div w:id="1211721533">
      <w:bodyDiv w:val="1"/>
      <w:marLeft w:val="0"/>
      <w:marRight w:val="0"/>
      <w:marTop w:val="0"/>
      <w:marBottom w:val="0"/>
      <w:divBdr>
        <w:top w:val="none" w:sz="0" w:space="0" w:color="auto"/>
        <w:left w:val="none" w:sz="0" w:space="0" w:color="auto"/>
        <w:bottom w:val="none" w:sz="0" w:space="0" w:color="auto"/>
        <w:right w:val="none" w:sz="0" w:space="0" w:color="auto"/>
      </w:divBdr>
    </w:div>
    <w:div w:id="1212038631">
      <w:bodyDiv w:val="1"/>
      <w:marLeft w:val="0"/>
      <w:marRight w:val="0"/>
      <w:marTop w:val="0"/>
      <w:marBottom w:val="0"/>
      <w:divBdr>
        <w:top w:val="none" w:sz="0" w:space="0" w:color="auto"/>
        <w:left w:val="none" w:sz="0" w:space="0" w:color="auto"/>
        <w:bottom w:val="none" w:sz="0" w:space="0" w:color="auto"/>
        <w:right w:val="none" w:sz="0" w:space="0" w:color="auto"/>
      </w:divBdr>
    </w:div>
    <w:div w:id="1212111669">
      <w:bodyDiv w:val="1"/>
      <w:marLeft w:val="0"/>
      <w:marRight w:val="0"/>
      <w:marTop w:val="0"/>
      <w:marBottom w:val="0"/>
      <w:divBdr>
        <w:top w:val="none" w:sz="0" w:space="0" w:color="auto"/>
        <w:left w:val="none" w:sz="0" w:space="0" w:color="auto"/>
        <w:bottom w:val="none" w:sz="0" w:space="0" w:color="auto"/>
        <w:right w:val="none" w:sz="0" w:space="0" w:color="auto"/>
      </w:divBdr>
    </w:div>
    <w:div w:id="1212226125">
      <w:bodyDiv w:val="1"/>
      <w:marLeft w:val="0"/>
      <w:marRight w:val="0"/>
      <w:marTop w:val="0"/>
      <w:marBottom w:val="0"/>
      <w:divBdr>
        <w:top w:val="none" w:sz="0" w:space="0" w:color="auto"/>
        <w:left w:val="none" w:sz="0" w:space="0" w:color="auto"/>
        <w:bottom w:val="none" w:sz="0" w:space="0" w:color="auto"/>
        <w:right w:val="none" w:sz="0" w:space="0" w:color="auto"/>
      </w:divBdr>
    </w:div>
    <w:div w:id="1215238374">
      <w:bodyDiv w:val="1"/>
      <w:marLeft w:val="0"/>
      <w:marRight w:val="0"/>
      <w:marTop w:val="0"/>
      <w:marBottom w:val="0"/>
      <w:divBdr>
        <w:top w:val="none" w:sz="0" w:space="0" w:color="auto"/>
        <w:left w:val="none" w:sz="0" w:space="0" w:color="auto"/>
        <w:bottom w:val="none" w:sz="0" w:space="0" w:color="auto"/>
        <w:right w:val="none" w:sz="0" w:space="0" w:color="auto"/>
      </w:divBdr>
    </w:div>
    <w:div w:id="1233663003">
      <w:bodyDiv w:val="1"/>
      <w:marLeft w:val="0"/>
      <w:marRight w:val="0"/>
      <w:marTop w:val="0"/>
      <w:marBottom w:val="0"/>
      <w:divBdr>
        <w:top w:val="none" w:sz="0" w:space="0" w:color="auto"/>
        <w:left w:val="none" w:sz="0" w:space="0" w:color="auto"/>
        <w:bottom w:val="none" w:sz="0" w:space="0" w:color="auto"/>
        <w:right w:val="none" w:sz="0" w:space="0" w:color="auto"/>
      </w:divBdr>
    </w:div>
    <w:div w:id="1235311750">
      <w:bodyDiv w:val="1"/>
      <w:marLeft w:val="0"/>
      <w:marRight w:val="0"/>
      <w:marTop w:val="0"/>
      <w:marBottom w:val="0"/>
      <w:divBdr>
        <w:top w:val="none" w:sz="0" w:space="0" w:color="auto"/>
        <w:left w:val="none" w:sz="0" w:space="0" w:color="auto"/>
        <w:bottom w:val="none" w:sz="0" w:space="0" w:color="auto"/>
        <w:right w:val="none" w:sz="0" w:space="0" w:color="auto"/>
      </w:divBdr>
    </w:div>
    <w:div w:id="1239973850">
      <w:bodyDiv w:val="1"/>
      <w:marLeft w:val="0"/>
      <w:marRight w:val="0"/>
      <w:marTop w:val="0"/>
      <w:marBottom w:val="0"/>
      <w:divBdr>
        <w:top w:val="none" w:sz="0" w:space="0" w:color="auto"/>
        <w:left w:val="none" w:sz="0" w:space="0" w:color="auto"/>
        <w:bottom w:val="none" w:sz="0" w:space="0" w:color="auto"/>
        <w:right w:val="none" w:sz="0" w:space="0" w:color="auto"/>
      </w:divBdr>
    </w:div>
    <w:div w:id="1242330372">
      <w:bodyDiv w:val="1"/>
      <w:marLeft w:val="0"/>
      <w:marRight w:val="0"/>
      <w:marTop w:val="0"/>
      <w:marBottom w:val="0"/>
      <w:divBdr>
        <w:top w:val="none" w:sz="0" w:space="0" w:color="auto"/>
        <w:left w:val="none" w:sz="0" w:space="0" w:color="auto"/>
        <w:bottom w:val="none" w:sz="0" w:space="0" w:color="auto"/>
        <w:right w:val="none" w:sz="0" w:space="0" w:color="auto"/>
      </w:divBdr>
    </w:div>
    <w:div w:id="1251038962">
      <w:bodyDiv w:val="1"/>
      <w:marLeft w:val="0"/>
      <w:marRight w:val="0"/>
      <w:marTop w:val="0"/>
      <w:marBottom w:val="0"/>
      <w:divBdr>
        <w:top w:val="none" w:sz="0" w:space="0" w:color="auto"/>
        <w:left w:val="none" w:sz="0" w:space="0" w:color="auto"/>
        <w:bottom w:val="none" w:sz="0" w:space="0" w:color="auto"/>
        <w:right w:val="none" w:sz="0" w:space="0" w:color="auto"/>
      </w:divBdr>
    </w:div>
    <w:div w:id="1255825752">
      <w:bodyDiv w:val="1"/>
      <w:marLeft w:val="0"/>
      <w:marRight w:val="0"/>
      <w:marTop w:val="0"/>
      <w:marBottom w:val="0"/>
      <w:divBdr>
        <w:top w:val="none" w:sz="0" w:space="0" w:color="auto"/>
        <w:left w:val="none" w:sz="0" w:space="0" w:color="auto"/>
        <w:bottom w:val="none" w:sz="0" w:space="0" w:color="auto"/>
        <w:right w:val="none" w:sz="0" w:space="0" w:color="auto"/>
      </w:divBdr>
      <w:divsChild>
        <w:div w:id="16784588">
          <w:marLeft w:val="0"/>
          <w:marRight w:val="0"/>
          <w:marTop w:val="0"/>
          <w:marBottom w:val="0"/>
          <w:divBdr>
            <w:top w:val="none" w:sz="0" w:space="0" w:color="auto"/>
            <w:left w:val="none" w:sz="0" w:space="0" w:color="auto"/>
            <w:bottom w:val="none" w:sz="0" w:space="0" w:color="auto"/>
            <w:right w:val="none" w:sz="0" w:space="0" w:color="auto"/>
          </w:divBdr>
          <w:divsChild>
            <w:div w:id="1847787657">
              <w:marLeft w:val="-225"/>
              <w:marRight w:val="-225"/>
              <w:marTop w:val="0"/>
              <w:marBottom w:val="0"/>
              <w:divBdr>
                <w:top w:val="none" w:sz="0" w:space="0" w:color="auto"/>
                <w:left w:val="none" w:sz="0" w:space="0" w:color="auto"/>
                <w:bottom w:val="none" w:sz="0" w:space="0" w:color="auto"/>
                <w:right w:val="none" w:sz="0" w:space="0" w:color="auto"/>
              </w:divBdr>
              <w:divsChild>
                <w:div w:id="1081567089">
                  <w:marLeft w:val="0"/>
                  <w:marRight w:val="0"/>
                  <w:marTop w:val="0"/>
                  <w:marBottom w:val="0"/>
                  <w:divBdr>
                    <w:top w:val="none" w:sz="0" w:space="0" w:color="auto"/>
                    <w:left w:val="none" w:sz="0" w:space="0" w:color="auto"/>
                    <w:bottom w:val="none" w:sz="0" w:space="0" w:color="auto"/>
                    <w:right w:val="none" w:sz="0" w:space="0" w:color="auto"/>
                  </w:divBdr>
                  <w:divsChild>
                    <w:div w:id="1619218319">
                      <w:marLeft w:val="0"/>
                      <w:marRight w:val="0"/>
                      <w:marTop w:val="0"/>
                      <w:marBottom w:val="0"/>
                      <w:divBdr>
                        <w:top w:val="none" w:sz="0" w:space="0" w:color="auto"/>
                        <w:left w:val="none" w:sz="0" w:space="0" w:color="auto"/>
                        <w:bottom w:val="none" w:sz="0" w:space="0" w:color="auto"/>
                        <w:right w:val="none" w:sz="0" w:space="0" w:color="auto"/>
                      </w:divBdr>
                      <w:divsChild>
                        <w:div w:id="484705983">
                          <w:marLeft w:val="0"/>
                          <w:marRight w:val="0"/>
                          <w:marTop w:val="0"/>
                          <w:marBottom w:val="0"/>
                          <w:divBdr>
                            <w:top w:val="none" w:sz="0" w:space="0" w:color="auto"/>
                            <w:left w:val="none" w:sz="0" w:space="0" w:color="auto"/>
                            <w:bottom w:val="none" w:sz="0" w:space="0" w:color="auto"/>
                            <w:right w:val="none" w:sz="0" w:space="0" w:color="auto"/>
                          </w:divBdr>
                          <w:divsChild>
                            <w:div w:id="392048884">
                              <w:marLeft w:val="0"/>
                              <w:marRight w:val="0"/>
                              <w:marTop w:val="0"/>
                              <w:marBottom w:val="0"/>
                              <w:divBdr>
                                <w:top w:val="none" w:sz="0" w:space="0" w:color="auto"/>
                                <w:left w:val="none" w:sz="0" w:space="0" w:color="auto"/>
                                <w:bottom w:val="none" w:sz="0" w:space="0" w:color="auto"/>
                                <w:right w:val="none" w:sz="0" w:space="0" w:color="auto"/>
                              </w:divBdr>
                              <w:divsChild>
                                <w:div w:id="12537421">
                                  <w:marLeft w:val="0"/>
                                  <w:marRight w:val="0"/>
                                  <w:marTop w:val="0"/>
                                  <w:marBottom w:val="0"/>
                                  <w:divBdr>
                                    <w:top w:val="none" w:sz="0" w:space="0" w:color="auto"/>
                                    <w:left w:val="none" w:sz="0" w:space="0" w:color="auto"/>
                                    <w:bottom w:val="single" w:sz="6" w:space="15" w:color="EBEEF5"/>
                                    <w:right w:val="none" w:sz="0" w:space="0" w:color="auto"/>
                                  </w:divBdr>
                                  <w:divsChild>
                                    <w:div w:id="1588155208">
                                      <w:marLeft w:val="0"/>
                                      <w:marRight w:val="0"/>
                                      <w:marTop w:val="0"/>
                                      <w:marBottom w:val="0"/>
                                      <w:divBdr>
                                        <w:top w:val="none" w:sz="0" w:space="0" w:color="auto"/>
                                        <w:left w:val="none" w:sz="0" w:space="0" w:color="auto"/>
                                        <w:bottom w:val="none" w:sz="0" w:space="0" w:color="auto"/>
                                        <w:right w:val="none" w:sz="0" w:space="0" w:color="auto"/>
                                      </w:divBdr>
                                    </w:div>
                                  </w:divsChild>
                                </w:div>
                                <w:div w:id="88085431">
                                  <w:marLeft w:val="0"/>
                                  <w:marRight w:val="0"/>
                                  <w:marTop w:val="0"/>
                                  <w:marBottom w:val="0"/>
                                  <w:divBdr>
                                    <w:top w:val="none" w:sz="0" w:space="0" w:color="auto"/>
                                    <w:left w:val="none" w:sz="0" w:space="0" w:color="auto"/>
                                    <w:bottom w:val="single" w:sz="6" w:space="15" w:color="EBEEF5"/>
                                    <w:right w:val="none" w:sz="0" w:space="0" w:color="auto"/>
                                  </w:divBdr>
                                  <w:divsChild>
                                    <w:div w:id="945233749">
                                      <w:marLeft w:val="0"/>
                                      <w:marRight w:val="0"/>
                                      <w:marTop w:val="0"/>
                                      <w:marBottom w:val="0"/>
                                      <w:divBdr>
                                        <w:top w:val="none" w:sz="0" w:space="0" w:color="auto"/>
                                        <w:left w:val="none" w:sz="0" w:space="0" w:color="auto"/>
                                        <w:bottom w:val="none" w:sz="0" w:space="0" w:color="auto"/>
                                        <w:right w:val="none" w:sz="0" w:space="0" w:color="auto"/>
                                      </w:divBdr>
                                    </w:div>
                                  </w:divsChild>
                                </w:div>
                                <w:div w:id="100492431">
                                  <w:marLeft w:val="0"/>
                                  <w:marRight w:val="0"/>
                                  <w:marTop w:val="0"/>
                                  <w:marBottom w:val="0"/>
                                  <w:divBdr>
                                    <w:top w:val="none" w:sz="0" w:space="0" w:color="auto"/>
                                    <w:left w:val="none" w:sz="0" w:space="0" w:color="auto"/>
                                    <w:bottom w:val="single" w:sz="6" w:space="15" w:color="EBEEF5"/>
                                    <w:right w:val="none" w:sz="0" w:space="0" w:color="auto"/>
                                  </w:divBdr>
                                  <w:divsChild>
                                    <w:div w:id="1562449415">
                                      <w:marLeft w:val="0"/>
                                      <w:marRight w:val="0"/>
                                      <w:marTop w:val="0"/>
                                      <w:marBottom w:val="0"/>
                                      <w:divBdr>
                                        <w:top w:val="none" w:sz="0" w:space="0" w:color="auto"/>
                                        <w:left w:val="none" w:sz="0" w:space="0" w:color="auto"/>
                                        <w:bottom w:val="none" w:sz="0" w:space="0" w:color="auto"/>
                                        <w:right w:val="none" w:sz="0" w:space="0" w:color="auto"/>
                                      </w:divBdr>
                                    </w:div>
                                  </w:divsChild>
                                </w:div>
                                <w:div w:id="596596478">
                                  <w:marLeft w:val="0"/>
                                  <w:marRight w:val="0"/>
                                  <w:marTop w:val="0"/>
                                  <w:marBottom w:val="0"/>
                                  <w:divBdr>
                                    <w:top w:val="none" w:sz="0" w:space="0" w:color="auto"/>
                                    <w:left w:val="none" w:sz="0" w:space="0" w:color="auto"/>
                                    <w:bottom w:val="single" w:sz="6" w:space="15" w:color="EBEEF5"/>
                                    <w:right w:val="none" w:sz="0" w:space="0" w:color="auto"/>
                                  </w:divBdr>
                                  <w:divsChild>
                                    <w:div w:id="1550070325">
                                      <w:marLeft w:val="0"/>
                                      <w:marRight w:val="0"/>
                                      <w:marTop w:val="0"/>
                                      <w:marBottom w:val="0"/>
                                      <w:divBdr>
                                        <w:top w:val="none" w:sz="0" w:space="0" w:color="auto"/>
                                        <w:left w:val="none" w:sz="0" w:space="0" w:color="auto"/>
                                        <w:bottom w:val="none" w:sz="0" w:space="0" w:color="auto"/>
                                        <w:right w:val="none" w:sz="0" w:space="0" w:color="auto"/>
                                      </w:divBdr>
                                    </w:div>
                                  </w:divsChild>
                                </w:div>
                                <w:div w:id="645162748">
                                  <w:marLeft w:val="0"/>
                                  <w:marRight w:val="0"/>
                                  <w:marTop w:val="0"/>
                                  <w:marBottom w:val="0"/>
                                  <w:divBdr>
                                    <w:top w:val="none" w:sz="0" w:space="0" w:color="auto"/>
                                    <w:left w:val="none" w:sz="0" w:space="0" w:color="auto"/>
                                    <w:bottom w:val="single" w:sz="6" w:space="15" w:color="EBEEF5"/>
                                    <w:right w:val="none" w:sz="0" w:space="0" w:color="auto"/>
                                  </w:divBdr>
                                  <w:divsChild>
                                    <w:div w:id="8454325">
                                      <w:marLeft w:val="0"/>
                                      <w:marRight w:val="0"/>
                                      <w:marTop w:val="0"/>
                                      <w:marBottom w:val="0"/>
                                      <w:divBdr>
                                        <w:top w:val="none" w:sz="0" w:space="0" w:color="auto"/>
                                        <w:left w:val="none" w:sz="0" w:space="0" w:color="auto"/>
                                        <w:bottom w:val="none" w:sz="0" w:space="0" w:color="auto"/>
                                        <w:right w:val="none" w:sz="0" w:space="0" w:color="auto"/>
                                      </w:divBdr>
                                    </w:div>
                                  </w:divsChild>
                                </w:div>
                                <w:div w:id="852382263">
                                  <w:marLeft w:val="0"/>
                                  <w:marRight w:val="0"/>
                                  <w:marTop w:val="0"/>
                                  <w:marBottom w:val="0"/>
                                  <w:divBdr>
                                    <w:top w:val="none" w:sz="0" w:space="0" w:color="auto"/>
                                    <w:left w:val="none" w:sz="0" w:space="0" w:color="auto"/>
                                    <w:bottom w:val="single" w:sz="6" w:space="15" w:color="EBEEF5"/>
                                    <w:right w:val="none" w:sz="0" w:space="0" w:color="auto"/>
                                  </w:divBdr>
                                  <w:divsChild>
                                    <w:div w:id="699817802">
                                      <w:marLeft w:val="0"/>
                                      <w:marRight w:val="0"/>
                                      <w:marTop w:val="0"/>
                                      <w:marBottom w:val="0"/>
                                      <w:divBdr>
                                        <w:top w:val="none" w:sz="0" w:space="0" w:color="auto"/>
                                        <w:left w:val="none" w:sz="0" w:space="0" w:color="auto"/>
                                        <w:bottom w:val="none" w:sz="0" w:space="0" w:color="auto"/>
                                        <w:right w:val="none" w:sz="0" w:space="0" w:color="auto"/>
                                      </w:divBdr>
                                    </w:div>
                                  </w:divsChild>
                                </w:div>
                                <w:div w:id="1082723471">
                                  <w:marLeft w:val="0"/>
                                  <w:marRight w:val="0"/>
                                  <w:marTop w:val="0"/>
                                  <w:marBottom w:val="0"/>
                                  <w:divBdr>
                                    <w:top w:val="none" w:sz="0" w:space="0" w:color="auto"/>
                                    <w:left w:val="none" w:sz="0" w:space="0" w:color="auto"/>
                                    <w:bottom w:val="single" w:sz="6" w:space="15" w:color="EBEEF5"/>
                                    <w:right w:val="none" w:sz="0" w:space="0" w:color="auto"/>
                                  </w:divBdr>
                                  <w:divsChild>
                                    <w:div w:id="496846875">
                                      <w:marLeft w:val="0"/>
                                      <w:marRight w:val="0"/>
                                      <w:marTop w:val="0"/>
                                      <w:marBottom w:val="0"/>
                                      <w:divBdr>
                                        <w:top w:val="none" w:sz="0" w:space="0" w:color="auto"/>
                                        <w:left w:val="none" w:sz="0" w:space="0" w:color="auto"/>
                                        <w:bottom w:val="none" w:sz="0" w:space="0" w:color="auto"/>
                                        <w:right w:val="none" w:sz="0" w:space="0" w:color="auto"/>
                                      </w:divBdr>
                                    </w:div>
                                  </w:divsChild>
                                </w:div>
                                <w:div w:id="1109618023">
                                  <w:marLeft w:val="0"/>
                                  <w:marRight w:val="0"/>
                                  <w:marTop w:val="0"/>
                                  <w:marBottom w:val="0"/>
                                  <w:divBdr>
                                    <w:top w:val="none" w:sz="0" w:space="0" w:color="auto"/>
                                    <w:left w:val="none" w:sz="0" w:space="0" w:color="auto"/>
                                    <w:bottom w:val="single" w:sz="6" w:space="15" w:color="EBEEF5"/>
                                    <w:right w:val="none" w:sz="0" w:space="0" w:color="auto"/>
                                  </w:divBdr>
                                  <w:divsChild>
                                    <w:div w:id="890771786">
                                      <w:marLeft w:val="0"/>
                                      <w:marRight w:val="0"/>
                                      <w:marTop w:val="0"/>
                                      <w:marBottom w:val="0"/>
                                      <w:divBdr>
                                        <w:top w:val="none" w:sz="0" w:space="0" w:color="auto"/>
                                        <w:left w:val="none" w:sz="0" w:space="0" w:color="auto"/>
                                        <w:bottom w:val="none" w:sz="0" w:space="0" w:color="auto"/>
                                        <w:right w:val="none" w:sz="0" w:space="0" w:color="auto"/>
                                      </w:divBdr>
                                    </w:div>
                                  </w:divsChild>
                                </w:div>
                                <w:div w:id="1141188804">
                                  <w:marLeft w:val="0"/>
                                  <w:marRight w:val="0"/>
                                  <w:marTop w:val="0"/>
                                  <w:marBottom w:val="0"/>
                                  <w:divBdr>
                                    <w:top w:val="none" w:sz="0" w:space="0" w:color="auto"/>
                                    <w:left w:val="none" w:sz="0" w:space="0" w:color="auto"/>
                                    <w:bottom w:val="single" w:sz="6" w:space="15" w:color="EBEEF5"/>
                                    <w:right w:val="none" w:sz="0" w:space="0" w:color="auto"/>
                                  </w:divBdr>
                                  <w:divsChild>
                                    <w:div w:id="1458984527">
                                      <w:marLeft w:val="0"/>
                                      <w:marRight w:val="0"/>
                                      <w:marTop w:val="0"/>
                                      <w:marBottom w:val="0"/>
                                      <w:divBdr>
                                        <w:top w:val="none" w:sz="0" w:space="0" w:color="auto"/>
                                        <w:left w:val="none" w:sz="0" w:space="0" w:color="auto"/>
                                        <w:bottom w:val="none" w:sz="0" w:space="0" w:color="auto"/>
                                        <w:right w:val="none" w:sz="0" w:space="0" w:color="auto"/>
                                      </w:divBdr>
                                    </w:div>
                                  </w:divsChild>
                                </w:div>
                                <w:div w:id="1400594568">
                                  <w:marLeft w:val="0"/>
                                  <w:marRight w:val="0"/>
                                  <w:marTop w:val="0"/>
                                  <w:marBottom w:val="0"/>
                                  <w:divBdr>
                                    <w:top w:val="none" w:sz="0" w:space="0" w:color="auto"/>
                                    <w:left w:val="none" w:sz="0" w:space="0" w:color="auto"/>
                                    <w:bottom w:val="single" w:sz="6" w:space="15" w:color="EBEEF5"/>
                                    <w:right w:val="none" w:sz="0" w:space="0" w:color="auto"/>
                                  </w:divBdr>
                                  <w:divsChild>
                                    <w:div w:id="85077771">
                                      <w:marLeft w:val="0"/>
                                      <w:marRight w:val="0"/>
                                      <w:marTop w:val="0"/>
                                      <w:marBottom w:val="0"/>
                                      <w:divBdr>
                                        <w:top w:val="none" w:sz="0" w:space="0" w:color="auto"/>
                                        <w:left w:val="none" w:sz="0" w:space="0" w:color="auto"/>
                                        <w:bottom w:val="none" w:sz="0" w:space="0" w:color="auto"/>
                                        <w:right w:val="none" w:sz="0" w:space="0" w:color="auto"/>
                                      </w:divBdr>
                                    </w:div>
                                  </w:divsChild>
                                </w:div>
                                <w:div w:id="1413818746">
                                  <w:marLeft w:val="0"/>
                                  <w:marRight w:val="0"/>
                                  <w:marTop w:val="0"/>
                                  <w:marBottom w:val="0"/>
                                  <w:divBdr>
                                    <w:top w:val="none" w:sz="0" w:space="0" w:color="auto"/>
                                    <w:left w:val="none" w:sz="0" w:space="0" w:color="auto"/>
                                    <w:bottom w:val="single" w:sz="6" w:space="15" w:color="EBEEF5"/>
                                    <w:right w:val="none" w:sz="0" w:space="0" w:color="auto"/>
                                  </w:divBdr>
                                  <w:divsChild>
                                    <w:div w:id="1008599292">
                                      <w:marLeft w:val="0"/>
                                      <w:marRight w:val="0"/>
                                      <w:marTop w:val="0"/>
                                      <w:marBottom w:val="0"/>
                                      <w:divBdr>
                                        <w:top w:val="none" w:sz="0" w:space="0" w:color="auto"/>
                                        <w:left w:val="none" w:sz="0" w:space="0" w:color="auto"/>
                                        <w:bottom w:val="none" w:sz="0" w:space="0" w:color="auto"/>
                                        <w:right w:val="none" w:sz="0" w:space="0" w:color="auto"/>
                                      </w:divBdr>
                                    </w:div>
                                  </w:divsChild>
                                </w:div>
                                <w:div w:id="1483622161">
                                  <w:marLeft w:val="0"/>
                                  <w:marRight w:val="0"/>
                                  <w:marTop w:val="0"/>
                                  <w:marBottom w:val="0"/>
                                  <w:divBdr>
                                    <w:top w:val="none" w:sz="0" w:space="0" w:color="auto"/>
                                    <w:left w:val="none" w:sz="0" w:space="0" w:color="auto"/>
                                    <w:bottom w:val="single" w:sz="6" w:space="15" w:color="EBEEF5"/>
                                    <w:right w:val="none" w:sz="0" w:space="0" w:color="auto"/>
                                  </w:divBdr>
                                  <w:divsChild>
                                    <w:div w:id="1107195317">
                                      <w:marLeft w:val="0"/>
                                      <w:marRight w:val="0"/>
                                      <w:marTop w:val="0"/>
                                      <w:marBottom w:val="0"/>
                                      <w:divBdr>
                                        <w:top w:val="none" w:sz="0" w:space="0" w:color="auto"/>
                                        <w:left w:val="none" w:sz="0" w:space="0" w:color="auto"/>
                                        <w:bottom w:val="none" w:sz="0" w:space="0" w:color="auto"/>
                                        <w:right w:val="none" w:sz="0" w:space="0" w:color="auto"/>
                                      </w:divBdr>
                                    </w:div>
                                  </w:divsChild>
                                </w:div>
                                <w:div w:id="1584607957">
                                  <w:marLeft w:val="0"/>
                                  <w:marRight w:val="0"/>
                                  <w:marTop w:val="0"/>
                                  <w:marBottom w:val="0"/>
                                  <w:divBdr>
                                    <w:top w:val="none" w:sz="0" w:space="0" w:color="auto"/>
                                    <w:left w:val="none" w:sz="0" w:space="0" w:color="auto"/>
                                    <w:bottom w:val="single" w:sz="6" w:space="15" w:color="EBEEF5"/>
                                    <w:right w:val="none" w:sz="0" w:space="0" w:color="auto"/>
                                  </w:divBdr>
                                  <w:divsChild>
                                    <w:div w:id="136529697">
                                      <w:marLeft w:val="0"/>
                                      <w:marRight w:val="0"/>
                                      <w:marTop w:val="0"/>
                                      <w:marBottom w:val="0"/>
                                      <w:divBdr>
                                        <w:top w:val="none" w:sz="0" w:space="0" w:color="auto"/>
                                        <w:left w:val="none" w:sz="0" w:space="0" w:color="auto"/>
                                        <w:bottom w:val="none" w:sz="0" w:space="0" w:color="auto"/>
                                        <w:right w:val="none" w:sz="0" w:space="0" w:color="auto"/>
                                      </w:divBdr>
                                    </w:div>
                                  </w:divsChild>
                                </w:div>
                                <w:div w:id="1656376128">
                                  <w:marLeft w:val="0"/>
                                  <w:marRight w:val="0"/>
                                  <w:marTop w:val="0"/>
                                  <w:marBottom w:val="0"/>
                                  <w:divBdr>
                                    <w:top w:val="none" w:sz="0" w:space="0" w:color="auto"/>
                                    <w:left w:val="none" w:sz="0" w:space="0" w:color="auto"/>
                                    <w:bottom w:val="single" w:sz="6" w:space="15" w:color="EBEEF5"/>
                                    <w:right w:val="none" w:sz="0" w:space="0" w:color="auto"/>
                                  </w:divBdr>
                                  <w:divsChild>
                                    <w:div w:id="623389091">
                                      <w:marLeft w:val="0"/>
                                      <w:marRight w:val="0"/>
                                      <w:marTop w:val="0"/>
                                      <w:marBottom w:val="0"/>
                                      <w:divBdr>
                                        <w:top w:val="none" w:sz="0" w:space="0" w:color="auto"/>
                                        <w:left w:val="none" w:sz="0" w:space="0" w:color="auto"/>
                                        <w:bottom w:val="none" w:sz="0" w:space="0" w:color="auto"/>
                                        <w:right w:val="none" w:sz="0" w:space="0" w:color="auto"/>
                                      </w:divBdr>
                                    </w:div>
                                  </w:divsChild>
                                </w:div>
                                <w:div w:id="1765808637">
                                  <w:marLeft w:val="0"/>
                                  <w:marRight w:val="0"/>
                                  <w:marTop w:val="0"/>
                                  <w:marBottom w:val="0"/>
                                  <w:divBdr>
                                    <w:top w:val="none" w:sz="0" w:space="0" w:color="auto"/>
                                    <w:left w:val="none" w:sz="0" w:space="0" w:color="auto"/>
                                    <w:bottom w:val="single" w:sz="6" w:space="15" w:color="EBEEF5"/>
                                    <w:right w:val="none" w:sz="0" w:space="0" w:color="auto"/>
                                  </w:divBdr>
                                  <w:divsChild>
                                    <w:div w:id="1850635125">
                                      <w:marLeft w:val="0"/>
                                      <w:marRight w:val="0"/>
                                      <w:marTop w:val="0"/>
                                      <w:marBottom w:val="0"/>
                                      <w:divBdr>
                                        <w:top w:val="none" w:sz="0" w:space="0" w:color="auto"/>
                                        <w:left w:val="none" w:sz="0" w:space="0" w:color="auto"/>
                                        <w:bottom w:val="none" w:sz="0" w:space="0" w:color="auto"/>
                                        <w:right w:val="none" w:sz="0" w:space="0" w:color="auto"/>
                                      </w:divBdr>
                                    </w:div>
                                  </w:divsChild>
                                </w:div>
                                <w:div w:id="1799371391">
                                  <w:marLeft w:val="0"/>
                                  <w:marRight w:val="0"/>
                                  <w:marTop w:val="0"/>
                                  <w:marBottom w:val="0"/>
                                  <w:divBdr>
                                    <w:top w:val="none" w:sz="0" w:space="0" w:color="auto"/>
                                    <w:left w:val="none" w:sz="0" w:space="0" w:color="auto"/>
                                    <w:bottom w:val="single" w:sz="6" w:space="15" w:color="EBEEF5"/>
                                    <w:right w:val="none" w:sz="0" w:space="0" w:color="auto"/>
                                  </w:divBdr>
                                  <w:divsChild>
                                    <w:div w:id="22362729">
                                      <w:marLeft w:val="0"/>
                                      <w:marRight w:val="0"/>
                                      <w:marTop w:val="0"/>
                                      <w:marBottom w:val="0"/>
                                      <w:divBdr>
                                        <w:top w:val="none" w:sz="0" w:space="0" w:color="auto"/>
                                        <w:left w:val="none" w:sz="0" w:space="0" w:color="auto"/>
                                        <w:bottom w:val="none" w:sz="0" w:space="0" w:color="auto"/>
                                        <w:right w:val="none" w:sz="0" w:space="0" w:color="auto"/>
                                      </w:divBdr>
                                    </w:div>
                                  </w:divsChild>
                                </w:div>
                                <w:div w:id="1855652021">
                                  <w:marLeft w:val="0"/>
                                  <w:marRight w:val="0"/>
                                  <w:marTop w:val="0"/>
                                  <w:marBottom w:val="0"/>
                                  <w:divBdr>
                                    <w:top w:val="none" w:sz="0" w:space="0" w:color="auto"/>
                                    <w:left w:val="none" w:sz="0" w:space="0" w:color="auto"/>
                                    <w:bottom w:val="single" w:sz="6" w:space="15" w:color="EBEEF5"/>
                                    <w:right w:val="none" w:sz="0" w:space="0" w:color="auto"/>
                                  </w:divBdr>
                                  <w:divsChild>
                                    <w:div w:id="167409335">
                                      <w:marLeft w:val="0"/>
                                      <w:marRight w:val="0"/>
                                      <w:marTop w:val="0"/>
                                      <w:marBottom w:val="0"/>
                                      <w:divBdr>
                                        <w:top w:val="none" w:sz="0" w:space="0" w:color="auto"/>
                                        <w:left w:val="none" w:sz="0" w:space="0" w:color="auto"/>
                                        <w:bottom w:val="none" w:sz="0" w:space="0" w:color="auto"/>
                                        <w:right w:val="none" w:sz="0" w:space="0" w:color="auto"/>
                                      </w:divBdr>
                                    </w:div>
                                  </w:divsChild>
                                </w:div>
                                <w:div w:id="2038923233">
                                  <w:marLeft w:val="0"/>
                                  <w:marRight w:val="0"/>
                                  <w:marTop w:val="0"/>
                                  <w:marBottom w:val="0"/>
                                  <w:divBdr>
                                    <w:top w:val="none" w:sz="0" w:space="0" w:color="auto"/>
                                    <w:left w:val="none" w:sz="0" w:space="0" w:color="auto"/>
                                    <w:bottom w:val="single" w:sz="6" w:space="15" w:color="EBEEF5"/>
                                    <w:right w:val="none" w:sz="0" w:space="0" w:color="auto"/>
                                  </w:divBdr>
                                  <w:divsChild>
                                    <w:div w:id="2109959048">
                                      <w:marLeft w:val="0"/>
                                      <w:marRight w:val="0"/>
                                      <w:marTop w:val="0"/>
                                      <w:marBottom w:val="0"/>
                                      <w:divBdr>
                                        <w:top w:val="none" w:sz="0" w:space="0" w:color="auto"/>
                                        <w:left w:val="none" w:sz="0" w:space="0" w:color="auto"/>
                                        <w:bottom w:val="none" w:sz="0" w:space="0" w:color="auto"/>
                                        <w:right w:val="none" w:sz="0" w:space="0" w:color="auto"/>
                                      </w:divBdr>
                                    </w:div>
                                  </w:divsChild>
                                </w:div>
                                <w:div w:id="2125542112">
                                  <w:marLeft w:val="0"/>
                                  <w:marRight w:val="0"/>
                                  <w:marTop w:val="0"/>
                                  <w:marBottom w:val="0"/>
                                  <w:divBdr>
                                    <w:top w:val="none" w:sz="0" w:space="0" w:color="auto"/>
                                    <w:left w:val="none" w:sz="0" w:space="0" w:color="auto"/>
                                    <w:bottom w:val="single" w:sz="6" w:space="15" w:color="EBEEF5"/>
                                    <w:right w:val="none" w:sz="0" w:space="0" w:color="auto"/>
                                  </w:divBdr>
                                  <w:divsChild>
                                    <w:div w:id="13867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20554">
                              <w:marLeft w:val="0"/>
                              <w:marRight w:val="0"/>
                              <w:marTop w:val="0"/>
                              <w:marBottom w:val="0"/>
                              <w:divBdr>
                                <w:top w:val="none" w:sz="0" w:space="0" w:color="auto"/>
                                <w:left w:val="none" w:sz="0" w:space="0" w:color="auto"/>
                                <w:bottom w:val="none" w:sz="0" w:space="0" w:color="auto"/>
                                <w:right w:val="none" w:sz="0" w:space="0" w:color="auto"/>
                              </w:divBdr>
                              <w:divsChild>
                                <w:div w:id="1588348645">
                                  <w:marLeft w:val="0"/>
                                  <w:marRight w:val="0"/>
                                  <w:marTop w:val="0"/>
                                  <w:marBottom w:val="0"/>
                                  <w:divBdr>
                                    <w:top w:val="none" w:sz="0" w:space="0" w:color="auto"/>
                                    <w:left w:val="none" w:sz="0" w:space="0" w:color="auto"/>
                                    <w:bottom w:val="none" w:sz="0" w:space="0" w:color="auto"/>
                                    <w:right w:val="none" w:sz="0" w:space="0" w:color="auto"/>
                                  </w:divBdr>
                                  <w:divsChild>
                                    <w:div w:id="11349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458394">
          <w:marLeft w:val="0"/>
          <w:marRight w:val="0"/>
          <w:marTop w:val="0"/>
          <w:marBottom w:val="0"/>
          <w:divBdr>
            <w:top w:val="none" w:sz="0" w:space="0" w:color="auto"/>
            <w:left w:val="none" w:sz="0" w:space="0" w:color="auto"/>
            <w:bottom w:val="none" w:sz="0" w:space="0" w:color="auto"/>
            <w:right w:val="none" w:sz="0" w:space="0" w:color="auto"/>
          </w:divBdr>
          <w:divsChild>
            <w:div w:id="1128204873">
              <w:marLeft w:val="0"/>
              <w:marRight w:val="0"/>
              <w:marTop w:val="0"/>
              <w:marBottom w:val="0"/>
              <w:divBdr>
                <w:top w:val="single" w:sz="6" w:space="24" w:color="EBEEF5"/>
                <w:left w:val="none" w:sz="0" w:space="0" w:color="auto"/>
                <w:bottom w:val="single" w:sz="6" w:space="18" w:color="EBEEF5"/>
                <w:right w:val="none" w:sz="0" w:space="0" w:color="auto"/>
              </w:divBdr>
              <w:divsChild>
                <w:div w:id="1242059380">
                  <w:marLeft w:val="0"/>
                  <w:marRight w:val="0"/>
                  <w:marTop w:val="0"/>
                  <w:marBottom w:val="0"/>
                  <w:divBdr>
                    <w:top w:val="none" w:sz="0" w:space="0" w:color="auto"/>
                    <w:left w:val="none" w:sz="0" w:space="0" w:color="auto"/>
                    <w:bottom w:val="none" w:sz="0" w:space="0" w:color="auto"/>
                    <w:right w:val="none" w:sz="0" w:space="0" w:color="auto"/>
                  </w:divBdr>
                  <w:divsChild>
                    <w:div w:id="1646352145">
                      <w:marLeft w:val="0"/>
                      <w:marRight w:val="0"/>
                      <w:marTop w:val="0"/>
                      <w:marBottom w:val="0"/>
                      <w:divBdr>
                        <w:top w:val="none" w:sz="0" w:space="0" w:color="auto"/>
                        <w:left w:val="none" w:sz="0" w:space="0" w:color="auto"/>
                        <w:bottom w:val="none" w:sz="0" w:space="0" w:color="auto"/>
                        <w:right w:val="none" w:sz="0" w:space="0" w:color="auto"/>
                      </w:divBdr>
                      <w:divsChild>
                        <w:div w:id="4671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2992">
          <w:marLeft w:val="0"/>
          <w:marRight w:val="0"/>
          <w:marTop w:val="0"/>
          <w:marBottom w:val="0"/>
          <w:divBdr>
            <w:top w:val="none" w:sz="0" w:space="0" w:color="auto"/>
            <w:left w:val="none" w:sz="0" w:space="0" w:color="auto"/>
            <w:bottom w:val="none" w:sz="0" w:space="0" w:color="auto"/>
            <w:right w:val="none" w:sz="0" w:space="0" w:color="auto"/>
          </w:divBdr>
          <w:divsChild>
            <w:div w:id="1401053756">
              <w:marLeft w:val="-225"/>
              <w:marRight w:val="-225"/>
              <w:marTop w:val="0"/>
              <w:marBottom w:val="0"/>
              <w:divBdr>
                <w:top w:val="none" w:sz="0" w:space="0" w:color="auto"/>
                <w:left w:val="none" w:sz="0" w:space="0" w:color="auto"/>
                <w:bottom w:val="none" w:sz="0" w:space="0" w:color="auto"/>
                <w:right w:val="none" w:sz="0" w:space="0" w:color="auto"/>
              </w:divBdr>
              <w:divsChild>
                <w:div w:id="1356030498">
                  <w:marLeft w:val="0"/>
                  <w:marRight w:val="0"/>
                  <w:marTop w:val="0"/>
                  <w:marBottom w:val="0"/>
                  <w:divBdr>
                    <w:top w:val="none" w:sz="0" w:space="0" w:color="auto"/>
                    <w:left w:val="none" w:sz="0" w:space="0" w:color="auto"/>
                    <w:bottom w:val="none" w:sz="0" w:space="0" w:color="auto"/>
                    <w:right w:val="none" w:sz="0" w:space="0" w:color="auto"/>
                  </w:divBdr>
                  <w:divsChild>
                    <w:div w:id="4585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6241">
          <w:marLeft w:val="0"/>
          <w:marRight w:val="0"/>
          <w:marTop w:val="0"/>
          <w:marBottom w:val="0"/>
          <w:divBdr>
            <w:top w:val="none" w:sz="0" w:space="0" w:color="auto"/>
            <w:left w:val="none" w:sz="0" w:space="0" w:color="auto"/>
            <w:bottom w:val="none" w:sz="0" w:space="0" w:color="auto"/>
            <w:right w:val="none" w:sz="0" w:space="0" w:color="auto"/>
          </w:divBdr>
        </w:div>
      </w:divsChild>
    </w:div>
    <w:div w:id="1257254067">
      <w:bodyDiv w:val="1"/>
      <w:marLeft w:val="0"/>
      <w:marRight w:val="0"/>
      <w:marTop w:val="0"/>
      <w:marBottom w:val="0"/>
      <w:divBdr>
        <w:top w:val="none" w:sz="0" w:space="0" w:color="auto"/>
        <w:left w:val="none" w:sz="0" w:space="0" w:color="auto"/>
        <w:bottom w:val="none" w:sz="0" w:space="0" w:color="auto"/>
        <w:right w:val="none" w:sz="0" w:space="0" w:color="auto"/>
      </w:divBdr>
    </w:div>
    <w:div w:id="1258558969">
      <w:bodyDiv w:val="1"/>
      <w:marLeft w:val="0"/>
      <w:marRight w:val="0"/>
      <w:marTop w:val="0"/>
      <w:marBottom w:val="0"/>
      <w:divBdr>
        <w:top w:val="none" w:sz="0" w:space="0" w:color="auto"/>
        <w:left w:val="none" w:sz="0" w:space="0" w:color="auto"/>
        <w:bottom w:val="none" w:sz="0" w:space="0" w:color="auto"/>
        <w:right w:val="none" w:sz="0" w:space="0" w:color="auto"/>
      </w:divBdr>
    </w:div>
    <w:div w:id="1259020472">
      <w:bodyDiv w:val="1"/>
      <w:marLeft w:val="0"/>
      <w:marRight w:val="0"/>
      <w:marTop w:val="0"/>
      <w:marBottom w:val="0"/>
      <w:divBdr>
        <w:top w:val="none" w:sz="0" w:space="0" w:color="auto"/>
        <w:left w:val="none" w:sz="0" w:space="0" w:color="auto"/>
        <w:bottom w:val="none" w:sz="0" w:space="0" w:color="auto"/>
        <w:right w:val="none" w:sz="0" w:space="0" w:color="auto"/>
      </w:divBdr>
    </w:div>
    <w:div w:id="1262182955">
      <w:bodyDiv w:val="1"/>
      <w:marLeft w:val="0"/>
      <w:marRight w:val="0"/>
      <w:marTop w:val="0"/>
      <w:marBottom w:val="0"/>
      <w:divBdr>
        <w:top w:val="none" w:sz="0" w:space="0" w:color="auto"/>
        <w:left w:val="none" w:sz="0" w:space="0" w:color="auto"/>
        <w:bottom w:val="none" w:sz="0" w:space="0" w:color="auto"/>
        <w:right w:val="none" w:sz="0" w:space="0" w:color="auto"/>
      </w:divBdr>
    </w:div>
    <w:div w:id="1262572275">
      <w:bodyDiv w:val="1"/>
      <w:marLeft w:val="0"/>
      <w:marRight w:val="0"/>
      <w:marTop w:val="0"/>
      <w:marBottom w:val="0"/>
      <w:divBdr>
        <w:top w:val="none" w:sz="0" w:space="0" w:color="auto"/>
        <w:left w:val="none" w:sz="0" w:space="0" w:color="auto"/>
        <w:bottom w:val="none" w:sz="0" w:space="0" w:color="auto"/>
        <w:right w:val="none" w:sz="0" w:space="0" w:color="auto"/>
      </w:divBdr>
    </w:div>
    <w:div w:id="1263804680">
      <w:bodyDiv w:val="1"/>
      <w:marLeft w:val="0"/>
      <w:marRight w:val="0"/>
      <w:marTop w:val="0"/>
      <w:marBottom w:val="0"/>
      <w:divBdr>
        <w:top w:val="none" w:sz="0" w:space="0" w:color="auto"/>
        <w:left w:val="none" w:sz="0" w:space="0" w:color="auto"/>
        <w:bottom w:val="none" w:sz="0" w:space="0" w:color="auto"/>
        <w:right w:val="none" w:sz="0" w:space="0" w:color="auto"/>
      </w:divBdr>
    </w:div>
    <w:div w:id="1265847724">
      <w:bodyDiv w:val="1"/>
      <w:marLeft w:val="0"/>
      <w:marRight w:val="0"/>
      <w:marTop w:val="0"/>
      <w:marBottom w:val="0"/>
      <w:divBdr>
        <w:top w:val="none" w:sz="0" w:space="0" w:color="auto"/>
        <w:left w:val="none" w:sz="0" w:space="0" w:color="auto"/>
        <w:bottom w:val="none" w:sz="0" w:space="0" w:color="auto"/>
        <w:right w:val="none" w:sz="0" w:space="0" w:color="auto"/>
      </w:divBdr>
    </w:div>
    <w:div w:id="1267272594">
      <w:bodyDiv w:val="1"/>
      <w:marLeft w:val="0"/>
      <w:marRight w:val="0"/>
      <w:marTop w:val="0"/>
      <w:marBottom w:val="0"/>
      <w:divBdr>
        <w:top w:val="none" w:sz="0" w:space="0" w:color="auto"/>
        <w:left w:val="none" w:sz="0" w:space="0" w:color="auto"/>
        <w:bottom w:val="none" w:sz="0" w:space="0" w:color="auto"/>
        <w:right w:val="none" w:sz="0" w:space="0" w:color="auto"/>
      </w:divBdr>
    </w:div>
    <w:div w:id="1267663920">
      <w:bodyDiv w:val="1"/>
      <w:marLeft w:val="0"/>
      <w:marRight w:val="0"/>
      <w:marTop w:val="0"/>
      <w:marBottom w:val="0"/>
      <w:divBdr>
        <w:top w:val="none" w:sz="0" w:space="0" w:color="auto"/>
        <w:left w:val="none" w:sz="0" w:space="0" w:color="auto"/>
        <w:bottom w:val="none" w:sz="0" w:space="0" w:color="auto"/>
        <w:right w:val="none" w:sz="0" w:space="0" w:color="auto"/>
      </w:divBdr>
      <w:divsChild>
        <w:div w:id="197202120">
          <w:marLeft w:val="0"/>
          <w:marRight w:val="0"/>
          <w:marTop w:val="0"/>
          <w:marBottom w:val="0"/>
          <w:divBdr>
            <w:top w:val="none" w:sz="0" w:space="0" w:color="auto"/>
            <w:left w:val="none" w:sz="0" w:space="0" w:color="auto"/>
            <w:bottom w:val="none" w:sz="0" w:space="0" w:color="auto"/>
            <w:right w:val="none" w:sz="0" w:space="0" w:color="auto"/>
          </w:divBdr>
          <w:divsChild>
            <w:div w:id="1563447649">
              <w:marLeft w:val="-225"/>
              <w:marRight w:val="-225"/>
              <w:marTop w:val="0"/>
              <w:marBottom w:val="0"/>
              <w:divBdr>
                <w:top w:val="none" w:sz="0" w:space="0" w:color="auto"/>
                <w:left w:val="none" w:sz="0" w:space="0" w:color="auto"/>
                <w:bottom w:val="none" w:sz="0" w:space="0" w:color="auto"/>
                <w:right w:val="none" w:sz="0" w:space="0" w:color="auto"/>
              </w:divBdr>
              <w:divsChild>
                <w:div w:id="373887567">
                  <w:marLeft w:val="0"/>
                  <w:marRight w:val="0"/>
                  <w:marTop w:val="0"/>
                  <w:marBottom w:val="0"/>
                  <w:divBdr>
                    <w:top w:val="none" w:sz="0" w:space="0" w:color="auto"/>
                    <w:left w:val="none" w:sz="0" w:space="0" w:color="auto"/>
                    <w:bottom w:val="none" w:sz="0" w:space="0" w:color="auto"/>
                    <w:right w:val="none" w:sz="0" w:space="0" w:color="auto"/>
                  </w:divBdr>
                  <w:divsChild>
                    <w:div w:id="3745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42744">
          <w:marLeft w:val="0"/>
          <w:marRight w:val="0"/>
          <w:marTop w:val="0"/>
          <w:marBottom w:val="0"/>
          <w:divBdr>
            <w:top w:val="none" w:sz="0" w:space="0" w:color="auto"/>
            <w:left w:val="none" w:sz="0" w:space="0" w:color="auto"/>
            <w:bottom w:val="none" w:sz="0" w:space="0" w:color="auto"/>
            <w:right w:val="none" w:sz="0" w:space="0" w:color="auto"/>
          </w:divBdr>
          <w:divsChild>
            <w:div w:id="1998146156">
              <w:marLeft w:val="0"/>
              <w:marRight w:val="0"/>
              <w:marTop w:val="0"/>
              <w:marBottom w:val="0"/>
              <w:divBdr>
                <w:top w:val="single" w:sz="6" w:space="24" w:color="EBEEF5"/>
                <w:left w:val="none" w:sz="0" w:space="0" w:color="auto"/>
                <w:bottom w:val="single" w:sz="6" w:space="18" w:color="EBEEF5"/>
                <w:right w:val="none" w:sz="0" w:space="0" w:color="auto"/>
              </w:divBdr>
              <w:divsChild>
                <w:div w:id="1721788089">
                  <w:marLeft w:val="0"/>
                  <w:marRight w:val="0"/>
                  <w:marTop w:val="0"/>
                  <w:marBottom w:val="0"/>
                  <w:divBdr>
                    <w:top w:val="none" w:sz="0" w:space="0" w:color="auto"/>
                    <w:left w:val="none" w:sz="0" w:space="0" w:color="auto"/>
                    <w:bottom w:val="none" w:sz="0" w:space="0" w:color="auto"/>
                    <w:right w:val="none" w:sz="0" w:space="0" w:color="auto"/>
                  </w:divBdr>
                  <w:divsChild>
                    <w:div w:id="1356149870">
                      <w:marLeft w:val="0"/>
                      <w:marRight w:val="0"/>
                      <w:marTop w:val="0"/>
                      <w:marBottom w:val="0"/>
                      <w:divBdr>
                        <w:top w:val="none" w:sz="0" w:space="0" w:color="auto"/>
                        <w:left w:val="none" w:sz="0" w:space="0" w:color="auto"/>
                        <w:bottom w:val="none" w:sz="0" w:space="0" w:color="auto"/>
                        <w:right w:val="none" w:sz="0" w:space="0" w:color="auto"/>
                      </w:divBdr>
                      <w:divsChild>
                        <w:div w:id="16954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097034">
          <w:marLeft w:val="0"/>
          <w:marRight w:val="0"/>
          <w:marTop w:val="0"/>
          <w:marBottom w:val="0"/>
          <w:divBdr>
            <w:top w:val="none" w:sz="0" w:space="0" w:color="auto"/>
            <w:left w:val="none" w:sz="0" w:space="0" w:color="auto"/>
            <w:bottom w:val="none" w:sz="0" w:space="0" w:color="auto"/>
            <w:right w:val="none" w:sz="0" w:space="0" w:color="auto"/>
          </w:divBdr>
          <w:divsChild>
            <w:div w:id="1701200112">
              <w:marLeft w:val="-225"/>
              <w:marRight w:val="-225"/>
              <w:marTop w:val="0"/>
              <w:marBottom w:val="0"/>
              <w:divBdr>
                <w:top w:val="none" w:sz="0" w:space="0" w:color="auto"/>
                <w:left w:val="none" w:sz="0" w:space="0" w:color="auto"/>
                <w:bottom w:val="none" w:sz="0" w:space="0" w:color="auto"/>
                <w:right w:val="none" w:sz="0" w:space="0" w:color="auto"/>
              </w:divBdr>
              <w:divsChild>
                <w:div w:id="629824858">
                  <w:marLeft w:val="0"/>
                  <w:marRight w:val="0"/>
                  <w:marTop w:val="0"/>
                  <w:marBottom w:val="0"/>
                  <w:divBdr>
                    <w:top w:val="none" w:sz="0" w:space="0" w:color="auto"/>
                    <w:left w:val="none" w:sz="0" w:space="0" w:color="auto"/>
                    <w:bottom w:val="none" w:sz="0" w:space="0" w:color="auto"/>
                    <w:right w:val="none" w:sz="0" w:space="0" w:color="auto"/>
                  </w:divBdr>
                  <w:divsChild>
                    <w:div w:id="12438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33997">
      <w:bodyDiv w:val="1"/>
      <w:marLeft w:val="0"/>
      <w:marRight w:val="0"/>
      <w:marTop w:val="0"/>
      <w:marBottom w:val="0"/>
      <w:divBdr>
        <w:top w:val="none" w:sz="0" w:space="0" w:color="auto"/>
        <w:left w:val="none" w:sz="0" w:space="0" w:color="auto"/>
        <w:bottom w:val="none" w:sz="0" w:space="0" w:color="auto"/>
        <w:right w:val="none" w:sz="0" w:space="0" w:color="auto"/>
      </w:divBdr>
    </w:div>
    <w:div w:id="1276060728">
      <w:bodyDiv w:val="1"/>
      <w:marLeft w:val="0"/>
      <w:marRight w:val="0"/>
      <w:marTop w:val="0"/>
      <w:marBottom w:val="0"/>
      <w:divBdr>
        <w:top w:val="none" w:sz="0" w:space="0" w:color="auto"/>
        <w:left w:val="none" w:sz="0" w:space="0" w:color="auto"/>
        <w:bottom w:val="none" w:sz="0" w:space="0" w:color="auto"/>
        <w:right w:val="none" w:sz="0" w:space="0" w:color="auto"/>
      </w:divBdr>
    </w:div>
    <w:div w:id="1276790988">
      <w:bodyDiv w:val="1"/>
      <w:marLeft w:val="0"/>
      <w:marRight w:val="0"/>
      <w:marTop w:val="0"/>
      <w:marBottom w:val="0"/>
      <w:divBdr>
        <w:top w:val="none" w:sz="0" w:space="0" w:color="auto"/>
        <w:left w:val="none" w:sz="0" w:space="0" w:color="auto"/>
        <w:bottom w:val="none" w:sz="0" w:space="0" w:color="auto"/>
        <w:right w:val="none" w:sz="0" w:space="0" w:color="auto"/>
      </w:divBdr>
    </w:div>
    <w:div w:id="1286039133">
      <w:bodyDiv w:val="1"/>
      <w:marLeft w:val="0"/>
      <w:marRight w:val="0"/>
      <w:marTop w:val="0"/>
      <w:marBottom w:val="0"/>
      <w:divBdr>
        <w:top w:val="none" w:sz="0" w:space="0" w:color="auto"/>
        <w:left w:val="none" w:sz="0" w:space="0" w:color="auto"/>
        <w:bottom w:val="none" w:sz="0" w:space="0" w:color="auto"/>
        <w:right w:val="none" w:sz="0" w:space="0" w:color="auto"/>
      </w:divBdr>
    </w:div>
    <w:div w:id="1286698599">
      <w:bodyDiv w:val="1"/>
      <w:marLeft w:val="0"/>
      <w:marRight w:val="0"/>
      <w:marTop w:val="0"/>
      <w:marBottom w:val="0"/>
      <w:divBdr>
        <w:top w:val="none" w:sz="0" w:space="0" w:color="auto"/>
        <w:left w:val="none" w:sz="0" w:space="0" w:color="auto"/>
        <w:bottom w:val="none" w:sz="0" w:space="0" w:color="auto"/>
        <w:right w:val="none" w:sz="0" w:space="0" w:color="auto"/>
      </w:divBdr>
    </w:div>
    <w:div w:id="1287391570">
      <w:bodyDiv w:val="1"/>
      <w:marLeft w:val="0"/>
      <w:marRight w:val="0"/>
      <w:marTop w:val="0"/>
      <w:marBottom w:val="0"/>
      <w:divBdr>
        <w:top w:val="none" w:sz="0" w:space="0" w:color="auto"/>
        <w:left w:val="none" w:sz="0" w:space="0" w:color="auto"/>
        <w:bottom w:val="none" w:sz="0" w:space="0" w:color="auto"/>
        <w:right w:val="none" w:sz="0" w:space="0" w:color="auto"/>
      </w:divBdr>
    </w:div>
    <w:div w:id="1287468680">
      <w:bodyDiv w:val="1"/>
      <w:marLeft w:val="0"/>
      <w:marRight w:val="0"/>
      <w:marTop w:val="0"/>
      <w:marBottom w:val="0"/>
      <w:divBdr>
        <w:top w:val="none" w:sz="0" w:space="0" w:color="auto"/>
        <w:left w:val="none" w:sz="0" w:space="0" w:color="auto"/>
        <w:bottom w:val="none" w:sz="0" w:space="0" w:color="auto"/>
        <w:right w:val="none" w:sz="0" w:space="0" w:color="auto"/>
      </w:divBdr>
    </w:div>
    <w:div w:id="1288664522">
      <w:bodyDiv w:val="1"/>
      <w:marLeft w:val="0"/>
      <w:marRight w:val="0"/>
      <w:marTop w:val="0"/>
      <w:marBottom w:val="0"/>
      <w:divBdr>
        <w:top w:val="none" w:sz="0" w:space="0" w:color="auto"/>
        <w:left w:val="none" w:sz="0" w:space="0" w:color="auto"/>
        <w:bottom w:val="none" w:sz="0" w:space="0" w:color="auto"/>
        <w:right w:val="none" w:sz="0" w:space="0" w:color="auto"/>
      </w:divBdr>
      <w:divsChild>
        <w:div w:id="194080620">
          <w:marLeft w:val="0"/>
          <w:marRight w:val="0"/>
          <w:marTop w:val="0"/>
          <w:marBottom w:val="0"/>
          <w:divBdr>
            <w:top w:val="none" w:sz="0" w:space="0" w:color="auto"/>
            <w:left w:val="none" w:sz="0" w:space="0" w:color="auto"/>
            <w:bottom w:val="none" w:sz="0" w:space="0" w:color="auto"/>
            <w:right w:val="none" w:sz="0" w:space="0" w:color="auto"/>
          </w:divBdr>
          <w:divsChild>
            <w:div w:id="870726330">
              <w:marLeft w:val="-225"/>
              <w:marRight w:val="-225"/>
              <w:marTop w:val="0"/>
              <w:marBottom w:val="0"/>
              <w:divBdr>
                <w:top w:val="none" w:sz="0" w:space="0" w:color="auto"/>
                <w:left w:val="none" w:sz="0" w:space="0" w:color="auto"/>
                <w:bottom w:val="none" w:sz="0" w:space="0" w:color="auto"/>
                <w:right w:val="none" w:sz="0" w:space="0" w:color="auto"/>
              </w:divBdr>
              <w:divsChild>
                <w:div w:id="1735662208">
                  <w:marLeft w:val="0"/>
                  <w:marRight w:val="0"/>
                  <w:marTop w:val="0"/>
                  <w:marBottom w:val="0"/>
                  <w:divBdr>
                    <w:top w:val="none" w:sz="0" w:space="0" w:color="auto"/>
                    <w:left w:val="none" w:sz="0" w:space="0" w:color="auto"/>
                    <w:bottom w:val="none" w:sz="0" w:space="0" w:color="auto"/>
                    <w:right w:val="none" w:sz="0" w:space="0" w:color="auto"/>
                  </w:divBdr>
                  <w:divsChild>
                    <w:div w:id="13672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99439">
          <w:marLeft w:val="0"/>
          <w:marRight w:val="0"/>
          <w:marTop w:val="0"/>
          <w:marBottom w:val="0"/>
          <w:divBdr>
            <w:top w:val="none" w:sz="0" w:space="0" w:color="auto"/>
            <w:left w:val="none" w:sz="0" w:space="0" w:color="auto"/>
            <w:bottom w:val="none" w:sz="0" w:space="0" w:color="auto"/>
            <w:right w:val="none" w:sz="0" w:space="0" w:color="auto"/>
          </w:divBdr>
        </w:div>
        <w:div w:id="1561819096">
          <w:marLeft w:val="0"/>
          <w:marRight w:val="0"/>
          <w:marTop w:val="0"/>
          <w:marBottom w:val="0"/>
          <w:divBdr>
            <w:top w:val="none" w:sz="0" w:space="0" w:color="auto"/>
            <w:left w:val="none" w:sz="0" w:space="0" w:color="auto"/>
            <w:bottom w:val="none" w:sz="0" w:space="0" w:color="auto"/>
            <w:right w:val="none" w:sz="0" w:space="0" w:color="auto"/>
          </w:divBdr>
          <w:divsChild>
            <w:div w:id="1294479109">
              <w:marLeft w:val="-225"/>
              <w:marRight w:val="-225"/>
              <w:marTop w:val="0"/>
              <w:marBottom w:val="0"/>
              <w:divBdr>
                <w:top w:val="none" w:sz="0" w:space="0" w:color="auto"/>
                <w:left w:val="none" w:sz="0" w:space="0" w:color="auto"/>
                <w:bottom w:val="none" w:sz="0" w:space="0" w:color="auto"/>
                <w:right w:val="none" w:sz="0" w:space="0" w:color="auto"/>
              </w:divBdr>
              <w:divsChild>
                <w:div w:id="1104963169">
                  <w:marLeft w:val="0"/>
                  <w:marRight w:val="0"/>
                  <w:marTop w:val="0"/>
                  <w:marBottom w:val="0"/>
                  <w:divBdr>
                    <w:top w:val="none" w:sz="0" w:space="0" w:color="auto"/>
                    <w:left w:val="none" w:sz="0" w:space="0" w:color="auto"/>
                    <w:bottom w:val="none" w:sz="0" w:space="0" w:color="auto"/>
                    <w:right w:val="none" w:sz="0" w:space="0" w:color="auto"/>
                  </w:divBdr>
                  <w:divsChild>
                    <w:div w:id="17062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91372">
          <w:marLeft w:val="0"/>
          <w:marRight w:val="0"/>
          <w:marTop w:val="0"/>
          <w:marBottom w:val="0"/>
          <w:divBdr>
            <w:top w:val="none" w:sz="0" w:space="0" w:color="auto"/>
            <w:left w:val="none" w:sz="0" w:space="0" w:color="auto"/>
            <w:bottom w:val="none" w:sz="0" w:space="0" w:color="auto"/>
            <w:right w:val="none" w:sz="0" w:space="0" w:color="auto"/>
          </w:divBdr>
          <w:divsChild>
            <w:div w:id="837694968">
              <w:marLeft w:val="0"/>
              <w:marRight w:val="0"/>
              <w:marTop w:val="0"/>
              <w:marBottom w:val="0"/>
              <w:divBdr>
                <w:top w:val="single" w:sz="6" w:space="24" w:color="EBEEF5"/>
                <w:left w:val="none" w:sz="0" w:space="0" w:color="auto"/>
                <w:bottom w:val="single" w:sz="6" w:space="18" w:color="EBEEF5"/>
                <w:right w:val="none" w:sz="0" w:space="0" w:color="auto"/>
              </w:divBdr>
              <w:divsChild>
                <w:div w:id="721297034">
                  <w:marLeft w:val="0"/>
                  <w:marRight w:val="0"/>
                  <w:marTop w:val="0"/>
                  <w:marBottom w:val="0"/>
                  <w:divBdr>
                    <w:top w:val="none" w:sz="0" w:space="0" w:color="auto"/>
                    <w:left w:val="none" w:sz="0" w:space="0" w:color="auto"/>
                    <w:bottom w:val="none" w:sz="0" w:space="0" w:color="auto"/>
                    <w:right w:val="none" w:sz="0" w:space="0" w:color="auto"/>
                  </w:divBdr>
                  <w:divsChild>
                    <w:div w:id="992293919">
                      <w:marLeft w:val="0"/>
                      <w:marRight w:val="0"/>
                      <w:marTop w:val="0"/>
                      <w:marBottom w:val="0"/>
                      <w:divBdr>
                        <w:top w:val="none" w:sz="0" w:space="0" w:color="auto"/>
                        <w:left w:val="none" w:sz="0" w:space="0" w:color="auto"/>
                        <w:bottom w:val="none" w:sz="0" w:space="0" w:color="auto"/>
                        <w:right w:val="none" w:sz="0" w:space="0" w:color="auto"/>
                      </w:divBdr>
                      <w:divsChild>
                        <w:div w:id="10096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855684">
      <w:bodyDiv w:val="1"/>
      <w:marLeft w:val="0"/>
      <w:marRight w:val="0"/>
      <w:marTop w:val="0"/>
      <w:marBottom w:val="0"/>
      <w:divBdr>
        <w:top w:val="none" w:sz="0" w:space="0" w:color="auto"/>
        <w:left w:val="none" w:sz="0" w:space="0" w:color="auto"/>
        <w:bottom w:val="none" w:sz="0" w:space="0" w:color="auto"/>
        <w:right w:val="none" w:sz="0" w:space="0" w:color="auto"/>
      </w:divBdr>
      <w:divsChild>
        <w:div w:id="1033580974">
          <w:marLeft w:val="0"/>
          <w:marRight w:val="0"/>
          <w:marTop w:val="0"/>
          <w:marBottom w:val="0"/>
          <w:divBdr>
            <w:top w:val="none" w:sz="0" w:space="0" w:color="auto"/>
            <w:left w:val="none" w:sz="0" w:space="0" w:color="auto"/>
            <w:bottom w:val="none" w:sz="0" w:space="0" w:color="auto"/>
            <w:right w:val="none" w:sz="0" w:space="0" w:color="auto"/>
          </w:divBdr>
          <w:divsChild>
            <w:div w:id="1549801472">
              <w:marLeft w:val="-225"/>
              <w:marRight w:val="-225"/>
              <w:marTop w:val="0"/>
              <w:marBottom w:val="0"/>
              <w:divBdr>
                <w:top w:val="none" w:sz="0" w:space="0" w:color="auto"/>
                <w:left w:val="none" w:sz="0" w:space="0" w:color="auto"/>
                <w:bottom w:val="none" w:sz="0" w:space="0" w:color="auto"/>
                <w:right w:val="none" w:sz="0" w:space="0" w:color="auto"/>
              </w:divBdr>
              <w:divsChild>
                <w:div w:id="730272138">
                  <w:marLeft w:val="0"/>
                  <w:marRight w:val="0"/>
                  <w:marTop w:val="0"/>
                  <w:marBottom w:val="0"/>
                  <w:divBdr>
                    <w:top w:val="none" w:sz="0" w:space="0" w:color="auto"/>
                    <w:left w:val="none" w:sz="0" w:space="0" w:color="auto"/>
                    <w:bottom w:val="none" w:sz="0" w:space="0" w:color="auto"/>
                    <w:right w:val="none" w:sz="0" w:space="0" w:color="auto"/>
                  </w:divBdr>
                  <w:divsChild>
                    <w:div w:id="13640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5912">
          <w:marLeft w:val="0"/>
          <w:marRight w:val="0"/>
          <w:marTop w:val="0"/>
          <w:marBottom w:val="0"/>
          <w:divBdr>
            <w:top w:val="none" w:sz="0" w:space="0" w:color="auto"/>
            <w:left w:val="none" w:sz="0" w:space="0" w:color="auto"/>
            <w:bottom w:val="none" w:sz="0" w:space="0" w:color="auto"/>
            <w:right w:val="none" w:sz="0" w:space="0" w:color="auto"/>
          </w:divBdr>
        </w:div>
        <w:div w:id="1623802541">
          <w:marLeft w:val="0"/>
          <w:marRight w:val="0"/>
          <w:marTop w:val="0"/>
          <w:marBottom w:val="0"/>
          <w:divBdr>
            <w:top w:val="none" w:sz="0" w:space="0" w:color="auto"/>
            <w:left w:val="none" w:sz="0" w:space="0" w:color="auto"/>
            <w:bottom w:val="none" w:sz="0" w:space="0" w:color="auto"/>
            <w:right w:val="none" w:sz="0" w:space="0" w:color="auto"/>
          </w:divBdr>
          <w:divsChild>
            <w:div w:id="1026754206">
              <w:marLeft w:val="0"/>
              <w:marRight w:val="0"/>
              <w:marTop w:val="0"/>
              <w:marBottom w:val="0"/>
              <w:divBdr>
                <w:top w:val="none" w:sz="0" w:space="0" w:color="auto"/>
                <w:left w:val="none" w:sz="0" w:space="0" w:color="auto"/>
                <w:bottom w:val="none" w:sz="0" w:space="0" w:color="auto"/>
                <w:right w:val="none" w:sz="0" w:space="0" w:color="auto"/>
              </w:divBdr>
              <w:divsChild>
                <w:div w:id="1602833238">
                  <w:marLeft w:val="0"/>
                  <w:marRight w:val="0"/>
                  <w:marTop w:val="0"/>
                  <w:marBottom w:val="0"/>
                  <w:divBdr>
                    <w:top w:val="none" w:sz="0" w:space="0" w:color="auto"/>
                    <w:left w:val="none" w:sz="0" w:space="0" w:color="auto"/>
                    <w:bottom w:val="none" w:sz="0" w:space="0" w:color="auto"/>
                    <w:right w:val="none" w:sz="0" w:space="0" w:color="auto"/>
                  </w:divBdr>
                  <w:divsChild>
                    <w:div w:id="2089037022">
                      <w:marLeft w:val="0"/>
                      <w:marRight w:val="0"/>
                      <w:marTop w:val="0"/>
                      <w:marBottom w:val="0"/>
                      <w:divBdr>
                        <w:top w:val="none" w:sz="0" w:space="0" w:color="auto"/>
                        <w:left w:val="none" w:sz="0" w:space="0" w:color="auto"/>
                        <w:bottom w:val="none" w:sz="0" w:space="0" w:color="auto"/>
                        <w:right w:val="none" w:sz="0" w:space="0" w:color="auto"/>
                      </w:divBdr>
                      <w:divsChild>
                        <w:div w:id="20796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79464">
          <w:marLeft w:val="0"/>
          <w:marRight w:val="0"/>
          <w:marTop w:val="0"/>
          <w:marBottom w:val="0"/>
          <w:divBdr>
            <w:top w:val="none" w:sz="0" w:space="0" w:color="auto"/>
            <w:left w:val="none" w:sz="0" w:space="0" w:color="auto"/>
            <w:bottom w:val="none" w:sz="0" w:space="0" w:color="auto"/>
            <w:right w:val="none" w:sz="0" w:space="0" w:color="auto"/>
          </w:divBdr>
          <w:divsChild>
            <w:div w:id="1106272950">
              <w:marLeft w:val="-225"/>
              <w:marRight w:val="-225"/>
              <w:marTop w:val="0"/>
              <w:marBottom w:val="0"/>
              <w:divBdr>
                <w:top w:val="none" w:sz="0" w:space="0" w:color="auto"/>
                <w:left w:val="none" w:sz="0" w:space="0" w:color="auto"/>
                <w:bottom w:val="none" w:sz="0" w:space="0" w:color="auto"/>
                <w:right w:val="none" w:sz="0" w:space="0" w:color="auto"/>
              </w:divBdr>
              <w:divsChild>
                <w:div w:id="58986038">
                  <w:marLeft w:val="0"/>
                  <w:marRight w:val="0"/>
                  <w:marTop w:val="0"/>
                  <w:marBottom w:val="0"/>
                  <w:divBdr>
                    <w:top w:val="none" w:sz="0" w:space="0" w:color="auto"/>
                    <w:left w:val="none" w:sz="0" w:space="0" w:color="auto"/>
                    <w:bottom w:val="none" w:sz="0" w:space="0" w:color="auto"/>
                    <w:right w:val="none" w:sz="0" w:space="0" w:color="auto"/>
                  </w:divBdr>
                  <w:divsChild>
                    <w:div w:id="15858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90532">
      <w:bodyDiv w:val="1"/>
      <w:marLeft w:val="0"/>
      <w:marRight w:val="0"/>
      <w:marTop w:val="0"/>
      <w:marBottom w:val="0"/>
      <w:divBdr>
        <w:top w:val="none" w:sz="0" w:space="0" w:color="auto"/>
        <w:left w:val="none" w:sz="0" w:space="0" w:color="auto"/>
        <w:bottom w:val="none" w:sz="0" w:space="0" w:color="auto"/>
        <w:right w:val="none" w:sz="0" w:space="0" w:color="auto"/>
      </w:divBdr>
    </w:div>
    <w:div w:id="1293099655">
      <w:bodyDiv w:val="1"/>
      <w:marLeft w:val="0"/>
      <w:marRight w:val="0"/>
      <w:marTop w:val="0"/>
      <w:marBottom w:val="0"/>
      <w:divBdr>
        <w:top w:val="none" w:sz="0" w:space="0" w:color="auto"/>
        <w:left w:val="none" w:sz="0" w:space="0" w:color="auto"/>
        <w:bottom w:val="none" w:sz="0" w:space="0" w:color="auto"/>
        <w:right w:val="none" w:sz="0" w:space="0" w:color="auto"/>
      </w:divBdr>
    </w:div>
    <w:div w:id="1294557769">
      <w:bodyDiv w:val="1"/>
      <w:marLeft w:val="0"/>
      <w:marRight w:val="0"/>
      <w:marTop w:val="0"/>
      <w:marBottom w:val="0"/>
      <w:divBdr>
        <w:top w:val="none" w:sz="0" w:space="0" w:color="auto"/>
        <w:left w:val="none" w:sz="0" w:space="0" w:color="auto"/>
        <w:bottom w:val="none" w:sz="0" w:space="0" w:color="auto"/>
        <w:right w:val="none" w:sz="0" w:space="0" w:color="auto"/>
      </w:divBdr>
    </w:div>
    <w:div w:id="1294602925">
      <w:bodyDiv w:val="1"/>
      <w:marLeft w:val="0"/>
      <w:marRight w:val="0"/>
      <w:marTop w:val="0"/>
      <w:marBottom w:val="0"/>
      <w:divBdr>
        <w:top w:val="none" w:sz="0" w:space="0" w:color="auto"/>
        <w:left w:val="none" w:sz="0" w:space="0" w:color="auto"/>
        <w:bottom w:val="none" w:sz="0" w:space="0" w:color="auto"/>
        <w:right w:val="none" w:sz="0" w:space="0" w:color="auto"/>
      </w:divBdr>
    </w:div>
    <w:div w:id="1296182257">
      <w:bodyDiv w:val="1"/>
      <w:marLeft w:val="0"/>
      <w:marRight w:val="0"/>
      <w:marTop w:val="0"/>
      <w:marBottom w:val="0"/>
      <w:divBdr>
        <w:top w:val="none" w:sz="0" w:space="0" w:color="auto"/>
        <w:left w:val="none" w:sz="0" w:space="0" w:color="auto"/>
        <w:bottom w:val="none" w:sz="0" w:space="0" w:color="auto"/>
        <w:right w:val="none" w:sz="0" w:space="0" w:color="auto"/>
      </w:divBdr>
      <w:divsChild>
        <w:div w:id="823425772">
          <w:marLeft w:val="0"/>
          <w:marRight w:val="0"/>
          <w:marTop w:val="0"/>
          <w:marBottom w:val="0"/>
          <w:divBdr>
            <w:top w:val="none" w:sz="0" w:space="0" w:color="auto"/>
            <w:left w:val="none" w:sz="0" w:space="0" w:color="auto"/>
            <w:bottom w:val="none" w:sz="0" w:space="0" w:color="auto"/>
            <w:right w:val="none" w:sz="0" w:space="0" w:color="auto"/>
          </w:divBdr>
        </w:div>
        <w:div w:id="984436807">
          <w:marLeft w:val="0"/>
          <w:marRight w:val="0"/>
          <w:marTop w:val="0"/>
          <w:marBottom w:val="0"/>
          <w:divBdr>
            <w:top w:val="none" w:sz="0" w:space="0" w:color="auto"/>
            <w:left w:val="none" w:sz="0" w:space="0" w:color="auto"/>
            <w:bottom w:val="none" w:sz="0" w:space="0" w:color="auto"/>
            <w:right w:val="none" w:sz="0" w:space="0" w:color="auto"/>
          </w:divBdr>
          <w:divsChild>
            <w:div w:id="1320040607">
              <w:marLeft w:val="-225"/>
              <w:marRight w:val="-225"/>
              <w:marTop w:val="0"/>
              <w:marBottom w:val="0"/>
              <w:divBdr>
                <w:top w:val="none" w:sz="0" w:space="0" w:color="auto"/>
                <w:left w:val="none" w:sz="0" w:space="0" w:color="auto"/>
                <w:bottom w:val="none" w:sz="0" w:space="0" w:color="auto"/>
                <w:right w:val="none" w:sz="0" w:space="0" w:color="auto"/>
              </w:divBdr>
              <w:divsChild>
                <w:div w:id="398795677">
                  <w:marLeft w:val="0"/>
                  <w:marRight w:val="0"/>
                  <w:marTop w:val="0"/>
                  <w:marBottom w:val="0"/>
                  <w:divBdr>
                    <w:top w:val="none" w:sz="0" w:space="0" w:color="auto"/>
                    <w:left w:val="none" w:sz="0" w:space="0" w:color="auto"/>
                    <w:bottom w:val="none" w:sz="0" w:space="0" w:color="auto"/>
                    <w:right w:val="none" w:sz="0" w:space="0" w:color="auto"/>
                  </w:divBdr>
                  <w:divsChild>
                    <w:div w:id="13326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1453">
          <w:marLeft w:val="0"/>
          <w:marRight w:val="0"/>
          <w:marTop w:val="0"/>
          <w:marBottom w:val="0"/>
          <w:divBdr>
            <w:top w:val="none" w:sz="0" w:space="0" w:color="auto"/>
            <w:left w:val="none" w:sz="0" w:space="0" w:color="auto"/>
            <w:bottom w:val="none" w:sz="0" w:space="0" w:color="auto"/>
            <w:right w:val="none" w:sz="0" w:space="0" w:color="auto"/>
          </w:divBdr>
          <w:divsChild>
            <w:div w:id="1845976166">
              <w:marLeft w:val="-225"/>
              <w:marRight w:val="-225"/>
              <w:marTop w:val="0"/>
              <w:marBottom w:val="0"/>
              <w:divBdr>
                <w:top w:val="none" w:sz="0" w:space="0" w:color="auto"/>
                <w:left w:val="none" w:sz="0" w:space="0" w:color="auto"/>
                <w:bottom w:val="none" w:sz="0" w:space="0" w:color="auto"/>
                <w:right w:val="none" w:sz="0" w:space="0" w:color="auto"/>
              </w:divBdr>
              <w:divsChild>
                <w:div w:id="1717699807">
                  <w:marLeft w:val="0"/>
                  <w:marRight w:val="0"/>
                  <w:marTop w:val="0"/>
                  <w:marBottom w:val="0"/>
                  <w:divBdr>
                    <w:top w:val="none" w:sz="0" w:space="0" w:color="auto"/>
                    <w:left w:val="none" w:sz="0" w:space="0" w:color="auto"/>
                    <w:bottom w:val="none" w:sz="0" w:space="0" w:color="auto"/>
                    <w:right w:val="none" w:sz="0" w:space="0" w:color="auto"/>
                  </w:divBdr>
                  <w:divsChild>
                    <w:div w:id="15642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57035">
          <w:marLeft w:val="0"/>
          <w:marRight w:val="0"/>
          <w:marTop w:val="0"/>
          <w:marBottom w:val="0"/>
          <w:divBdr>
            <w:top w:val="none" w:sz="0" w:space="0" w:color="auto"/>
            <w:left w:val="none" w:sz="0" w:space="0" w:color="auto"/>
            <w:bottom w:val="none" w:sz="0" w:space="0" w:color="auto"/>
            <w:right w:val="none" w:sz="0" w:space="0" w:color="auto"/>
          </w:divBdr>
          <w:divsChild>
            <w:div w:id="257637913">
              <w:marLeft w:val="0"/>
              <w:marRight w:val="0"/>
              <w:marTop w:val="0"/>
              <w:marBottom w:val="0"/>
              <w:divBdr>
                <w:top w:val="single" w:sz="6" w:space="24" w:color="EBEEF5"/>
                <w:left w:val="none" w:sz="0" w:space="0" w:color="auto"/>
                <w:bottom w:val="single" w:sz="6" w:space="18" w:color="EBEEF5"/>
                <w:right w:val="none" w:sz="0" w:space="0" w:color="auto"/>
              </w:divBdr>
              <w:divsChild>
                <w:div w:id="2828608">
                  <w:marLeft w:val="0"/>
                  <w:marRight w:val="0"/>
                  <w:marTop w:val="0"/>
                  <w:marBottom w:val="0"/>
                  <w:divBdr>
                    <w:top w:val="none" w:sz="0" w:space="0" w:color="auto"/>
                    <w:left w:val="none" w:sz="0" w:space="0" w:color="auto"/>
                    <w:bottom w:val="none" w:sz="0" w:space="0" w:color="auto"/>
                    <w:right w:val="none" w:sz="0" w:space="0" w:color="auto"/>
                  </w:divBdr>
                  <w:divsChild>
                    <w:div w:id="1387101169">
                      <w:marLeft w:val="0"/>
                      <w:marRight w:val="0"/>
                      <w:marTop w:val="0"/>
                      <w:marBottom w:val="0"/>
                      <w:divBdr>
                        <w:top w:val="none" w:sz="0" w:space="0" w:color="auto"/>
                        <w:left w:val="none" w:sz="0" w:space="0" w:color="auto"/>
                        <w:bottom w:val="none" w:sz="0" w:space="0" w:color="auto"/>
                        <w:right w:val="none" w:sz="0" w:space="0" w:color="auto"/>
                      </w:divBdr>
                      <w:divsChild>
                        <w:div w:id="12192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266320">
      <w:bodyDiv w:val="1"/>
      <w:marLeft w:val="0"/>
      <w:marRight w:val="0"/>
      <w:marTop w:val="0"/>
      <w:marBottom w:val="0"/>
      <w:divBdr>
        <w:top w:val="none" w:sz="0" w:space="0" w:color="auto"/>
        <w:left w:val="none" w:sz="0" w:space="0" w:color="auto"/>
        <w:bottom w:val="none" w:sz="0" w:space="0" w:color="auto"/>
        <w:right w:val="none" w:sz="0" w:space="0" w:color="auto"/>
      </w:divBdr>
    </w:div>
    <w:div w:id="1307972256">
      <w:bodyDiv w:val="1"/>
      <w:marLeft w:val="0"/>
      <w:marRight w:val="0"/>
      <w:marTop w:val="0"/>
      <w:marBottom w:val="0"/>
      <w:divBdr>
        <w:top w:val="none" w:sz="0" w:space="0" w:color="auto"/>
        <w:left w:val="none" w:sz="0" w:space="0" w:color="auto"/>
        <w:bottom w:val="none" w:sz="0" w:space="0" w:color="auto"/>
        <w:right w:val="none" w:sz="0" w:space="0" w:color="auto"/>
      </w:divBdr>
    </w:div>
    <w:div w:id="1313025511">
      <w:bodyDiv w:val="1"/>
      <w:marLeft w:val="0"/>
      <w:marRight w:val="0"/>
      <w:marTop w:val="0"/>
      <w:marBottom w:val="0"/>
      <w:divBdr>
        <w:top w:val="none" w:sz="0" w:space="0" w:color="auto"/>
        <w:left w:val="none" w:sz="0" w:space="0" w:color="auto"/>
        <w:bottom w:val="none" w:sz="0" w:space="0" w:color="auto"/>
        <w:right w:val="none" w:sz="0" w:space="0" w:color="auto"/>
      </w:divBdr>
    </w:div>
    <w:div w:id="1314262237">
      <w:bodyDiv w:val="1"/>
      <w:marLeft w:val="0"/>
      <w:marRight w:val="0"/>
      <w:marTop w:val="0"/>
      <w:marBottom w:val="0"/>
      <w:divBdr>
        <w:top w:val="none" w:sz="0" w:space="0" w:color="auto"/>
        <w:left w:val="none" w:sz="0" w:space="0" w:color="auto"/>
        <w:bottom w:val="none" w:sz="0" w:space="0" w:color="auto"/>
        <w:right w:val="none" w:sz="0" w:space="0" w:color="auto"/>
      </w:divBdr>
    </w:div>
    <w:div w:id="1314337294">
      <w:bodyDiv w:val="1"/>
      <w:marLeft w:val="0"/>
      <w:marRight w:val="0"/>
      <w:marTop w:val="0"/>
      <w:marBottom w:val="0"/>
      <w:divBdr>
        <w:top w:val="none" w:sz="0" w:space="0" w:color="auto"/>
        <w:left w:val="none" w:sz="0" w:space="0" w:color="auto"/>
        <w:bottom w:val="none" w:sz="0" w:space="0" w:color="auto"/>
        <w:right w:val="none" w:sz="0" w:space="0" w:color="auto"/>
      </w:divBdr>
      <w:divsChild>
        <w:div w:id="408429733">
          <w:marLeft w:val="-225"/>
          <w:marRight w:val="-225"/>
          <w:marTop w:val="0"/>
          <w:marBottom w:val="0"/>
          <w:divBdr>
            <w:top w:val="none" w:sz="0" w:space="0" w:color="auto"/>
            <w:left w:val="none" w:sz="0" w:space="0" w:color="auto"/>
            <w:bottom w:val="none" w:sz="0" w:space="0" w:color="auto"/>
            <w:right w:val="none" w:sz="0" w:space="0" w:color="auto"/>
          </w:divBdr>
          <w:divsChild>
            <w:div w:id="1430272505">
              <w:marLeft w:val="0"/>
              <w:marRight w:val="0"/>
              <w:marTop w:val="0"/>
              <w:marBottom w:val="0"/>
              <w:divBdr>
                <w:top w:val="none" w:sz="0" w:space="0" w:color="auto"/>
                <w:left w:val="none" w:sz="0" w:space="0" w:color="auto"/>
                <w:bottom w:val="none" w:sz="0" w:space="0" w:color="auto"/>
                <w:right w:val="none" w:sz="0" w:space="0" w:color="auto"/>
              </w:divBdr>
              <w:divsChild>
                <w:div w:id="1306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60134">
      <w:bodyDiv w:val="1"/>
      <w:marLeft w:val="0"/>
      <w:marRight w:val="0"/>
      <w:marTop w:val="0"/>
      <w:marBottom w:val="0"/>
      <w:divBdr>
        <w:top w:val="none" w:sz="0" w:space="0" w:color="auto"/>
        <w:left w:val="none" w:sz="0" w:space="0" w:color="auto"/>
        <w:bottom w:val="none" w:sz="0" w:space="0" w:color="auto"/>
        <w:right w:val="none" w:sz="0" w:space="0" w:color="auto"/>
      </w:divBdr>
    </w:div>
    <w:div w:id="1323122385">
      <w:bodyDiv w:val="1"/>
      <w:marLeft w:val="0"/>
      <w:marRight w:val="0"/>
      <w:marTop w:val="0"/>
      <w:marBottom w:val="0"/>
      <w:divBdr>
        <w:top w:val="none" w:sz="0" w:space="0" w:color="auto"/>
        <w:left w:val="none" w:sz="0" w:space="0" w:color="auto"/>
        <w:bottom w:val="none" w:sz="0" w:space="0" w:color="auto"/>
        <w:right w:val="none" w:sz="0" w:space="0" w:color="auto"/>
      </w:divBdr>
    </w:div>
    <w:div w:id="1324971462">
      <w:bodyDiv w:val="1"/>
      <w:marLeft w:val="0"/>
      <w:marRight w:val="0"/>
      <w:marTop w:val="0"/>
      <w:marBottom w:val="0"/>
      <w:divBdr>
        <w:top w:val="none" w:sz="0" w:space="0" w:color="auto"/>
        <w:left w:val="none" w:sz="0" w:space="0" w:color="auto"/>
        <w:bottom w:val="none" w:sz="0" w:space="0" w:color="auto"/>
        <w:right w:val="none" w:sz="0" w:space="0" w:color="auto"/>
      </w:divBdr>
      <w:divsChild>
        <w:div w:id="183253622">
          <w:marLeft w:val="0"/>
          <w:marRight w:val="0"/>
          <w:marTop w:val="0"/>
          <w:marBottom w:val="0"/>
          <w:divBdr>
            <w:top w:val="none" w:sz="0" w:space="0" w:color="auto"/>
            <w:left w:val="none" w:sz="0" w:space="0" w:color="auto"/>
            <w:bottom w:val="none" w:sz="0" w:space="0" w:color="auto"/>
            <w:right w:val="none" w:sz="0" w:space="0" w:color="auto"/>
          </w:divBdr>
        </w:div>
        <w:div w:id="413287014">
          <w:marLeft w:val="0"/>
          <w:marRight w:val="0"/>
          <w:marTop w:val="0"/>
          <w:marBottom w:val="0"/>
          <w:divBdr>
            <w:top w:val="none" w:sz="0" w:space="0" w:color="auto"/>
            <w:left w:val="none" w:sz="0" w:space="0" w:color="auto"/>
            <w:bottom w:val="none" w:sz="0" w:space="0" w:color="auto"/>
            <w:right w:val="none" w:sz="0" w:space="0" w:color="auto"/>
          </w:divBdr>
          <w:divsChild>
            <w:div w:id="162741780">
              <w:marLeft w:val="-225"/>
              <w:marRight w:val="-225"/>
              <w:marTop w:val="0"/>
              <w:marBottom w:val="0"/>
              <w:divBdr>
                <w:top w:val="none" w:sz="0" w:space="0" w:color="auto"/>
                <w:left w:val="none" w:sz="0" w:space="0" w:color="auto"/>
                <w:bottom w:val="none" w:sz="0" w:space="0" w:color="auto"/>
                <w:right w:val="none" w:sz="0" w:space="0" w:color="auto"/>
              </w:divBdr>
              <w:divsChild>
                <w:div w:id="1296566973">
                  <w:marLeft w:val="0"/>
                  <w:marRight w:val="0"/>
                  <w:marTop w:val="0"/>
                  <w:marBottom w:val="0"/>
                  <w:divBdr>
                    <w:top w:val="none" w:sz="0" w:space="0" w:color="auto"/>
                    <w:left w:val="none" w:sz="0" w:space="0" w:color="auto"/>
                    <w:bottom w:val="none" w:sz="0" w:space="0" w:color="auto"/>
                    <w:right w:val="none" w:sz="0" w:space="0" w:color="auto"/>
                  </w:divBdr>
                  <w:divsChild>
                    <w:div w:id="12655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20867">
          <w:marLeft w:val="0"/>
          <w:marRight w:val="0"/>
          <w:marTop w:val="0"/>
          <w:marBottom w:val="0"/>
          <w:divBdr>
            <w:top w:val="none" w:sz="0" w:space="0" w:color="auto"/>
            <w:left w:val="none" w:sz="0" w:space="0" w:color="auto"/>
            <w:bottom w:val="none" w:sz="0" w:space="0" w:color="auto"/>
            <w:right w:val="none" w:sz="0" w:space="0" w:color="auto"/>
          </w:divBdr>
          <w:divsChild>
            <w:div w:id="862598329">
              <w:marLeft w:val="0"/>
              <w:marRight w:val="0"/>
              <w:marTop w:val="0"/>
              <w:marBottom w:val="0"/>
              <w:divBdr>
                <w:top w:val="single" w:sz="6" w:space="24" w:color="EBEEF5"/>
                <w:left w:val="none" w:sz="0" w:space="0" w:color="auto"/>
                <w:bottom w:val="single" w:sz="6" w:space="18" w:color="EBEEF5"/>
                <w:right w:val="none" w:sz="0" w:space="0" w:color="auto"/>
              </w:divBdr>
              <w:divsChild>
                <w:div w:id="1677490743">
                  <w:marLeft w:val="0"/>
                  <w:marRight w:val="0"/>
                  <w:marTop w:val="0"/>
                  <w:marBottom w:val="0"/>
                  <w:divBdr>
                    <w:top w:val="none" w:sz="0" w:space="0" w:color="auto"/>
                    <w:left w:val="none" w:sz="0" w:space="0" w:color="auto"/>
                    <w:bottom w:val="none" w:sz="0" w:space="0" w:color="auto"/>
                    <w:right w:val="none" w:sz="0" w:space="0" w:color="auto"/>
                  </w:divBdr>
                  <w:divsChild>
                    <w:div w:id="738752002">
                      <w:marLeft w:val="0"/>
                      <w:marRight w:val="0"/>
                      <w:marTop w:val="0"/>
                      <w:marBottom w:val="0"/>
                      <w:divBdr>
                        <w:top w:val="none" w:sz="0" w:space="0" w:color="auto"/>
                        <w:left w:val="none" w:sz="0" w:space="0" w:color="auto"/>
                        <w:bottom w:val="none" w:sz="0" w:space="0" w:color="auto"/>
                        <w:right w:val="none" w:sz="0" w:space="0" w:color="auto"/>
                      </w:divBdr>
                      <w:divsChild>
                        <w:div w:id="15457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799926">
          <w:marLeft w:val="0"/>
          <w:marRight w:val="0"/>
          <w:marTop w:val="0"/>
          <w:marBottom w:val="0"/>
          <w:divBdr>
            <w:top w:val="none" w:sz="0" w:space="0" w:color="auto"/>
            <w:left w:val="none" w:sz="0" w:space="0" w:color="auto"/>
            <w:bottom w:val="none" w:sz="0" w:space="0" w:color="auto"/>
            <w:right w:val="none" w:sz="0" w:space="0" w:color="auto"/>
          </w:divBdr>
          <w:divsChild>
            <w:div w:id="495263371">
              <w:marLeft w:val="-225"/>
              <w:marRight w:val="-225"/>
              <w:marTop w:val="0"/>
              <w:marBottom w:val="0"/>
              <w:divBdr>
                <w:top w:val="none" w:sz="0" w:space="0" w:color="auto"/>
                <w:left w:val="none" w:sz="0" w:space="0" w:color="auto"/>
                <w:bottom w:val="none" w:sz="0" w:space="0" w:color="auto"/>
                <w:right w:val="none" w:sz="0" w:space="0" w:color="auto"/>
              </w:divBdr>
              <w:divsChild>
                <w:div w:id="205872732">
                  <w:marLeft w:val="0"/>
                  <w:marRight w:val="0"/>
                  <w:marTop w:val="0"/>
                  <w:marBottom w:val="0"/>
                  <w:divBdr>
                    <w:top w:val="none" w:sz="0" w:space="0" w:color="auto"/>
                    <w:left w:val="none" w:sz="0" w:space="0" w:color="auto"/>
                    <w:bottom w:val="none" w:sz="0" w:space="0" w:color="auto"/>
                    <w:right w:val="none" w:sz="0" w:space="0" w:color="auto"/>
                  </w:divBdr>
                  <w:divsChild>
                    <w:div w:id="16527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1779">
      <w:bodyDiv w:val="1"/>
      <w:marLeft w:val="0"/>
      <w:marRight w:val="0"/>
      <w:marTop w:val="0"/>
      <w:marBottom w:val="0"/>
      <w:divBdr>
        <w:top w:val="none" w:sz="0" w:space="0" w:color="auto"/>
        <w:left w:val="none" w:sz="0" w:space="0" w:color="auto"/>
        <w:bottom w:val="none" w:sz="0" w:space="0" w:color="auto"/>
        <w:right w:val="none" w:sz="0" w:space="0" w:color="auto"/>
      </w:divBdr>
    </w:div>
    <w:div w:id="1327049256">
      <w:bodyDiv w:val="1"/>
      <w:marLeft w:val="0"/>
      <w:marRight w:val="0"/>
      <w:marTop w:val="0"/>
      <w:marBottom w:val="0"/>
      <w:divBdr>
        <w:top w:val="none" w:sz="0" w:space="0" w:color="auto"/>
        <w:left w:val="none" w:sz="0" w:space="0" w:color="auto"/>
        <w:bottom w:val="none" w:sz="0" w:space="0" w:color="auto"/>
        <w:right w:val="none" w:sz="0" w:space="0" w:color="auto"/>
      </w:divBdr>
    </w:div>
    <w:div w:id="1327442956">
      <w:bodyDiv w:val="1"/>
      <w:marLeft w:val="0"/>
      <w:marRight w:val="0"/>
      <w:marTop w:val="0"/>
      <w:marBottom w:val="0"/>
      <w:divBdr>
        <w:top w:val="none" w:sz="0" w:space="0" w:color="auto"/>
        <w:left w:val="none" w:sz="0" w:space="0" w:color="auto"/>
        <w:bottom w:val="none" w:sz="0" w:space="0" w:color="auto"/>
        <w:right w:val="none" w:sz="0" w:space="0" w:color="auto"/>
      </w:divBdr>
    </w:div>
    <w:div w:id="1328704739">
      <w:bodyDiv w:val="1"/>
      <w:marLeft w:val="0"/>
      <w:marRight w:val="0"/>
      <w:marTop w:val="0"/>
      <w:marBottom w:val="0"/>
      <w:divBdr>
        <w:top w:val="none" w:sz="0" w:space="0" w:color="auto"/>
        <w:left w:val="none" w:sz="0" w:space="0" w:color="auto"/>
        <w:bottom w:val="none" w:sz="0" w:space="0" w:color="auto"/>
        <w:right w:val="none" w:sz="0" w:space="0" w:color="auto"/>
      </w:divBdr>
    </w:div>
    <w:div w:id="1333332069">
      <w:bodyDiv w:val="1"/>
      <w:marLeft w:val="0"/>
      <w:marRight w:val="0"/>
      <w:marTop w:val="0"/>
      <w:marBottom w:val="0"/>
      <w:divBdr>
        <w:top w:val="none" w:sz="0" w:space="0" w:color="auto"/>
        <w:left w:val="none" w:sz="0" w:space="0" w:color="auto"/>
        <w:bottom w:val="none" w:sz="0" w:space="0" w:color="auto"/>
        <w:right w:val="none" w:sz="0" w:space="0" w:color="auto"/>
      </w:divBdr>
    </w:div>
    <w:div w:id="1333335677">
      <w:bodyDiv w:val="1"/>
      <w:marLeft w:val="0"/>
      <w:marRight w:val="0"/>
      <w:marTop w:val="0"/>
      <w:marBottom w:val="0"/>
      <w:divBdr>
        <w:top w:val="none" w:sz="0" w:space="0" w:color="auto"/>
        <w:left w:val="none" w:sz="0" w:space="0" w:color="auto"/>
        <w:bottom w:val="none" w:sz="0" w:space="0" w:color="auto"/>
        <w:right w:val="none" w:sz="0" w:space="0" w:color="auto"/>
      </w:divBdr>
    </w:div>
    <w:div w:id="1335568183">
      <w:bodyDiv w:val="1"/>
      <w:marLeft w:val="0"/>
      <w:marRight w:val="0"/>
      <w:marTop w:val="0"/>
      <w:marBottom w:val="0"/>
      <w:divBdr>
        <w:top w:val="none" w:sz="0" w:space="0" w:color="auto"/>
        <w:left w:val="none" w:sz="0" w:space="0" w:color="auto"/>
        <w:bottom w:val="none" w:sz="0" w:space="0" w:color="auto"/>
        <w:right w:val="none" w:sz="0" w:space="0" w:color="auto"/>
      </w:divBdr>
      <w:divsChild>
        <w:div w:id="1117068974">
          <w:marLeft w:val="0"/>
          <w:marRight w:val="0"/>
          <w:marTop w:val="0"/>
          <w:marBottom w:val="0"/>
          <w:divBdr>
            <w:top w:val="none" w:sz="0" w:space="0" w:color="auto"/>
            <w:left w:val="none" w:sz="0" w:space="0" w:color="auto"/>
            <w:bottom w:val="none" w:sz="0" w:space="0" w:color="auto"/>
            <w:right w:val="none" w:sz="0" w:space="0" w:color="auto"/>
          </w:divBdr>
          <w:divsChild>
            <w:div w:id="564414861">
              <w:marLeft w:val="-225"/>
              <w:marRight w:val="-225"/>
              <w:marTop w:val="0"/>
              <w:marBottom w:val="0"/>
              <w:divBdr>
                <w:top w:val="none" w:sz="0" w:space="0" w:color="auto"/>
                <w:left w:val="none" w:sz="0" w:space="0" w:color="auto"/>
                <w:bottom w:val="none" w:sz="0" w:space="0" w:color="auto"/>
                <w:right w:val="none" w:sz="0" w:space="0" w:color="auto"/>
              </w:divBdr>
              <w:divsChild>
                <w:div w:id="225575723">
                  <w:marLeft w:val="0"/>
                  <w:marRight w:val="0"/>
                  <w:marTop w:val="0"/>
                  <w:marBottom w:val="0"/>
                  <w:divBdr>
                    <w:top w:val="none" w:sz="0" w:space="0" w:color="auto"/>
                    <w:left w:val="none" w:sz="0" w:space="0" w:color="auto"/>
                    <w:bottom w:val="none" w:sz="0" w:space="0" w:color="auto"/>
                    <w:right w:val="none" w:sz="0" w:space="0" w:color="auto"/>
                  </w:divBdr>
                  <w:divsChild>
                    <w:div w:id="3479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49739">
          <w:marLeft w:val="0"/>
          <w:marRight w:val="0"/>
          <w:marTop w:val="0"/>
          <w:marBottom w:val="0"/>
          <w:divBdr>
            <w:top w:val="none" w:sz="0" w:space="0" w:color="auto"/>
            <w:left w:val="none" w:sz="0" w:space="0" w:color="auto"/>
            <w:bottom w:val="none" w:sz="0" w:space="0" w:color="auto"/>
            <w:right w:val="none" w:sz="0" w:space="0" w:color="auto"/>
          </w:divBdr>
        </w:div>
        <w:div w:id="1523324174">
          <w:marLeft w:val="0"/>
          <w:marRight w:val="0"/>
          <w:marTop w:val="0"/>
          <w:marBottom w:val="0"/>
          <w:divBdr>
            <w:top w:val="none" w:sz="0" w:space="0" w:color="auto"/>
            <w:left w:val="none" w:sz="0" w:space="0" w:color="auto"/>
            <w:bottom w:val="none" w:sz="0" w:space="0" w:color="auto"/>
            <w:right w:val="none" w:sz="0" w:space="0" w:color="auto"/>
          </w:divBdr>
          <w:divsChild>
            <w:div w:id="1488091724">
              <w:marLeft w:val="-225"/>
              <w:marRight w:val="-225"/>
              <w:marTop w:val="0"/>
              <w:marBottom w:val="0"/>
              <w:divBdr>
                <w:top w:val="none" w:sz="0" w:space="0" w:color="auto"/>
                <w:left w:val="none" w:sz="0" w:space="0" w:color="auto"/>
                <w:bottom w:val="none" w:sz="0" w:space="0" w:color="auto"/>
                <w:right w:val="none" w:sz="0" w:space="0" w:color="auto"/>
              </w:divBdr>
              <w:divsChild>
                <w:div w:id="265507077">
                  <w:marLeft w:val="0"/>
                  <w:marRight w:val="0"/>
                  <w:marTop w:val="0"/>
                  <w:marBottom w:val="0"/>
                  <w:divBdr>
                    <w:top w:val="none" w:sz="0" w:space="0" w:color="auto"/>
                    <w:left w:val="none" w:sz="0" w:space="0" w:color="auto"/>
                    <w:bottom w:val="none" w:sz="0" w:space="0" w:color="auto"/>
                    <w:right w:val="none" w:sz="0" w:space="0" w:color="auto"/>
                  </w:divBdr>
                  <w:divsChild>
                    <w:div w:id="2018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76007">
      <w:bodyDiv w:val="1"/>
      <w:marLeft w:val="0"/>
      <w:marRight w:val="0"/>
      <w:marTop w:val="0"/>
      <w:marBottom w:val="0"/>
      <w:divBdr>
        <w:top w:val="none" w:sz="0" w:space="0" w:color="auto"/>
        <w:left w:val="none" w:sz="0" w:space="0" w:color="auto"/>
        <w:bottom w:val="none" w:sz="0" w:space="0" w:color="auto"/>
        <w:right w:val="none" w:sz="0" w:space="0" w:color="auto"/>
      </w:divBdr>
    </w:div>
    <w:div w:id="1337074404">
      <w:bodyDiv w:val="1"/>
      <w:marLeft w:val="0"/>
      <w:marRight w:val="0"/>
      <w:marTop w:val="0"/>
      <w:marBottom w:val="0"/>
      <w:divBdr>
        <w:top w:val="none" w:sz="0" w:space="0" w:color="auto"/>
        <w:left w:val="none" w:sz="0" w:space="0" w:color="auto"/>
        <w:bottom w:val="none" w:sz="0" w:space="0" w:color="auto"/>
        <w:right w:val="none" w:sz="0" w:space="0" w:color="auto"/>
      </w:divBdr>
    </w:div>
    <w:div w:id="1339044297">
      <w:bodyDiv w:val="1"/>
      <w:marLeft w:val="0"/>
      <w:marRight w:val="0"/>
      <w:marTop w:val="0"/>
      <w:marBottom w:val="0"/>
      <w:divBdr>
        <w:top w:val="none" w:sz="0" w:space="0" w:color="auto"/>
        <w:left w:val="none" w:sz="0" w:space="0" w:color="auto"/>
        <w:bottom w:val="none" w:sz="0" w:space="0" w:color="auto"/>
        <w:right w:val="none" w:sz="0" w:space="0" w:color="auto"/>
      </w:divBdr>
    </w:div>
    <w:div w:id="1339847255">
      <w:bodyDiv w:val="1"/>
      <w:marLeft w:val="0"/>
      <w:marRight w:val="0"/>
      <w:marTop w:val="0"/>
      <w:marBottom w:val="0"/>
      <w:divBdr>
        <w:top w:val="none" w:sz="0" w:space="0" w:color="auto"/>
        <w:left w:val="none" w:sz="0" w:space="0" w:color="auto"/>
        <w:bottom w:val="none" w:sz="0" w:space="0" w:color="auto"/>
        <w:right w:val="none" w:sz="0" w:space="0" w:color="auto"/>
      </w:divBdr>
    </w:div>
    <w:div w:id="1343505372">
      <w:bodyDiv w:val="1"/>
      <w:marLeft w:val="0"/>
      <w:marRight w:val="0"/>
      <w:marTop w:val="0"/>
      <w:marBottom w:val="0"/>
      <w:divBdr>
        <w:top w:val="none" w:sz="0" w:space="0" w:color="auto"/>
        <w:left w:val="none" w:sz="0" w:space="0" w:color="auto"/>
        <w:bottom w:val="none" w:sz="0" w:space="0" w:color="auto"/>
        <w:right w:val="none" w:sz="0" w:space="0" w:color="auto"/>
      </w:divBdr>
    </w:div>
    <w:div w:id="1343971704">
      <w:bodyDiv w:val="1"/>
      <w:marLeft w:val="0"/>
      <w:marRight w:val="0"/>
      <w:marTop w:val="0"/>
      <w:marBottom w:val="0"/>
      <w:divBdr>
        <w:top w:val="none" w:sz="0" w:space="0" w:color="auto"/>
        <w:left w:val="none" w:sz="0" w:space="0" w:color="auto"/>
        <w:bottom w:val="none" w:sz="0" w:space="0" w:color="auto"/>
        <w:right w:val="none" w:sz="0" w:space="0" w:color="auto"/>
      </w:divBdr>
    </w:div>
    <w:div w:id="1344431161">
      <w:bodyDiv w:val="1"/>
      <w:marLeft w:val="0"/>
      <w:marRight w:val="0"/>
      <w:marTop w:val="0"/>
      <w:marBottom w:val="0"/>
      <w:divBdr>
        <w:top w:val="none" w:sz="0" w:space="0" w:color="auto"/>
        <w:left w:val="none" w:sz="0" w:space="0" w:color="auto"/>
        <w:bottom w:val="none" w:sz="0" w:space="0" w:color="auto"/>
        <w:right w:val="none" w:sz="0" w:space="0" w:color="auto"/>
      </w:divBdr>
    </w:div>
    <w:div w:id="1345205888">
      <w:bodyDiv w:val="1"/>
      <w:marLeft w:val="0"/>
      <w:marRight w:val="0"/>
      <w:marTop w:val="0"/>
      <w:marBottom w:val="0"/>
      <w:divBdr>
        <w:top w:val="none" w:sz="0" w:space="0" w:color="auto"/>
        <w:left w:val="none" w:sz="0" w:space="0" w:color="auto"/>
        <w:bottom w:val="none" w:sz="0" w:space="0" w:color="auto"/>
        <w:right w:val="none" w:sz="0" w:space="0" w:color="auto"/>
      </w:divBdr>
    </w:div>
    <w:div w:id="1346130057">
      <w:bodyDiv w:val="1"/>
      <w:marLeft w:val="0"/>
      <w:marRight w:val="0"/>
      <w:marTop w:val="0"/>
      <w:marBottom w:val="0"/>
      <w:divBdr>
        <w:top w:val="none" w:sz="0" w:space="0" w:color="auto"/>
        <w:left w:val="none" w:sz="0" w:space="0" w:color="auto"/>
        <w:bottom w:val="none" w:sz="0" w:space="0" w:color="auto"/>
        <w:right w:val="none" w:sz="0" w:space="0" w:color="auto"/>
      </w:divBdr>
    </w:div>
    <w:div w:id="1347554686">
      <w:bodyDiv w:val="1"/>
      <w:marLeft w:val="0"/>
      <w:marRight w:val="0"/>
      <w:marTop w:val="0"/>
      <w:marBottom w:val="0"/>
      <w:divBdr>
        <w:top w:val="none" w:sz="0" w:space="0" w:color="auto"/>
        <w:left w:val="none" w:sz="0" w:space="0" w:color="auto"/>
        <w:bottom w:val="none" w:sz="0" w:space="0" w:color="auto"/>
        <w:right w:val="none" w:sz="0" w:space="0" w:color="auto"/>
      </w:divBdr>
    </w:div>
    <w:div w:id="1347749697">
      <w:bodyDiv w:val="1"/>
      <w:marLeft w:val="0"/>
      <w:marRight w:val="0"/>
      <w:marTop w:val="0"/>
      <w:marBottom w:val="0"/>
      <w:divBdr>
        <w:top w:val="none" w:sz="0" w:space="0" w:color="auto"/>
        <w:left w:val="none" w:sz="0" w:space="0" w:color="auto"/>
        <w:bottom w:val="none" w:sz="0" w:space="0" w:color="auto"/>
        <w:right w:val="none" w:sz="0" w:space="0" w:color="auto"/>
      </w:divBdr>
      <w:divsChild>
        <w:div w:id="364446515">
          <w:marLeft w:val="-225"/>
          <w:marRight w:val="-225"/>
          <w:marTop w:val="0"/>
          <w:marBottom w:val="0"/>
          <w:divBdr>
            <w:top w:val="none" w:sz="0" w:space="0" w:color="auto"/>
            <w:left w:val="none" w:sz="0" w:space="0" w:color="auto"/>
            <w:bottom w:val="none" w:sz="0" w:space="0" w:color="auto"/>
            <w:right w:val="none" w:sz="0" w:space="0" w:color="auto"/>
          </w:divBdr>
          <w:divsChild>
            <w:div w:id="1719474071">
              <w:marLeft w:val="0"/>
              <w:marRight w:val="0"/>
              <w:marTop w:val="0"/>
              <w:marBottom w:val="0"/>
              <w:divBdr>
                <w:top w:val="none" w:sz="0" w:space="0" w:color="auto"/>
                <w:left w:val="none" w:sz="0" w:space="0" w:color="auto"/>
                <w:bottom w:val="none" w:sz="0" w:space="0" w:color="auto"/>
                <w:right w:val="none" w:sz="0" w:space="0" w:color="auto"/>
              </w:divBdr>
              <w:divsChild>
                <w:div w:id="6436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0061">
      <w:bodyDiv w:val="1"/>
      <w:marLeft w:val="0"/>
      <w:marRight w:val="0"/>
      <w:marTop w:val="0"/>
      <w:marBottom w:val="0"/>
      <w:divBdr>
        <w:top w:val="none" w:sz="0" w:space="0" w:color="auto"/>
        <w:left w:val="none" w:sz="0" w:space="0" w:color="auto"/>
        <w:bottom w:val="none" w:sz="0" w:space="0" w:color="auto"/>
        <w:right w:val="none" w:sz="0" w:space="0" w:color="auto"/>
      </w:divBdr>
    </w:div>
    <w:div w:id="1350327786">
      <w:bodyDiv w:val="1"/>
      <w:marLeft w:val="0"/>
      <w:marRight w:val="0"/>
      <w:marTop w:val="0"/>
      <w:marBottom w:val="0"/>
      <w:divBdr>
        <w:top w:val="none" w:sz="0" w:space="0" w:color="auto"/>
        <w:left w:val="none" w:sz="0" w:space="0" w:color="auto"/>
        <w:bottom w:val="none" w:sz="0" w:space="0" w:color="auto"/>
        <w:right w:val="none" w:sz="0" w:space="0" w:color="auto"/>
      </w:divBdr>
      <w:divsChild>
        <w:div w:id="501314365">
          <w:marLeft w:val="0"/>
          <w:marRight w:val="0"/>
          <w:marTop w:val="0"/>
          <w:marBottom w:val="0"/>
          <w:divBdr>
            <w:top w:val="none" w:sz="0" w:space="0" w:color="auto"/>
            <w:left w:val="none" w:sz="0" w:space="0" w:color="auto"/>
            <w:bottom w:val="none" w:sz="0" w:space="0" w:color="auto"/>
            <w:right w:val="none" w:sz="0" w:space="0" w:color="auto"/>
          </w:divBdr>
        </w:div>
        <w:div w:id="696008450">
          <w:marLeft w:val="0"/>
          <w:marRight w:val="0"/>
          <w:marTop w:val="0"/>
          <w:marBottom w:val="0"/>
          <w:divBdr>
            <w:top w:val="none" w:sz="0" w:space="0" w:color="auto"/>
            <w:left w:val="none" w:sz="0" w:space="0" w:color="auto"/>
            <w:bottom w:val="none" w:sz="0" w:space="0" w:color="auto"/>
            <w:right w:val="none" w:sz="0" w:space="0" w:color="auto"/>
          </w:divBdr>
          <w:divsChild>
            <w:div w:id="1101530473">
              <w:marLeft w:val="-225"/>
              <w:marRight w:val="-225"/>
              <w:marTop w:val="0"/>
              <w:marBottom w:val="0"/>
              <w:divBdr>
                <w:top w:val="none" w:sz="0" w:space="0" w:color="auto"/>
                <w:left w:val="none" w:sz="0" w:space="0" w:color="auto"/>
                <w:bottom w:val="none" w:sz="0" w:space="0" w:color="auto"/>
                <w:right w:val="none" w:sz="0" w:space="0" w:color="auto"/>
              </w:divBdr>
              <w:divsChild>
                <w:div w:id="1741558023">
                  <w:marLeft w:val="0"/>
                  <w:marRight w:val="0"/>
                  <w:marTop w:val="0"/>
                  <w:marBottom w:val="0"/>
                  <w:divBdr>
                    <w:top w:val="none" w:sz="0" w:space="0" w:color="auto"/>
                    <w:left w:val="none" w:sz="0" w:space="0" w:color="auto"/>
                    <w:bottom w:val="none" w:sz="0" w:space="0" w:color="auto"/>
                    <w:right w:val="none" w:sz="0" w:space="0" w:color="auto"/>
                  </w:divBdr>
                  <w:divsChild>
                    <w:div w:id="17794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7599">
          <w:marLeft w:val="0"/>
          <w:marRight w:val="0"/>
          <w:marTop w:val="0"/>
          <w:marBottom w:val="0"/>
          <w:divBdr>
            <w:top w:val="none" w:sz="0" w:space="0" w:color="auto"/>
            <w:left w:val="none" w:sz="0" w:space="0" w:color="auto"/>
            <w:bottom w:val="none" w:sz="0" w:space="0" w:color="auto"/>
            <w:right w:val="none" w:sz="0" w:space="0" w:color="auto"/>
          </w:divBdr>
          <w:divsChild>
            <w:div w:id="909651402">
              <w:marLeft w:val="-225"/>
              <w:marRight w:val="-225"/>
              <w:marTop w:val="0"/>
              <w:marBottom w:val="0"/>
              <w:divBdr>
                <w:top w:val="none" w:sz="0" w:space="0" w:color="auto"/>
                <w:left w:val="none" w:sz="0" w:space="0" w:color="auto"/>
                <w:bottom w:val="none" w:sz="0" w:space="0" w:color="auto"/>
                <w:right w:val="none" w:sz="0" w:space="0" w:color="auto"/>
              </w:divBdr>
              <w:divsChild>
                <w:div w:id="153768563">
                  <w:marLeft w:val="0"/>
                  <w:marRight w:val="0"/>
                  <w:marTop w:val="0"/>
                  <w:marBottom w:val="0"/>
                  <w:divBdr>
                    <w:top w:val="none" w:sz="0" w:space="0" w:color="auto"/>
                    <w:left w:val="none" w:sz="0" w:space="0" w:color="auto"/>
                    <w:bottom w:val="none" w:sz="0" w:space="0" w:color="auto"/>
                    <w:right w:val="none" w:sz="0" w:space="0" w:color="auto"/>
                  </w:divBdr>
                  <w:divsChild>
                    <w:div w:id="3605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18564">
          <w:marLeft w:val="0"/>
          <w:marRight w:val="0"/>
          <w:marTop w:val="0"/>
          <w:marBottom w:val="0"/>
          <w:divBdr>
            <w:top w:val="none" w:sz="0" w:space="0" w:color="auto"/>
            <w:left w:val="none" w:sz="0" w:space="0" w:color="auto"/>
            <w:bottom w:val="none" w:sz="0" w:space="0" w:color="auto"/>
            <w:right w:val="none" w:sz="0" w:space="0" w:color="auto"/>
          </w:divBdr>
          <w:divsChild>
            <w:div w:id="785545988">
              <w:marLeft w:val="0"/>
              <w:marRight w:val="0"/>
              <w:marTop w:val="0"/>
              <w:marBottom w:val="0"/>
              <w:divBdr>
                <w:top w:val="none" w:sz="0" w:space="0" w:color="auto"/>
                <w:left w:val="none" w:sz="0" w:space="0" w:color="auto"/>
                <w:bottom w:val="none" w:sz="0" w:space="0" w:color="auto"/>
                <w:right w:val="none" w:sz="0" w:space="0" w:color="auto"/>
              </w:divBdr>
              <w:divsChild>
                <w:div w:id="867762968">
                  <w:marLeft w:val="0"/>
                  <w:marRight w:val="0"/>
                  <w:marTop w:val="0"/>
                  <w:marBottom w:val="0"/>
                  <w:divBdr>
                    <w:top w:val="none" w:sz="0" w:space="0" w:color="auto"/>
                    <w:left w:val="none" w:sz="0" w:space="0" w:color="auto"/>
                    <w:bottom w:val="none" w:sz="0" w:space="0" w:color="auto"/>
                    <w:right w:val="none" w:sz="0" w:space="0" w:color="auto"/>
                  </w:divBdr>
                  <w:divsChild>
                    <w:div w:id="2108690488">
                      <w:marLeft w:val="0"/>
                      <w:marRight w:val="0"/>
                      <w:marTop w:val="0"/>
                      <w:marBottom w:val="0"/>
                      <w:divBdr>
                        <w:top w:val="none" w:sz="0" w:space="0" w:color="auto"/>
                        <w:left w:val="none" w:sz="0" w:space="0" w:color="auto"/>
                        <w:bottom w:val="none" w:sz="0" w:space="0" w:color="auto"/>
                        <w:right w:val="none" w:sz="0" w:space="0" w:color="auto"/>
                      </w:divBdr>
                      <w:divsChild>
                        <w:div w:id="19163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10879">
      <w:bodyDiv w:val="1"/>
      <w:marLeft w:val="0"/>
      <w:marRight w:val="0"/>
      <w:marTop w:val="0"/>
      <w:marBottom w:val="0"/>
      <w:divBdr>
        <w:top w:val="none" w:sz="0" w:space="0" w:color="auto"/>
        <w:left w:val="none" w:sz="0" w:space="0" w:color="auto"/>
        <w:bottom w:val="none" w:sz="0" w:space="0" w:color="auto"/>
        <w:right w:val="none" w:sz="0" w:space="0" w:color="auto"/>
      </w:divBdr>
    </w:div>
    <w:div w:id="1355232499">
      <w:bodyDiv w:val="1"/>
      <w:marLeft w:val="0"/>
      <w:marRight w:val="0"/>
      <w:marTop w:val="0"/>
      <w:marBottom w:val="0"/>
      <w:divBdr>
        <w:top w:val="none" w:sz="0" w:space="0" w:color="auto"/>
        <w:left w:val="none" w:sz="0" w:space="0" w:color="auto"/>
        <w:bottom w:val="none" w:sz="0" w:space="0" w:color="auto"/>
        <w:right w:val="none" w:sz="0" w:space="0" w:color="auto"/>
      </w:divBdr>
    </w:div>
    <w:div w:id="1356421897">
      <w:bodyDiv w:val="1"/>
      <w:marLeft w:val="0"/>
      <w:marRight w:val="0"/>
      <w:marTop w:val="0"/>
      <w:marBottom w:val="0"/>
      <w:divBdr>
        <w:top w:val="none" w:sz="0" w:space="0" w:color="auto"/>
        <w:left w:val="none" w:sz="0" w:space="0" w:color="auto"/>
        <w:bottom w:val="none" w:sz="0" w:space="0" w:color="auto"/>
        <w:right w:val="none" w:sz="0" w:space="0" w:color="auto"/>
      </w:divBdr>
    </w:div>
    <w:div w:id="1356467721">
      <w:bodyDiv w:val="1"/>
      <w:marLeft w:val="0"/>
      <w:marRight w:val="0"/>
      <w:marTop w:val="0"/>
      <w:marBottom w:val="0"/>
      <w:divBdr>
        <w:top w:val="none" w:sz="0" w:space="0" w:color="auto"/>
        <w:left w:val="none" w:sz="0" w:space="0" w:color="auto"/>
        <w:bottom w:val="none" w:sz="0" w:space="0" w:color="auto"/>
        <w:right w:val="none" w:sz="0" w:space="0" w:color="auto"/>
      </w:divBdr>
    </w:div>
    <w:div w:id="1357578733">
      <w:bodyDiv w:val="1"/>
      <w:marLeft w:val="0"/>
      <w:marRight w:val="0"/>
      <w:marTop w:val="0"/>
      <w:marBottom w:val="0"/>
      <w:divBdr>
        <w:top w:val="none" w:sz="0" w:space="0" w:color="auto"/>
        <w:left w:val="none" w:sz="0" w:space="0" w:color="auto"/>
        <w:bottom w:val="none" w:sz="0" w:space="0" w:color="auto"/>
        <w:right w:val="none" w:sz="0" w:space="0" w:color="auto"/>
      </w:divBdr>
    </w:div>
    <w:div w:id="1360668387">
      <w:bodyDiv w:val="1"/>
      <w:marLeft w:val="0"/>
      <w:marRight w:val="0"/>
      <w:marTop w:val="0"/>
      <w:marBottom w:val="0"/>
      <w:divBdr>
        <w:top w:val="none" w:sz="0" w:space="0" w:color="auto"/>
        <w:left w:val="none" w:sz="0" w:space="0" w:color="auto"/>
        <w:bottom w:val="none" w:sz="0" w:space="0" w:color="auto"/>
        <w:right w:val="none" w:sz="0" w:space="0" w:color="auto"/>
      </w:divBdr>
    </w:div>
    <w:div w:id="1360819545">
      <w:bodyDiv w:val="1"/>
      <w:marLeft w:val="0"/>
      <w:marRight w:val="0"/>
      <w:marTop w:val="0"/>
      <w:marBottom w:val="0"/>
      <w:divBdr>
        <w:top w:val="none" w:sz="0" w:space="0" w:color="auto"/>
        <w:left w:val="none" w:sz="0" w:space="0" w:color="auto"/>
        <w:bottom w:val="none" w:sz="0" w:space="0" w:color="auto"/>
        <w:right w:val="none" w:sz="0" w:space="0" w:color="auto"/>
      </w:divBdr>
    </w:div>
    <w:div w:id="1363551916">
      <w:bodyDiv w:val="1"/>
      <w:marLeft w:val="0"/>
      <w:marRight w:val="0"/>
      <w:marTop w:val="0"/>
      <w:marBottom w:val="0"/>
      <w:divBdr>
        <w:top w:val="none" w:sz="0" w:space="0" w:color="auto"/>
        <w:left w:val="none" w:sz="0" w:space="0" w:color="auto"/>
        <w:bottom w:val="none" w:sz="0" w:space="0" w:color="auto"/>
        <w:right w:val="none" w:sz="0" w:space="0" w:color="auto"/>
      </w:divBdr>
    </w:div>
    <w:div w:id="1366833639">
      <w:bodyDiv w:val="1"/>
      <w:marLeft w:val="0"/>
      <w:marRight w:val="0"/>
      <w:marTop w:val="0"/>
      <w:marBottom w:val="0"/>
      <w:divBdr>
        <w:top w:val="none" w:sz="0" w:space="0" w:color="auto"/>
        <w:left w:val="none" w:sz="0" w:space="0" w:color="auto"/>
        <w:bottom w:val="none" w:sz="0" w:space="0" w:color="auto"/>
        <w:right w:val="none" w:sz="0" w:space="0" w:color="auto"/>
      </w:divBdr>
    </w:div>
    <w:div w:id="1367100981">
      <w:bodyDiv w:val="1"/>
      <w:marLeft w:val="0"/>
      <w:marRight w:val="0"/>
      <w:marTop w:val="0"/>
      <w:marBottom w:val="0"/>
      <w:divBdr>
        <w:top w:val="none" w:sz="0" w:space="0" w:color="auto"/>
        <w:left w:val="none" w:sz="0" w:space="0" w:color="auto"/>
        <w:bottom w:val="none" w:sz="0" w:space="0" w:color="auto"/>
        <w:right w:val="none" w:sz="0" w:space="0" w:color="auto"/>
      </w:divBdr>
    </w:div>
    <w:div w:id="1371569348">
      <w:bodyDiv w:val="1"/>
      <w:marLeft w:val="0"/>
      <w:marRight w:val="0"/>
      <w:marTop w:val="0"/>
      <w:marBottom w:val="0"/>
      <w:divBdr>
        <w:top w:val="none" w:sz="0" w:space="0" w:color="auto"/>
        <w:left w:val="none" w:sz="0" w:space="0" w:color="auto"/>
        <w:bottom w:val="none" w:sz="0" w:space="0" w:color="auto"/>
        <w:right w:val="none" w:sz="0" w:space="0" w:color="auto"/>
      </w:divBdr>
    </w:div>
    <w:div w:id="1375688812">
      <w:bodyDiv w:val="1"/>
      <w:marLeft w:val="0"/>
      <w:marRight w:val="0"/>
      <w:marTop w:val="0"/>
      <w:marBottom w:val="0"/>
      <w:divBdr>
        <w:top w:val="none" w:sz="0" w:space="0" w:color="auto"/>
        <w:left w:val="none" w:sz="0" w:space="0" w:color="auto"/>
        <w:bottom w:val="none" w:sz="0" w:space="0" w:color="auto"/>
        <w:right w:val="none" w:sz="0" w:space="0" w:color="auto"/>
      </w:divBdr>
    </w:div>
    <w:div w:id="1376854296">
      <w:bodyDiv w:val="1"/>
      <w:marLeft w:val="0"/>
      <w:marRight w:val="0"/>
      <w:marTop w:val="0"/>
      <w:marBottom w:val="0"/>
      <w:divBdr>
        <w:top w:val="none" w:sz="0" w:space="0" w:color="auto"/>
        <w:left w:val="none" w:sz="0" w:space="0" w:color="auto"/>
        <w:bottom w:val="none" w:sz="0" w:space="0" w:color="auto"/>
        <w:right w:val="none" w:sz="0" w:space="0" w:color="auto"/>
      </w:divBdr>
      <w:divsChild>
        <w:div w:id="958997675">
          <w:marLeft w:val="0"/>
          <w:marRight w:val="0"/>
          <w:marTop w:val="0"/>
          <w:marBottom w:val="0"/>
          <w:divBdr>
            <w:top w:val="none" w:sz="0" w:space="0" w:color="auto"/>
            <w:left w:val="none" w:sz="0" w:space="0" w:color="auto"/>
            <w:bottom w:val="none" w:sz="0" w:space="0" w:color="auto"/>
            <w:right w:val="none" w:sz="0" w:space="0" w:color="auto"/>
          </w:divBdr>
          <w:divsChild>
            <w:div w:id="1121266626">
              <w:marLeft w:val="-225"/>
              <w:marRight w:val="-225"/>
              <w:marTop w:val="0"/>
              <w:marBottom w:val="0"/>
              <w:divBdr>
                <w:top w:val="none" w:sz="0" w:space="0" w:color="auto"/>
                <w:left w:val="none" w:sz="0" w:space="0" w:color="auto"/>
                <w:bottom w:val="none" w:sz="0" w:space="0" w:color="auto"/>
                <w:right w:val="none" w:sz="0" w:space="0" w:color="auto"/>
              </w:divBdr>
              <w:divsChild>
                <w:div w:id="873807668">
                  <w:marLeft w:val="0"/>
                  <w:marRight w:val="0"/>
                  <w:marTop w:val="0"/>
                  <w:marBottom w:val="0"/>
                  <w:divBdr>
                    <w:top w:val="none" w:sz="0" w:space="0" w:color="auto"/>
                    <w:left w:val="none" w:sz="0" w:space="0" w:color="auto"/>
                    <w:bottom w:val="none" w:sz="0" w:space="0" w:color="auto"/>
                    <w:right w:val="none" w:sz="0" w:space="0" w:color="auto"/>
                  </w:divBdr>
                  <w:divsChild>
                    <w:div w:id="6080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8340">
          <w:marLeft w:val="0"/>
          <w:marRight w:val="0"/>
          <w:marTop w:val="0"/>
          <w:marBottom w:val="0"/>
          <w:divBdr>
            <w:top w:val="none" w:sz="0" w:space="0" w:color="auto"/>
            <w:left w:val="none" w:sz="0" w:space="0" w:color="auto"/>
            <w:bottom w:val="none" w:sz="0" w:space="0" w:color="auto"/>
            <w:right w:val="none" w:sz="0" w:space="0" w:color="auto"/>
          </w:divBdr>
          <w:divsChild>
            <w:div w:id="1351025503">
              <w:marLeft w:val="0"/>
              <w:marRight w:val="0"/>
              <w:marTop w:val="0"/>
              <w:marBottom w:val="0"/>
              <w:divBdr>
                <w:top w:val="none" w:sz="0" w:space="0" w:color="auto"/>
                <w:left w:val="none" w:sz="0" w:space="0" w:color="auto"/>
                <w:bottom w:val="none" w:sz="0" w:space="0" w:color="auto"/>
                <w:right w:val="none" w:sz="0" w:space="0" w:color="auto"/>
              </w:divBdr>
              <w:divsChild>
                <w:div w:id="2062367400">
                  <w:marLeft w:val="0"/>
                  <w:marRight w:val="0"/>
                  <w:marTop w:val="0"/>
                  <w:marBottom w:val="0"/>
                  <w:divBdr>
                    <w:top w:val="none" w:sz="0" w:space="0" w:color="auto"/>
                    <w:left w:val="none" w:sz="0" w:space="0" w:color="auto"/>
                    <w:bottom w:val="none" w:sz="0" w:space="0" w:color="auto"/>
                    <w:right w:val="none" w:sz="0" w:space="0" w:color="auto"/>
                  </w:divBdr>
                  <w:divsChild>
                    <w:div w:id="1316836841">
                      <w:marLeft w:val="0"/>
                      <w:marRight w:val="0"/>
                      <w:marTop w:val="0"/>
                      <w:marBottom w:val="0"/>
                      <w:divBdr>
                        <w:top w:val="none" w:sz="0" w:space="0" w:color="auto"/>
                        <w:left w:val="none" w:sz="0" w:space="0" w:color="auto"/>
                        <w:bottom w:val="none" w:sz="0" w:space="0" w:color="auto"/>
                        <w:right w:val="none" w:sz="0" w:space="0" w:color="auto"/>
                      </w:divBdr>
                      <w:divsChild>
                        <w:div w:id="11840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6226">
          <w:marLeft w:val="0"/>
          <w:marRight w:val="0"/>
          <w:marTop w:val="0"/>
          <w:marBottom w:val="0"/>
          <w:divBdr>
            <w:top w:val="none" w:sz="0" w:space="0" w:color="auto"/>
            <w:left w:val="none" w:sz="0" w:space="0" w:color="auto"/>
            <w:bottom w:val="none" w:sz="0" w:space="0" w:color="auto"/>
            <w:right w:val="none" w:sz="0" w:space="0" w:color="auto"/>
          </w:divBdr>
          <w:divsChild>
            <w:div w:id="1440024539">
              <w:marLeft w:val="-225"/>
              <w:marRight w:val="-225"/>
              <w:marTop w:val="0"/>
              <w:marBottom w:val="0"/>
              <w:divBdr>
                <w:top w:val="none" w:sz="0" w:space="0" w:color="auto"/>
                <w:left w:val="none" w:sz="0" w:space="0" w:color="auto"/>
                <w:bottom w:val="none" w:sz="0" w:space="0" w:color="auto"/>
                <w:right w:val="none" w:sz="0" w:space="0" w:color="auto"/>
              </w:divBdr>
              <w:divsChild>
                <w:div w:id="1353922663">
                  <w:marLeft w:val="0"/>
                  <w:marRight w:val="0"/>
                  <w:marTop w:val="0"/>
                  <w:marBottom w:val="0"/>
                  <w:divBdr>
                    <w:top w:val="none" w:sz="0" w:space="0" w:color="auto"/>
                    <w:left w:val="none" w:sz="0" w:space="0" w:color="auto"/>
                    <w:bottom w:val="none" w:sz="0" w:space="0" w:color="auto"/>
                    <w:right w:val="none" w:sz="0" w:space="0" w:color="auto"/>
                  </w:divBdr>
                  <w:divsChild>
                    <w:div w:id="20439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85607">
          <w:marLeft w:val="0"/>
          <w:marRight w:val="0"/>
          <w:marTop w:val="0"/>
          <w:marBottom w:val="0"/>
          <w:divBdr>
            <w:top w:val="none" w:sz="0" w:space="0" w:color="auto"/>
            <w:left w:val="none" w:sz="0" w:space="0" w:color="auto"/>
            <w:bottom w:val="none" w:sz="0" w:space="0" w:color="auto"/>
            <w:right w:val="none" w:sz="0" w:space="0" w:color="auto"/>
          </w:divBdr>
        </w:div>
      </w:divsChild>
    </w:div>
    <w:div w:id="1376856564">
      <w:bodyDiv w:val="1"/>
      <w:marLeft w:val="0"/>
      <w:marRight w:val="0"/>
      <w:marTop w:val="0"/>
      <w:marBottom w:val="0"/>
      <w:divBdr>
        <w:top w:val="none" w:sz="0" w:space="0" w:color="auto"/>
        <w:left w:val="none" w:sz="0" w:space="0" w:color="auto"/>
        <w:bottom w:val="none" w:sz="0" w:space="0" w:color="auto"/>
        <w:right w:val="none" w:sz="0" w:space="0" w:color="auto"/>
      </w:divBdr>
    </w:div>
    <w:div w:id="1381782916">
      <w:bodyDiv w:val="1"/>
      <w:marLeft w:val="0"/>
      <w:marRight w:val="0"/>
      <w:marTop w:val="0"/>
      <w:marBottom w:val="0"/>
      <w:divBdr>
        <w:top w:val="none" w:sz="0" w:space="0" w:color="auto"/>
        <w:left w:val="none" w:sz="0" w:space="0" w:color="auto"/>
        <w:bottom w:val="none" w:sz="0" w:space="0" w:color="auto"/>
        <w:right w:val="none" w:sz="0" w:space="0" w:color="auto"/>
      </w:divBdr>
    </w:div>
    <w:div w:id="1382486915">
      <w:bodyDiv w:val="1"/>
      <w:marLeft w:val="0"/>
      <w:marRight w:val="0"/>
      <w:marTop w:val="0"/>
      <w:marBottom w:val="0"/>
      <w:divBdr>
        <w:top w:val="none" w:sz="0" w:space="0" w:color="auto"/>
        <w:left w:val="none" w:sz="0" w:space="0" w:color="auto"/>
        <w:bottom w:val="none" w:sz="0" w:space="0" w:color="auto"/>
        <w:right w:val="none" w:sz="0" w:space="0" w:color="auto"/>
      </w:divBdr>
    </w:div>
    <w:div w:id="1390223665">
      <w:bodyDiv w:val="1"/>
      <w:marLeft w:val="0"/>
      <w:marRight w:val="0"/>
      <w:marTop w:val="0"/>
      <w:marBottom w:val="0"/>
      <w:divBdr>
        <w:top w:val="none" w:sz="0" w:space="0" w:color="auto"/>
        <w:left w:val="none" w:sz="0" w:space="0" w:color="auto"/>
        <w:bottom w:val="none" w:sz="0" w:space="0" w:color="auto"/>
        <w:right w:val="none" w:sz="0" w:space="0" w:color="auto"/>
      </w:divBdr>
    </w:div>
    <w:div w:id="1391923754">
      <w:bodyDiv w:val="1"/>
      <w:marLeft w:val="0"/>
      <w:marRight w:val="0"/>
      <w:marTop w:val="0"/>
      <w:marBottom w:val="0"/>
      <w:divBdr>
        <w:top w:val="none" w:sz="0" w:space="0" w:color="auto"/>
        <w:left w:val="none" w:sz="0" w:space="0" w:color="auto"/>
        <w:bottom w:val="none" w:sz="0" w:space="0" w:color="auto"/>
        <w:right w:val="none" w:sz="0" w:space="0" w:color="auto"/>
      </w:divBdr>
    </w:div>
    <w:div w:id="1392654848">
      <w:bodyDiv w:val="1"/>
      <w:marLeft w:val="0"/>
      <w:marRight w:val="0"/>
      <w:marTop w:val="0"/>
      <w:marBottom w:val="0"/>
      <w:divBdr>
        <w:top w:val="none" w:sz="0" w:space="0" w:color="auto"/>
        <w:left w:val="none" w:sz="0" w:space="0" w:color="auto"/>
        <w:bottom w:val="none" w:sz="0" w:space="0" w:color="auto"/>
        <w:right w:val="none" w:sz="0" w:space="0" w:color="auto"/>
      </w:divBdr>
    </w:div>
    <w:div w:id="1394044652">
      <w:bodyDiv w:val="1"/>
      <w:marLeft w:val="0"/>
      <w:marRight w:val="0"/>
      <w:marTop w:val="0"/>
      <w:marBottom w:val="0"/>
      <w:divBdr>
        <w:top w:val="none" w:sz="0" w:space="0" w:color="auto"/>
        <w:left w:val="none" w:sz="0" w:space="0" w:color="auto"/>
        <w:bottom w:val="none" w:sz="0" w:space="0" w:color="auto"/>
        <w:right w:val="none" w:sz="0" w:space="0" w:color="auto"/>
      </w:divBdr>
    </w:div>
    <w:div w:id="1394349777">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sChild>
        <w:div w:id="484977394">
          <w:marLeft w:val="0"/>
          <w:marRight w:val="0"/>
          <w:marTop w:val="0"/>
          <w:marBottom w:val="0"/>
          <w:divBdr>
            <w:top w:val="none" w:sz="0" w:space="0" w:color="auto"/>
            <w:left w:val="none" w:sz="0" w:space="0" w:color="auto"/>
            <w:bottom w:val="none" w:sz="0" w:space="0" w:color="auto"/>
            <w:right w:val="none" w:sz="0" w:space="0" w:color="auto"/>
          </w:divBdr>
          <w:divsChild>
            <w:div w:id="731658835">
              <w:marLeft w:val="0"/>
              <w:marRight w:val="0"/>
              <w:marTop w:val="0"/>
              <w:marBottom w:val="0"/>
              <w:divBdr>
                <w:top w:val="none" w:sz="0" w:space="0" w:color="auto"/>
                <w:left w:val="none" w:sz="0" w:space="0" w:color="auto"/>
                <w:bottom w:val="none" w:sz="0" w:space="0" w:color="auto"/>
                <w:right w:val="none" w:sz="0" w:space="0" w:color="auto"/>
              </w:divBdr>
              <w:divsChild>
                <w:div w:id="645163977">
                  <w:marLeft w:val="0"/>
                  <w:marRight w:val="0"/>
                  <w:marTop w:val="0"/>
                  <w:marBottom w:val="0"/>
                  <w:divBdr>
                    <w:top w:val="none" w:sz="0" w:space="0" w:color="auto"/>
                    <w:left w:val="none" w:sz="0" w:space="0" w:color="auto"/>
                    <w:bottom w:val="none" w:sz="0" w:space="0" w:color="auto"/>
                    <w:right w:val="none" w:sz="0" w:space="0" w:color="auto"/>
                  </w:divBdr>
                  <w:divsChild>
                    <w:div w:id="889457145">
                      <w:marLeft w:val="0"/>
                      <w:marRight w:val="0"/>
                      <w:marTop w:val="0"/>
                      <w:marBottom w:val="0"/>
                      <w:divBdr>
                        <w:top w:val="none" w:sz="0" w:space="0" w:color="auto"/>
                        <w:left w:val="none" w:sz="0" w:space="0" w:color="auto"/>
                        <w:bottom w:val="none" w:sz="0" w:space="0" w:color="auto"/>
                        <w:right w:val="none" w:sz="0" w:space="0" w:color="auto"/>
                      </w:divBdr>
                      <w:divsChild>
                        <w:div w:id="4499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91409">
          <w:marLeft w:val="0"/>
          <w:marRight w:val="0"/>
          <w:marTop w:val="0"/>
          <w:marBottom w:val="0"/>
          <w:divBdr>
            <w:top w:val="none" w:sz="0" w:space="0" w:color="auto"/>
            <w:left w:val="none" w:sz="0" w:space="0" w:color="auto"/>
            <w:bottom w:val="none" w:sz="0" w:space="0" w:color="auto"/>
            <w:right w:val="none" w:sz="0" w:space="0" w:color="auto"/>
          </w:divBdr>
        </w:div>
        <w:div w:id="960262935">
          <w:marLeft w:val="0"/>
          <w:marRight w:val="0"/>
          <w:marTop w:val="0"/>
          <w:marBottom w:val="0"/>
          <w:divBdr>
            <w:top w:val="none" w:sz="0" w:space="0" w:color="auto"/>
            <w:left w:val="none" w:sz="0" w:space="0" w:color="auto"/>
            <w:bottom w:val="none" w:sz="0" w:space="0" w:color="auto"/>
            <w:right w:val="none" w:sz="0" w:space="0" w:color="auto"/>
          </w:divBdr>
          <w:divsChild>
            <w:div w:id="1762604467">
              <w:marLeft w:val="-225"/>
              <w:marRight w:val="-225"/>
              <w:marTop w:val="0"/>
              <w:marBottom w:val="0"/>
              <w:divBdr>
                <w:top w:val="none" w:sz="0" w:space="0" w:color="auto"/>
                <w:left w:val="none" w:sz="0" w:space="0" w:color="auto"/>
                <w:bottom w:val="none" w:sz="0" w:space="0" w:color="auto"/>
                <w:right w:val="none" w:sz="0" w:space="0" w:color="auto"/>
              </w:divBdr>
              <w:divsChild>
                <w:div w:id="1547832113">
                  <w:marLeft w:val="0"/>
                  <w:marRight w:val="0"/>
                  <w:marTop w:val="0"/>
                  <w:marBottom w:val="0"/>
                  <w:divBdr>
                    <w:top w:val="none" w:sz="0" w:space="0" w:color="auto"/>
                    <w:left w:val="none" w:sz="0" w:space="0" w:color="auto"/>
                    <w:bottom w:val="none" w:sz="0" w:space="0" w:color="auto"/>
                    <w:right w:val="none" w:sz="0" w:space="0" w:color="auto"/>
                  </w:divBdr>
                  <w:divsChild>
                    <w:div w:id="3130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19274">
          <w:marLeft w:val="0"/>
          <w:marRight w:val="0"/>
          <w:marTop w:val="0"/>
          <w:marBottom w:val="0"/>
          <w:divBdr>
            <w:top w:val="none" w:sz="0" w:space="0" w:color="auto"/>
            <w:left w:val="none" w:sz="0" w:space="0" w:color="auto"/>
            <w:bottom w:val="none" w:sz="0" w:space="0" w:color="auto"/>
            <w:right w:val="none" w:sz="0" w:space="0" w:color="auto"/>
          </w:divBdr>
          <w:divsChild>
            <w:div w:id="1120762780">
              <w:marLeft w:val="-225"/>
              <w:marRight w:val="-225"/>
              <w:marTop w:val="0"/>
              <w:marBottom w:val="0"/>
              <w:divBdr>
                <w:top w:val="none" w:sz="0" w:space="0" w:color="auto"/>
                <w:left w:val="none" w:sz="0" w:space="0" w:color="auto"/>
                <w:bottom w:val="none" w:sz="0" w:space="0" w:color="auto"/>
                <w:right w:val="none" w:sz="0" w:space="0" w:color="auto"/>
              </w:divBdr>
              <w:divsChild>
                <w:div w:id="68968333">
                  <w:marLeft w:val="0"/>
                  <w:marRight w:val="0"/>
                  <w:marTop w:val="0"/>
                  <w:marBottom w:val="0"/>
                  <w:divBdr>
                    <w:top w:val="none" w:sz="0" w:space="0" w:color="auto"/>
                    <w:left w:val="none" w:sz="0" w:space="0" w:color="auto"/>
                    <w:bottom w:val="none" w:sz="0" w:space="0" w:color="auto"/>
                    <w:right w:val="none" w:sz="0" w:space="0" w:color="auto"/>
                  </w:divBdr>
                  <w:divsChild>
                    <w:div w:id="6605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89893">
      <w:bodyDiv w:val="1"/>
      <w:marLeft w:val="0"/>
      <w:marRight w:val="0"/>
      <w:marTop w:val="0"/>
      <w:marBottom w:val="0"/>
      <w:divBdr>
        <w:top w:val="none" w:sz="0" w:space="0" w:color="auto"/>
        <w:left w:val="none" w:sz="0" w:space="0" w:color="auto"/>
        <w:bottom w:val="none" w:sz="0" w:space="0" w:color="auto"/>
        <w:right w:val="none" w:sz="0" w:space="0" w:color="auto"/>
      </w:divBdr>
      <w:divsChild>
        <w:div w:id="660545740">
          <w:marLeft w:val="0"/>
          <w:marRight w:val="0"/>
          <w:marTop w:val="0"/>
          <w:marBottom w:val="0"/>
          <w:divBdr>
            <w:top w:val="none" w:sz="0" w:space="0" w:color="auto"/>
            <w:left w:val="none" w:sz="0" w:space="0" w:color="auto"/>
            <w:bottom w:val="none" w:sz="0" w:space="0" w:color="auto"/>
            <w:right w:val="none" w:sz="0" w:space="0" w:color="auto"/>
          </w:divBdr>
          <w:divsChild>
            <w:div w:id="1196506220">
              <w:marLeft w:val="0"/>
              <w:marRight w:val="0"/>
              <w:marTop w:val="0"/>
              <w:marBottom w:val="0"/>
              <w:divBdr>
                <w:top w:val="single" w:sz="6" w:space="24" w:color="EBEEF5"/>
                <w:left w:val="none" w:sz="0" w:space="0" w:color="auto"/>
                <w:bottom w:val="single" w:sz="6" w:space="18" w:color="EBEEF5"/>
                <w:right w:val="none" w:sz="0" w:space="0" w:color="auto"/>
              </w:divBdr>
              <w:divsChild>
                <w:div w:id="633222723">
                  <w:marLeft w:val="0"/>
                  <w:marRight w:val="0"/>
                  <w:marTop w:val="0"/>
                  <w:marBottom w:val="0"/>
                  <w:divBdr>
                    <w:top w:val="none" w:sz="0" w:space="0" w:color="auto"/>
                    <w:left w:val="none" w:sz="0" w:space="0" w:color="auto"/>
                    <w:bottom w:val="none" w:sz="0" w:space="0" w:color="auto"/>
                    <w:right w:val="none" w:sz="0" w:space="0" w:color="auto"/>
                  </w:divBdr>
                  <w:divsChild>
                    <w:div w:id="1280722906">
                      <w:marLeft w:val="0"/>
                      <w:marRight w:val="0"/>
                      <w:marTop w:val="0"/>
                      <w:marBottom w:val="0"/>
                      <w:divBdr>
                        <w:top w:val="none" w:sz="0" w:space="0" w:color="auto"/>
                        <w:left w:val="none" w:sz="0" w:space="0" w:color="auto"/>
                        <w:bottom w:val="none" w:sz="0" w:space="0" w:color="auto"/>
                        <w:right w:val="none" w:sz="0" w:space="0" w:color="auto"/>
                      </w:divBdr>
                      <w:divsChild>
                        <w:div w:id="9244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97247">
          <w:marLeft w:val="0"/>
          <w:marRight w:val="0"/>
          <w:marTop w:val="0"/>
          <w:marBottom w:val="0"/>
          <w:divBdr>
            <w:top w:val="none" w:sz="0" w:space="0" w:color="auto"/>
            <w:left w:val="none" w:sz="0" w:space="0" w:color="auto"/>
            <w:bottom w:val="none" w:sz="0" w:space="0" w:color="auto"/>
            <w:right w:val="none" w:sz="0" w:space="0" w:color="auto"/>
          </w:divBdr>
          <w:divsChild>
            <w:div w:id="1706328034">
              <w:marLeft w:val="-225"/>
              <w:marRight w:val="-225"/>
              <w:marTop w:val="0"/>
              <w:marBottom w:val="0"/>
              <w:divBdr>
                <w:top w:val="none" w:sz="0" w:space="0" w:color="auto"/>
                <w:left w:val="none" w:sz="0" w:space="0" w:color="auto"/>
                <w:bottom w:val="none" w:sz="0" w:space="0" w:color="auto"/>
                <w:right w:val="none" w:sz="0" w:space="0" w:color="auto"/>
              </w:divBdr>
              <w:divsChild>
                <w:div w:id="1968008929">
                  <w:marLeft w:val="0"/>
                  <w:marRight w:val="0"/>
                  <w:marTop w:val="0"/>
                  <w:marBottom w:val="0"/>
                  <w:divBdr>
                    <w:top w:val="none" w:sz="0" w:space="0" w:color="auto"/>
                    <w:left w:val="none" w:sz="0" w:space="0" w:color="auto"/>
                    <w:bottom w:val="none" w:sz="0" w:space="0" w:color="auto"/>
                    <w:right w:val="none" w:sz="0" w:space="0" w:color="auto"/>
                  </w:divBdr>
                  <w:divsChild>
                    <w:div w:id="7997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2458">
          <w:marLeft w:val="0"/>
          <w:marRight w:val="0"/>
          <w:marTop w:val="0"/>
          <w:marBottom w:val="0"/>
          <w:divBdr>
            <w:top w:val="none" w:sz="0" w:space="0" w:color="auto"/>
            <w:left w:val="none" w:sz="0" w:space="0" w:color="auto"/>
            <w:bottom w:val="none" w:sz="0" w:space="0" w:color="auto"/>
            <w:right w:val="none" w:sz="0" w:space="0" w:color="auto"/>
          </w:divBdr>
        </w:div>
        <w:div w:id="1954939982">
          <w:marLeft w:val="0"/>
          <w:marRight w:val="0"/>
          <w:marTop w:val="0"/>
          <w:marBottom w:val="0"/>
          <w:divBdr>
            <w:top w:val="none" w:sz="0" w:space="0" w:color="auto"/>
            <w:left w:val="none" w:sz="0" w:space="0" w:color="auto"/>
            <w:bottom w:val="none" w:sz="0" w:space="0" w:color="auto"/>
            <w:right w:val="none" w:sz="0" w:space="0" w:color="auto"/>
          </w:divBdr>
          <w:divsChild>
            <w:div w:id="1571379256">
              <w:marLeft w:val="-225"/>
              <w:marRight w:val="-225"/>
              <w:marTop w:val="0"/>
              <w:marBottom w:val="0"/>
              <w:divBdr>
                <w:top w:val="none" w:sz="0" w:space="0" w:color="auto"/>
                <w:left w:val="none" w:sz="0" w:space="0" w:color="auto"/>
                <w:bottom w:val="none" w:sz="0" w:space="0" w:color="auto"/>
                <w:right w:val="none" w:sz="0" w:space="0" w:color="auto"/>
              </w:divBdr>
              <w:divsChild>
                <w:div w:id="766511067">
                  <w:marLeft w:val="0"/>
                  <w:marRight w:val="0"/>
                  <w:marTop w:val="0"/>
                  <w:marBottom w:val="0"/>
                  <w:divBdr>
                    <w:top w:val="none" w:sz="0" w:space="0" w:color="auto"/>
                    <w:left w:val="none" w:sz="0" w:space="0" w:color="auto"/>
                    <w:bottom w:val="none" w:sz="0" w:space="0" w:color="auto"/>
                    <w:right w:val="none" w:sz="0" w:space="0" w:color="auto"/>
                  </w:divBdr>
                  <w:divsChild>
                    <w:div w:id="4166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80016">
      <w:bodyDiv w:val="1"/>
      <w:marLeft w:val="0"/>
      <w:marRight w:val="0"/>
      <w:marTop w:val="0"/>
      <w:marBottom w:val="0"/>
      <w:divBdr>
        <w:top w:val="none" w:sz="0" w:space="0" w:color="auto"/>
        <w:left w:val="none" w:sz="0" w:space="0" w:color="auto"/>
        <w:bottom w:val="none" w:sz="0" w:space="0" w:color="auto"/>
        <w:right w:val="none" w:sz="0" w:space="0" w:color="auto"/>
      </w:divBdr>
    </w:div>
    <w:div w:id="1407070469">
      <w:bodyDiv w:val="1"/>
      <w:marLeft w:val="0"/>
      <w:marRight w:val="0"/>
      <w:marTop w:val="0"/>
      <w:marBottom w:val="0"/>
      <w:divBdr>
        <w:top w:val="none" w:sz="0" w:space="0" w:color="auto"/>
        <w:left w:val="none" w:sz="0" w:space="0" w:color="auto"/>
        <w:bottom w:val="none" w:sz="0" w:space="0" w:color="auto"/>
        <w:right w:val="none" w:sz="0" w:space="0" w:color="auto"/>
      </w:divBdr>
    </w:div>
    <w:div w:id="1407145858">
      <w:bodyDiv w:val="1"/>
      <w:marLeft w:val="0"/>
      <w:marRight w:val="0"/>
      <w:marTop w:val="0"/>
      <w:marBottom w:val="0"/>
      <w:divBdr>
        <w:top w:val="none" w:sz="0" w:space="0" w:color="auto"/>
        <w:left w:val="none" w:sz="0" w:space="0" w:color="auto"/>
        <w:bottom w:val="none" w:sz="0" w:space="0" w:color="auto"/>
        <w:right w:val="none" w:sz="0" w:space="0" w:color="auto"/>
      </w:divBdr>
    </w:div>
    <w:div w:id="1408842729">
      <w:bodyDiv w:val="1"/>
      <w:marLeft w:val="0"/>
      <w:marRight w:val="0"/>
      <w:marTop w:val="0"/>
      <w:marBottom w:val="0"/>
      <w:divBdr>
        <w:top w:val="none" w:sz="0" w:space="0" w:color="auto"/>
        <w:left w:val="none" w:sz="0" w:space="0" w:color="auto"/>
        <w:bottom w:val="none" w:sz="0" w:space="0" w:color="auto"/>
        <w:right w:val="none" w:sz="0" w:space="0" w:color="auto"/>
      </w:divBdr>
    </w:div>
    <w:div w:id="1410149570">
      <w:bodyDiv w:val="1"/>
      <w:marLeft w:val="0"/>
      <w:marRight w:val="0"/>
      <w:marTop w:val="0"/>
      <w:marBottom w:val="0"/>
      <w:divBdr>
        <w:top w:val="none" w:sz="0" w:space="0" w:color="auto"/>
        <w:left w:val="none" w:sz="0" w:space="0" w:color="auto"/>
        <w:bottom w:val="none" w:sz="0" w:space="0" w:color="auto"/>
        <w:right w:val="none" w:sz="0" w:space="0" w:color="auto"/>
      </w:divBdr>
    </w:div>
    <w:div w:id="1414819608">
      <w:bodyDiv w:val="1"/>
      <w:marLeft w:val="0"/>
      <w:marRight w:val="0"/>
      <w:marTop w:val="0"/>
      <w:marBottom w:val="0"/>
      <w:divBdr>
        <w:top w:val="none" w:sz="0" w:space="0" w:color="auto"/>
        <w:left w:val="none" w:sz="0" w:space="0" w:color="auto"/>
        <w:bottom w:val="none" w:sz="0" w:space="0" w:color="auto"/>
        <w:right w:val="none" w:sz="0" w:space="0" w:color="auto"/>
      </w:divBdr>
    </w:div>
    <w:div w:id="1415123631">
      <w:bodyDiv w:val="1"/>
      <w:marLeft w:val="0"/>
      <w:marRight w:val="0"/>
      <w:marTop w:val="0"/>
      <w:marBottom w:val="0"/>
      <w:divBdr>
        <w:top w:val="none" w:sz="0" w:space="0" w:color="auto"/>
        <w:left w:val="none" w:sz="0" w:space="0" w:color="auto"/>
        <w:bottom w:val="none" w:sz="0" w:space="0" w:color="auto"/>
        <w:right w:val="none" w:sz="0" w:space="0" w:color="auto"/>
      </w:divBdr>
    </w:div>
    <w:div w:id="1419980768">
      <w:bodyDiv w:val="1"/>
      <w:marLeft w:val="0"/>
      <w:marRight w:val="0"/>
      <w:marTop w:val="0"/>
      <w:marBottom w:val="0"/>
      <w:divBdr>
        <w:top w:val="none" w:sz="0" w:space="0" w:color="auto"/>
        <w:left w:val="none" w:sz="0" w:space="0" w:color="auto"/>
        <w:bottom w:val="none" w:sz="0" w:space="0" w:color="auto"/>
        <w:right w:val="none" w:sz="0" w:space="0" w:color="auto"/>
      </w:divBdr>
    </w:div>
    <w:div w:id="1425566551">
      <w:bodyDiv w:val="1"/>
      <w:marLeft w:val="0"/>
      <w:marRight w:val="0"/>
      <w:marTop w:val="0"/>
      <w:marBottom w:val="0"/>
      <w:divBdr>
        <w:top w:val="none" w:sz="0" w:space="0" w:color="auto"/>
        <w:left w:val="none" w:sz="0" w:space="0" w:color="auto"/>
        <w:bottom w:val="none" w:sz="0" w:space="0" w:color="auto"/>
        <w:right w:val="none" w:sz="0" w:space="0" w:color="auto"/>
      </w:divBdr>
      <w:divsChild>
        <w:div w:id="37246611">
          <w:marLeft w:val="0"/>
          <w:marRight w:val="0"/>
          <w:marTop w:val="0"/>
          <w:marBottom w:val="0"/>
          <w:divBdr>
            <w:top w:val="none" w:sz="0" w:space="0" w:color="auto"/>
            <w:left w:val="none" w:sz="0" w:space="0" w:color="auto"/>
            <w:bottom w:val="none" w:sz="0" w:space="0" w:color="auto"/>
            <w:right w:val="none" w:sz="0" w:space="0" w:color="auto"/>
          </w:divBdr>
          <w:divsChild>
            <w:div w:id="129904550">
              <w:marLeft w:val="-225"/>
              <w:marRight w:val="-225"/>
              <w:marTop w:val="0"/>
              <w:marBottom w:val="0"/>
              <w:divBdr>
                <w:top w:val="none" w:sz="0" w:space="0" w:color="auto"/>
                <w:left w:val="none" w:sz="0" w:space="0" w:color="auto"/>
                <w:bottom w:val="none" w:sz="0" w:space="0" w:color="auto"/>
                <w:right w:val="none" w:sz="0" w:space="0" w:color="auto"/>
              </w:divBdr>
              <w:divsChild>
                <w:div w:id="1352953373">
                  <w:marLeft w:val="0"/>
                  <w:marRight w:val="0"/>
                  <w:marTop w:val="0"/>
                  <w:marBottom w:val="0"/>
                  <w:divBdr>
                    <w:top w:val="none" w:sz="0" w:space="0" w:color="auto"/>
                    <w:left w:val="none" w:sz="0" w:space="0" w:color="auto"/>
                    <w:bottom w:val="none" w:sz="0" w:space="0" w:color="auto"/>
                    <w:right w:val="none" w:sz="0" w:space="0" w:color="auto"/>
                  </w:divBdr>
                  <w:divsChild>
                    <w:div w:id="28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3533">
          <w:marLeft w:val="0"/>
          <w:marRight w:val="0"/>
          <w:marTop w:val="0"/>
          <w:marBottom w:val="0"/>
          <w:divBdr>
            <w:top w:val="none" w:sz="0" w:space="0" w:color="auto"/>
            <w:left w:val="none" w:sz="0" w:space="0" w:color="auto"/>
            <w:bottom w:val="none" w:sz="0" w:space="0" w:color="auto"/>
            <w:right w:val="none" w:sz="0" w:space="0" w:color="auto"/>
          </w:divBdr>
        </w:div>
        <w:div w:id="1686593038">
          <w:marLeft w:val="0"/>
          <w:marRight w:val="0"/>
          <w:marTop w:val="0"/>
          <w:marBottom w:val="0"/>
          <w:divBdr>
            <w:top w:val="none" w:sz="0" w:space="0" w:color="auto"/>
            <w:left w:val="none" w:sz="0" w:space="0" w:color="auto"/>
            <w:bottom w:val="none" w:sz="0" w:space="0" w:color="auto"/>
            <w:right w:val="none" w:sz="0" w:space="0" w:color="auto"/>
          </w:divBdr>
          <w:divsChild>
            <w:div w:id="372386488">
              <w:marLeft w:val="0"/>
              <w:marRight w:val="0"/>
              <w:marTop w:val="0"/>
              <w:marBottom w:val="0"/>
              <w:divBdr>
                <w:top w:val="none" w:sz="0" w:space="0" w:color="auto"/>
                <w:left w:val="none" w:sz="0" w:space="0" w:color="auto"/>
                <w:bottom w:val="none" w:sz="0" w:space="0" w:color="auto"/>
                <w:right w:val="none" w:sz="0" w:space="0" w:color="auto"/>
              </w:divBdr>
              <w:divsChild>
                <w:div w:id="1867210612">
                  <w:marLeft w:val="0"/>
                  <w:marRight w:val="0"/>
                  <w:marTop w:val="0"/>
                  <w:marBottom w:val="0"/>
                  <w:divBdr>
                    <w:top w:val="none" w:sz="0" w:space="0" w:color="auto"/>
                    <w:left w:val="none" w:sz="0" w:space="0" w:color="auto"/>
                    <w:bottom w:val="none" w:sz="0" w:space="0" w:color="auto"/>
                    <w:right w:val="none" w:sz="0" w:space="0" w:color="auto"/>
                  </w:divBdr>
                  <w:divsChild>
                    <w:div w:id="319775981">
                      <w:marLeft w:val="0"/>
                      <w:marRight w:val="0"/>
                      <w:marTop w:val="0"/>
                      <w:marBottom w:val="0"/>
                      <w:divBdr>
                        <w:top w:val="none" w:sz="0" w:space="0" w:color="auto"/>
                        <w:left w:val="none" w:sz="0" w:space="0" w:color="auto"/>
                        <w:bottom w:val="none" w:sz="0" w:space="0" w:color="auto"/>
                        <w:right w:val="none" w:sz="0" w:space="0" w:color="auto"/>
                      </w:divBdr>
                      <w:divsChild>
                        <w:div w:id="19994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4576">
          <w:marLeft w:val="0"/>
          <w:marRight w:val="0"/>
          <w:marTop w:val="0"/>
          <w:marBottom w:val="0"/>
          <w:divBdr>
            <w:top w:val="none" w:sz="0" w:space="0" w:color="auto"/>
            <w:left w:val="none" w:sz="0" w:space="0" w:color="auto"/>
            <w:bottom w:val="none" w:sz="0" w:space="0" w:color="auto"/>
            <w:right w:val="none" w:sz="0" w:space="0" w:color="auto"/>
          </w:divBdr>
          <w:divsChild>
            <w:div w:id="2134597425">
              <w:marLeft w:val="-225"/>
              <w:marRight w:val="-225"/>
              <w:marTop w:val="0"/>
              <w:marBottom w:val="0"/>
              <w:divBdr>
                <w:top w:val="none" w:sz="0" w:space="0" w:color="auto"/>
                <w:left w:val="none" w:sz="0" w:space="0" w:color="auto"/>
                <w:bottom w:val="none" w:sz="0" w:space="0" w:color="auto"/>
                <w:right w:val="none" w:sz="0" w:space="0" w:color="auto"/>
              </w:divBdr>
              <w:divsChild>
                <w:div w:id="884297009">
                  <w:marLeft w:val="0"/>
                  <w:marRight w:val="0"/>
                  <w:marTop w:val="0"/>
                  <w:marBottom w:val="0"/>
                  <w:divBdr>
                    <w:top w:val="none" w:sz="0" w:space="0" w:color="auto"/>
                    <w:left w:val="none" w:sz="0" w:space="0" w:color="auto"/>
                    <w:bottom w:val="none" w:sz="0" w:space="0" w:color="auto"/>
                    <w:right w:val="none" w:sz="0" w:space="0" w:color="auto"/>
                  </w:divBdr>
                  <w:divsChild>
                    <w:div w:id="16225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42407">
      <w:bodyDiv w:val="1"/>
      <w:marLeft w:val="0"/>
      <w:marRight w:val="0"/>
      <w:marTop w:val="0"/>
      <w:marBottom w:val="0"/>
      <w:divBdr>
        <w:top w:val="none" w:sz="0" w:space="0" w:color="auto"/>
        <w:left w:val="none" w:sz="0" w:space="0" w:color="auto"/>
        <w:bottom w:val="none" w:sz="0" w:space="0" w:color="auto"/>
        <w:right w:val="none" w:sz="0" w:space="0" w:color="auto"/>
      </w:divBdr>
    </w:div>
    <w:div w:id="1435590312">
      <w:bodyDiv w:val="1"/>
      <w:marLeft w:val="0"/>
      <w:marRight w:val="0"/>
      <w:marTop w:val="0"/>
      <w:marBottom w:val="0"/>
      <w:divBdr>
        <w:top w:val="none" w:sz="0" w:space="0" w:color="auto"/>
        <w:left w:val="none" w:sz="0" w:space="0" w:color="auto"/>
        <w:bottom w:val="none" w:sz="0" w:space="0" w:color="auto"/>
        <w:right w:val="none" w:sz="0" w:space="0" w:color="auto"/>
      </w:divBdr>
      <w:divsChild>
        <w:div w:id="871457467">
          <w:marLeft w:val="0"/>
          <w:marRight w:val="0"/>
          <w:marTop w:val="240"/>
          <w:marBottom w:val="240"/>
          <w:divBdr>
            <w:top w:val="none" w:sz="0" w:space="0" w:color="auto"/>
            <w:left w:val="none" w:sz="0" w:space="0" w:color="auto"/>
            <w:bottom w:val="none" w:sz="0" w:space="0" w:color="auto"/>
            <w:right w:val="none" w:sz="0" w:space="0" w:color="auto"/>
          </w:divBdr>
        </w:div>
      </w:divsChild>
    </w:div>
    <w:div w:id="1436051456">
      <w:bodyDiv w:val="1"/>
      <w:marLeft w:val="0"/>
      <w:marRight w:val="0"/>
      <w:marTop w:val="0"/>
      <w:marBottom w:val="0"/>
      <w:divBdr>
        <w:top w:val="none" w:sz="0" w:space="0" w:color="auto"/>
        <w:left w:val="none" w:sz="0" w:space="0" w:color="auto"/>
        <w:bottom w:val="none" w:sz="0" w:space="0" w:color="auto"/>
        <w:right w:val="none" w:sz="0" w:space="0" w:color="auto"/>
      </w:divBdr>
    </w:div>
    <w:div w:id="1436173649">
      <w:bodyDiv w:val="1"/>
      <w:marLeft w:val="0"/>
      <w:marRight w:val="0"/>
      <w:marTop w:val="0"/>
      <w:marBottom w:val="0"/>
      <w:divBdr>
        <w:top w:val="none" w:sz="0" w:space="0" w:color="auto"/>
        <w:left w:val="none" w:sz="0" w:space="0" w:color="auto"/>
        <w:bottom w:val="none" w:sz="0" w:space="0" w:color="auto"/>
        <w:right w:val="none" w:sz="0" w:space="0" w:color="auto"/>
      </w:divBdr>
    </w:div>
    <w:div w:id="1437559494">
      <w:bodyDiv w:val="1"/>
      <w:marLeft w:val="0"/>
      <w:marRight w:val="0"/>
      <w:marTop w:val="0"/>
      <w:marBottom w:val="0"/>
      <w:divBdr>
        <w:top w:val="none" w:sz="0" w:space="0" w:color="auto"/>
        <w:left w:val="none" w:sz="0" w:space="0" w:color="auto"/>
        <w:bottom w:val="none" w:sz="0" w:space="0" w:color="auto"/>
        <w:right w:val="none" w:sz="0" w:space="0" w:color="auto"/>
      </w:divBdr>
    </w:div>
    <w:div w:id="1438060940">
      <w:bodyDiv w:val="1"/>
      <w:marLeft w:val="0"/>
      <w:marRight w:val="0"/>
      <w:marTop w:val="0"/>
      <w:marBottom w:val="0"/>
      <w:divBdr>
        <w:top w:val="none" w:sz="0" w:space="0" w:color="auto"/>
        <w:left w:val="none" w:sz="0" w:space="0" w:color="auto"/>
        <w:bottom w:val="none" w:sz="0" w:space="0" w:color="auto"/>
        <w:right w:val="none" w:sz="0" w:space="0" w:color="auto"/>
      </w:divBdr>
    </w:div>
    <w:div w:id="1440220747">
      <w:bodyDiv w:val="1"/>
      <w:marLeft w:val="0"/>
      <w:marRight w:val="0"/>
      <w:marTop w:val="0"/>
      <w:marBottom w:val="0"/>
      <w:divBdr>
        <w:top w:val="none" w:sz="0" w:space="0" w:color="auto"/>
        <w:left w:val="none" w:sz="0" w:space="0" w:color="auto"/>
        <w:bottom w:val="none" w:sz="0" w:space="0" w:color="auto"/>
        <w:right w:val="none" w:sz="0" w:space="0" w:color="auto"/>
      </w:divBdr>
    </w:div>
    <w:div w:id="1442994267">
      <w:bodyDiv w:val="1"/>
      <w:marLeft w:val="0"/>
      <w:marRight w:val="0"/>
      <w:marTop w:val="0"/>
      <w:marBottom w:val="0"/>
      <w:divBdr>
        <w:top w:val="none" w:sz="0" w:space="0" w:color="auto"/>
        <w:left w:val="none" w:sz="0" w:space="0" w:color="auto"/>
        <w:bottom w:val="none" w:sz="0" w:space="0" w:color="auto"/>
        <w:right w:val="none" w:sz="0" w:space="0" w:color="auto"/>
      </w:divBdr>
    </w:div>
    <w:div w:id="1444495515">
      <w:bodyDiv w:val="1"/>
      <w:marLeft w:val="0"/>
      <w:marRight w:val="0"/>
      <w:marTop w:val="0"/>
      <w:marBottom w:val="0"/>
      <w:divBdr>
        <w:top w:val="none" w:sz="0" w:space="0" w:color="auto"/>
        <w:left w:val="none" w:sz="0" w:space="0" w:color="auto"/>
        <w:bottom w:val="none" w:sz="0" w:space="0" w:color="auto"/>
        <w:right w:val="none" w:sz="0" w:space="0" w:color="auto"/>
      </w:divBdr>
    </w:div>
    <w:div w:id="1446464169">
      <w:bodyDiv w:val="1"/>
      <w:marLeft w:val="0"/>
      <w:marRight w:val="0"/>
      <w:marTop w:val="0"/>
      <w:marBottom w:val="0"/>
      <w:divBdr>
        <w:top w:val="none" w:sz="0" w:space="0" w:color="auto"/>
        <w:left w:val="none" w:sz="0" w:space="0" w:color="auto"/>
        <w:bottom w:val="none" w:sz="0" w:space="0" w:color="auto"/>
        <w:right w:val="none" w:sz="0" w:space="0" w:color="auto"/>
      </w:divBdr>
    </w:div>
    <w:div w:id="1447656776">
      <w:bodyDiv w:val="1"/>
      <w:marLeft w:val="0"/>
      <w:marRight w:val="0"/>
      <w:marTop w:val="0"/>
      <w:marBottom w:val="0"/>
      <w:divBdr>
        <w:top w:val="none" w:sz="0" w:space="0" w:color="auto"/>
        <w:left w:val="none" w:sz="0" w:space="0" w:color="auto"/>
        <w:bottom w:val="none" w:sz="0" w:space="0" w:color="auto"/>
        <w:right w:val="none" w:sz="0" w:space="0" w:color="auto"/>
      </w:divBdr>
    </w:div>
    <w:div w:id="1448312687">
      <w:bodyDiv w:val="1"/>
      <w:marLeft w:val="0"/>
      <w:marRight w:val="0"/>
      <w:marTop w:val="0"/>
      <w:marBottom w:val="0"/>
      <w:divBdr>
        <w:top w:val="none" w:sz="0" w:space="0" w:color="auto"/>
        <w:left w:val="none" w:sz="0" w:space="0" w:color="auto"/>
        <w:bottom w:val="none" w:sz="0" w:space="0" w:color="auto"/>
        <w:right w:val="none" w:sz="0" w:space="0" w:color="auto"/>
      </w:divBdr>
    </w:div>
    <w:div w:id="1452894656">
      <w:bodyDiv w:val="1"/>
      <w:marLeft w:val="0"/>
      <w:marRight w:val="0"/>
      <w:marTop w:val="0"/>
      <w:marBottom w:val="0"/>
      <w:divBdr>
        <w:top w:val="none" w:sz="0" w:space="0" w:color="auto"/>
        <w:left w:val="none" w:sz="0" w:space="0" w:color="auto"/>
        <w:bottom w:val="none" w:sz="0" w:space="0" w:color="auto"/>
        <w:right w:val="none" w:sz="0" w:space="0" w:color="auto"/>
      </w:divBdr>
      <w:divsChild>
        <w:div w:id="919826179">
          <w:marLeft w:val="0"/>
          <w:marRight w:val="0"/>
          <w:marTop w:val="0"/>
          <w:marBottom w:val="0"/>
          <w:divBdr>
            <w:top w:val="none" w:sz="0" w:space="0" w:color="auto"/>
            <w:left w:val="none" w:sz="0" w:space="0" w:color="auto"/>
            <w:bottom w:val="none" w:sz="0" w:space="0" w:color="auto"/>
            <w:right w:val="none" w:sz="0" w:space="0" w:color="auto"/>
          </w:divBdr>
          <w:divsChild>
            <w:div w:id="1362508952">
              <w:marLeft w:val="-225"/>
              <w:marRight w:val="-225"/>
              <w:marTop w:val="0"/>
              <w:marBottom w:val="0"/>
              <w:divBdr>
                <w:top w:val="none" w:sz="0" w:space="0" w:color="auto"/>
                <w:left w:val="none" w:sz="0" w:space="0" w:color="auto"/>
                <w:bottom w:val="none" w:sz="0" w:space="0" w:color="auto"/>
                <w:right w:val="none" w:sz="0" w:space="0" w:color="auto"/>
              </w:divBdr>
              <w:divsChild>
                <w:div w:id="160315698">
                  <w:marLeft w:val="0"/>
                  <w:marRight w:val="0"/>
                  <w:marTop w:val="0"/>
                  <w:marBottom w:val="0"/>
                  <w:divBdr>
                    <w:top w:val="none" w:sz="0" w:space="0" w:color="auto"/>
                    <w:left w:val="none" w:sz="0" w:space="0" w:color="auto"/>
                    <w:bottom w:val="none" w:sz="0" w:space="0" w:color="auto"/>
                    <w:right w:val="none" w:sz="0" w:space="0" w:color="auto"/>
                  </w:divBdr>
                  <w:divsChild>
                    <w:div w:id="20347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8754">
          <w:marLeft w:val="0"/>
          <w:marRight w:val="0"/>
          <w:marTop w:val="0"/>
          <w:marBottom w:val="0"/>
          <w:divBdr>
            <w:top w:val="none" w:sz="0" w:space="0" w:color="auto"/>
            <w:left w:val="none" w:sz="0" w:space="0" w:color="auto"/>
            <w:bottom w:val="none" w:sz="0" w:space="0" w:color="auto"/>
            <w:right w:val="none" w:sz="0" w:space="0" w:color="auto"/>
          </w:divBdr>
          <w:divsChild>
            <w:div w:id="1015422893">
              <w:marLeft w:val="-225"/>
              <w:marRight w:val="-225"/>
              <w:marTop w:val="0"/>
              <w:marBottom w:val="0"/>
              <w:divBdr>
                <w:top w:val="none" w:sz="0" w:space="0" w:color="auto"/>
                <w:left w:val="none" w:sz="0" w:space="0" w:color="auto"/>
                <w:bottom w:val="none" w:sz="0" w:space="0" w:color="auto"/>
                <w:right w:val="none" w:sz="0" w:space="0" w:color="auto"/>
              </w:divBdr>
              <w:divsChild>
                <w:div w:id="1662424">
                  <w:marLeft w:val="0"/>
                  <w:marRight w:val="0"/>
                  <w:marTop w:val="0"/>
                  <w:marBottom w:val="0"/>
                  <w:divBdr>
                    <w:top w:val="none" w:sz="0" w:space="0" w:color="auto"/>
                    <w:left w:val="none" w:sz="0" w:space="0" w:color="auto"/>
                    <w:bottom w:val="none" w:sz="0" w:space="0" w:color="auto"/>
                    <w:right w:val="none" w:sz="0" w:space="0" w:color="auto"/>
                  </w:divBdr>
                  <w:divsChild>
                    <w:div w:id="2500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4524">
          <w:marLeft w:val="0"/>
          <w:marRight w:val="0"/>
          <w:marTop w:val="0"/>
          <w:marBottom w:val="0"/>
          <w:divBdr>
            <w:top w:val="none" w:sz="0" w:space="0" w:color="auto"/>
            <w:left w:val="none" w:sz="0" w:space="0" w:color="auto"/>
            <w:bottom w:val="none" w:sz="0" w:space="0" w:color="auto"/>
            <w:right w:val="none" w:sz="0" w:space="0" w:color="auto"/>
          </w:divBdr>
          <w:divsChild>
            <w:div w:id="1041324104">
              <w:marLeft w:val="0"/>
              <w:marRight w:val="0"/>
              <w:marTop w:val="0"/>
              <w:marBottom w:val="0"/>
              <w:divBdr>
                <w:top w:val="single" w:sz="6" w:space="24" w:color="EBEEF5"/>
                <w:left w:val="none" w:sz="0" w:space="0" w:color="auto"/>
                <w:bottom w:val="single" w:sz="6" w:space="18" w:color="EBEEF5"/>
                <w:right w:val="none" w:sz="0" w:space="0" w:color="auto"/>
              </w:divBdr>
              <w:divsChild>
                <w:div w:id="1554389602">
                  <w:marLeft w:val="0"/>
                  <w:marRight w:val="0"/>
                  <w:marTop w:val="0"/>
                  <w:marBottom w:val="0"/>
                  <w:divBdr>
                    <w:top w:val="none" w:sz="0" w:space="0" w:color="auto"/>
                    <w:left w:val="none" w:sz="0" w:space="0" w:color="auto"/>
                    <w:bottom w:val="none" w:sz="0" w:space="0" w:color="auto"/>
                    <w:right w:val="none" w:sz="0" w:space="0" w:color="auto"/>
                  </w:divBdr>
                  <w:divsChild>
                    <w:div w:id="228268730">
                      <w:marLeft w:val="0"/>
                      <w:marRight w:val="0"/>
                      <w:marTop w:val="0"/>
                      <w:marBottom w:val="0"/>
                      <w:divBdr>
                        <w:top w:val="none" w:sz="0" w:space="0" w:color="auto"/>
                        <w:left w:val="none" w:sz="0" w:space="0" w:color="auto"/>
                        <w:bottom w:val="none" w:sz="0" w:space="0" w:color="auto"/>
                        <w:right w:val="none" w:sz="0" w:space="0" w:color="auto"/>
                      </w:divBdr>
                      <w:divsChild>
                        <w:div w:id="17161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237364">
          <w:marLeft w:val="0"/>
          <w:marRight w:val="0"/>
          <w:marTop w:val="0"/>
          <w:marBottom w:val="0"/>
          <w:divBdr>
            <w:top w:val="none" w:sz="0" w:space="0" w:color="auto"/>
            <w:left w:val="none" w:sz="0" w:space="0" w:color="auto"/>
            <w:bottom w:val="none" w:sz="0" w:space="0" w:color="auto"/>
            <w:right w:val="none" w:sz="0" w:space="0" w:color="auto"/>
          </w:divBdr>
        </w:div>
      </w:divsChild>
    </w:div>
    <w:div w:id="1453131819">
      <w:bodyDiv w:val="1"/>
      <w:marLeft w:val="0"/>
      <w:marRight w:val="0"/>
      <w:marTop w:val="0"/>
      <w:marBottom w:val="0"/>
      <w:divBdr>
        <w:top w:val="none" w:sz="0" w:space="0" w:color="auto"/>
        <w:left w:val="none" w:sz="0" w:space="0" w:color="auto"/>
        <w:bottom w:val="none" w:sz="0" w:space="0" w:color="auto"/>
        <w:right w:val="none" w:sz="0" w:space="0" w:color="auto"/>
      </w:divBdr>
    </w:div>
    <w:div w:id="1453859244">
      <w:bodyDiv w:val="1"/>
      <w:marLeft w:val="0"/>
      <w:marRight w:val="0"/>
      <w:marTop w:val="0"/>
      <w:marBottom w:val="0"/>
      <w:divBdr>
        <w:top w:val="none" w:sz="0" w:space="0" w:color="auto"/>
        <w:left w:val="none" w:sz="0" w:space="0" w:color="auto"/>
        <w:bottom w:val="none" w:sz="0" w:space="0" w:color="auto"/>
        <w:right w:val="none" w:sz="0" w:space="0" w:color="auto"/>
      </w:divBdr>
    </w:div>
    <w:div w:id="1454667575">
      <w:bodyDiv w:val="1"/>
      <w:marLeft w:val="0"/>
      <w:marRight w:val="0"/>
      <w:marTop w:val="0"/>
      <w:marBottom w:val="0"/>
      <w:divBdr>
        <w:top w:val="none" w:sz="0" w:space="0" w:color="auto"/>
        <w:left w:val="none" w:sz="0" w:space="0" w:color="auto"/>
        <w:bottom w:val="none" w:sz="0" w:space="0" w:color="auto"/>
        <w:right w:val="none" w:sz="0" w:space="0" w:color="auto"/>
      </w:divBdr>
      <w:divsChild>
        <w:div w:id="1644769976">
          <w:marLeft w:val="0"/>
          <w:marRight w:val="0"/>
          <w:marTop w:val="0"/>
          <w:marBottom w:val="0"/>
          <w:divBdr>
            <w:top w:val="none" w:sz="0" w:space="0" w:color="auto"/>
            <w:left w:val="none" w:sz="0" w:space="0" w:color="auto"/>
            <w:bottom w:val="none" w:sz="0" w:space="0" w:color="auto"/>
            <w:right w:val="none" w:sz="0" w:space="0" w:color="auto"/>
          </w:divBdr>
        </w:div>
        <w:div w:id="1908176666">
          <w:marLeft w:val="0"/>
          <w:marRight w:val="0"/>
          <w:marTop w:val="0"/>
          <w:marBottom w:val="0"/>
          <w:divBdr>
            <w:top w:val="none" w:sz="0" w:space="0" w:color="auto"/>
            <w:left w:val="none" w:sz="0" w:space="0" w:color="auto"/>
            <w:bottom w:val="none" w:sz="0" w:space="0" w:color="auto"/>
            <w:right w:val="none" w:sz="0" w:space="0" w:color="auto"/>
          </w:divBdr>
          <w:divsChild>
            <w:div w:id="1806464828">
              <w:marLeft w:val="-225"/>
              <w:marRight w:val="-225"/>
              <w:marTop w:val="0"/>
              <w:marBottom w:val="0"/>
              <w:divBdr>
                <w:top w:val="none" w:sz="0" w:space="0" w:color="auto"/>
                <w:left w:val="none" w:sz="0" w:space="0" w:color="auto"/>
                <w:bottom w:val="none" w:sz="0" w:space="0" w:color="auto"/>
                <w:right w:val="none" w:sz="0" w:space="0" w:color="auto"/>
              </w:divBdr>
              <w:divsChild>
                <w:div w:id="35202841">
                  <w:marLeft w:val="0"/>
                  <w:marRight w:val="0"/>
                  <w:marTop w:val="0"/>
                  <w:marBottom w:val="0"/>
                  <w:divBdr>
                    <w:top w:val="none" w:sz="0" w:space="0" w:color="auto"/>
                    <w:left w:val="none" w:sz="0" w:space="0" w:color="auto"/>
                    <w:bottom w:val="none" w:sz="0" w:space="0" w:color="auto"/>
                    <w:right w:val="none" w:sz="0" w:space="0" w:color="auto"/>
                  </w:divBdr>
                  <w:divsChild>
                    <w:div w:id="13975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01157">
          <w:marLeft w:val="0"/>
          <w:marRight w:val="0"/>
          <w:marTop w:val="0"/>
          <w:marBottom w:val="0"/>
          <w:divBdr>
            <w:top w:val="none" w:sz="0" w:space="0" w:color="auto"/>
            <w:left w:val="none" w:sz="0" w:space="0" w:color="auto"/>
            <w:bottom w:val="none" w:sz="0" w:space="0" w:color="auto"/>
            <w:right w:val="none" w:sz="0" w:space="0" w:color="auto"/>
          </w:divBdr>
          <w:divsChild>
            <w:div w:id="1786540180">
              <w:marLeft w:val="-225"/>
              <w:marRight w:val="-225"/>
              <w:marTop w:val="0"/>
              <w:marBottom w:val="0"/>
              <w:divBdr>
                <w:top w:val="none" w:sz="0" w:space="0" w:color="auto"/>
                <w:left w:val="none" w:sz="0" w:space="0" w:color="auto"/>
                <w:bottom w:val="none" w:sz="0" w:space="0" w:color="auto"/>
                <w:right w:val="none" w:sz="0" w:space="0" w:color="auto"/>
              </w:divBdr>
              <w:divsChild>
                <w:div w:id="1756440061">
                  <w:marLeft w:val="0"/>
                  <w:marRight w:val="0"/>
                  <w:marTop w:val="0"/>
                  <w:marBottom w:val="0"/>
                  <w:divBdr>
                    <w:top w:val="none" w:sz="0" w:space="0" w:color="auto"/>
                    <w:left w:val="none" w:sz="0" w:space="0" w:color="auto"/>
                    <w:bottom w:val="none" w:sz="0" w:space="0" w:color="auto"/>
                    <w:right w:val="none" w:sz="0" w:space="0" w:color="auto"/>
                  </w:divBdr>
                  <w:divsChild>
                    <w:div w:id="15867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68612">
      <w:bodyDiv w:val="1"/>
      <w:marLeft w:val="0"/>
      <w:marRight w:val="0"/>
      <w:marTop w:val="0"/>
      <w:marBottom w:val="0"/>
      <w:divBdr>
        <w:top w:val="none" w:sz="0" w:space="0" w:color="auto"/>
        <w:left w:val="none" w:sz="0" w:space="0" w:color="auto"/>
        <w:bottom w:val="none" w:sz="0" w:space="0" w:color="auto"/>
        <w:right w:val="none" w:sz="0" w:space="0" w:color="auto"/>
      </w:divBdr>
    </w:div>
    <w:div w:id="1455710332">
      <w:bodyDiv w:val="1"/>
      <w:marLeft w:val="0"/>
      <w:marRight w:val="0"/>
      <w:marTop w:val="0"/>
      <w:marBottom w:val="0"/>
      <w:divBdr>
        <w:top w:val="none" w:sz="0" w:space="0" w:color="auto"/>
        <w:left w:val="none" w:sz="0" w:space="0" w:color="auto"/>
        <w:bottom w:val="none" w:sz="0" w:space="0" w:color="auto"/>
        <w:right w:val="none" w:sz="0" w:space="0" w:color="auto"/>
      </w:divBdr>
    </w:div>
    <w:div w:id="1456286812">
      <w:bodyDiv w:val="1"/>
      <w:marLeft w:val="0"/>
      <w:marRight w:val="0"/>
      <w:marTop w:val="0"/>
      <w:marBottom w:val="0"/>
      <w:divBdr>
        <w:top w:val="none" w:sz="0" w:space="0" w:color="auto"/>
        <w:left w:val="none" w:sz="0" w:space="0" w:color="auto"/>
        <w:bottom w:val="none" w:sz="0" w:space="0" w:color="auto"/>
        <w:right w:val="none" w:sz="0" w:space="0" w:color="auto"/>
      </w:divBdr>
    </w:div>
    <w:div w:id="1457331112">
      <w:bodyDiv w:val="1"/>
      <w:marLeft w:val="0"/>
      <w:marRight w:val="0"/>
      <w:marTop w:val="0"/>
      <w:marBottom w:val="0"/>
      <w:divBdr>
        <w:top w:val="none" w:sz="0" w:space="0" w:color="auto"/>
        <w:left w:val="none" w:sz="0" w:space="0" w:color="auto"/>
        <w:bottom w:val="none" w:sz="0" w:space="0" w:color="auto"/>
        <w:right w:val="none" w:sz="0" w:space="0" w:color="auto"/>
      </w:divBdr>
    </w:div>
    <w:div w:id="1457679741">
      <w:bodyDiv w:val="1"/>
      <w:marLeft w:val="0"/>
      <w:marRight w:val="0"/>
      <w:marTop w:val="0"/>
      <w:marBottom w:val="0"/>
      <w:divBdr>
        <w:top w:val="none" w:sz="0" w:space="0" w:color="auto"/>
        <w:left w:val="none" w:sz="0" w:space="0" w:color="auto"/>
        <w:bottom w:val="none" w:sz="0" w:space="0" w:color="auto"/>
        <w:right w:val="none" w:sz="0" w:space="0" w:color="auto"/>
      </w:divBdr>
    </w:div>
    <w:div w:id="1457721418">
      <w:bodyDiv w:val="1"/>
      <w:marLeft w:val="0"/>
      <w:marRight w:val="0"/>
      <w:marTop w:val="0"/>
      <w:marBottom w:val="0"/>
      <w:divBdr>
        <w:top w:val="none" w:sz="0" w:space="0" w:color="auto"/>
        <w:left w:val="none" w:sz="0" w:space="0" w:color="auto"/>
        <w:bottom w:val="none" w:sz="0" w:space="0" w:color="auto"/>
        <w:right w:val="none" w:sz="0" w:space="0" w:color="auto"/>
      </w:divBdr>
    </w:div>
    <w:div w:id="1462921110">
      <w:bodyDiv w:val="1"/>
      <w:marLeft w:val="0"/>
      <w:marRight w:val="0"/>
      <w:marTop w:val="0"/>
      <w:marBottom w:val="0"/>
      <w:divBdr>
        <w:top w:val="none" w:sz="0" w:space="0" w:color="auto"/>
        <w:left w:val="none" w:sz="0" w:space="0" w:color="auto"/>
        <w:bottom w:val="none" w:sz="0" w:space="0" w:color="auto"/>
        <w:right w:val="none" w:sz="0" w:space="0" w:color="auto"/>
      </w:divBdr>
    </w:div>
    <w:div w:id="1464302071">
      <w:bodyDiv w:val="1"/>
      <w:marLeft w:val="0"/>
      <w:marRight w:val="0"/>
      <w:marTop w:val="0"/>
      <w:marBottom w:val="0"/>
      <w:divBdr>
        <w:top w:val="none" w:sz="0" w:space="0" w:color="auto"/>
        <w:left w:val="none" w:sz="0" w:space="0" w:color="auto"/>
        <w:bottom w:val="none" w:sz="0" w:space="0" w:color="auto"/>
        <w:right w:val="none" w:sz="0" w:space="0" w:color="auto"/>
      </w:divBdr>
    </w:div>
    <w:div w:id="1465388153">
      <w:bodyDiv w:val="1"/>
      <w:marLeft w:val="0"/>
      <w:marRight w:val="0"/>
      <w:marTop w:val="0"/>
      <w:marBottom w:val="0"/>
      <w:divBdr>
        <w:top w:val="none" w:sz="0" w:space="0" w:color="auto"/>
        <w:left w:val="none" w:sz="0" w:space="0" w:color="auto"/>
        <w:bottom w:val="none" w:sz="0" w:space="0" w:color="auto"/>
        <w:right w:val="none" w:sz="0" w:space="0" w:color="auto"/>
      </w:divBdr>
    </w:div>
    <w:div w:id="1466386573">
      <w:bodyDiv w:val="1"/>
      <w:marLeft w:val="0"/>
      <w:marRight w:val="0"/>
      <w:marTop w:val="0"/>
      <w:marBottom w:val="0"/>
      <w:divBdr>
        <w:top w:val="none" w:sz="0" w:space="0" w:color="auto"/>
        <w:left w:val="none" w:sz="0" w:space="0" w:color="auto"/>
        <w:bottom w:val="none" w:sz="0" w:space="0" w:color="auto"/>
        <w:right w:val="none" w:sz="0" w:space="0" w:color="auto"/>
      </w:divBdr>
    </w:div>
    <w:div w:id="1468205510">
      <w:bodyDiv w:val="1"/>
      <w:marLeft w:val="0"/>
      <w:marRight w:val="0"/>
      <w:marTop w:val="0"/>
      <w:marBottom w:val="0"/>
      <w:divBdr>
        <w:top w:val="none" w:sz="0" w:space="0" w:color="auto"/>
        <w:left w:val="none" w:sz="0" w:space="0" w:color="auto"/>
        <w:bottom w:val="none" w:sz="0" w:space="0" w:color="auto"/>
        <w:right w:val="none" w:sz="0" w:space="0" w:color="auto"/>
      </w:divBdr>
    </w:div>
    <w:div w:id="1470129967">
      <w:bodyDiv w:val="1"/>
      <w:marLeft w:val="0"/>
      <w:marRight w:val="0"/>
      <w:marTop w:val="0"/>
      <w:marBottom w:val="0"/>
      <w:divBdr>
        <w:top w:val="none" w:sz="0" w:space="0" w:color="auto"/>
        <w:left w:val="none" w:sz="0" w:space="0" w:color="auto"/>
        <w:bottom w:val="none" w:sz="0" w:space="0" w:color="auto"/>
        <w:right w:val="none" w:sz="0" w:space="0" w:color="auto"/>
      </w:divBdr>
      <w:divsChild>
        <w:div w:id="480736046">
          <w:marLeft w:val="-225"/>
          <w:marRight w:val="-225"/>
          <w:marTop w:val="0"/>
          <w:marBottom w:val="0"/>
          <w:divBdr>
            <w:top w:val="none" w:sz="0" w:space="0" w:color="auto"/>
            <w:left w:val="none" w:sz="0" w:space="0" w:color="auto"/>
            <w:bottom w:val="none" w:sz="0" w:space="0" w:color="auto"/>
            <w:right w:val="none" w:sz="0" w:space="0" w:color="auto"/>
          </w:divBdr>
          <w:divsChild>
            <w:div w:id="1081365894">
              <w:marLeft w:val="0"/>
              <w:marRight w:val="0"/>
              <w:marTop w:val="0"/>
              <w:marBottom w:val="0"/>
              <w:divBdr>
                <w:top w:val="none" w:sz="0" w:space="0" w:color="auto"/>
                <w:left w:val="none" w:sz="0" w:space="0" w:color="auto"/>
                <w:bottom w:val="none" w:sz="0" w:space="0" w:color="auto"/>
                <w:right w:val="none" w:sz="0" w:space="0" w:color="auto"/>
              </w:divBdr>
              <w:divsChild>
                <w:div w:id="19727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7213">
      <w:bodyDiv w:val="1"/>
      <w:marLeft w:val="0"/>
      <w:marRight w:val="0"/>
      <w:marTop w:val="0"/>
      <w:marBottom w:val="0"/>
      <w:divBdr>
        <w:top w:val="none" w:sz="0" w:space="0" w:color="auto"/>
        <w:left w:val="none" w:sz="0" w:space="0" w:color="auto"/>
        <w:bottom w:val="none" w:sz="0" w:space="0" w:color="auto"/>
        <w:right w:val="none" w:sz="0" w:space="0" w:color="auto"/>
      </w:divBdr>
    </w:div>
    <w:div w:id="1476414318">
      <w:bodyDiv w:val="1"/>
      <w:marLeft w:val="0"/>
      <w:marRight w:val="0"/>
      <w:marTop w:val="0"/>
      <w:marBottom w:val="0"/>
      <w:divBdr>
        <w:top w:val="none" w:sz="0" w:space="0" w:color="auto"/>
        <w:left w:val="none" w:sz="0" w:space="0" w:color="auto"/>
        <w:bottom w:val="none" w:sz="0" w:space="0" w:color="auto"/>
        <w:right w:val="none" w:sz="0" w:space="0" w:color="auto"/>
      </w:divBdr>
    </w:div>
    <w:div w:id="1476603927">
      <w:bodyDiv w:val="1"/>
      <w:marLeft w:val="0"/>
      <w:marRight w:val="0"/>
      <w:marTop w:val="0"/>
      <w:marBottom w:val="0"/>
      <w:divBdr>
        <w:top w:val="none" w:sz="0" w:space="0" w:color="auto"/>
        <w:left w:val="none" w:sz="0" w:space="0" w:color="auto"/>
        <w:bottom w:val="none" w:sz="0" w:space="0" w:color="auto"/>
        <w:right w:val="none" w:sz="0" w:space="0" w:color="auto"/>
      </w:divBdr>
    </w:div>
    <w:div w:id="1477255712">
      <w:bodyDiv w:val="1"/>
      <w:marLeft w:val="0"/>
      <w:marRight w:val="0"/>
      <w:marTop w:val="0"/>
      <w:marBottom w:val="0"/>
      <w:divBdr>
        <w:top w:val="none" w:sz="0" w:space="0" w:color="auto"/>
        <w:left w:val="none" w:sz="0" w:space="0" w:color="auto"/>
        <w:bottom w:val="none" w:sz="0" w:space="0" w:color="auto"/>
        <w:right w:val="none" w:sz="0" w:space="0" w:color="auto"/>
      </w:divBdr>
      <w:divsChild>
        <w:div w:id="136192989">
          <w:marLeft w:val="-225"/>
          <w:marRight w:val="-225"/>
          <w:marTop w:val="0"/>
          <w:marBottom w:val="0"/>
          <w:divBdr>
            <w:top w:val="none" w:sz="0" w:space="0" w:color="auto"/>
            <w:left w:val="none" w:sz="0" w:space="0" w:color="auto"/>
            <w:bottom w:val="none" w:sz="0" w:space="0" w:color="auto"/>
            <w:right w:val="none" w:sz="0" w:space="0" w:color="auto"/>
          </w:divBdr>
          <w:divsChild>
            <w:div w:id="2062826881">
              <w:marLeft w:val="0"/>
              <w:marRight w:val="0"/>
              <w:marTop w:val="0"/>
              <w:marBottom w:val="0"/>
              <w:divBdr>
                <w:top w:val="none" w:sz="0" w:space="0" w:color="auto"/>
                <w:left w:val="none" w:sz="0" w:space="0" w:color="auto"/>
                <w:bottom w:val="none" w:sz="0" w:space="0" w:color="auto"/>
                <w:right w:val="none" w:sz="0" w:space="0" w:color="auto"/>
              </w:divBdr>
              <w:divsChild>
                <w:div w:id="3154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80586">
      <w:bodyDiv w:val="1"/>
      <w:marLeft w:val="0"/>
      <w:marRight w:val="0"/>
      <w:marTop w:val="0"/>
      <w:marBottom w:val="0"/>
      <w:divBdr>
        <w:top w:val="none" w:sz="0" w:space="0" w:color="auto"/>
        <w:left w:val="none" w:sz="0" w:space="0" w:color="auto"/>
        <w:bottom w:val="none" w:sz="0" w:space="0" w:color="auto"/>
        <w:right w:val="none" w:sz="0" w:space="0" w:color="auto"/>
      </w:divBdr>
    </w:div>
    <w:div w:id="1478767788">
      <w:bodyDiv w:val="1"/>
      <w:marLeft w:val="0"/>
      <w:marRight w:val="0"/>
      <w:marTop w:val="0"/>
      <w:marBottom w:val="0"/>
      <w:divBdr>
        <w:top w:val="none" w:sz="0" w:space="0" w:color="auto"/>
        <w:left w:val="none" w:sz="0" w:space="0" w:color="auto"/>
        <w:bottom w:val="none" w:sz="0" w:space="0" w:color="auto"/>
        <w:right w:val="none" w:sz="0" w:space="0" w:color="auto"/>
      </w:divBdr>
    </w:div>
    <w:div w:id="1481725297">
      <w:bodyDiv w:val="1"/>
      <w:marLeft w:val="0"/>
      <w:marRight w:val="0"/>
      <w:marTop w:val="0"/>
      <w:marBottom w:val="0"/>
      <w:divBdr>
        <w:top w:val="none" w:sz="0" w:space="0" w:color="auto"/>
        <w:left w:val="none" w:sz="0" w:space="0" w:color="auto"/>
        <w:bottom w:val="none" w:sz="0" w:space="0" w:color="auto"/>
        <w:right w:val="none" w:sz="0" w:space="0" w:color="auto"/>
      </w:divBdr>
      <w:divsChild>
        <w:div w:id="80034256">
          <w:marLeft w:val="0"/>
          <w:marRight w:val="0"/>
          <w:marTop w:val="0"/>
          <w:marBottom w:val="0"/>
          <w:divBdr>
            <w:top w:val="none" w:sz="0" w:space="0" w:color="auto"/>
            <w:left w:val="none" w:sz="0" w:space="0" w:color="auto"/>
            <w:bottom w:val="none" w:sz="0" w:space="0" w:color="auto"/>
            <w:right w:val="none" w:sz="0" w:space="0" w:color="auto"/>
          </w:divBdr>
        </w:div>
        <w:div w:id="1595555384">
          <w:marLeft w:val="0"/>
          <w:marRight w:val="0"/>
          <w:marTop w:val="0"/>
          <w:marBottom w:val="0"/>
          <w:divBdr>
            <w:top w:val="none" w:sz="0" w:space="0" w:color="auto"/>
            <w:left w:val="none" w:sz="0" w:space="0" w:color="auto"/>
            <w:bottom w:val="none" w:sz="0" w:space="0" w:color="auto"/>
            <w:right w:val="none" w:sz="0" w:space="0" w:color="auto"/>
          </w:divBdr>
          <w:divsChild>
            <w:div w:id="323441085">
              <w:marLeft w:val="0"/>
              <w:marRight w:val="0"/>
              <w:marTop w:val="0"/>
              <w:marBottom w:val="0"/>
              <w:divBdr>
                <w:top w:val="none" w:sz="0" w:space="0" w:color="auto"/>
                <w:left w:val="none" w:sz="0" w:space="0" w:color="auto"/>
                <w:bottom w:val="none" w:sz="0" w:space="0" w:color="auto"/>
                <w:right w:val="none" w:sz="0" w:space="0" w:color="auto"/>
              </w:divBdr>
              <w:divsChild>
                <w:div w:id="1566262731">
                  <w:marLeft w:val="0"/>
                  <w:marRight w:val="0"/>
                  <w:marTop w:val="0"/>
                  <w:marBottom w:val="0"/>
                  <w:divBdr>
                    <w:top w:val="none" w:sz="0" w:space="0" w:color="auto"/>
                    <w:left w:val="none" w:sz="0" w:space="0" w:color="auto"/>
                    <w:bottom w:val="none" w:sz="0" w:space="0" w:color="auto"/>
                    <w:right w:val="none" w:sz="0" w:space="0" w:color="auto"/>
                  </w:divBdr>
                  <w:divsChild>
                    <w:div w:id="2077046517">
                      <w:marLeft w:val="0"/>
                      <w:marRight w:val="0"/>
                      <w:marTop w:val="0"/>
                      <w:marBottom w:val="0"/>
                      <w:divBdr>
                        <w:top w:val="none" w:sz="0" w:space="0" w:color="auto"/>
                        <w:left w:val="none" w:sz="0" w:space="0" w:color="auto"/>
                        <w:bottom w:val="none" w:sz="0" w:space="0" w:color="auto"/>
                        <w:right w:val="none" w:sz="0" w:space="0" w:color="auto"/>
                      </w:divBdr>
                      <w:divsChild>
                        <w:div w:id="2046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290560">
          <w:marLeft w:val="0"/>
          <w:marRight w:val="0"/>
          <w:marTop w:val="0"/>
          <w:marBottom w:val="0"/>
          <w:divBdr>
            <w:top w:val="none" w:sz="0" w:space="0" w:color="auto"/>
            <w:left w:val="none" w:sz="0" w:space="0" w:color="auto"/>
            <w:bottom w:val="none" w:sz="0" w:space="0" w:color="auto"/>
            <w:right w:val="none" w:sz="0" w:space="0" w:color="auto"/>
          </w:divBdr>
          <w:divsChild>
            <w:div w:id="447091586">
              <w:marLeft w:val="-225"/>
              <w:marRight w:val="-225"/>
              <w:marTop w:val="0"/>
              <w:marBottom w:val="0"/>
              <w:divBdr>
                <w:top w:val="none" w:sz="0" w:space="0" w:color="auto"/>
                <w:left w:val="none" w:sz="0" w:space="0" w:color="auto"/>
                <w:bottom w:val="none" w:sz="0" w:space="0" w:color="auto"/>
                <w:right w:val="none" w:sz="0" w:space="0" w:color="auto"/>
              </w:divBdr>
              <w:divsChild>
                <w:div w:id="2140217644">
                  <w:marLeft w:val="0"/>
                  <w:marRight w:val="0"/>
                  <w:marTop w:val="0"/>
                  <w:marBottom w:val="0"/>
                  <w:divBdr>
                    <w:top w:val="none" w:sz="0" w:space="0" w:color="auto"/>
                    <w:left w:val="none" w:sz="0" w:space="0" w:color="auto"/>
                    <w:bottom w:val="none" w:sz="0" w:space="0" w:color="auto"/>
                    <w:right w:val="none" w:sz="0" w:space="0" w:color="auto"/>
                  </w:divBdr>
                  <w:divsChild>
                    <w:div w:id="14079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5999">
          <w:marLeft w:val="0"/>
          <w:marRight w:val="0"/>
          <w:marTop w:val="0"/>
          <w:marBottom w:val="0"/>
          <w:divBdr>
            <w:top w:val="none" w:sz="0" w:space="0" w:color="auto"/>
            <w:left w:val="none" w:sz="0" w:space="0" w:color="auto"/>
            <w:bottom w:val="none" w:sz="0" w:space="0" w:color="auto"/>
            <w:right w:val="none" w:sz="0" w:space="0" w:color="auto"/>
          </w:divBdr>
          <w:divsChild>
            <w:div w:id="692070312">
              <w:marLeft w:val="-225"/>
              <w:marRight w:val="-225"/>
              <w:marTop w:val="0"/>
              <w:marBottom w:val="0"/>
              <w:divBdr>
                <w:top w:val="none" w:sz="0" w:space="0" w:color="auto"/>
                <w:left w:val="none" w:sz="0" w:space="0" w:color="auto"/>
                <w:bottom w:val="none" w:sz="0" w:space="0" w:color="auto"/>
                <w:right w:val="none" w:sz="0" w:space="0" w:color="auto"/>
              </w:divBdr>
              <w:divsChild>
                <w:div w:id="467434082">
                  <w:marLeft w:val="0"/>
                  <w:marRight w:val="0"/>
                  <w:marTop w:val="0"/>
                  <w:marBottom w:val="0"/>
                  <w:divBdr>
                    <w:top w:val="none" w:sz="0" w:space="0" w:color="auto"/>
                    <w:left w:val="none" w:sz="0" w:space="0" w:color="auto"/>
                    <w:bottom w:val="none" w:sz="0" w:space="0" w:color="auto"/>
                    <w:right w:val="none" w:sz="0" w:space="0" w:color="auto"/>
                  </w:divBdr>
                  <w:divsChild>
                    <w:div w:id="19489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92061">
      <w:bodyDiv w:val="1"/>
      <w:marLeft w:val="0"/>
      <w:marRight w:val="0"/>
      <w:marTop w:val="0"/>
      <w:marBottom w:val="0"/>
      <w:divBdr>
        <w:top w:val="none" w:sz="0" w:space="0" w:color="auto"/>
        <w:left w:val="none" w:sz="0" w:space="0" w:color="auto"/>
        <w:bottom w:val="none" w:sz="0" w:space="0" w:color="auto"/>
        <w:right w:val="none" w:sz="0" w:space="0" w:color="auto"/>
      </w:divBdr>
    </w:div>
    <w:div w:id="1487895654">
      <w:bodyDiv w:val="1"/>
      <w:marLeft w:val="0"/>
      <w:marRight w:val="0"/>
      <w:marTop w:val="0"/>
      <w:marBottom w:val="0"/>
      <w:divBdr>
        <w:top w:val="none" w:sz="0" w:space="0" w:color="auto"/>
        <w:left w:val="none" w:sz="0" w:space="0" w:color="auto"/>
        <w:bottom w:val="none" w:sz="0" w:space="0" w:color="auto"/>
        <w:right w:val="none" w:sz="0" w:space="0" w:color="auto"/>
      </w:divBdr>
    </w:div>
    <w:div w:id="1488479502">
      <w:bodyDiv w:val="1"/>
      <w:marLeft w:val="0"/>
      <w:marRight w:val="0"/>
      <w:marTop w:val="0"/>
      <w:marBottom w:val="0"/>
      <w:divBdr>
        <w:top w:val="none" w:sz="0" w:space="0" w:color="auto"/>
        <w:left w:val="none" w:sz="0" w:space="0" w:color="auto"/>
        <w:bottom w:val="none" w:sz="0" w:space="0" w:color="auto"/>
        <w:right w:val="none" w:sz="0" w:space="0" w:color="auto"/>
      </w:divBdr>
    </w:div>
    <w:div w:id="1489713666">
      <w:bodyDiv w:val="1"/>
      <w:marLeft w:val="0"/>
      <w:marRight w:val="0"/>
      <w:marTop w:val="0"/>
      <w:marBottom w:val="0"/>
      <w:divBdr>
        <w:top w:val="none" w:sz="0" w:space="0" w:color="auto"/>
        <w:left w:val="none" w:sz="0" w:space="0" w:color="auto"/>
        <w:bottom w:val="none" w:sz="0" w:space="0" w:color="auto"/>
        <w:right w:val="none" w:sz="0" w:space="0" w:color="auto"/>
      </w:divBdr>
    </w:div>
    <w:div w:id="1491557406">
      <w:bodyDiv w:val="1"/>
      <w:marLeft w:val="0"/>
      <w:marRight w:val="0"/>
      <w:marTop w:val="0"/>
      <w:marBottom w:val="0"/>
      <w:divBdr>
        <w:top w:val="none" w:sz="0" w:space="0" w:color="auto"/>
        <w:left w:val="none" w:sz="0" w:space="0" w:color="auto"/>
        <w:bottom w:val="none" w:sz="0" w:space="0" w:color="auto"/>
        <w:right w:val="none" w:sz="0" w:space="0" w:color="auto"/>
      </w:divBdr>
    </w:div>
    <w:div w:id="1496413899">
      <w:bodyDiv w:val="1"/>
      <w:marLeft w:val="0"/>
      <w:marRight w:val="0"/>
      <w:marTop w:val="0"/>
      <w:marBottom w:val="0"/>
      <w:divBdr>
        <w:top w:val="none" w:sz="0" w:space="0" w:color="auto"/>
        <w:left w:val="none" w:sz="0" w:space="0" w:color="auto"/>
        <w:bottom w:val="none" w:sz="0" w:space="0" w:color="auto"/>
        <w:right w:val="none" w:sz="0" w:space="0" w:color="auto"/>
      </w:divBdr>
      <w:divsChild>
        <w:div w:id="900673182">
          <w:marLeft w:val="0"/>
          <w:marRight w:val="0"/>
          <w:marTop w:val="0"/>
          <w:marBottom w:val="0"/>
          <w:divBdr>
            <w:top w:val="none" w:sz="0" w:space="0" w:color="auto"/>
            <w:left w:val="none" w:sz="0" w:space="0" w:color="auto"/>
            <w:bottom w:val="none" w:sz="0" w:space="0" w:color="auto"/>
            <w:right w:val="none" w:sz="0" w:space="0" w:color="auto"/>
          </w:divBdr>
        </w:div>
        <w:div w:id="1062365139">
          <w:marLeft w:val="0"/>
          <w:marRight w:val="0"/>
          <w:marTop w:val="0"/>
          <w:marBottom w:val="0"/>
          <w:divBdr>
            <w:top w:val="none" w:sz="0" w:space="0" w:color="auto"/>
            <w:left w:val="none" w:sz="0" w:space="0" w:color="auto"/>
            <w:bottom w:val="none" w:sz="0" w:space="0" w:color="auto"/>
            <w:right w:val="none" w:sz="0" w:space="0" w:color="auto"/>
          </w:divBdr>
          <w:divsChild>
            <w:div w:id="2054037458">
              <w:marLeft w:val="-225"/>
              <w:marRight w:val="-225"/>
              <w:marTop w:val="0"/>
              <w:marBottom w:val="0"/>
              <w:divBdr>
                <w:top w:val="none" w:sz="0" w:space="0" w:color="auto"/>
                <w:left w:val="none" w:sz="0" w:space="0" w:color="auto"/>
                <w:bottom w:val="none" w:sz="0" w:space="0" w:color="auto"/>
                <w:right w:val="none" w:sz="0" w:space="0" w:color="auto"/>
              </w:divBdr>
              <w:divsChild>
                <w:div w:id="347872288">
                  <w:marLeft w:val="0"/>
                  <w:marRight w:val="0"/>
                  <w:marTop w:val="0"/>
                  <w:marBottom w:val="0"/>
                  <w:divBdr>
                    <w:top w:val="none" w:sz="0" w:space="0" w:color="auto"/>
                    <w:left w:val="none" w:sz="0" w:space="0" w:color="auto"/>
                    <w:bottom w:val="none" w:sz="0" w:space="0" w:color="auto"/>
                    <w:right w:val="none" w:sz="0" w:space="0" w:color="auto"/>
                  </w:divBdr>
                  <w:divsChild>
                    <w:div w:id="53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97941">
          <w:marLeft w:val="0"/>
          <w:marRight w:val="0"/>
          <w:marTop w:val="0"/>
          <w:marBottom w:val="0"/>
          <w:divBdr>
            <w:top w:val="none" w:sz="0" w:space="0" w:color="auto"/>
            <w:left w:val="none" w:sz="0" w:space="0" w:color="auto"/>
            <w:bottom w:val="none" w:sz="0" w:space="0" w:color="auto"/>
            <w:right w:val="none" w:sz="0" w:space="0" w:color="auto"/>
          </w:divBdr>
          <w:divsChild>
            <w:div w:id="1401711292">
              <w:marLeft w:val="-225"/>
              <w:marRight w:val="-225"/>
              <w:marTop w:val="0"/>
              <w:marBottom w:val="0"/>
              <w:divBdr>
                <w:top w:val="none" w:sz="0" w:space="0" w:color="auto"/>
                <w:left w:val="none" w:sz="0" w:space="0" w:color="auto"/>
                <w:bottom w:val="none" w:sz="0" w:space="0" w:color="auto"/>
                <w:right w:val="none" w:sz="0" w:space="0" w:color="auto"/>
              </w:divBdr>
              <w:divsChild>
                <w:div w:id="1190217271">
                  <w:marLeft w:val="0"/>
                  <w:marRight w:val="0"/>
                  <w:marTop w:val="0"/>
                  <w:marBottom w:val="0"/>
                  <w:divBdr>
                    <w:top w:val="none" w:sz="0" w:space="0" w:color="auto"/>
                    <w:left w:val="none" w:sz="0" w:space="0" w:color="auto"/>
                    <w:bottom w:val="none" w:sz="0" w:space="0" w:color="auto"/>
                    <w:right w:val="none" w:sz="0" w:space="0" w:color="auto"/>
                  </w:divBdr>
                  <w:divsChild>
                    <w:div w:id="5927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35893">
      <w:bodyDiv w:val="1"/>
      <w:marLeft w:val="0"/>
      <w:marRight w:val="0"/>
      <w:marTop w:val="0"/>
      <w:marBottom w:val="0"/>
      <w:divBdr>
        <w:top w:val="none" w:sz="0" w:space="0" w:color="auto"/>
        <w:left w:val="none" w:sz="0" w:space="0" w:color="auto"/>
        <w:bottom w:val="none" w:sz="0" w:space="0" w:color="auto"/>
        <w:right w:val="none" w:sz="0" w:space="0" w:color="auto"/>
      </w:divBdr>
      <w:divsChild>
        <w:div w:id="1149056150">
          <w:marLeft w:val="0"/>
          <w:marRight w:val="0"/>
          <w:marTop w:val="0"/>
          <w:marBottom w:val="0"/>
          <w:divBdr>
            <w:top w:val="none" w:sz="0" w:space="0" w:color="auto"/>
            <w:left w:val="none" w:sz="0" w:space="0" w:color="auto"/>
            <w:bottom w:val="none" w:sz="0" w:space="0" w:color="auto"/>
            <w:right w:val="none" w:sz="0" w:space="0" w:color="auto"/>
          </w:divBdr>
        </w:div>
        <w:div w:id="1296837998">
          <w:marLeft w:val="0"/>
          <w:marRight w:val="0"/>
          <w:marTop w:val="0"/>
          <w:marBottom w:val="0"/>
          <w:divBdr>
            <w:top w:val="none" w:sz="0" w:space="0" w:color="auto"/>
            <w:left w:val="none" w:sz="0" w:space="0" w:color="auto"/>
            <w:bottom w:val="none" w:sz="0" w:space="0" w:color="auto"/>
            <w:right w:val="none" w:sz="0" w:space="0" w:color="auto"/>
          </w:divBdr>
          <w:divsChild>
            <w:div w:id="760299890">
              <w:marLeft w:val="-225"/>
              <w:marRight w:val="-225"/>
              <w:marTop w:val="0"/>
              <w:marBottom w:val="0"/>
              <w:divBdr>
                <w:top w:val="none" w:sz="0" w:space="0" w:color="auto"/>
                <w:left w:val="none" w:sz="0" w:space="0" w:color="auto"/>
                <w:bottom w:val="none" w:sz="0" w:space="0" w:color="auto"/>
                <w:right w:val="none" w:sz="0" w:space="0" w:color="auto"/>
              </w:divBdr>
              <w:divsChild>
                <w:div w:id="193346005">
                  <w:marLeft w:val="0"/>
                  <w:marRight w:val="0"/>
                  <w:marTop w:val="0"/>
                  <w:marBottom w:val="0"/>
                  <w:divBdr>
                    <w:top w:val="none" w:sz="0" w:space="0" w:color="auto"/>
                    <w:left w:val="none" w:sz="0" w:space="0" w:color="auto"/>
                    <w:bottom w:val="none" w:sz="0" w:space="0" w:color="auto"/>
                    <w:right w:val="none" w:sz="0" w:space="0" w:color="auto"/>
                  </w:divBdr>
                  <w:divsChild>
                    <w:div w:id="133109088">
                      <w:marLeft w:val="0"/>
                      <w:marRight w:val="0"/>
                      <w:marTop w:val="0"/>
                      <w:marBottom w:val="0"/>
                      <w:divBdr>
                        <w:top w:val="none" w:sz="0" w:space="0" w:color="auto"/>
                        <w:left w:val="none" w:sz="0" w:space="0" w:color="auto"/>
                        <w:bottom w:val="none" w:sz="0" w:space="0" w:color="auto"/>
                        <w:right w:val="none" w:sz="0" w:space="0" w:color="auto"/>
                      </w:divBdr>
                      <w:divsChild>
                        <w:div w:id="1005592775">
                          <w:marLeft w:val="0"/>
                          <w:marRight w:val="0"/>
                          <w:marTop w:val="0"/>
                          <w:marBottom w:val="0"/>
                          <w:divBdr>
                            <w:top w:val="none" w:sz="0" w:space="0" w:color="auto"/>
                            <w:left w:val="none" w:sz="0" w:space="0" w:color="auto"/>
                            <w:bottom w:val="none" w:sz="0" w:space="0" w:color="auto"/>
                            <w:right w:val="none" w:sz="0" w:space="0" w:color="auto"/>
                          </w:divBdr>
                          <w:divsChild>
                            <w:div w:id="1473861322">
                              <w:marLeft w:val="0"/>
                              <w:marRight w:val="0"/>
                              <w:marTop w:val="0"/>
                              <w:marBottom w:val="0"/>
                              <w:divBdr>
                                <w:top w:val="none" w:sz="0" w:space="0" w:color="auto"/>
                                <w:left w:val="none" w:sz="0" w:space="0" w:color="auto"/>
                                <w:bottom w:val="none" w:sz="0" w:space="0" w:color="auto"/>
                                <w:right w:val="none" w:sz="0" w:space="0" w:color="auto"/>
                              </w:divBdr>
                              <w:divsChild>
                                <w:div w:id="1198474107">
                                  <w:marLeft w:val="-225"/>
                                  <w:marRight w:val="-225"/>
                                  <w:marTop w:val="0"/>
                                  <w:marBottom w:val="0"/>
                                  <w:divBdr>
                                    <w:top w:val="none" w:sz="0" w:space="0" w:color="auto"/>
                                    <w:left w:val="none" w:sz="0" w:space="0" w:color="auto"/>
                                    <w:bottom w:val="none" w:sz="0" w:space="0" w:color="auto"/>
                                    <w:right w:val="none" w:sz="0" w:space="0" w:color="auto"/>
                                  </w:divBdr>
                                  <w:divsChild>
                                    <w:div w:id="125201690">
                                      <w:marLeft w:val="0"/>
                                      <w:marRight w:val="0"/>
                                      <w:marTop w:val="0"/>
                                      <w:marBottom w:val="0"/>
                                      <w:divBdr>
                                        <w:top w:val="none" w:sz="0" w:space="0" w:color="auto"/>
                                        <w:left w:val="none" w:sz="0" w:space="0" w:color="auto"/>
                                        <w:bottom w:val="none" w:sz="0" w:space="0" w:color="auto"/>
                                        <w:right w:val="none" w:sz="0" w:space="0" w:color="auto"/>
                                      </w:divBdr>
                                    </w:div>
                                    <w:div w:id="177893250">
                                      <w:marLeft w:val="0"/>
                                      <w:marRight w:val="0"/>
                                      <w:marTop w:val="0"/>
                                      <w:marBottom w:val="0"/>
                                      <w:divBdr>
                                        <w:top w:val="none" w:sz="0" w:space="0" w:color="auto"/>
                                        <w:left w:val="none" w:sz="0" w:space="0" w:color="auto"/>
                                        <w:bottom w:val="none" w:sz="0" w:space="0" w:color="auto"/>
                                        <w:right w:val="none" w:sz="0" w:space="0" w:color="auto"/>
                                      </w:divBdr>
                                    </w:div>
                                    <w:div w:id="433747577">
                                      <w:marLeft w:val="0"/>
                                      <w:marRight w:val="0"/>
                                      <w:marTop w:val="0"/>
                                      <w:marBottom w:val="0"/>
                                      <w:divBdr>
                                        <w:top w:val="none" w:sz="0" w:space="0" w:color="auto"/>
                                        <w:left w:val="none" w:sz="0" w:space="0" w:color="auto"/>
                                        <w:bottom w:val="none" w:sz="0" w:space="0" w:color="auto"/>
                                        <w:right w:val="none" w:sz="0" w:space="0" w:color="auto"/>
                                      </w:divBdr>
                                    </w:div>
                                    <w:div w:id="9018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5632">
                              <w:marLeft w:val="0"/>
                              <w:marRight w:val="0"/>
                              <w:marTop w:val="0"/>
                              <w:marBottom w:val="0"/>
                              <w:divBdr>
                                <w:top w:val="none" w:sz="0" w:space="0" w:color="auto"/>
                                <w:left w:val="none" w:sz="0" w:space="0" w:color="auto"/>
                                <w:bottom w:val="none" w:sz="0" w:space="0" w:color="auto"/>
                                <w:right w:val="none" w:sz="0" w:space="0" w:color="auto"/>
                              </w:divBdr>
                              <w:divsChild>
                                <w:div w:id="520120558">
                                  <w:marLeft w:val="-225"/>
                                  <w:marRight w:val="-225"/>
                                  <w:marTop w:val="0"/>
                                  <w:marBottom w:val="0"/>
                                  <w:divBdr>
                                    <w:top w:val="none" w:sz="0" w:space="0" w:color="auto"/>
                                    <w:left w:val="none" w:sz="0" w:space="0" w:color="auto"/>
                                    <w:bottom w:val="single" w:sz="6" w:space="15" w:color="EBEEF5"/>
                                    <w:right w:val="none" w:sz="0" w:space="0" w:color="auto"/>
                                  </w:divBdr>
                                  <w:divsChild>
                                    <w:div w:id="306518528">
                                      <w:marLeft w:val="0"/>
                                      <w:marRight w:val="0"/>
                                      <w:marTop w:val="0"/>
                                      <w:marBottom w:val="0"/>
                                      <w:divBdr>
                                        <w:top w:val="none" w:sz="0" w:space="0" w:color="auto"/>
                                        <w:left w:val="none" w:sz="0" w:space="0" w:color="auto"/>
                                        <w:bottom w:val="none" w:sz="0" w:space="0" w:color="auto"/>
                                        <w:right w:val="none" w:sz="0" w:space="0" w:color="auto"/>
                                      </w:divBdr>
                                    </w:div>
                                    <w:div w:id="749738970">
                                      <w:marLeft w:val="0"/>
                                      <w:marRight w:val="0"/>
                                      <w:marTop w:val="0"/>
                                      <w:marBottom w:val="0"/>
                                      <w:divBdr>
                                        <w:top w:val="none" w:sz="0" w:space="0" w:color="auto"/>
                                        <w:left w:val="none" w:sz="0" w:space="0" w:color="auto"/>
                                        <w:bottom w:val="none" w:sz="0" w:space="0" w:color="auto"/>
                                        <w:right w:val="none" w:sz="0" w:space="0" w:color="auto"/>
                                      </w:divBdr>
                                    </w:div>
                                    <w:div w:id="1326477401">
                                      <w:marLeft w:val="0"/>
                                      <w:marRight w:val="0"/>
                                      <w:marTop w:val="0"/>
                                      <w:marBottom w:val="0"/>
                                      <w:divBdr>
                                        <w:top w:val="none" w:sz="0" w:space="0" w:color="auto"/>
                                        <w:left w:val="none" w:sz="0" w:space="0" w:color="auto"/>
                                        <w:bottom w:val="none" w:sz="0" w:space="0" w:color="auto"/>
                                        <w:right w:val="none" w:sz="0" w:space="0" w:color="auto"/>
                                      </w:divBdr>
                                    </w:div>
                                    <w:div w:id="1949241794">
                                      <w:marLeft w:val="0"/>
                                      <w:marRight w:val="0"/>
                                      <w:marTop w:val="0"/>
                                      <w:marBottom w:val="0"/>
                                      <w:divBdr>
                                        <w:top w:val="none" w:sz="0" w:space="0" w:color="auto"/>
                                        <w:left w:val="none" w:sz="0" w:space="0" w:color="auto"/>
                                        <w:bottom w:val="none" w:sz="0" w:space="0" w:color="auto"/>
                                        <w:right w:val="none" w:sz="0" w:space="0" w:color="auto"/>
                                      </w:divBdr>
                                    </w:div>
                                  </w:divsChild>
                                </w:div>
                                <w:div w:id="1592465896">
                                  <w:marLeft w:val="-225"/>
                                  <w:marRight w:val="-225"/>
                                  <w:marTop w:val="0"/>
                                  <w:marBottom w:val="0"/>
                                  <w:divBdr>
                                    <w:top w:val="none" w:sz="0" w:space="0" w:color="auto"/>
                                    <w:left w:val="none" w:sz="0" w:space="0" w:color="auto"/>
                                    <w:bottom w:val="single" w:sz="6" w:space="15" w:color="EBEEF5"/>
                                    <w:right w:val="none" w:sz="0" w:space="0" w:color="auto"/>
                                  </w:divBdr>
                                  <w:divsChild>
                                    <w:div w:id="5059959">
                                      <w:marLeft w:val="0"/>
                                      <w:marRight w:val="0"/>
                                      <w:marTop w:val="0"/>
                                      <w:marBottom w:val="0"/>
                                      <w:divBdr>
                                        <w:top w:val="none" w:sz="0" w:space="0" w:color="auto"/>
                                        <w:left w:val="none" w:sz="0" w:space="0" w:color="auto"/>
                                        <w:bottom w:val="none" w:sz="0" w:space="0" w:color="auto"/>
                                        <w:right w:val="none" w:sz="0" w:space="0" w:color="auto"/>
                                      </w:divBdr>
                                    </w:div>
                                    <w:div w:id="85661223">
                                      <w:marLeft w:val="0"/>
                                      <w:marRight w:val="0"/>
                                      <w:marTop w:val="0"/>
                                      <w:marBottom w:val="0"/>
                                      <w:divBdr>
                                        <w:top w:val="none" w:sz="0" w:space="0" w:color="auto"/>
                                        <w:left w:val="none" w:sz="0" w:space="0" w:color="auto"/>
                                        <w:bottom w:val="none" w:sz="0" w:space="0" w:color="auto"/>
                                        <w:right w:val="none" w:sz="0" w:space="0" w:color="auto"/>
                                      </w:divBdr>
                                    </w:div>
                                    <w:div w:id="457335234">
                                      <w:marLeft w:val="0"/>
                                      <w:marRight w:val="0"/>
                                      <w:marTop w:val="0"/>
                                      <w:marBottom w:val="0"/>
                                      <w:divBdr>
                                        <w:top w:val="none" w:sz="0" w:space="0" w:color="auto"/>
                                        <w:left w:val="none" w:sz="0" w:space="0" w:color="auto"/>
                                        <w:bottom w:val="none" w:sz="0" w:space="0" w:color="auto"/>
                                        <w:right w:val="none" w:sz="0" w:space="0" w:color="auto"/>
                                      </w:divBdr>
                                    </w:div>
                                    <w:div w:id="1949506945">
                                      <w:marLeft w:val="0"/>
                                      <w:marRight w:val="0"/>
                                      <w:marTop w:val="0"/>
                                      <w:marBottom w:val="0"/>
                                      <w:divBdr>
                                        <w:top w:val="none" w:sz="0" w:space="0" w:color="auto"/>
                                        <w:left w:val="none" w:sz="0" w:space="0" w:color="auto"/>
                                        <w:bottom w:val="none" w:sz="0" w:space="0" w:color="auto"/>
                                        <w:right w:val="none" w:sz="0" w:space="0" w:color="auto"/>
                                      </w:divBdr>
                                    </w:div>
                                  </w:divsChild>
                                </w:div>
                                <w:div w:id="1925912391">
                                  <w:marLeft w:val="-225"/>
                                  <w:marRight w:val="-225"/>
                                  <w:marTop w:val="0"/>
                                  <w:marBottom w:val="0"/>
                                  <w:divBdr>
                                    <w:top w:val="none" w:sz="0" w:space="0" w:color="auto"/>
                                    <w:left w:val="none" w:sz="0" w:space="0" w:color="auto"/>
                                    <w:bottom w:val="single" w:sz="6" w:space="15" w:color="EBEEF5"/>
                                    <w:right w:val="none" w:sz="0" w:space="0" w:color="auto"/>
                                  </w:divBdr>
                                  <w:divsChild>
                                    <w:div w:id="15078511">
                                      <w:marLeft w:val="0"/>
                                      <w:marRight w:val="0"/>
                                      <w:marTop w:val="0"/>
                                      <w:marBottom w:val="0"/>
                                      <w:divBdr>
                                        <w:top w:val="none" w:sz="0" w:space="0" w:color="auto"/>
                                        <w:left w:val="none" w:sz="0" w:space="0" w:color="auto"/>
                                        <w:bottom w:val="none" w:sz="0" w:space="0" w:color="auto"/>
                                        <w:right w:val="none" w:sz="0" w:space="0" w:color="auto"/>
                                      </w:divBdr>
                                    </w:div>
                                    <w:div w:id="1111584725">
                                      <w:marLeft w:val="0"/>
                                      <w:marRight w:val="0"/>
                                      <w:marTop w:val="0"/>
                                      <w:marBottom w:val="0"/>
                                      <w:divBdr>
                                        <w:top w:val="none" w:sz="0" w:space="0" w:color="auto"/>
                                        <w:left w:val="none" w:sz="0" w:space="0" w:color="auto"/>
                                        <w:bottom w:val="none" w:sz="0" w:space="0" w:color="auto"/>
                                        <w:right w:val="none" w:sz="0" w:space="0" w:color="auto"/>
                                      </w:divBdr>
                                    </w:div>
                                    <w:div w:id="1590506149">
                                      <w:marLeft w:val="0"/>
                                      <w:marRight w:val="0"/>
                                      <w:marTop w:val="0"/>
                                      <w:marBottom w:val="0"/>
                                      <w:divBdr>
                                        <w:top w:val="none" w:sz="0" w:space="0" w:color="auto"/>
                                        <w:left w:val="none" w:sz="0" w:space="0" w:color="auto"/>
                                        <w:bottom w:val="none" w:sz="0" w:space="0" w:color="auto"/>
                                        <w:right w:val="none" w:sz="0" w:space="0" w:color="auto"/>
                                      </w:divBdr>
                                    </w:div>
                                    <w:div w:id="1697585115">
                                      <w:marLeft w:val="0"/>
                                      <w:marRight w:val="0"/>
                                      <w:marTop w:val="0"/>
                                      <w:marBottom w:val="0"/>
                                      <w:divBdr>
                                        <w:top w:val="none" w:sz="0" w:space="0" w:color="auto"/>
                                        <w:left w:val="none" w:sz="0" w:space="0" w:color="auto"/>
                                        <w:bottom w:val="none" w:sz="0" w:space="0" w:color="auto"/>
                                        <w:right w:val="none" w:sz="0" w:space="0" w:color="auto"/>
                                      </w:divBdr>
                                    </w:div>
                                  </w:divsChild>
                                </w:div>
                                <w:div w:id="1954168409">
                                  <w:marLeft w:val="-225"/>
                                  <w:marRight w:val="-225"/>
                                  <w:marTop w:val="0"/>
                                  <w:marBottom w:val="0"/>
                                  <w:divBdr>
                                    <w:top w:val="none" w:sz="0" w:space="0" w:color="auto"/>
                                    <w:left w:val="none" w:sz="0" w:space="0" w:color="auto"/>
                                    <w:bottom w:val="single" w:sz="6" w:space="15" w:color="EBEEF5"/>
                                    <w:right w:val="none" w:sz="0" w:space="0" w:color="auto"/>
                                  </w:divBdr>
                                  <w:divsChild>
                                    <w:div w:id="53358936">
                                      <w:marLeft w:val="0"/>
                                      <w:marRight w:val="0"/>
                                      <w:marTop w:val="0"/>
                                      <w:marBottom w:val="0"/>
                                      <w:divBdr>
                                        <w:top w:val="none" w:sz="0" w:space="0" w:color="auto"/>
                                        <w:left w:val="none" w:sz="0" w:space="0" w:color="auto"/>
                                        <w:bottom w:val="none" w:sz="0" w:space="0" w:color="auto"/>
                                        <w:right w:val="none" w:sz="0" w:space="0" w:color="auto"/>
                                      </w:divBdr>
                                    </w:div>
                                    <w:div w:id="214389477">
                                      <w:marLeft w:val="0"/>
                                      <w:marRight w:val="0"/>
                                      <w:marTop w:val="0"/>
                                      <w:marBottom w:val="0"/>
                                      <w:divBdr>
                                        <w:top w:val="none" w:sz="0" w:space="0" w:color="auto"/>
                                        <w:left w:val="none" w:sz="0" w:space="0" w:color="auto"/>
                                        <w:bottom w:val="none" w:sz="0" w:space="0" w:color="auto"/>
                                        <w:right w:val="none" w:sz="0" w:space="0" w:color="auto"/>
                                      </w:divBdr>
                                    </w:div>
                                    <w:div w:id="568612569">
                                      <w:marLeft w:val="0"/>
                                      <w:marRight w:val="0"/>
                                      <w:marTop w:val="0"/>
                                      <w:marBottom w:val="0"/>
                                      <w:divBdr>
                                        <w:top w:val="none" w:sz="0" w:space="0" w:color="auto"/>
                                        <w:left w:val="none" w:sz="0" w:space="0" w:color="auto"/>
                                        <w:bottom w:val="none" w:sz="0" w:space="0" w:color="auto"/>
                                        <w:right w:val="none" w:sz="0" w:space="0" w:color="auto"/>
                                      </w:divBdr>
                                    </w:div>
                                    <w:div w:id="7782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559283">
          <w:marLeft w:val="0"/>
          <w:marRight w:val="0"/>
          <w:marTop w:val="0"/>
          <w:marBottom w:val="0"/>
          <w:divBdr>
            <w:top w:val="none" w:sz="0" w:space="0" w:color="auto"/>
            <w:left w:val="none" w:sz="0" w:space="0" w:color="auto"/>
            <w:bottom w:val="none" w:sz="0" w:space="0" w:color="auto"/>
            <w:right w:val="none" w:sz="0" w:space="0" w:color="auto"/>
          </w:divBdr>
          <w:divsChild>
            <w:div w:id="1869492647">
              <w:marLeft w:val="0"/>
              <w:marRight w:val="0"/>
              <w:marTop w:val="0"/>
              <w:marBottom w:val="0"/>
              <w:divBdr>
                <w:top w:val="none" w:sz="0" w:space="0" w:color="auto"/>
                <w:left w:val="none" w:sz="0" w:space="0" w:color="auto"/>
                <w:bottom w:val="none" w:sz="0" w:space="0" w:color="auto"/>
                <w:right w:val="none" w:sz="0" w:space="0" w:color="auto"/>
              </w:divBdr>
              <w:divsChild>
                <w:div w:id="687488321">
                  <w:marLeft w:val="0"/>
                  <w:marRight w:val="0"/>
                  <w:marTop w:val="0"/>
                  <w:marBottom w:val="0"/>
                  <w:divBdr>
                    <w:top w:val="none" w:sz="0" w:space="0" w:color="auto"/>
                    <w:left w:val="none" w:sz="0" w:space="0" w:color="auto"/>
                    <w:bottom w:val="none" w:sz="0" w:space="0" w:color="auto"/>
                    <w:right w:val="none" w:sz="0" w:space="0" w:color="auto"/>
                  </w:divBdr>
                  <w:divsChild>
                    <w:div w:id="1285844377">
                      <w:marLeft w:val="0"/>
                      <w:marRight w:val="0"/>
                      <w:marTop w:val="0"/>
                      <w:marBottom w:val="0"/>
                      <w:divBdr>
                        <w:top w:val="none" w:sz="0" w:space="0" w:color="auto"/>
                        <w:left w:val="none" w:sz="0" w:space="0" w:color="auto"/>
                        <w:bottom w:val="none" w:sz="0" w:space="0" w:color="auto"/>
                        <w:right w:val="none" w:sz="0" w:space="0" w:color="auto"/>
                      </w:divBdr>
                      <w:divsChild>
                        <w:div w:id="448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650067">
          <w:marLeft w:val="0"/>
          <w:marRight w:val="0"/>
          <w:marTop w:val="0"/>
          <w:marBottom w:val="0"/>
          <w:divBdr>
            <w:top w:val="none" w:sz="0" w:space="0" w:color="auto"/>
            <w:left w:val="none" w:sz="0" w:space="0" w:color="auto"/>
            <w:bottom w:val="none" w:sz="0" w:space="0" w:color="auto"/>
            <w:right w:val="none" w:sz="0" w:space="0" w:color="auto"/>
          </w:divBdr>
          <w:divsChild>
            <w:div w:id="1317413566">
              <w:marLeft w:val="-225"/>
              <w:marRight w:val="-225"/>
              <w:marTop w:val="0"/>
              <w:marBottom w:val="0"/>
              <w:divBdr>
                <w:top w:val="none" w:sz="0" w:space="0" w:color="auto"/>
                <w:left w:val="none" w:sz="0" w:space="0" w:color="auto"/>
                <w:bottom w:val="none" w:sz="0" w:space="0" w:color="auto"/>
                <w:right w:val="none" w:sz="0" w:space="0" w:color="auto"/>
              </w:divBdr>
              <w:divsChild>
                <w:div w:id="553976534">
                  <w:marLeft w:val="0"/>
                  <w:marRight w:val="0"/>
                  <w:marTop w:val="0"/>
                  <w:marBottom w:val="0"/>
                  <w:divBdr>
                    <w:top w:val="none" w:sz="0" w:space="0" w:color="auto"/>
                    <w:left w:val="none" w:sz="0" w:space="0" w:color="auto"/>
                    <w:bottom w:val="none" w:sz="0" w:space="0" w:color="auto"/>
                    <w:right w:val="none" w:sz="0" w:space="0" w:color="auto"/>
                  </w:divBdr>
                  <w:divsChild>
                    <w:div w:id="574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7989">
      <w:bodyDiv w:val="1"/>
      <w:marLeft w:val="0"/>
      <w:marRight w:val="0"/>
      <w:marTop w:val="0"/>
      <w:marBottom w:val="0"/>
      <w:divBdr>
        <w:top w:val="none" w:sz="0" w:space="0" w:color="auto"/>
        <w:left w:val="none" w:sz="0" w:space="0" w:color="auto"/>
        <w:bottom w:val="none" w:sz="0" w:space="0" w:color="auto"/>
        <w:right w:val="none" w:sz="0" w:space="0" w:color="auto"/>
      </w:divBdr>
    </w:div>
    <w:div w:id="1503811228">
      <w:bodyDiv w:val="1"/>
      <w:marLeft w:val="0"/>
      <w:marRight w:val="0"/>
      <w:marTop w:val="0"/>
      <w:marBottom w:val="0"/>
      <w:divBdr>
        <w:top w:val="none" w:sz="0" w:space="0" w:color="auto"/>
        <w:left w:val="none" w:sz="0" w:space="0" w:color="auto"/>
        <w:bottom w:val="none" w:sz="0" w:space="0" w:color="auto"/>
        <w:right w:val="none" w:sz="0" w:space="0" w:color="auto"/>
      </w:divBdr>
    </w:div>
    <w:div w:id="1504934992">
      <w:bodyDiv w:val="1"/>
      <w:marLeft w:val="0"/>
      <w:marRight w:val="0"/>
      <w:marTop w:val="0"/>
      <w:marBottom w:val="0"/>
      <w:divBdr>
        <w:top w:val="none" w:sz="0" w:space="0" w:color="auto"/>
        <w:left w:val="none" w:sz="0" w:space="0" w:color="auto"/>
        <w:bottom w:val="none" w:sz="0" w:space="0" w:color="auto"/>
        <w:right w:val="none" w:sz="0" w:space="0" w:color="auto"/>
      </w:divBdr>
    </w:div>
    <w:div w:id="1505508239">
      <w:bodyDiv w:val="1"/>
      <w:marLeft w:val="0"/>
      <w:marRight w:val="0"/>
      <w:marTop w:val="0"/>
      <w:marBottom w:val="0"/>
      <w:divBdr>
        <w:top w:val="none" w:sz="0" w:space="0" w:color="auto"/>
        <w:left w:val="none" w:sz="0" w:space="0" w:color="auto"/>
        <w:bottom w:val="none" w:sz="0" w:space="0" w:color="auto"/>
        <w:right w:val="none" w:sz="0" w:space="0" w:color="auto"/>
      </w:divBdr>
    </w:div>
    <w:div w:id="1507668862">
      <w:bodyDiv w:val="1"/>
      <w:marLeft w:val="0"/>
      <w:marRight w:val="0"/>
      <w:marTop w:val="0"/>
      <w:marBottom w:val="0"/>
      <w:divBdr>
        <w:top w:val="none" w:sz="0" w:space="0" w:color="auto"/>
        <w:left w:val="none" w:sz="0" w:space="0" w:color="auto"/>
        <w:bottom w:val="none" w:sz="0" w:space="0" w:color="auto"/>
        <w:right w:val="none" w:sz="0" w:space="0" w:color="auto"/>
      </w:divBdr>
    </w:div>
    <w:div w:id="1508904755">
      <w:bodyDiv w:val="1"/>
      <w:marLeft w:val="0"/>
      <w:marRight w:val="0"/>
      <w:marTop w:val="0"/>
      <w:marBottom w:val="0"/>
      <w:divBdr>
        <w:top w:val="none" w:sz="0" w:space="0" w:color="auto"/>
        <w:left w:val="none" w:sz="0" w:space="0" w:color="auto"/>
        <w:bottom w:val="none" w:sz="0" w:space="0" w:color="auto"/>
        <w:right w:val="none" w:sz="0" w:space="0" w:color="auto"/>
      </w:divBdr>
      <w:divsChild>
        <w:div w:id="46999171">
          <w:marLeft w:val="0"/>
          <w:marRight w:val="0"/>
          <w:marTop w:val="0"/>
          <w:marBottom w:val="0"/>
          <w:divBdr>
            <w:top w:val="none" w:sz="0" w:space="0" w:color="auto"/>
            <w:left w:val="none" w:sz="0" w:space="0" w:color="auto"/>
            <w:bottom w:val="none" w:sz="0" w:space="0" w:color="auto"/>
            <w:right w:val="none" w:sz="0" w:space="0" w:color="auto"/>
          </w:divBdr>
          <w:divsChild>
            <w:div w:id="752094679">
              <w:marLeft w:val="-225"/>
              <w:marRight w:val="-225"/>
              <w:marTop w:val="0"/>
              <w:marBottom w:val="0"/>
              <w:divBdr>
                <w:top w:val="none" w:sz="0" w:space="0" w:color="auto"/>
                <w:left w:val="none" w:sz="0" w:space="0" w:color="auto"/>
                <w:bottom w:val="none" w:sz="0" w:space="0" w:color="auto"/>
                <w:right w:val="none" w:sz="0" w:space="0" w:color="auto"/>
              </w:divBdr>
              <w:divsChild>
                <w:div w:id="694814635">
                  <w:marLeft w:val="0"/>
                  <w:marRight w:val="0"/>
                  <w:marTop w:val="0"/>
                  <w:marBottom w:val="0"/>
                  <w:divBdr>
                    <w:top w:val="none" w:sz="0" w:space="0" w:color="auto"/>
                    <w:left w:val="none" w:sz="0" w:space="0" w:color="auto"/>
                    <w:bottom w:val="none" w:sz="0" w:space="0" w:color="auto"/>
                    <w:right w:val="none" w:sz="0" w:space="0" w:color="auto"/>
                  </w:divBdr>
                  <w:divsChild>
                    <w:div w:id="7551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80755">
          <w:marLeft w:val="0"/>
          <w:marRight w:val="0"/>
          <w:marTop w:val="0"/>
          <w:marBottom w:val="0"/>
          <w:divBdr>
            <w:top w:val="none" w:sz="0" w:space="0" w:color="auto"/>
            <w:left w:val="none" w:sz="0" w:space="0" w:color="auto"/>
            <w:bottom w:val="none" w:sz="0" w:space="0" w:color="auto"/>
            <w:right w:val="none" w:sz="0" w:space="0" w:color="auto"/>
          </w:divBdr>
          <w:divsChild>
            <w:div w:id="1796559568">
              <w:marLeft w:val="0"/>
              <w:marRight w:val="0"/>
              <w:marTop w:val="0"/>
              <w:marBottom w:val="0"/>
              <w:divBdr>
                <w:top w:val="none" w:sz="0" w:space="0" w:color="auto"/>
                <w:left w:val="none" w:sz="0" w:space="0" w:color="auto"/>
                <w:bottom w:val="none" w:sz="0" w:space="0" w:color="auto"/>
                <w:right w:val="none" w:sz="0" w:space="0" w:color="auto"/>
              </w:divBdr>
              <w:divsChild>
                <w:div w:id="1014116885">
                  <w:marLeft w:val="0"/>
                  <w:marRight w:val="0"/>
                  <w:marTop w:val="0"/>
                  <w:marBottom w:val="0"/>
                  <w:divBdr>
                    <w:top w:val="none" w:sz="0" w:space="0" w:color="auto"/>
                    <w:left w:val="none" w:sz="0" w:space="0" w:color="auto"/>
                    <w:bottom w:val="none" w:sz="0" w:space="0" w:color="auto"/>
                    <w:right w:val="none" w:sz="0" w:space="0" w:color="auto"/>
                  </w:divBdr>
                  <w:divsChild>
                    <w:div w:id="1496339663">
                      <w:marLeft w:val="0"/>
                      <w:marRight w:val="0"/>
                      <w:marTop w:val="0"/>
                      <w:marBottom w:val="0"/>
                      <w:divBdr>
                        <w:top w:val="none" w:sz="0" w:space="0" w:color="auto"/>
                        <w:left w:val="none" w:sz="0" w:space="0" w:color="auto"/>
                        <w:bottom w:val="none" w:sz="0" w:space="0" w:color="auto"/>
                        <w:right w:val="none" w:sz="0" w:space="0" w:color="auto"/>
                      </w:divBdr>
                      <w:divsChild>
                        <w:div w:id="2573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92207">
          <w:marLeft w:val="0"/>
          <w:marRight w:val="0"/>
          <w:marTop w:val="0"/>
          <w:marBottom w:val="0"/>
          <w:divBdr>
            <w:top w:val="none" w:sz="0" w:space="0" w:color="auto"/>
            <w:left w:val="none" w:sz="0" w:space="0" w:color="auto"/>
            <w:bottom w:val="none" w:sz="0" w:space="0" w:color="auto"/>
            <w:right w:val="none" w:sz="0" w:space="0" w:color="auto"/>
          </w:divBdr>
          <w:divsChild>
            <w:div w:id="1429082351">
              <w:marLeft w:val="-225"/>
              <w:marRight w:val="-225"/>
              <w:marTop w:val="0"/>
              <w:marBottom w:val="0"/>
              <w:divBdr>
                <w:top w:val="none" w:sz="0" w:space="0" w:color="auto"/>
                <w:left w:val="none" w:sz="0" w:space="0" w:color="auto"/>
                <w:bottom w:val="none" w:sz="0" w:space="0" w:color="auto"/>
                <w:right w:val="none" w:sz="0" w:space="0" w:color="auto"/>
              </w:divBdr>
              <w:divsChild>
                <w:div w:id="272909606">
                  <w:marLeft w:val="0"/>
                  <w:marRight w:val="0"/>
                  <w:marTop w:val="0"/>
                  <w:marBottom w:val="0"/>
                  <w:divBdr>
                    <w:top w:val="none" w:sz="0" w:space="0" w:color="auto"/>
                    <w:left w:val="none" w:sz="0" w:space="0" w:color="auto"/>
                    <w:bottom w:val="none" w:sz="0" w:space="0" w:color="auto"/>
                    <w:right w:val="none" w:sz="0" w:space="0" w:color="auto"/>
                  </w:divBdr>
                  <w:divsChild>
                    <w:div w:id="8032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2324">
          <w:marLeft w:val="0"/>
          <w:marRight w:val="0"/>
          <w:marTop w:val="0"/>
          <w:marBottom w:val="0"/>
          <w:divBdr>
            <w:top w:val="none" w:sz="0" w:space="0" w:color="auto"/>
            <w:left w:val="none" w:sz="0" w:space="0" w:color="auto"/>
            <w:bottom w:val="none" w:sz="0" w:space="0" w:color="auto"/>
            <w:right w:val="none" w:sz="0" w:space="0" w:color="auto"/>
          </w:divBdr>
        </w:div>
      </w:divsChild>
    </w:div>
    <w:div w:id="1513186448">
      <w:bodyDiv w:val="1"/>
      <w:marLeft w:val="0"/>
      <w:marRight w:val="0"/>
      <w:marTop w:val="0"/>
      <w:marBottom w:val="0"/>
      <w:divBdr>
        <w:top w:val="none" w:sz="0" w:space="0" w:color="auto"/>
        <w:left w:val="none" w:sz="0" w:space="0" w:color="auto"/>
        <w:bottom w:val="none" w:sz="0" w:space="0" w:color="auto"/>
        <w:right w:val="none" w:sz="0" w:space="0" w:color="auto"/>
      </w:divBdr>
    </w:div>
    <w:div w:id="1515725458">
      <w:bodyDiv w:val="1"/>
      <w:marLeft w:val="0"/>
      <w:marRight w:val="0"/>
      <w:marTop w:val="0"/>
      <w:marBottom w:val="0"/>
      <w:divBdr>
        <w:top w:val="none" w:sz="0" w:space="0" w:color="auto"/>
        <w:left w:val="none" w:sz="0" w:space="0" w:color="auto"/>
        <w:bottom w:val="none" w:sz="0" w:space="0" w:color="auto"/>
        <w:right w:val="none" w:sz="0" w:space="0" w:color="auto"/>
      </w:divBdr>
    </w:div>
    <w:div w:id="1518737217">
      <w:bodyDiv w:val="1"/>
      <w:marLeft w:val="0"/>
      <w:marRight w:val="0"/>
      <w:marTop w:val="0"/>
      <w:marBottom w:val="0"/>
      <w:divBdr>
        <w:top w:val="none" w:sz="0" w:space="0" w:color="auto"/>
        <w:left w:val="none" w:sz="0" w:space="0" w:color="auto"/>
        <w:bottom w:val="none" w:sz="0" w:space="0" w:color="auto"/>
        <w:right w:val="none" w:sz="0" w:space="0" w:color="auto"/>
      </w:divBdr>
    </w:div>
    <w:div w:id="1519545175">
      <w:bodyDiv w:val="1"/>
      <w:marLeft w:val="0"/>
      <w:marRight w:val="0"/>
      <w:marTop w:val="0"/>
      <w:marBottom w:val="0"/>
      <w:divBdr>
        <w:top w:val="none" w:sz="0" w:space="0" w:color="auto"/>
        <w:left w:val="none" w:sz="0" w:space="0" w:color="auto"/>
        <w:bottom w:val="none" w:sz="0" w:space="0" w:color="auto"/>
        <w:right w:val="none" w:sz="0" w:space="0" w:color="auto"/>
      </w:divBdr>
      <w:divsChild>
        <w:div w:id="247539586">
          <w:marLeft w:val="0"/>
          <w:marRight w:val="0"/>
          <w:marTop w:val="0"/>
          <w:marBottom w:val="0"/>
          <w:divBdr>
            <w:top w:val="none" w:sz="0" w:space="0" w:color="auto"/>
            <w:left w:val="none" w:sz="0" w:space="0" w:color="auto"/>
            <w:bottom w:val="none" w:sz="0" w:space="0" w:color="auto"/>
            <w:right w:val="none" w:sz="0" w:space="0" w:color="auto"/>
          </w:divBdr>
          <w:divsChild>
            <w:div w:id="1891382833">
              <w:marLeft w:val="-225"/>
              <w:marRight w:val="-225"/>
              <w:marTop w:val="0"/>
              <w:marBottom w:val="0"/>
              <w:divBdr>
                <w:top w:val="none" w:sz="0" w:space="0" w:color="auto"/>
                <w:left w:val="none" w:sz="0" w:space="0" w:color="auto"/>
                <w:bottom w:val="none" w:sz="0" w:space="0" w:color="auto"/>
                <w:right w:val="none" w:sz="0" w:space="0" w:color="auto"/>
              </w:divBdr>
              <w:divsChild>
                <w:div w:id="1024090328">
                  <w:marLeft w:val="0"/>
                  <w:marRight w:val="0"/>
                  <w:marTop w:val="0"/>
                  <w:marBottom w:val="0"/>
                  <w:divBdr>
                    <w:top w:val="none" w:sz="0" w:space="0" w:color="auto"/>
                    <w:left w:val="none" w:sz="0" w:space="0" w:color="auto"/>
                    <w:bottom w:val="none" w:sz="0" w:space="0" w:color="auto"/>
                    <w:right w:val="none" w:sz="0" w:space="0" w:color="auto"/>
                  </w:divBdr>
                  <w:divsChild>
                    <w:div w:id="21433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4759">
          <w:marLeft w:val="0"/>
          <w:marRight w:val="0"/>
          <w:marTop w:val="0"/>
          <w:marBottom w:val="0"/>
          <w:divBdr>
            <w:top w:val="none" w:sz="0" w:space="0" w:color="auto"/>
            <w:left w:val="none" w:sz="0" w:space="0" w:color="auto"/>
            <w:bottom w:val="none" w:sz="0" w:space="0" w:color="auto"/>
            <w:right w:val="none" w:sz="0" w:space="0" w:color="auto"/>
          </w:divBdr>
          <w:divsChild>
            <w:div w:id="327827367">
              <w:marLeft w:val="-225"/>
              <w:marRight w:val="-225"/>
              <w:marTop w:val="0"/>
              <w:marBottom w:val="0"/>
              <w:divBdr>
                <w:top w:val="none" w:sz="0" w:space="0" w:color="auto"/>
                <w:left w:val="none" w:sz="0" w:space="0" w:color="auto"/>
                <w:bottom w:val="none" w:sz="0" w:space="0" w:color="auto"/>
                <w:right w:val="none" w:sz="0" w:space="0" w:color="auto"/>
              </w:divBdr>
              <w:divsChild>
                <w:div w:id="175849504">
                  <w:marLeft w:val="0"/>
                  <w:marRight w:val="0"/>
                  <w:marTop w:val="0"/>
                  <w:marBottom w:val="0"/>
                  <w:divBdr>
                    <w:top w:val="none" w:sz="0" w:space="0" w:color="auto"/>
                    <w:left w:val="none" w:sz="0" w:space="0" w:color="auto"/>
                    <w:bottom w:val="none" w:sz="0" w:space="0" w:color="auto"/>
                    <w:right w:val="none" w:sz="0" w:space="0" w:color="auto"/>
                  </w:divBdr>
                  <w:divsChild>
                    <w:div w:id="17024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70266">
          <w:marLeft w:val="0"/>
          <w:marRight w:val="0"/>
          <w:marTop w:val="0"/>
          <w:marBottom w:val="0"/>
          <w:divBdr>
            <w:top w:val="none" w:sz="0" w:space="0" w:color="auto"/>
            <w:left w:val="none" w:sz="0" w:space="0" w:color="auto"/>
            <w:bottom w:val="none" w:sz="0" w:space="0" w:color="auto"/>
            <w:right w:val="none" w:sz="0" w:space="0" w:color="auto"/>
          </w:divBdr>
          <w:divsChild>
            <w:div w:id="2087651109">
              <w:marLeft w:val="0"/>
              <w:marRight w:val="0"/>
              <w:marTop w:val="0"/>
              <w:marBottom w:val="0"/>
              <w:divBdr>
                <w:top w:val="none" w:sz="0" w:space="0" w:color="auto"/>
                <w:left w:val="none" w:sz="0" w:space="0" w:color="auto"/>
                <w:bottom w:val="none" w:sz="0" w:space="0" w:color="auto"/>
                <w:right w:val="none" w:sz="0" w:space="0" w:color="auto"/>
              </w:divBdr>
              <w:divsChild>
                <w:div w:id="775443081">
                  <w:marLeft w:val="0"/>
                  <w:marRight w:val="0"/>
                  <w:marTop w:val="0"/>
                  <w:marBottom w:val="0"/>
                  <w:divBdr>
                    <w:top w:val="none" w:sz="0" w:space="0" w:color="auto"/>
                    <w:left w:val="none" w:sz="0" w:space="0" w:color="auto"/>
                    <w:bottom w:val="none" w:sz="0" w:space="0" w:color="auto"/>
                    <w:right w:val="none" w:sz="0" w:space="0" w:color="auto"/>
                  </w:divBdr>
                  <w:divsChild>
                    <w:div w:id="1812552048">
                      <w:marLeft w:val="0"/>
                      <w:marRight w:val="0"/>
                      <w:marTop w:val="0"/>
                      <w:marBottom w:val="0"/>
                      <w:divBdr>
                        <w:top w:val="none" w:sz="0" w:space="0" w:color="auto"/>
                        <w:left w:val="none" w:sz="0" w:space="0" w:color="auto"/>
                        <w:bottom w:val="none" w:sz="0" w:space="0" w:color="auto"/>
                        <w:right w:val="none" w:sz="0" w:space="0" w:color="auto"/>
                      </w:divBdr>
                      <w:divsChild>
                        <w:div w:id="7778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16784">
          <w:marLeft w:val="0"/>
          <w:marRight w:val="0"/>
          <w:marTop w:val="0"/>
          <w:marBottom w:val="0"/>
          <w:divBdr>
            <w:top w:val="none" w:sz="0" w:space="0" w:color="auto"/>
            <w:left w:val="none" w:sz="0" w:space="0" w:color="auto"/>
            <w:bottom w:val="none" w:sz="0" w:space="0" w:color="auto"/>
            <w:right w:val="none" w:sz="0" w:space="0" w:color="auto"/>
          </w:divBdr>
        </w:div>
      </w:divsChild>
    </w:div>
    <w:div w:id="1519587443">
      <w:bodyDiv w:val="1"/>
      <w:marLeft w:val="0"/>
      <w:marRight w:val="0"/>
      <w:marTop w:val="0"/>
      <w:marBottom w:val="0"/>
      <w:divBdr>
        <w:top w:val="none" w:sz="0" w:space="0" w:color="auto"/>
        <w:left w:val="none" w:sz="0" w:space="0" w:color="auto"/>
        <w:bottom w:val="none" w:sz="0" w:space="0" w:color="auto"/>
        <w:right w:val="none" w:sz="0" w:space="0" w:color="auto"/>
      </w:divBdr>
    </w:div>
    <w:div w:id="152046350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225"/>
          <w:marRight w:val="-225"/>
          <w:marTop w:val="0"/>
          <w:marBottom w:val="0"/>
          <w:divBdr>
            <w:top w:val="none" w:sz="0" w:space="0" w:color="auto"/>
            <w:left w:val="none" w:sz="0" w:space="0" w:color="auto"/>
            <w:bottom w:val="none" w:sz="0" w:space="0" w:color="auto"/>
            <w:right w:val="none" w:sz="0" w:space="0" w:color="auto"/>
          </w:divBdr>
          <w:divsChild>
            <w:div w:id="678047224">
              <w:marLeft w:val="0"/>
              <w:marRight w:val="0"/>
              <w:marTop w:val="0"/>
              <w:marBottom w:val="0"/>
              <w:divBdr>
                <w:top w:val="none" w:sz="0" w:space="0" w:color="auto"/>
                <w:left w:val="none" w:sz="0" w:space="0" w:color="auto"/>
                <w:bottom w:val="none" w:sz="0" w:space="0" w:color="auto"/>
                <w:right w:val="none" w:sz="0" w:space="0" w:color="auto"/>
              </w:divBdr>
              <w:divsChild>
                <w:div w:id="6433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070">
      <w:bodyDiv w:val="1"/>
      <w:marLeft w:val="0"/>
      <w:marRight w:val="0"/>
      <w:marTop w:val="0"/>
      <w:marBottom w:val="0"/>
      <w:divBdr>
        <w:top w:val="none" w:sz="0" w:space="0" w:color="auto"/>
        <w:left w:val="none" w:sz="0" w:space="0" w:color="auto"/>
        <w:bottom w:val="none" w:sz="0" w:space="0" w:color="auto"/>
        <w:right w:val="none" w:sz="0" w:space="0" w:color="auto"/>
      </w:divBdr>
    </w:div>
    <w:div w:id="1525947128">
      <w:bodyDiv w:val="1"/>
      <w:marLeft w:val="0"/>
      <w:marRight w:val="0"/>
      <w:marTop w:val="0"/>
      <w:marBottom w:val="0"/>
      <w:divBdr>
        <w:top w:val="none" w:sz="0" w:space="0" w:color="auto"/>
        <w:left w:val="none" w:sz="0" w:space="0" w:color="auto"/>
        <w:bottom w:val="none" w:sz="0" w:space="0" w:color="auto"/>
        <w:right w:val="none" w:sz="0" w:space="0" w:color="auto"/>
      </w:divBdr>
    </w:div>
    <w:div w:id="1528517723">
      <w:bodyDiv w:val="1"/>
      <w:marLeft w:val="0"/>
      <w:marRight w:val="0"/>
      <w:marTop w:val="0"/>
      <w:marBottom w:val="0"/>
      <w:divBdr>
        <w:top w:val="none" w:sz="0" w:space="0" w:color="auto"/>
        <w:left w:val="none" w:sz="0" w:space="0" w:color="auto"/>
        <w:bottom w:val="none" w:sz="0" w:space="0" w:color="auto"/>
        <w:right w:val="none" w:sz="0" w:space="0" w:color="auto"/>
      </w:divBdr>
    </w:div>
    <w:div w:id="1528642115">
      <w:bodyDiv w:val="1"/>
      <w:marLeft w:val="0"/>
      <w:marRight w:val="0"/>
      <w:marTop w:val="0"/>
      <w:marBottom w:val="0"/>
      <w:divBdr>
        <w:top w:val="none" w:sz="0" w:space="0" w:color="auto"/>
        <w:left w:val="none" w:sz="0" w:space="0" w:color="auto"/>
        <w:bottom w:val="none" w:sz="0" w:space="0" w:color="auto"/>
        <w:right w:val="none" w:sz="0" w:space="0" w:color="auto"/>
      </w:divBdr>
    </w:div>
    <w:div w:id="1530680875">
      <w:bodyDiv w:val="1"/>
      <w:marLeft w:val="0"/>
      <w:marRight w:val="0"/>
      <w:marTop w:val="0"/>
      <w:marBottom w:val="0"/>
      <w:divBdr>
        <w:top w:val="none" w:sz="0" w:space="0" w:color="auto"/>
        <w:left w:val="none" w:sz="0" w:space="0" w:color="auto"/>
        <w:bottom w:val="none" w:sz="0" w:space="0" w:color="auto"/>
        <w:right w:val="none" w:sz="0" w:space="0" w:color="auto"/>
      </w:divBdr>
    </w:div>
    <w:div w:id="1532189565">
      <w:bodyDiv w:val="1"/>
      <w:marLeft w:val="0"/>
      <w:marRight w:val="0"/>
      <w:marTop w:val="0"/>
      <w:marBottom w:val="0"/>
      <w:divBdr>
        <w:top w:val="none" w:sz="0" w:space="0" w:color="auto"/>
        <w:left w:val="none" w:sz="0" w:space="0" w:color="auto"/>
        <w:bottom w:val="none" w:sz="0" w:space="0" w:color="auto"/>
        <w:right w:val="none" w:sz="0" w:space="0" w:color="auto"/>
      </w:divBdr>
    </w:div>
    <w:div w:id="1534264400">
      <w:bodyDiv w:val="1"/>
      <w:marLeft w:val="0"/>
      <w:marRight w:val="0"/>
      <w:marTop w:val="0"/>
      <w:marBottom w:val="0"/>
      <w:divBdr>
        <w:top w:val="none" w:sz="0" w:space="0" w:color="auto"/>
        <w:left w:val="none" w:sz="0" w:space="0" w:color="auto"/>
        <w:bottom w:val="none" w:sz="0" w:space="0" w:color="auto"/>
        <w:right w:val="none" w:sz="0" w:space="0" w:color="auto"/>
      </w:divBdr>
    </w:div>
    <w:div w:id="1536692562">
      <w:bodyDiv w:val="1"/>
      <w:marLeft w:val="0"/>
      <w:marRight w:val="0"/>
      <w:marTop w:val="0"/>
      <w:marBottom w:val="0"/>
      <w:divBdr>
        <w:top w:val="none" w:sz="0" w:space="0" w:color="auto"/>
        <w:left w:val="none" w:sz="0" w:space="0" w:color="auto"/>
        <w:bottom w:val="none" w:sz="0" w:space="0" w:color="auto"/>
        <w:right w:val="none" w:sz="0" w:space="0" w:color="auto"/>
      </w:divBdr>
    </w:div>
    <w:div w:id="1537616755">
      <w:bodyDiv w:val="1"/>
      <w:marLeft w:val="0"/>
      <w:marRight w:val="0"/>
      <w:marTop w:val="0"/>
      <w:marBottom w:val="0"/>
      <w:divBdr>
        <w:top w:val="none" w:sz="0" w:space="0" w:color="auto"/>
        <w:left w:val="none" w:sz="0" w:space="0" w:color="auto"/>
        <w:bottom w:val="none" w:sz="0" w:space="0" w:color="auto"/>
        <w:right w:val="none" w:sz="0" w:space="0" w:color="auto"/>
      </w:divBdr>
      <w:divsChild>
        <w:div w:id="243078547">
          <w:marLeft w:val="0"/>
          <w:marRight w:val="0"/>
          <w:marTop w:val="0"/>
          <w:marBottom w:val="0"/>
          <w:divBdr>
            <w:top w:val="none" w:sz="0" w:space="0" w:color="auto"/>
            <w:left w:val="none" w:sz="0" w:space="0" w:color="auto"/>
            <w:bottom w:val="none" w:sz="0" w:space="0" w:color="auto"/>
            <w:right w:val="none" w:sz="0" w:space="0" w:color="auto"/>
          </w:divBdr>
          <w:divsChild>
            <w:div w:id="372970604">
              <w:marLeft w:val="-225"/>
              <w:marRight w:val="-225"/>
              <w:marTop w:val="0"/>
              <w:marBottom w:val="0"/>
              <w:divBdr>
                <w:top w:val="none" w:sz="0" w:space="0" w:color="auto"/>
                <w:left w:val="none" w:sz="0" w:space="0" w:color="auto"/>
                <w:bottom w:val="none" w:sz="0" w:space="0" w:color="auto"/>
                <w:right w:val="none" w:sz="0" w:space="0" w:color="auto"/>
              </w:divBdr>
              <w:divsChild>
                <w:div w:id="1998336090">
                  <w:marLeft w:val="0"/>
                  <w:marRight w:val="0"/>
                  <w:marTop w:val="0"/>
                  <w:marBottom w:val="0"/>
                  <w:divBdr>
                    <w:top w:val="none" w:sz="0" w:space="0" w:color="auto"/>
                    <w:left w:val="none" w:sz="0" w:space="0" w:color="auto"/>
                    <w:bottom w:val="none" w:sz="0" w:space="0" w:color="auto"/>
                    <w:right w:val="none" w:sz="0" w:space="0" w:color="auto"/>
                  </w:divBdr>
                  <w:divsChild>
                    <w:div w:id="5240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6321">
          <w:marLeft w:val="0"/>
          <w:marRight w:val="0"/>
          <w:marTop w:val="0"/>
          <w:marBottom w:val="0"/>
          <w:divBdr>
            <w:top w:val="none" w:sz="0" w:space="0" w:color="auto"/>
            <w:left w:val="none" w:sz="0" w:space="0" w:color="auto"/>
            <w:bottom w:val="none" w:sz="0" w:space="0" w:color="auto"/>
            <w:right w:val="none" w:sz="0" w:space="0" w:color="auto"/>
          </w:divBdr>
          <w:divsChild>
            <w:div w:id="1452702760">
              <w:marLeft w:val="0"/>
              <w:marRight w:val="0"/>
              <w:marTop w:val="0"/>
              <w:marBottom w:val="0"/>
              <w:divBdr>
                <w:top w:val="none" w:sz="0" w:space="0" w:color="auto"/>
                <w:left w:val="none" w:sz="0" w:space="0" w:color="auto"/>
                <w:bottom w:val="none" w:sz="0" w:space="0" w:color="auto"/>
                <w:right w:val="none" w:sz="0" w:space="0" w:color="auto"/>
              </w:divBdr>
              <w:divsChild>
                <w:div w:id="1670252483">
                  <w:marLeft w:val="0"/>
                  <w:marRight w:val="0"/>
                  <w:marTop w:val="0"/>
                  <w:marBottom w:val="0"/>
                  <w:divBdr>
                    <w:top w:val="none" w:sz="0" w:space="0" w:color="auto"/>
                    <w:left w:val="none" w:sz="0" w:space="0" w:color="auto"/>
                    <w:bottom w:val="none" w:sz="0" w:space="0" w:color="auto"/>
                    <w:right w:val="none" w:sz="0" w:space="0" w:color="auto"/>
                  </w:divBdr>
                  <w:divsChild>
                    <w:div w:id="1738623240">
                      <w:marLeft w:val="0"/>
                      <w:marRight w:val="0"/>
                      <w:marTop w:val="0"/>
                      <w:marBottom w:val="0"/>
                      <w:divBdr>
                        <w:top w:val="none" w:sz="0" w:space="0" w:color="auto"/>
                        <w:left w:val="none" w:sz="0" w:space="0" w:color="auto"/>
                        <w:bottom w:val="none" w:sz="0" w:space="0" w:color="auto"/>
                        <w:right w:val="none" w:sz="0" w:space="0" w:color="auto"/>
                      </w:divBdr>
                      <w:divsChild>
                        <w:div w:id="978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668178">
          <w:marLeft w:val="0"/>
          <w:marRight w:val="0"/>
          <w:marTop w:val="0"/>
          <w:marBottom w:val="0"/>
          <w:divBdr>
            <w:top w:val="none" w:sz="0" w:space="0" w:color="auto"/>
            <w:left w:val="none" w:sz="0" w:space="0" w:color="auto"/>
            <w:bottom w:val="none" w:sz="0" w:space="0" w:color="auto"/>
            <w:right w:val="none" w:sz="0" w:space="0" w:color="auto"/>
          </w:divBdr>
        </w:div>
        <w:div w:id="1229076550">
          <w:marLeft w:val="0"/>
          <w:marRight w:val="0"/>
          <w:marTop w:val="0"/>
          <w:marBottom w:val="0"/>
          <w:divBdr>
            <w:top w:val="none" w:sz="0" w:space="0" w:color="auto"/>
            <w:left w:val="none" w:sz="0" w:space="0" w:color="auto"/>
            <w:bottom w:val="none" w:sz="0" w:space="0" w:color="auto"/>
            <w:right w:val="none" w:sz="0" w:space="0" w:color="auto"/>
          </w:divBdr>
          <w:divsChild>
            <w:div w:id="798719083">
              <w:marLeft w:val="-225"/>
              <w:marRight w:val="-225"/>
              <w:marTop w:val="0"/>
              <w:marBottom w:val="0"/>
              <w:divBdr>
                <w:top w:val="none" w:sz="0" w:space="0" w:color="auto"/>
                <w:left w:val="none" w:sz="0" w:space="0" w:color="auto"/>
                <w:bottom w:val="none" w:sz="0" w:space="0" w:color="auto"/>
                <w:right w:val="none" w:sz="0" w:space="0" w:color="auto"/>
              </w:divBdr>
              <w:divsChild>
                <w:div w:id="2089379852">
                  <w:marLeft w:val="0"/>
                  <w:marRight w:val="0"/>
                  <w:marTop w:val="0"/>
                  <w:marBottom w:val="0"/>
                  <w:divBdr>
                    <w:top w:val="none" w:sz="0" w:space="0" w:color="auto"/>
                    <w:left w:val="none" w:sz="0" w:space="0" w:color="auto"/>
                    <w:bottom w:val="none" w:sz="0" w:space="0" w:color="auto"/>
                    <w:right w:val="none" w:sz="0" w:space="0" w:color="auto"/>
                  </w:divBdr>
                  <w:divsChild>
                    <w:div w:id="5124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1587">
      <w:bodyDiv w:val="1"/>
      <w:marLeft w:val="0"/>
      <w:marRight w:val="0"/>
      <w:marTop w:val="0"/>
      <w:marBottom w:val="0"/>
      <w:divBdr>
        <w:top w:val="none" w:sz="0" w:space="0" w:color="auto"/>
        <w:left w:val="none" w:sz="0" w:space="0" w:color="auto"/>
        <w:bottom w:val="none" w:sz="0" w:space="0" w:color="auto"/>
        <w:right w:val="none" w:sz="0" w:space="0" w:color="auto"/>
      </w:divBdr>
    </w:div>
    <w:div w:id="1543715129">
      <w:bodyDiv w:val="1"/>
      <w:marLeft w:val="0"/>
      <w:marRight w:val="0"/>
      <w:marTop w:val="0"/>
      <w:marBottom w:val="0"/>
      <w:divBdr>
        <w:top w:val="none" w:sz="0" w:space="0" w:color="auto"/>
        <w:left w:val="none" w:sz="0" w:space="0" w:color="auto"/>
        <w:bottom w:val="none" w:sz="0" w:space="0" w:color="auto"/>
        <w:right w:val="none" w:sz="0" w:space="0" w:color="auto"/>
      </w:divBdr>
    </w:div>
    <w:div w:id="1545364314">
      <w:bodyDiv w:val="1"/>
      <w:marLeft w:val="0"/>
      <w:marRight w:val="0"/>
      <w:marTop w:val="0"/>
      <w:marBottom w:val="0"/>
      <w:divBdr>
        <w:top w:val="none" w:sz="0" w:space="0" w:color="auto"/>
        <w:left w:val="none" w:sz="0" w:space="0" w:color="auto"/>
        <w:bottom w:val="none" w:sz="0" w:space="0" w:color="auto"/>
        <w:right w:val="none" w:sz="0" w:space="0" w:color="auto"/>
      </w:divBdr>
    </w:div>
    <w:div w:id="1545950092">
      <w:bodyDiv w:val="1"/>
      <w:marLeft w:val="0"/>
      <w:marRight w:val="0"/>
      <w:marTop w:val="0"/>
      <w:marBottom w:val="0"/>
      <w:divBdr>
        <w:top w:val="none" w:sz="0" w:space="0" w:color="auto"/>
        <w:left w:val="none" w:sz="0" w:space="0" w:color="auto"/>
        <w:bottom w:val="none" w:sz="0" w:space="0" w:color="auto"/>
        <w:right w:val="none" w:sz="0" w:space="0" w:color="auto"/>
      </w:divBdr>
    </w:div>
    <w:div w:id="1547447987">
      <w:bodyDiv w:val="1"/>
      <w:marLeft w:val="0"/>
      <w:marRight w:val="0"/>
      <w:marTop w:val="0"/>
      <w:marBottom w:val="0"/>
      <w:divBdr>
        <w:top w:val="none" w:sz="0" w:space="0" w:color="auto"/>
        <w:left w:val="none" w:sz="0" w:space="0" w:color="auto"/>
        <w:bottom w:val="none" w:sz="0" w:space="0" w:color="auto"/>
        <w:right w:val="none" w:sz="0" w:space="0" w:color="auto"/>
      </w:divBdr>
    </w:div>
    <w:div w:id="1547720096">
      <w:bodyDiv w:val="1"/>
      <w:marLeft w:val="0"/>
      <w:marRight w:val="0"/>
      <w:marTop w:val="0"/>
      <w:marBottom w:val="0"/>
      <w:divBdr>
        <w:top w:val="none" w:sz="0" w:space="0" w:color="auto"/>
        <w:left w:val="none" w:sz="0" w:space="0" w:color="auto"/>
        <w:bottom w:val="none" w:sz="0" w:space="0" w:color="auto"/>
        <w:right w:val="none" w:sz="0" w:space="0" w:color="auto"/>
      </w:divBdr>
    </w:div>
    <w:div w:id="1550990623">
      <w:bodyDiv w:val="1"/>
      <w:marLeft w:val="0"/>
      <w:marRight w:val="0"/>
      <w:marTop w:val="0"/>
      <w:marBottom w:val="0"/>
      <w:divBdr>
        <w:top w:val="none" w:sz="0" w:space="0" w:color="auto"/>
        <w:left w:val="none" w:sz="0" w:space="0" w:color="auto"/>
        <w:bottom w:val="none" w:sz="0" w:space="0" w:color="auto"/>
        <w:right w:val="none" w:sz="0" w:space="0" w:color="auto"/>
      </w:divBdr>
      <w:divsChild>
        <w:div w:id="499657565">
          <w:marLeft w:val="0"/>
          <w:marRight w:val="0"/>
          <w:marTop w:val="0"/>
          <w:marBottom w:val="0"/>
          <w:divBdr>
            <w:top w:val="none" w:sz="0" w:space="0" w:color="auto"/>
            <w:left w:val="none" w:sz="0" w:space="0" w:color="auto"/>
            <w:bottom w:val="none" w:sz="0" w:space="0" w:color="auto"/>
            <w:right w:val="none" w:sz="0" w:space="0" w:color="auto"/>
          </w:divBdr>
        </w:div>
        <w:div w:id="1190685832">
          <w:marLeft w:val="0"/>
          <w:marRight w:val="0"/>
          <w:marTop w:val="0"/>
          <w:marBottom w:val="0"/>
          <w:divBdr>
            <w:top w:val="none" w:sz="0" w:space="0" w:color="auto"/>
            <w:left w:val="none" w:sz="0" w:space="0" w:color="auto"/>
            <w:bottom w:val="none" w:sz="0" w:space="0" w:color="auto"/>
            <w:right w:val="none" w:sz="0" w:space="0" w:color="auto"/>
          </w:divBdr>
          <w:divsChild>
            <w:div w:id="1150633023">
              <w:marLeft w:val="-225"/>
              <w:marRight w:val="-225"/>
              <w:marTop w:val="0"/>
              <w:marBottom w:val="0"/>
              <w:divBdr>
                <w:top w:val="none" w:sz="0" w:space="0" w:color="auto"/>
                <w:left w:val="none" w:sz="0" w:space="0" w:color="auto"/>
                <w:bottom w:val="none" w:sz="0" w:space="0" w:color="auto"/>
                <w:right w:val="none" w:sz="0" w:space="0" w:color="auto"/>
              </w:divBdr>
              <w:divsChild>
                <w:div w:id="1298294399">
                  <w:marLeft w:val="0"/>
                  <w:marRight w:val="0"/>
                  <w:marTop w:val="0"/>
                  <w:marBottom w:val="0"/>
                  <w:divBdr>
                    <w:top w:val="none" w:sz="0" w:space="0" w:color="auto"/>
                    <w:left w:val="none" w:sz="0" w:space="0" w:color="auto"/>
                    <w:bottom w:val="none" w:sz="0" w:space="0" w:color="auto"/>
                    <w:right w:val="none" w:sz="0" w:space="0" w:color="auto"/>
                  </w:divBdr>
                  <w:divsChild>
                    <w:div w:id="5500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0517">
          <w:marLeft w:val="0"/>
          <w:marRight w:val="0"/>
          <w:marTop w:val="0"/>
          <w:marBottom w:val="0"/>
          <w:divBdr>
            <w:top w:val="none" w:sz="0" w:space="0" w:color="auto"/>
            <w:left w:val="none" w:sz="0" w:space="0" w:color="auto"/>
            <w:bottom w:val="none" w:sz="0" w:space="0" w:color="auto"/>
            <w:right w:val="none" w:sz="0" w:space="0" w:color="auto"/>
          </w:divBdr>
          <w:divsChild>
            <w:div w:id="1455056002">
              <w:marLeft w:val="-225"/>
              <w:marRight w:val="-225"/>
              <w:marTop w:val="0"/>
              <w:marBottom w:val="0"/>
              <w:divBdr>
                <w:top w:val="none" w:sz="0" w:space="0" w:color="auto"/>
                <w:left w:val="none" w:sz="0" w:space="0" w:color="auto"/>
                <w:bottom w:val="none" w:sz="0" w:space="0" w:color="auto"/>
                <w:right w:val="none" w:sz="0" w:space="0" w:color="auto"/>
              </w:divBdr>
              <w:divsChild>
                <w:div w:id="105348460">
                  <w:marLeft w:val="0"/>
                  <w:marRight w:val="0"/>
                  <w:marTop w:val="0"/>
                  <w:marBottom w:val="0"/>
                  <w:divBdr>
                    <w:top w:val="none" w:sz="0" w:space="0" w:color="auto"/>
                    <w:left w:val="none" w:sz="0" w:space="0" w:color="auto"/>
                    <w:bottom w:val="none" w:sz="0" w:space="0" w:color="auto"/>
                    <w:right w:val="none" w:sz="0" w:space="0" w:color="auto"/>
                  </w:divBdr>
                  <w:divsChild>
                    <w:div w:id="8766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4150">
      <w:bodyDiv w:val="1"/>
      <w:marLeft w:val="0"/>
      <w:marRight w:val="0"/>
      <w:marTop w:val="0"/>
      <w:marBottom w:val="0"/>
      <w:divBdr>
        <w:top w:val="none" w:sz="0" w:space="0" w:color="auto"/>
        <w:left w:val="none" w:sz="0" w:space="0" w:color="auto"/>
        <w:bottom w:val="none" w:sz="0" w:space="0" w:color="auto"/>
        <w:right w:val="none" w:sz="0" w:space="0" w:color="auto"/>
      </w:divBdr>
    </w:div>
    <w:div w:id="1553886828">
      <w:bodyDiv w:val="1"/>
      <w:marLeft w:val="0"/>
      <w:marRight w:val="0"/>
      <w:marTop w:val="0"/>
      <w:marBottom w:val="0"/>
      <w:divBdr>
        <w:top w:val="none" w:sz="0" w:space="0" w:color="auto"/>
        <w:left w:val="none" w:sz="0" w:space="0" w:color="auto"/>
        <w:bottom w:val="none" w:sz="0" w:space="0" w:color="auto"/>
        <w:right w:val="none" w:sz="0" w:space="0" w:color="auto"/>
      </w:divBdr>
    </w:div>
    <w:div w:id="1554654329">
      <w:bodyDiv w:val="1"/>
      <w:marLeft w:val="0"/>
      <w:marRight w:val="0"/>
      <w:marTop w:val="0"/>
      <w:marBottom w:val="0"/>
      <w:divBdr>
        <w:top w:val="none" w:sz="0" w:space="0" w:color="auto"/>
        <w:left w:val="none" w:sz="0" w:space="0" w:color="auto"/>
        <w:bottom w:val="none" w:sz="0" w:space="0" w:color="auto"/>
        <w:right w:val="none" w:sz="0" w:space="0" w:color="auto"/>
      </w:divBdr>
    </w:div>
    <w:div w:id="1554656519">
      <w:bodyDiv w:val="1"/>
      <w:marLeft w:val="0"/>
      <w:marRight w:val="0"/>
      <w:marTop w:val="0"/>
      <w:marBottom w:val="0"/>
      <w:divBdr>
        <w:top w:val="none" w:sz="0" w:space="0" w:color="auto"/>
        <w:left w:val="none" w:sz="0" w:space="0" w:color="auto"/>
        <w:bottom w:val="none" w:sz="0" w:space="0" w:color="auto"/>
        <w:right w:val="none" w:sz="0" w:space="0" w:color="auto"/>
      </w:divBdr>
    </w:div>
    <w:div w:id="1554805184">
      <w:bodyDiv w:val="1"/>
      <w:marLeft w:val="0"/>
      <w:marRight w:val="0"/>
      <w:marTop w:val="0"/>
      <w:marBottom w:val="0"/>
      <w:divBdr>
        <w:top w:val="none" w:sz="0" w:space="0" w:color="auto"/>
        <w:left w:val="none" w:sz="0" w:space="0" w:color="auto"/>
        <w:bottom w:val="none" w:sz="0" w:space="0" w:color="auto"/>
        <w:right w:val="none" w:sz="0" w:space="0" w:color="auto"/>
      </w:divBdr>
    </w:div>
    <w:div w:id="1561280477">
      <w:bodyDiv w:val="1"/>
      <w:marLeft w:val="0"/>
      <w:marRight w:val="0"/>
      <w:marTop w:val="0"/>
      <w:marBottom w:val="0"/>
      <w:divBdr>
        <w:top w:val="none" w:sz="0" w:space="0" w:color="auto"/>
        <w:left w:val="none" w:sz="0" w:space="0" w:color="auto"/>
        <w:bottom w:val="none" w:sz="0" w:space="0" w:color="auto"/>
        <w:right w:val="none" w:sz="0" w:space="0" w:color="auto"/>
      </w:divBdr>
    </w:div>
    <w:div w:id="1561551552">
      <w:bodyDiv w:val="1"/>
      <w:marLeft w:val="0"/>
      <w:marRight w:val="0"/>
      <w:marTop w:val="0"/>
      <w:marBottom w:val="0"/>
      <w:divBdr>
        <w:top w:val="none" w:sz="0" w:space="0" w:color="auto"/>
        <w:left w:val="none" w:sz="0" w:space="0" w:color="auto"/>
        <w:bottom w:val="none" w:sz="0" w:space="0" w:color="auto"/>
        <w:right w:val="none" w:sz="0" w:space="0" w:color="auto"/>
      </w:divBdr>
    </w:div>
    <w:div w:id="1563558598">
      <w:bodyDiv w:val="1"/>
      <w:marLeft w:val="0"/>
      <w:marRight w:val="0"/>
      <w:marTop w:val="0"/>
      <w:marBottom w:val="0"/>
      <w:divBdr>
        <w:top w:val="none" w:sz="0" w:space="0" w:color="auto"/>
        <w:left w:val="none" w:sz="0" w:space="0" w:color="auto"/>
        <w:bottom w:val="none" w:sz="0" w:space="0" w:color="auto"/>
        <w:right w:val="none" w:sz="0" w:space="0" w:color="auto"/>
      </w:divBdr>
    </w:div>
    <w:div w:id="1564679503">
      <w:bodyDiv w:val="1"/>
      <w:marLeft w:val="0"/>
      <w:marRight w:val="0"/>
      <w:marTop w:val="0"/>
      <w:marBottom w:val="0"/>
      <w:divBdr>
        <w:top w:val="none" w:sz="0" w:space="0" w:color="auto"/>
        <w:left w:val="none" w:sz="0" w:space="0" w:color="auto"/>
        <w:bottom w:val="none" w:sz="0" w:space="0" w:color="auto"/>
        <w:right w:val="none" w:sz="0" w:space="0" w:color="auto"/>
      </w:divBdr>
      <w:divsChild>
        <w:div w:id="808665355">
          <w:marLeft w:val="-225"/>
          <w:marRight w:val="-225"/>
          <w:marTop w:val="0"/>
          <w:marBottom w:val="0"/>
          <w:divBdr>
            <w:top w:val="none" w:sz="0" w:space="0" w:color="auto"/>
            <w:left w:val="none" w:sz="0" w:space="0" w:color="auto"/>
            <w:bottom w:val="none" w:sz="0" w:space="0" w:color="auto"/>
            <w:right w:val="none" w:sz="0" w:space="0" w:color="auto"/>
          </w:divBdr>
          <w:divsChild>
            <w:div w:id="1594821384">
              <w:marLeft w:val="0"/>
              <w:marRight w:val="0"/>
              <w:marTop w:val="0"/>
              <w:marBottom w:val="0"/>
              <w:divBdr>
                <w:top w:val="none" w:sz="0" w:space="0" w:color="auto"/>
                <w:left w:val="none" w:sz="0" w:space="0" w:color="auto"/>
                <w:bottom w:val="none" w:sz="0" w:space="0" w:color="auto"/>
                <w:right w:val="none" w:sz="0" w:space="0" w:color="auto"/>
              </w:divBdr>
              <w:divsChild>
                <w:div w:id="9084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61972">
      <w:bodyDiv w:val="1"/>
      <w:marLeft w:val="0"/>
      <w:marRight w:val="0"/>
      <w:marTop w:val="0"/>
      <w:marBottom w:val="0"/>
      <w:divBdr>
        <w:top w:val="none" w:sz="0" w:space="0" w:color="auto"/>
        <w:left w:val="none" w:sz="0" w:space="0" w:color="auto"/>
        <w:bottom w:val="none" w:sz="0" w:space="0" w:color="auto"/>
        <w:right w:val="none" w:sz="0" w:space="0" w:color="auto"/>
      </w:divBdr>
    </w:div>
    <w:div w:id="1565724357">
      <w:bodyDiv w:val="1"/>
      <w:marLeft w:val="0"/>
      <w:marRight w:val="0"/>
      <w:marTop w:val="0"/>
      <w:marBottom w:val="0"/>
      <w:divBdr>
        <w:top w:val="none" w:sz="0" w:space="0" w:color="auto"/>
        <w:left w:val="none" w:sz="0" w:space="0" w:color="auto"/>
        <w:bottom w:val="none" w:sz="0" w:space="0" w:color="auto"/>
        <w:right w:val="none" w:sz="0" w:space="0" w:color="auto"/>
      </w:divBdr>
    </w:div>
    <w:div w:id="1566179499">
      <w:bodyDiv w:val="1"/>
      <w:marLeft w:val="0"/>
      <w:marRight w:val="0"/>
      <w:marTop w:val="0"/>
      <w:marBottom w:val="0"/>
      <w:divBdr>
        <w:top w:val="none" w:sz="0" w:space="0" w:color="auto"/>
        <w:left w:val="none" w:sz="0" w:space="0" w:color="auto"/>
        <w:bottom w:val="none" w:sz="0" w:space="0" w:color="auto"/>
        <w:right w:val="none" w:sz="0" w:space="0" w:color="auto"/>
      </w:divBdr>
    </w:div>
    <w:div w:id="1567063649">
      <w:bodyDiv w:val="1"/>
      <w:marLeft w:val="0"/>
      <w:marRight w:val="0"/>
      <w:marTop w:val="0"/>
      <w:marBottom w:val="0"/>
      <w:divBdr>
        <w:top w:val="none" w:sz="0" w:space="0" w:color="auto"/>
        <w:left w:val="none" w:sz="0" w:space="0" w:color="auto"/>
        <w:bottom w:val="none" w:sz="0" w:space="0" w:color="auto"/>
        <w:right w:val="none" w:sz="0" w:space="0" w:color="auto"/>
      </w:divBdr>
    </w:div>
    <w:div w:id="1567376939">
      <w:bodyDiv w:val="1"/>
      <w:marLeft w:val="0"/>
      <w:marRight w:val="0"/>
      <w:marTop w:val="0"/>
      <w:marBottom w:val="0"/>
      <w:divBdr>
        <w:top w:val="none" w:sz="0" w:space="0" w:color="auto"/>
        <w:left w:val="none" w:sz="0" w:space="0" w:color="auto"/>
        <w:bottom w:val="none" w:sz="0" w:space="0" w:color="auto"/>
        <w:right w:val="none" w:sz="0" w:space="0" w:color="auto"/>
      </w:divBdr>
    </w:div>
    <w:div w:id="1570656529">
      <w:bodyDiv w:val="1"/>
      <w:marLeft w:val="0"/>
      <w:marRight w:val="0"/>
      <w:marTop w:val="0"/>
      <w:marBottom w:val="0"/>
      <w:divBdr>
        <w:top w:val="none" w:sz="0" w:space="0" w:color="auto"/>
        <w:left w:val="none" w:sz="0" w:space="0" w:color="auto"/>
        <w:bottom w:val="none" w:sz="0" w:space="0" w:color="auto"/>
        <w:right w:val="none" w:sz="0" w:space="0" w:color="auto"/>
      </w:divBdr>
    </w:div>
    <w:div w:id="1571771851">
      <w:bodyDiv w:val="1"/>
      <w:marLeft w:val="0"/>
      <w:marRight w:val="0"/>
      <w:marTop w:val="0"/>
      <w:marBottom w:val="0"/>
      <w:divBdr>
        <w:top w:val="none" w:sz="0" w:space="0" w:color="auto"/>
        <w:left w:val="none" w:sz="0" w:space="0" w:color="auto"/>
        <w:bottom w:val="none" w:sz="0" w:space="0" w:color="auto"/>
        <w:right w:val="none" w:sz="0" w:space="0" w:color="auto"/>
      </w:divBdr>
    </w:div>
    <w:div w:id="1574585616">
      <w:bodyDiv w:val="1"/>
      <w:marLeft w:val="0"/>
      <w:marRight w:val="0"/>
      <w:marTop w:val="0"/>
      <w:marBottom w:val="0"/>
      <w:divBdr>
        <w:top w:val="none" w:sz="0" w:space="0" w:color="auto"/>
        <w:left w:val="none" w:sz="0" w:space="0" w:color="auto"/>
        <w:bottom w:val="none" w:sz="0" w:space="0" w:color="auto"/>
        <w:right w:val="none" w:sz="0" w:space="0" w:color="auto"/>
      </w:divBdr>
    </w:div>
    <w:div w:id="1575309914">
      <w:bodyDiv w:val="1"/>
      <w:marLeft w:val="0"/>
      <w:marRight w:val="0"/>
      <w:marTop w:val="0"/>
      <w:marBottom w:val="0"/>
      <w:divBdr>
        <w:top w:val="none" w:sz="0" w:space="0" w:color="auto"/>
        <w:left w:val="none" w:sz="0" w:space="0" w:color="auto"/>
        <w:bottom w:val="none" w:sz="0" w:space="0" w:color="auto"/>
        <w:right w:val="none" w:sz="0" w:space="0" w:color="auto"/>
      </w:divBdr>
    </w:div>
    <w:div w:id="1576159878">
      <w:bodyDiv w:val="1"/>
      <w:marLeft w:val="0"/>
      <w:marRight w:val="0"/>
      <w:marTop w:val="0"/>
      <w:marBottom w:val="0"/>
      <w:divBdr>
        <w:top w:val="none" w:sz="0" w:space="0" w:color="auto"/>
        <w:left w:val="none" w:sz="0" w:space="0" w:color="auto"/>
        <w:bottom w:val="none" w:sz="0" w:space="0" w:color="auto"/>
        <w:right w:val="none" w:sz="0" w:space="0" w:color="auto"/>
      </w:divBdr>
    </w:div>
    <w:div w:id="1576165763">
      <w:bodyDiv w:val="1"/>
      <w:marLeft w:val="0"/>
      <w:marRight w:val="0"/>
      <w:marTop w:val="0"/>
      <w:marBottom w:val="0"/>
      <w:divBdr>
        <w:top w:val="none" w:sz="0" w:space="0" w:color="auto"/>
        <w:left w:val="none" w:sz="0" w:space="0" w:color="auto"/>
        <w:bottom w:val="none" w:sz="0" w:space="0" w:color="auto"/>
        <w:right w:val="none" w:sz="0" w:space="0" w:color="auto"/>
      </w:divBdr>
    </w:div>
    <w:div w:id="1580677141">
      <w:bodyDiv w:val="1"/>
      <w:marLeft w:val="0"/>
      <w:marRight w:val="0"/>
      <w:marTop w:val="0"/>
      <w:marBottom w:val="0"/>
      <w:divBdr>
        <w:top w:val="none" w:sz="0" w:space="0" w:color="auto"/>
        <w:left w:val="none" w:sz="0" w:space="0" w:color="auto"/>
        <w:bottom w:val="none" w:sz="0" w:space="0" w:color="auto"/>
        <w:right w:val="none" w:sz="0" w:space="0" w:color="auto"/>
      </w:divBdr>
      <w:divsChild>
        <w:div w:id="1507357006">
          <w:marLeft w:val="0"/>
          <w:marRight w:val="0"/>
          <w:marTop w:val="0"/>
          <w:marBottom w:val="0"/>
          <w:divBdr>
            <w:top w:val="none" w:sz="0" w:space="0" w:color="auto"/>
            <w:left w:val="none" w:sz="0" w:space="0" w:color="auto"/>
            <w:bottom w:val="none" w:sz="0" w:space="0" w:color="auto"/>
            <w:right w:val="none" w:sz="0" w:space="0" w:color="auto"/>
          </w:divBdr>
          <w:divsChild>
            <w:div w:id="1161383500">
              <w:marLeft w:val="-225"/>
              <w:marRight w:val="-225"/>
              <w:marTop w:val="0"/>
              <w:marBottom w:val="0"/>
              <w:divBdr>
                <w:top w:val="none" w:sz="0" w:space="0" w:color="auto"/>
                <w:left w:val="none" w:sz="0" w:space="0" w:color="auto"/>
                <w:bottom w:val="none" w:sz="0" w:space="0" w:color="auto"/>
                <w:right w:val="none" w:sz="0" w:space="0" w:color="auto"/>
              </w:divBdr>
              <w:divsChild>
                <w:div w:id="773135851">
                  <w:marLeft w:val="0"/>
                  <w:marRight w:val="0"/>
                  <w:marTop w:val="0"/>
                  <w:marBottom w:val="0"/>
                  <w:divBdr>
                    <w:top w:val="none" w:sz="0" w:space="0" w:color="auto"/>
                    <w:left w:val="none" w:sz="0" w:space="0" w:color="auto"/>
                    <w:bottom w:val="none" w:sz="0" w:space="0" w:color="auto"/>
                    <w:right w:val="none" w:sz="0" w:space="0" w:color="auto"/>
                  </w:divBdr>
                  <w:divsChild>
                    <w:div w:id="20227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628">
          <w:marLeft w:val="0"/>
          <w:marRight w:val="0"/>
          <w:marTop w:val="0"/>
          <w:marBottom w:val="0"/>
          <w:divBdr>
            <w:top w:val="none" w:sz="0" w:space="0" w:color="auto"/>
            <w:left w:val="none" w:sz="0" w:space="0" w:color="auto"/>
            <w:bottom w:val="none" w:sz="0" w:space="0" w:color="auto"/>
            <w:right w:val="none" w:sz="0" w:space="0" w:color="auto"/>
          </w:divBdr>
          <w:divsChild>
            <w:div w:id="1991667192">
              <w:marLeft w:val="0"/>
              <w:marRight w:val="0"/>
              <w:marTop w:val="0"/>
              <w:marBottom w:val="0"/>
              <w:divBdr>
                <w:top w:val="none" w:sz="0" w:space="0" w:color="auto"/>
                <w:left w:val="none" w:sz="0" w:space="0" w:color="auto"/>
                <w:bottom w:val="none" w:sz="0" w:space="0" w:color="auto"/>
                <w:right w:val="none" w:sz="0" w:space="0" w:color="auto"/>
              </w:divBdr>
              <w:divsChild>
                <w:div w:id="1239442228">
                  <w:marLeft w:val="0"/>
                  <w:marRight w:val="0"/>
                  <w:marTop w:val="0"/>
                  <w:marBottom w:val="0"/>
                  <w:divBdr>
                    <w:top w:val="none" w:sz="0" w:space="0" w:color="auto"/>
                    <w:left w:val="none" w:sz="0" w:space="0" w:color="auto"/>
                    <w:bottom w:val="none" w:sz="0" w:space="0" w:color="auto"/>
                    <w:right w:val="none" w:sz="0" w:space="0" w:color="auto"/>
                  </w:divBdr>
                  <w:divsChild>
                    <w:div w:id="2101949295">
                      <w:marLeft w:val="0"/>
                      <w:marRight w:val="0"/>
                      <w:marTop w:val="0"/>
                      <w:marBottom w:val="0"/>
                      <w:divBdr>
                        <w:top w:val="none" w:sz="0" w:space="0" w:color="auto"/>
                        <w:left w:val="none" w:sz="0" w:space="0" w:color="auto"/>
                        <w:bottom w:val="none" w:sz="0" w:space="0" w:color="auto"/>
                        <w:right w:val="none" w:sz="0" w:space="0" w:color="auto"/>
                      </w:divBdr>
                      <w:divsChild>
                        <w:div w:id="5728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45289">
          <w:marLeft w:val="0"/>
          <w:marRight w:val="0"/>
          <w:marTop w:val="0"/>
          <w:marBottom w:val="0"/>
          <w:divBdr>
            <w:top w:val="none" w:sz="0" w:space="0" w:color="auto"/>
            <w:left w:val="none" w:sz="0" w:space="0" w:color="auto"/>
            <w:bottom w:val="none" w:sz="0" w:space="0" w:color="auto"/>
            <w:right w:val="none" w:sz="0" w:space="0" w:color="auto"/>
          </w:divBdr>
        </w:div>
        <w:div w:id="2047555879">
          <w:marLeft w:val="0"/>
          <w:marRight w:val="0"/>
          <w:marTop w:val="0"/>
          <w:marBottom w:val="0"/>
          <w:divBdr>
            <w:top w:val="none" w:sz="0" w:space="0" w:color="auto"/>
            <w:left w:val="none" w:sz="0" w:space="0" w:color="auto"/>
            <w:bottom w:val="none" w:sz="0" w:space="0" w:color="auto"/>
            <w:right w:val="none" w:sz="0" w:space="0" w:color="auto"/>
          </w:divBdr>
          <w:divsChild>
            <w:div w:id="1401447000">
              <w:marLeft w:val="-225"/>
              <w:marRight w:val="-225"/>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sChild>
                    <w:div w:id="12649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138959">
      <w:bodyDiv w:val="1"/>
      <w:marLeft w:val="0"/>
      <w:marRight w:val="0"/>
      <w:marTop w:val="0"/>
      <w:marBottom w:val="0"/>
      <w:divBdr>
        <w:top w:val="none" w:sz="0" w:space="0" w:color="auto"/>
        <w:left w:val="none" w:sz="0" w:space="0" w:color="auto"/>
        <w:bottom w:val="none" w:sz="0" w:space="0" w:color="auto"/>
        <w:right w:val="none" w:sz="0" w:space="0" w:color="auto"/>
      </w:divBdr>
    </w:div>
    <w:div w:id="1585141828">
      <w:bodyDiv w:val="1"/>
      <w:marLeft w:val="0"/>
      <w:marRight w:val="0"/>
      <w:marTop w:val="0"/>
      <w:marBottom w:val="0"/>
      <w:divBdr>
        <w:top w:val="none" w:sz="0" w:space="0" w:color="auto"/>
        <w:left w:val="none" w:sz="0" w:space="0" w:color="auto"/>
        <w:bottom w:val="none" w:sz="0" w:space="0" w:color="auto"/>
        <w:right w:val="none" w:sz="0" w:space="0" w:color="auto"/>
      </w:divBdr>
    </w:div>
    <w:div w:id="1585413506">
      <w:bodyDiv w:val="1"/>
      <w:marLeft w:val="0"/>
      <w:marRight w:val="0"/>
      <w:marTop w:val="0"/>
      <w:marBottom w:val="0"/>
      <w:divBdr>
        <w:top w:val="none" w:sz="0" w:space="0" w:color="auto"/>
        <w:left w:val="none" w:sz="0" w:space="0" w:color="auto"/>
        <w:bottom w:val="none" w:sz="0" w:space="0" w:color="auto"/>
        <w:right w:val="none" w:sz="0" w:space="0" w:color="auto"/>
      </w:divBdr>
    </w:div>
    <w:div w:id="1592659303">
      <w:bodyDiv w:val="1"/>
      <w:marLeft w:val="0"/>
      <w:marRight w:val="0"/>
      <w:marTop w:val="0"/>
      <w:marBottom w:val="0"/>
      <w:divBdr>
        <w:top w:val="none" w:sz="0" w:space="0" w:color="auto"/>
        <w:left w:val="none" w:sz="0" w:space="0" w:color="auto"/>
        <w:bottom w:val="none" w:sz="0" w:space="0" w:color="auto"/>
        <w:right w:val="none" w:sz="0" w:space="0" w:color="auto"/>
      </w:divBdr>
    </w:div>
    <w:div w:id="1597328460">
      <w:bodyDiv w:val="1"/>
      <w:marLeft w:val="0"/>
      <w:marRight w:val="0"/>
      <w:marTop w:val="0"/>
      <w:marBottom w:val="0"/>
      <w:divBdr>
        <w:top w:val="none" w:sz="0" w:space="0" w:color="auto"/>
        <w:left w:val="none" w:sz="0" w:space="0" w:color="auto"/>
        <w:bottom w:val="none" w:sz="0" w:space="0" w:color="auto"/>
        <w:right w:val="none" w:sz="0" w:space="0" w:color="auto"/>
      </w:divBdr>
    </w:div>
    <w:div w:id="1598564153">
      <w:bodyDiv w:val="1"/>
      <w:marLeft w:val="0"/>
      <w:marRight w:val="0"/>
      <w:marTop w:val="0"/>
      <w:marBottom w:val="0"/>
      <w:divBdr>
        <w:top w:val="none" w:sz="0" w:space="0" w:color="auto"/>
        <w:left w:val="none" w:sz="0" w:space="0" w:color="auto"/>
        <w:bottom w:val="none" w:sz="0" w:space="0" w:color="auto"/>
        <w:right w:val="none" w:sz="0" w:space="0" w:color="auto"/>
      </w:divBdr>
    </w:div>
    <w:div w:id="1598753247">
      <w:bodyDiv w:val="1"/>
      <w:marLeft w:val="0"/>
      <w:marRight w:val="0"/>
      <w:marTop w:val="0"/>
      <w:marBottom w:val="0"/>
      <w:divBdr>
        <w:top w:val="none" w:sz="0" w:space="0" w:color="auto"/>
        <w:left w:val="none" w:sz="0" w:space="0" w:color="auto"/>
        <w:bottom w:val="none" w:sz="0" w:space="0" w:color="auto"/>
        <w:right w:val="none" w:sz="0" w:space="0" w:color="auto"/>
      </w:divBdr>
    </w:div>
    <w:div w:id="1610503988">
      <w:bodyDiv w:val="1"/>
      <w:marLeft w:val="0"/>
      <w:marRight w:val="0"/>
      <w:marTop w:val="0"/>
      <w:marBottom w:val="0"/>
      <w:divBdr>
        <w:top w:val="none" w:sz="0" w:space="0" w:color="auto"/>
        <w:left w:val="none" w:sz="0" w:space="0" w:color="auto"/>
        <w:bottom w:val="none" w:sz="0" w:space="0" w:color="auto"/>
        <w:right w:val="none" w:sz="0" w:space="0" w:color="auto"/>
      </w:divBdr>
      <w:divsChild>
        <w:div w:id="1259412244">
          <w:marLeft w:val="-225"/>
          <w:marRight w:val="-225"/>
          <w:marTop w:val="0"/>
          <w:marBottom w:val="0"/>
          <w:divBdr>
            <w:top w:val="none" w:sz="0" w:space="0" w:color="auto"/>
            <w:left w:val="none" w:sz="0" w:space="0" w:color="auto"/>
            <w:bottom w:val="none" w:sz="0" w:space="0" w:color="auto"/>
            <w:right w:val="none" w:sz="0" w:space="0" w:color="auto"/>
          </w:divBdr>
          <w:divsChild>
            <w:div w:id="140005617">
              <w:marLeft w:val="0"/>
              <w:marRight w:val="0"/>
              <w:marTop w:val="0"/>
              <w:marBottom w:val="0"/>
              <w:divBdr>
                <w:top w:val="none" w:sz="0" w:space="0" w:color="auto"/>
                <w:left w:val="none" w:sz="0" w:space="0" w:color="auto"/>
                <w:bottom w:val="none" w:sz="0" w:space="0" w:color="auto"/>
                <w:right w:val="none" w:sz="0" w:space="0" w:color="auto"/>
              </w:divBdr>
              <w:divsChild>
                <w:div w:id="14860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59696">
      <w:bodyDiv w:val="1"/>
      <w:marLeft w:val="0"/>
      <w:marRight w:val="0"/>
      <w:marTop w:val="0"/>
      <w:marBottom w:val="0"/>
      <w:divBdr>
        <w:top w:val="none" w:sz="0" w:space="0" w:color="auto"/>
        <w:left w:val="none" w:sz="0" w:space="0" w:color="auto"/>
        <w:bottom w:val="none" w:sz="0" w:space="0" w:color="auto"/>
        <w:right w:val="none" w:sz="0" w:space="0" w:color="auto"/>
      </w:divBdr>
    </w:div>
    <w:div w:id="1615673170">
      <w:bodyDiv w:val="1"/>
      <w:marLeft w:val="0"/>
      <w:marRight w:val="0"/>
      <w:marTop w:val="0"/>
      <w:marBottom w:val="0"/>
      <w:divBdr>
        <w:top w:val="none" w:sz="0" w:space="0" w:color="auto"/>
        <w:left w:val="none" w:sz="0" w:space="0" w:color="auto"/>
        <w:bottom w:val="none" w:sz="0" w:space="0" w:color="auto"/>
        <w:right w:val="none" w:sz="0" w:space="0" w:color="auto"/>
      </w:divBdr>
      <w:divsChild>
        <w:div w:id="256183586">
          <w:marLeft w:val="-225"/>
          <w:marRight w:val="-225"/>
          <w:marTop w:val="0"/>
          <w:marBottom w:val="0"/>
          <w:divBdr>
            <w:top w:val="none" w:sz="0" w:space="0" w:color="auto"/>
            <w:left w:val="none" w:sz="0" w:space="0" w:color="auto"/>
            <w:bottom w:val="none" w:sz="0" w:space="0" w:color="auto"/>
            <w:right w:val="none" w:sz="0" w:space="0" w:color="auto"/>
          </w:divBdr>
          <w:divsChild>
            <w:div w:id="1667707381">
              <w:marLeft w:val="0"/>
              <w:marRight w:val="0"/>
              <w:marTop w:val="0"/>
              <w:marBottom w:val="0"/>
              <w:divBdr>
                <w:top w:val="none" w:sz="0" w:space="0" w:color="auto"/>
                <w:left w:val="none" w:sz="0" w:space="0" w:color="auto"/>
                <w:bottom w:val="none" w:sz="0" w:space="0" w:color="auto"/>
                <w:right w:val="none" w:sz="0" w:space="0" w:color="auto"/>
              </w:divBdr>
              <w:divsChild>
                <w:div w:id="6757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1229">
      <w:bodyDiv w:val="1"/>
      <w:marLeft w:val="0"/>
      <w:marRight w:val="0"/>
      <w:marTop w:val="0"/>
      <w:marBottom w:val="0"/>
      <w:divBdr>
        <w:top w:val="none" w:sz="0" w:space="0" w:color="auto"/>
        <w:left w:val="none" w:sz="0" w:space="0" w:color="auto"/>
        <w:bottom w:val="none" w:sz="0" w:space="0" w:color="auto"/>
        <w:right w:val="none" w:sz="0" w:space="0" w:color="auto"/>
      </w:divBdr>
      <w:divsChild>
        <w:div w:id="23752394">
          <w:marLeft w:val="0"/>
          <w:marRight w:val="0"/>
          <w:marTop w:val="0"/>
          <w:marBottom w:val="0"/>
          <w:divBdr>
            <w:top w:val="none" w:sz="0" w:space="0" w:color="auto"/>
            <w:left w:val="none" w:sz="0" w:space="0" w:color="auto"/>
            <w:bottom w:val="none" w:sz="0" w:space="0" w:color="auto"/>
            <w:right w:val="none" w:sz="0" w:space="0" w:color="auto"/>
          </w:divBdr>
          <w:divsChild>
            <w:div w:id="1934631164">
              <w:marLeft w:val="-225"/>
              <w:marRight w:val="-225"/>
              <w:marTop w:val="0"/>
              <w:marBottom w:val="0"/>
              <w:divBdr>
                <w:top w:val="none" w:sz="0" w:space="0" w:color="auto"/>
                <w:left w:val="none" w:sz="0" w:space="0" w:color="auto"/>
                <w:bottom w:val="none" w:sz="0" w:space="0" w:color="auto"/>
                <w:right w:val="none" w:sz="0" w:space="0" w:color="auto"/>
              </w:divBdr>
              <w:divsChild>
                <w:div w:id="903880669">
                  <w:marLeft w:val="0"/>
                  <w:marRight w:val="0"/>
                  <w:marTop w:val="0"/>
                  <w:marBottom w:val="0"/>
                  <w:divBdr>
                    <w:top w:val="none" w:sz="0" w:space="0" w:color="auto"/>
                    <w:left w:val="none" w:sz="0" w:space="0" w:color="auto"/>
                    <w:bottom w:val="none" w:sz="0" w:space="0" w:color="auto"/>
                    <w:right w:val="none" w:sz="0" w:space="0" w:color="auto"/>
                  </w:divBdr>
                  <w:divsChild>
                    <w:div w:id="9434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96057">
          <w:marLeft w:val="0"/>
          <w:marRight w:val="0"/>
          <w:marTop w:val="0"/>
          <w:marBottom w:val="0"/>
          <w:divBdr>
            <w:top w:val="none" w:sz="0" w:space="0" w:color="auto"/>
            <w:left w:val="none" w:sz="0" w:space="0" w:color="auto"/>
            <w:bottom w:val="none" w:sz="0" w:space="0" w:color="auto"/>
            <w:right w:val="none" w:sz="0" w:space="0" w:color="auto"/>
          </w:divBdr>
        </w:div>
        <w:div w:id="870265771">
          <w:marLeft w:val="0"/>
          <w:marRight w:val="0"/>
          <w:marTop w:val="0"/>
          <w:marBottom w:val="0"/>
          <w:divBdr>
            <w:top w:val="none" w:sz="0" w:space="0" w:color="auto"/>
            <w:left w:val="none" w:sz="0" w:space="0" w:color="auto"/>
            <w:bottom w:val="none" w:sz="0" w:space="0" w:color="auto"/>
            <w:right w:val="none" w:sz="0" w:space="0" w:color="auto"/>
          </w:divBdr>
          <w:divsChild>
            <w:div w:id="1555653880">
              <w:marLeft w:val="0"/>
              <w:marRight w:val="0"/>
              <w:marTop w:val="0"/>
              <w:marBottom w:val="0"/>
              <w:divBdr>
                <w:top w:val="none" w:sz="0" w:space="0" w:color="auto"/>
                <w:left w:val="none" w:sz="0" w:space="0" w:color="auto"/>
                <w:bottom w:val="none" w:sz="0" w:space="0" w:color="auto"/>
                <w:right w:val="none" w:sz="0" w:space="0" w:color="auto"/>
              </w:divBdr>
              <w:divsChild>
                <w:div w:id="1395424053">
                  <w:marLeft w:val="0"/>
                  <w:marRight w:val="0"/>
                  <w:marTop w:val="0"/>
                  <w:marBottom w:val="0"/>
                  <w:divBdr>
                    <w:top w:val="none" w:sz="0" w:space="0" w:color="auto"/>
                    <w:left w:val="none" w:sz="0" w:space="0" w:color="auto"/>
                    <w:bottom w:val="none" w:sz="0" w:space="0" w:color="auto"/>
                    <w:right w:val="none" w:sz="0" w:space="0" w:color="auto"/>
                  </w:divBdr>
                  <w:divsChild>
                    <w:div w:id="291598613">
                      <w:marLeft w:val="0"/>
                      <w:marRight w:val="0"/>
                      <w:marTop w:val="0"/>
                      <w:marBottom w:val="0"/>
                      <w:divBdr>
                        <w:top w:val="none" w:sz="0" w:space="0" w:color="auto"/>
                        <w:left w:val="none" w:sz="0" w:space="0" w:color="auto"/>
                        <w:bottom w:val="none" w:sz="0" w:space="0" w:color="auto"/>
                        <w:right w:val="none" w:sz="0" w:space="0" w:color="auto"/>
                      </w:divBdr>
                      <w:divsChild>
                        <w:div w:id="12807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47995">
          <w:marLeft w:val="0"/>
          <w:marRight w:val="0"/>
          <w:marTop w:val="0"/>
          <w:marBottom w:val="0"/>
          <w:divBdr>
            <w:top w:val="none" w:sz="0" w:space="0" w:color="auto"/>
            <w:left w:val="none" w:sz="0" w:space="0" w:color="auto"/>
            <w:bottom w:val="none" w:sz="0" w:space="0" w:color="auto"/>
            <w:right w:val="none" w:sz="0" w:space="0" w:color="auto"/>
          </w:divBdr>
          <w:divsChild>
            <w:div w:id="258681674">
              <w:marLeft w:val="-225"/>
              <w:marRight w:val="-225"/>
              <w:marTop w:val="0"/>
              <w:marBottom w:val="0"/>
              <w:divBdr>
                <w:top w:val="none" w:sz="0" w:space="0" w:color="auto"/>
                <w:left w:val="none" w:sz="0" w:space="0" w:color="auto"/>
                <w:bottom w:val="none" w:sz="0" w:space="0" w:color="auto"/>
                <w:right w:val="none" w:sz="0" w:space="0" w:color="auto"/>
              </w:divBdr>
              <w:divsChild>
                <w:div w:id="1858808595">
                  <w:marLeft w:val="0"/>
                  <w:marRight w:val="0"/>
                  <w:marTop w:val="0"/>
                  <w:marBottom w:val="0"/>
                  <w:divBdr>
                    <w:top w:val="none" w:sz="0" w:space="0" w:color="auto"/>
                    <w:left w:val="none" w:sz="0" w:space="0" w:color="auto"/>
                    <w:bottom w:val="none" w:sz="0" w:space="0" w:color="auto"/>
                    <w:right w:val="none" w:sz="0" w:space="0" w:color="auto"/>
                  </w:divBdr>
                  <w:divsChild>
                    <w:div w:id="10983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81615">
      <w:bodyDiv w:val="1"/>
      <w:marLeft w:val="0"/>
      <w:marRight w:val="0"/>
      <w:marTop w:val="0"/>
      <w:marBottom w:val="0"/>
      <w:divBdr>
        <w:top w:val="none" w:sz="0" w:space="0" w:color="auto"/>
        <w:left w:val="none" w:sz="0" w:space="0" w:color="auto"/>
        <w:bottom w:val="none" w:sz="0" w:space="0" w:color="auto"/>
        <w:right w:val="none" w:sz="0" w:space="0" w:color="auto"/>
      </w:divBdr>
    </w:div>
    <w:div w:id="1622760900">
      <w:bodyDiv w:val="1"/>
      <w:marLeft w:val="0"/>
      <w:marRight w:val="0"/>
      <w:marTop w:val="0"/>
      <w:marBottom w:val="0"/>
      <w:divBdr>
        <w:top w:val="none" w:sz="0" w:space="0" w:color="auto"/>
        <w:left w:val="none" w:sz="0" w:space="0" w:color="auto"/>
        <w:bottom w:val="none" w:sz="0" w:space="0" w:color="auto"/>
        <w:right w:val="none" w:sz="0" w:space="0" w:color="auto"/>
      </w:divBdr>
    </w:div>
    <w:div w:id="1623684344">
      <w:bodyDiv w:val="1"/>
      <w:marLeft w:val="0"/>
      <w:marRight w:val="0"/>
      <w:marTop w:val="0"/>
      <w:marBottom w:val="0"/>
      <w:divBdr>
        <w:top w:val="none" w:sz="0" w:space="0" w:color="auto"/>
        <w:left w:val="none" w:sz="0" w:space="0" w:color="auto"/>
        <w:bottom w:val="none" w:sz="0" w:space="0" w:color="auto"/>
        <w:right w:val="none" w:sz="0" w:space="0" w:color="auto"/>
      </w:divBdr>
    </w:div>
    <w:div w:id="1624918421">
      <w:bodyDiv w:val="1"/>
      <w:marLeft w:val="0"/>
      <w:marRight w:val="0"/>
      <w:marTop w:val="0"/>
      <w:marBottom w:val="0"/>
      <w:divBdr>
        <w:top w:val="none" w:sz="0" w:space="0" w:color="auto"/>
        <w:left w:val="none" w:sz="0" w:space="0" w:color="auto"/>
        <w:bottom w:val="none" w:sz="0" w:space="0" w:color="auto"/>
        <w:right w:val="none" w:sz="0" w:space="0" w:color="auto"/>
      </w:divBdr>
    </w:div>
    <w:div w:id="1627084832">
      <w:bodyDiv w:val="1"/>
      <w:marLeft w:val="0"/>
      <w:marRight w:val="0"/>
      <w:marTop w:val="0"/>
      <w:marBottom w:val="0"/>
      <w:divBdr>
        <w:top w:val="none" w:sz="0" w:space="0" w:color="auto"/>
        <w:left w:val="none" w:sz="0" w:space="0" w:color="auto"/>
        <w:bottom w:val="none" w:sz="0" w:space="0" w:color="auto"/>
        <w:right w:val="none" w:sz="0" w:space="0" w:color="auto"/>
      </w:divBdr>
    </w:div>
    <w:div w:id="1627928365">
      <w:bodyDiv w:val="1"/>
      <w:marLeft w:val="0"/>
      <w:marRight w:val="0"/>
      <w:marTop w:val="0"/>
      <w:marBottom w:val="0"/>
      <w:divBdr>
        <w:top w:val="none" w:sz="0" w:space="0" w:color="auto"/>
        <w:left w:val="none" w:sz="0" w:space="0" w:color="auto"/>
        <w:bottom w:val="none" w:sz="0" w:space="0" w:color="auto"/>
        <w:right w:val="none" w:sz="0" w:space="0" w:color="auto"/>
      </w:divBdr>
      <w:divsChild>
        <w:div w:id="58019702">
          <w:marLeft w:val="0"/>
          <w:marRight w:val="0"/>
          <w:marTop w:val="0"/>
          <w:marBottom w:val="0"/>
          <w:divBdr>
            <w:top w:val="none" w:sz="0" w:space="0" w:color="auto"/>
            <w:left w:val="none" w:sz="0" w:space="0" w:color="auto"/>
            <w:bottom w:val="none" w:sz="0" w:space="0" w:color="auto"/>
            <w:right w:val="none" w:sz="0" w:space="0" w:color="auto"/>
          </w:divBdr>
          <w:divsChild>
            <w:div w:id="2144543663">
              <w:marLeft w:val="0"/>
              <w:marRight w:val="0"/>
              <w:marTop w:val="0"/>
              <w:marBottom w:val="0"/>
              <w:divBdr>
                <w:top w:val="none" w:sz="0" w:space="0" w:color="auto"/>
                <w:left w:val="none" w:sz="0" w:space="0" w:color="auto"/>
                <w:bottom w:val="none" w:sz="0" w:space="0" w:color="auto"/>
                <w:right w:val="none" w:sz="0" w:space="0" w:color="auto"/>
              </w:divBdr>
              <w:divsChild>
                <w:div w:id="1379665577">
                  <w:marLeft w:val="0"/>
                  <w:marRight w:val="0"/>
                  <w:marTop w:val="0"/>
                  <w:marBottom w:val="0"/>
                  <w:divBdr>
                    <w:top w:val="none" w:sz="0" w:space="0" w:color="auto"/>
                    <w:left w:val="none" w:sz="0" w:space="0" w:color="auto"/>
                    <w:bottom w:val="none" w:sz="0" w:space="0" w:color="auto"/>
                    <w:right w:val="none" w:sz="0" w:space="0" w:color="auto"/>
                  </w:divBdr>
                  <w:divsChild>
                    <w:div w:id="2015842245">
                      <w:marLeft w:val="0"/>
                      <w:marRight w:val="0"/>
                      <w:marTop w:val="0"/>
                      <w:marBottom w:val="0"/>
                      <w:divBdr>
                        <w:top w:val="none" w:sz="0" w:space="0" w:color="auto"/>
                        <w:left w:val="none" w:sz="0" w:space="0" w:color="auto"/>
                        <w:bottom w:val="none" w:sz="0" w:space="0" w:color="auto"/>
                        <w:right w:val="none" w:sz="0" w:space="0" w:color="auto"/>
                      </w:divBdr>
                      <w:divsChild>
                        <w:div w:id="1338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7187">
          <w:marLeft w:val="0"/>
          <w:marRight w:val="0"/>
          <w:marTop w:val="0"/>
          <w:marBottom w:val="0"/>
          <w:divBdr>
            <w:top w:val="none" w:sz="0" w:space="0" w:color="auto"/>
            <w:left w:val="none" w:sz="0" w:space="0" w:color="auto"/>
            <w:bottom w:val="none" w:sz="0" w:space="0" w:color="auto"/>
            <w:right w:val="none" w:sz="0" w:space="0" w:color="auto"/>
          </w:divBdr>
          <w:divsChild>
            <w:div w:id="1604261469">
              <w:marLeft w:val="-225"/>
              <w:marRight w:val="-225"/>
              <w:marTop w:val="0"/>
              <w:marBottom w:val="0"/>
              <w:divBdr>
                <w:top w:val="none" w:sz="0" w:space="0" w:color="auto"/>
                <w:left w:val="none" w:sz="0" w:space="0" w:color="auto"/>
                <w:bottom w:val="none" w:sz="0" w:space="0" w:color="auto"/>
                <w:right w:val="none" w:sz="0" w:space="0" w:color="auto"/>
              </w:divBdr>
              <w:divsChild>
                <w:div w:id="1288663087">
                  <w:marLeft w:val="0"/>
                  <w:marRight w:val="0"/>
                  <w:marTop w:val="0"/>
                  <w:marBottom w:val="0"/>
                  <w:divBdr>
                    <w:top w:val="none" w:sz="0" w:space="0" w:color="auto"/>
                    <w:left w:val="none" w:sz="0" w:space="0" w:color="auto"/>
                    <w:bottom w:val="none" w:sz="0" w:space="0" w:color="auto"/>
                    <w:right w:val="none" w:sz="0" w:space="0" w:color="auto"/>
                  </w:divBdr>
                  <w:divsChild>
                    <w:div w:id="2843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538">
          <w:marLeft w:val="0"/>
          <w:marRight w:val="0"/>
          <w:marTop w:val="0"/>
          <w:marBottom w:val="0"/>
          <w:divBdr>
            <w:top w:val="none" w:sz="0" w:space="0" w:color="auto"/>
            <w:left w:val="none" w:sz="0" w:space="0" w:color="auto"/>
            <w:bottom w:val="none" w:sz="0" w:space="0" w:color="auto"/>
            <w:right w:val="none" w:sz="0" w:space="0" w:color="auto"/>
          </w:divBdr>
          <w:divsChild>
            <w:div w:id="63643462">
              <w:marLeft w:val="-225"/>
              <w:marRight w:val="-225"/>
              <w:marTop w:val="0"/>
              <w:marBottom w:val="0"/>
              <w:divBdr>
                <w:top w:val="none" w:sz="0" w:space="0" w:color="auto"/>
                <w:left w:val="none" w:sz="0" w:space="0" w:color="auto"/>
                <w:bottom w:val="none" w:sz="0" w:space="0" w:color="auto"/>
                <w:right w:val="none" w:sz="0" w:space="0" w:color="auto"/>
              </w:divBdr>
              <w:divsChild>
                <w:div w:id="598372183">
                  <w:marLeft w:val="0"/>
                  <w:marRight w:val="0"/>
                  <w:marTop w:val="0"/>
                  <w:marBottom w:val="0"/>
                  <w:divBdr>
                    <w:top w:val="none" w:sz="0" w:space="0" w:color="auto"/>
                    <w:left w:val="none" w:sz="0" w:space="0" w:color="auto"/>
                    <w:bottom w:val="none" w:sz="0" w:space="0" w:color="auto"/>
                    <w:right w:val="none" w:sz="0" w:space="0" w:color="auto"/>
                  </w:divBdr>
                  <w:divsChild>
                    <w:div w:id="952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89966">
          <w:marLeft w:val="0"/>
          <w:marRight w:val="0"/>
          <w:marTop w:val="0"/>
          <w:marBottom w:val="0"/>
          <w:divBdr>
            <w:top w:val="none" w:sz="0" w:space="0" w:color="auto"/>
            <w:left w:val="none" w:sz="0" w:space="0" w:color="auto"/>
            <w:bottom w:val="none" w:sz="0" w:space="0" w:color="auto"/>
            <w:right w:val="none" w:sz="0" w:space="0" w:color="auto"/>
          </w:divBdr>
        </w:div>
      </w:divsChild>
    </w:div>
    <w:div w:id="1628588728">
      <w:bodyDiv w:val="1"/>
      <w:marLeft w:val="0"/>
      <w:marRight w:val="0"/>
      <w:marTop w:val="0"/>
      <w:marBottom w:val="0"/>
      <w:divBdr>
        <w:top w:val="none" w:sz="0" w:space="0" w:color="auto"/>
        <w:left w:val="none" w:sz="0" w:space="0" w:color="auto"/>
        <w:bottom w:val="none" w:sz="0" w:space="0" w:color="auto"/>
        <w:right w:val="none" w:sz="0" w:space="0" w:color="auto"/>
      </w:divBdr>
    </w:div>
    <w:div w:id="1631090413">
      <w:bodyDiv w:val="1"/>
      <w:marLeft w:val="0"/>
      <w:marRight w:val="0"/>
      <w:marTop w:val="0"/>
      <w:marBottom w:val="0"/>
      <w:divBdr>
        <w:top w:val="none" w:sz="0" w:space="0" w:color="auto"/>
        <w:left w:val="none" w:sz="0" w:space="0" w:color="auto"/>
        <w:bottom w:val="none" w:sz="0" w:space="0" w:color="auto"/>
        <w:right w:val="none" w:sz="0" w:space="0" w:color="auto"/>
      </w:divBdr>
    </w:div>
    <w:div w:id="1632787070">
      <w:bodyDiv w:val="1"/>
      <w:marLeft w:val="0"/>
      <w:marRight w:val="0"/>
      <w:marTop w:val="0"/>
      <w:marBottom w:val="0"/>
      <w:divBdr>
        <w:top w:val="none" w:sz="0" w:space="0" w:color="auto"/>
        <w:left w:val="none" w:sz="0" w:space="0" w:color="auto"/>
        <w:bottom w:val="none" w:sz="0" w:space="0" w:color="auto"/>
        <w:right w:val="none" w:sz="0" w:space="0" w:color="auto"/>
      </w:divBdr>
    </w:div>
    <w:div w:id="1633713457">
      <w:bodyDiv w:val="1"/>
      <w:marLeft w:val="0"/>
      <w:marRight w:val="0"/>
      <w:marTop w:val="0"/>
      <w:marBottom w:val="0"/>
      <w:divBdr>
        <w:top w:val="none" w:sz="0" w:space="0" w:color="auto"/>
        <w:left w:val="none" w:sz="0" w:space="0" w:color="auto"/>
        <w:bottom w:val="none" w:sz="0" w:space="0" w:color="auto"/>
        <w:right w:val="none" w:sz="0" w:space="0" w:color="auto"/>
      </w:divBdr>
    </w:div>
    <w:div w:id="1637905822">
      <w:bodyDiv w:val="1"/>
      <w:marLeft w:val="0"/>
      <w:marRight w:val="0"/>
      <w:marTop w:val="0"/>
      <w:marBottom w:val="0"/>
      <w:divBdr>
        <w:top w:val="none" w:sz="0" w:space="0" w:color="auto"/>
        <w:left w:val="none" w:sz="0" w:space="0" w:color="auto"/>
        <w:bottom w:val="none" w:sz="0" w:space="0" w:color="auto"/>
        <w:right w:val="none" w:sz="0" w:space="0" w:color="auto"/>
      </w:divBdr>
    </w:div>
    <w:div w:id="1638679293">
      <w:bodyDiv w:val="1"/>
      <w:marLeft w:val="0"/>
      <w:marRight w:val="0"/>
      <w:marTop w:val="0"/>
      <w:marBottom w:val="0"/>
      <w:divBdr>
        <w:top w:val="none" w:sz="0" w:space="0" w:color="auto"/>
        <w:left w:val="none" w:sz="0" w:space="0" w:color="auto"/>
        <w:bottom w:val="none" w:sz="0" w:space="0" w:color="auto"/>
        <w:right w:val="none" w:sz="0" w:space="0" w:color="auto"/>
      </w:divBdr>
    </w:div>
    <w:div w:id="1638954346">
      <w:bodyDiv w:val="1"/>
      <w:marLeft w:val="0"/>
      <w:marRight w:val="0"/>
      <w:marTop w:val="0"/>
      <w:marBottom w:val="0"/>
      <w:divBdr>
        <w:top w:val="none" w:sz="0" w:space="0" w:color="auto"/>
        <w:left w:val="none" w:sz="0" w:space="0" w:color="auto"/>
        <w:bottom w:val="none" w:sz="0" w:space="0" w:color="auto"/>
        <w:right w:val="none" w:sz="0" w:space="0" w:color="auto"/>
      </w:divBdr>
    </w:div>
    <w:div w:id="1640645396">
      <w:bodyDiv w:val="1"/>
      <w:marLeft w:val="0"/>
      <w:marRight w:val="0"/>
      <w:marTop w:val="0"/>
      <w:marBottom w:val="0"/>
      <w:divBdr>
        <w:top w:val="none" w:sz="0" w:space="0" w:color="auto"/>
        <w:left w:val="none" w:sz="0" w:space="0" w:color="auto"/>
        <w:bottom w:val="none" w:sz="0" w:space="0" w:color="auto"/>
        <w:right w:val="none" w:sz="0" w:space="0" w:color="auto"/>
      </w:divBdr>
    </w:div>
    <w:div w:id="1643002104">
      <w:bodyDiv w:val="1"/>
      <w:marLeft w:val="0"/>
      <w:marRight w:val="0"/>
      <w:marTop w:val="0"/>
      <w:marBottom w:val="0"/>
      <w:divBdr>
        <w:top w:val="none" w:sz="0" w:space="0" w:color="auto"/>
        <w:left w:val="none" w:sz="0" w:space="0" w:color="auto"/>
        <w:bottom w:val="none" w:sz="0" w:space="0" w:color="auto"/>
        <w:right w:val="none" w:sz="0" w:space="0" w:color="auto"/>
      </w:divBdr>
      <w:divsChild>
        <w:div w:id="1018389693">
          <w:marLeft w:val="0"/>
          <w:marRight w:val="0"/>
          <w:marTop w:val="0"/>
          <w:marBottom w:val="0"/>
          <w:divBdr>
            <w:top w:val="none" w:sz="0" w:space="0" w:color="auto"/>
            <w:left w:val="none" w:sz="0" w:space="0" w:color="auto"/>
            <w:bottom w:val="none" w:sz="0" w:space="0" w:color="auto"/>
            <w:right w:val="none" w:sz="0" w:space="0" w:color="auto"/>
          </w:divBdr>
          <w:divsChild>
            <w:div w:id="783839765">
              <w:marLeft w:val="0"/>
              <w:marRight w:val="0"/>
              <w:marTop w:val="0"/>
              <w:marBottom w:val="0"/>
              <w:divBdr>
                <w:top w:val="single" w:sz="6" w:space="24" w:color="EBEEF5"/>
                <w:left w:val="none" w:sz="0" w:space="0" w:color="auto"/>
                <w:bottom w:val="single" w:sz="6" w:space="18" w:color="EBEEF5"/>
                <w:right w:val="none" w:sz="0" w:space="0" w:color="auto"/>
              </w:divBdr>
              <w:divsChild>
                <w:div w:id="1940481533">
                  <w:marLeft w:val="0"/>
                  <w:marRight w:val="0"/>
                  <w:marTop w:val="0"/>
                  <w:marBottom w:val="0"/>
                  <w:divBdr>
                    <w:top w:val="none" w:sz="0" w:space="0" w:color="auto"/>
                    <w:left w:val="none" w:sz="0" w:space="0" w:color="auto"/>
                    <w:bottom w:val="none" w:sz="0" w:space="0" w:color="auto"/>
                    <w:right w:val="none" w:sz="0" w:space="0" w:color="auto"/>
                  </w:divBdr>
                  <w:divsChild>
                    <w:div w:id="405804266">
                      <w:marLeft w:val="0"/>
                      <w:marRight w:val="0"/>
                      <w:marTop w:val="0"/>
                      <w:marBottom w:val="0"/>
                      <w:divBdr>
                        <w:top w:val="none" w:sz="0" w:space="0" w:color="auto"/>
                        <w:left w:val="none" w:sz="0" w:space="0" w:color="auto"/>
                        <w:bottom w:val="none" w:sz="0" w:space="0" w:color="auto"/>
                        <w:right w:val="none" w:sz="0" w:space="0" w:color="auto"/>
                      </w:divBdr>
                      <w:divsChild>
                        <w:div w:id="20097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49734">
          <w:marLeft w:val="0"/>
          <w:marRight w:val="0"/>
          <w:marTop w:val="0"/>
          <w:marBottom w:val="0"/>
          <w:divBdr>
            <w:top w:val="none" w:sz="0" w:space="0" w:color="auto"/>
            <w:left w:val="none" w:sz="0" w:space="0" w:color="auto"/>
            <w:bottom w:val="none" w:sz="0" w:space="0" w:color="auto"/>
            <w:right w:val="none" w:sz="0" w:space="0" w:color="auto"/>
          </w:divBdr>
        </w:div>
        <w:div w:id="1846164333">
          <w:marLeft w:val="0"/>
          <w:marRight w:val="0"/>
          <w:marTop w:val="0"/>
          <w:marBottom w:val="0"/>
          <w:divBdr>
            <w:top w:val="none" w:sz="0" w:space="0" w:color="auto"/>
            <w:left w:val="none" w:sz="0" w:space="0" w:color="auto"/>
            <w:bottom w:val="none" w:sz="0" w:space="0" w:color="auto"/>
            <w:right w:val="none" w:sz="0" w:space="0" w:color="auto"/>
          </w:divBdr>
          <w:divsChild>
            <w:div w:id="975910201">
              <w:marLeft w:val="-225"/>
              <w:marRight w:val="-225"/>
              <w:marTop w:val="0"/>
              <w:marBottom w:val="0"/>
              <w:divBdr>
                <w:top w:val="none" w:sz="0" w:space="0" w:color="auto"/>
                <w:left w:val="none" w:sz="0" w:space="0" w:color="auto"/>
                <w:bottom w:val="none" w:sz="0" w:space="0" w:color="auto"/>
                <w:right w:val="none" w:sz="0" w:space="0" w:color="auto"/>
              </w:divBdr>
              <w:divsChild>
                <w:div w:id="1269318208">
                  <w:marLeft w:val="0"/>
                  <w:marRight w:val="0"/>
                  <w:marTop w:val="0"/>
                  <w:marBottom w:val="0"/>
                  <w:divBdr>
                    <w:top w:val="none" w:sz="0" w:space="0" w:color="auto"/>
                    <w:left w:val="none" w:sz="0" w:space="0" w:color="auto"/>
                    <w:bottom w:val="none" w:sz="0" w:space="0" w:color="auto"/>
                    <w:right w:val="none" w:sz="0" w:space="0" w:color="auto"/>
                  </w:divBdr>
                  <w:divsChild>
                    <w:div w:id="10557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24442">
          <w:marLeft w:val="0"/>
          <w:marRight w:val="0"/>
          <w:marTop w:val="0"/>
          <w:marBottom w:val="0"/>
          <w:divBdr>
            <w:top w:val="none" w:sz="0" w:space="0" w:color="auto"/>
            <w:left w:val="none" w:sz="0" w:space="0" w:color="auto"/>
            <w:bottom w:val="none" w:sz="0" w:space="0" w:color="auto"/>
            <w:right w:val="none" w:sz="0" w:space="0" w:color="auto"/>
          </w:divBdr>
          <w:divsChild>
            <w:div w:id="553542205">
              <w:marLeft w:val="-225"/>
              <w:marRight w:val="-225"/>
              <w:marTop w:val="0"/>
              <w:marBottom w:val="0"/>
              <w:divBdr>
                <w:top w:val="none" w:sz="0" w:space="0" w:color="auto"/>
                <w:left w:val="none" w:sz="0" w:space="0" w:color="auto"/>
                <w:bottom w:val="none" w:sz="0" w:space="0" w:color="auto"/>
                <w:right w:val="none" w:sz="0" w:space="0" w:color="auto"/>
              </w:divBdr>
              <w:divsChild>
                <w:div w:id="654646361">
                  <w:marLeft w:val="0"/>
                  <w:marRight w:val="0"/>
                  <w:marTop w:val="0"/>
                  <w:marBottom w:val="0"/>
                  <w:divBdr>
                    <w:top w:val="none" w:sz="0" w:space="0" w:color="auto"/>
                    <w:left w:val="none" w:sz="0" w:space="0" w:color="auto"/>
                    <w:bottom w:val="none" w:sz="0" w:space="0" w:color="auto"/>
                    <w:right w:val="none" w:sz="0" w:space="0" w:color="auto"/>
                  </w:divBdr>
                  <w:divsChild>
                    <w:div w:id="4693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70390">
      <w:bodyDiv w:val="1"/>
      <w:marLeft w:val="0"/>
      <w:marRight w:val="0"/>
      <w:marTop w:val="0"/>
      <w:marBottom w:val="0"/>
      <w:divBdr>
        <w:top w:val="none" w:sz="0" w:space="0" w:color="auto"/>
        <w:left w:val="none" w:sz="0" w:space="0" w:color="auto"/>
        <w:bottom w:val="none" w:sz="0" w:space="0" w:color="auto"/>
        <w:right w:val="none" w:sz="0" w:space="0" w:color="auto"/>
      </w:divBdr>
    </w:div>
    <w:div w:id="1651515161">
      <w:bodyDiv w:val="1"/>
      <w:marLeft w:val="0"/>
      <w:marRight w:val="0"/>
      <w:marTop w:val="0"/>
      <w:marBottom w:val="0"/>
      <w:divBdr>
        <w:top w:val="none" w:sz="0" w:space="0" w:color="auto"/>
        <w:left w:val="none" w:sz="0" w:space="0" w:color="auto"/>
        <w:bottom w:val="none" w:sz="0" w:space="0" w:color="auto"/>
        <w:right w:val="none" w:sz="0" w:space="0" w:color="auto"/>
      </w:divBdr>
    </w:div>
    <w:div w:id="1652324834">
      <w:bodyDiv w:val="1"/>
      <w:marLeft w:val="0"/>
      <w:marRight w:val="0"/>
      <w:marTop w:val="0"/>
      <w:marBottom w:val="0"/>
      <w:divBdr>
        <w:top w:val="none" w:sz="0" w:space="0" w:color="auto"/>
        <w:left w:val="none" w:sz="0" w:space="0" w:color="auto"/>
        <w:bottom w:val="none" w:sz="0" w:space="0" w:color="auto"/>
        <w:right w:val="none" w:sz="0" w:space="0" w:color="auto"/>
      </w:divBdr>
    </w:div>
    <w:div w:id="1654409249">
      <w:bodyDiv w:val="1"/>
      <w:marLeft w:val="0"/>
      <w:marRight w:val="0"/>
      <w:marTop w:val="0"/>
      <w:marBottom w:val="0"/>
      <w:divBdr>
        <w:top w:val="none" w:sz="0" w:space="0" w:color="auto"/>
        <w:left w:val="none" w:sz="0" w:space="0" w:color="auto"/>
        <w:bottom w:val="none" w:sz="0" w:space="0" w:color="auto"/>
        <w:right w:val="none" w:sz="0" w:space="0" w:color="auto"/>
      </w:divBdr>
    </w:div>
    <w:div w:id="1655254438">
      <w:bodyDiv w:val="1"/>
      <w:marLeft w:val="0"/>
      <w:marRight w:val="0"/>
      <w:marTop w:val="0"/>
      <w:marBottom w:val="0"/>
      <w:divBdr>
        <w:top w:val="none" w:sz="0" w:space="0" w:color="auto"/>
        <w:left w:val="none" w:sz="0" w:space="0" w:color="auto"/>
        <w:bottom w:val="none" w:sz="0" w:space="0" w:color="auto"/>
        <w:right w:val="none" w:sz="0" w:space="0" w:color="auto"/>
      </w:divBdr>
      <w:divsChild>
        <w:div w:id="20739774">
          <w:marLeft w:val="0"/>
          <w:marRight w:val="0"/>
          <w:marTop w:val="0"/>
          <w:marBottom w:val="0"/>
          <w:divBdr>
            <w:top w:val="none" w:sz="0" w:space="0" w:color="auto"/>
            <w:left w:val="none" w:sz="0" w:space="0" w:color="auto"/>
            <w:bottom w:val="none" w:sz="0" w:space="0" w:color="auto"/>
            <w:right w:val="none" w:sz="0" w:space="0" w:color="auto"/>
          </w:divBdr>
          <w:divsChild>
            <w:div w:id="1730179640">
              <w:marLeft w:val="-225"/>
              <w:marRight w:val="-225"/>
              <w:marTop w:val="0"/>
              <w:marBottom w:val="0"/>
              <w:divBdr>
                <w:top w:val="none" w:sz="0" w:space="0" w:color="auto"/>
                <w:left w:val="none" w:sz="0" w:space="0" w:color="auto"/>
                <w:bottom w:val="none" w:sz="0" w:space="0" w:color="auto"/>
                <w:right w:val="none" w:sz="0" w:space="0" w:color="auto"/>
              </w:divBdr>
              <w:divsChild>
                <w:div w:id="1434276639">
                  <w:marLeft w:val="0"/>
                  <w:marRight w:val="0"/>
                  <w:marTop w:val="0"/>
                  <w:marBottom w:val="0"/>
                  <w:divBdr>
                    <w:top w:val="none" w:sz="0" w:space="0" w:color="auto"/>
                    <w:left w:val="none" w:sz="0" w:space="0" w:color="auto"/>
                    <w:bottom w:val="none" w:sz="0" w:space="0" w:color="auto"/>
                    <w:right w:val="none" w:sz="0" w:space="0" w:color="auto"/>
                  </w:divBdr>
                  <w:divsChild>
                    <w:div w:id="2278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4131">
          <w:marLeft w:val="0"/>
          <w:marRight w:val="0"/>
          <w:marTop w:val="0"/>
          <w:marBottom w:val="0"/>
          <w:divBdr>
            <w:top w:val="none" w:sz="0" w:space="0" w:color="auto"/>
            <w:left w:val="none" w:sz="0" w:space="0" w:color="auto"/>
            <w:bottom w:val="none" w:sz="0" w:space="0" w:color="auto"/>
            <w:right w:val="none" w:sz="0" w:space="0" w:color="auto"/>
          </w:divBdr>
        </w:div>
        <w:div w:id="1791430543">
          <w:marLeft w:val="0"/>
          <w:marRight w:val="0"/>
          <w:marTop w:val="0"/>
          <w:marBottom w:val="0"/>
          <w:divBdr>
            <w:top w:val="none" w:sz="0" w:space="0" w:color="auto"/>
            <w:left w:val="none" w:sz="0" w:space="0" w:color="auto"/>
            <w:bottom w:val="none" w:sz="0" w:space="0" w:color="auto"/>
            <w:right w:val="none" w:sz="0" w:space="0" w:color="auto"/>
          </w:divBdr>
          <w:divsChild>
            <w:div w:id="380713570">
              <w:marLeft w:val="-225"/>
              <w:marRight w:val="-225"/>
              <w:marTop w:val="0"/>
              <w:marBottom w:val="0"/>
              <w:divBdr>
                <w:top w:val="none" w:sz="0" w:space="0" w:color="auto"/>
                <w:left w:val="none" w:sz="0" w:space="0" w:color="auto"/>
                <w:bottom w:val="none" w:sz="0" w:space="0" w:color="auto"/>
                <w:right w:val="none" w:sz="0" w:space="0" w:color="auto"/>
              </w:divBdr>
              <w:divsChild>
                <w:div w:id="1068530951">
                  <w:marLeft w:val="0"/>
                  <w:marRight w:val="0"/>
                  <w:marTop w:val="0"/>
                  <w:marBottom w:val="0"/>
                  <w:divBdr>
                    <w:top w:val="none" w:sz="0" w:space="0" w:color="auto"/>
                    <w:left w:val="none" w:sz="0" w:space="0" w:color="auto"/>
                    <w:bottom w:val="none" w:sz="0" w:space="0" w:color="auto"/>
                    <w:right w:val="none" w:sz="0" w:space="0" w:color="auto"/>
                  </w:divBdr>
                  <w:divsChild>
                    <w:div w:id="2893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08376">
          <w:marLeft w:val="0"/>
          <w:marRight w:val="0"/>
          <w:marTop w:val="0"/>
          <w:marBottom w:val="0"/>
          <w:divBdr>
            <w:top w:val="none" w:sz="0" w:space="0" w:color="auto"/>
            <w:left w:val="none" w:sz="0" w:space="0" w:color="auto"/>
            <w:bottom w:val="none" w:sz="0" w:space="0" w:color="auto"/>
            <w:right w:val="none" w:sz="0" w:space="0" w:color="auto"/>
          </w:divBdr>
          <w:divsChild>
            <w:div w:id="394737764">
              <w:marLeft w:val="0"/>
              <w:marRight w:val="0"/>
              <w:marTop w:val="0"/>
              <w:marBottom w:val="0"/>
              <w:divBdr>
                <w:top w:val="none" w:sz="0" w:space="0" w:color="auto"/>
                <w:left w:val="none" w:sz="0" w:space="0" w:color="auto"/>
                <w:bottom w:val="none" w:sz="0" w:space="0" w:color="auto"/>
                <w:right w:val="none" w:sz="0" w:space="0" w:color="auto"/>
              </w:divBdr>
              <w:divsChild>
                <w:div w:id="456722196">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sChild>
                        <w:div w:id="20413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856107">
      <w:bodyDiv w:val="1"/>
      <w:marLeft w:val="0"/>
      <w:marRight w:val="0"/>
      <w:marTop w:val="0"/>
      <w:marBottom w:val="0"/>
      <w:divBdr>
        <w:top w:val="none" w:sz="0" w:space="0" w:color="auto"/>
        <w:left w:val="none" w:sz="0" w:space="0" w:color="auto"/>
        <w:bottom w:val="none" w:sz="0" w:space="0" w:color="auto"/>
        <w:right w:val="none" w:sz="0" w:space="0" w:color="auto"/>
      </w:divBdr>
    </w:div>
    <w:div w:id="1663315934">
      <w:bodyDiv w:val="1"/>
      <w:marLeft w:val="0"/>
      <w:marRight w:val="0"/>
      <w:marTop w:val="0"/>
      <w:marBottom w:val="0"/>
      <w:divBdr>
        <w:top w:val="none" w:sz="0" w:space="0" w:color="auto"/>
        <w:left w:val="none" w:sz="0" w:space="0" w:color="auto"/>
        <w:bottom w:val="none" w:sz="0" w:space="0" w:color="auto"/>
        <w:right w:val="none" w:sz="0" w:space="0" w:color="auto"/>
      </w:divBdr>
      <w:divsChild>
        <w:div w:id="514534290">
          <w:marLeft w:val="0"/>
          <w:marRight w:val="0"/>
          <w:marTop w:val="0"/>
          <w:marBottom w:val="0"/>
          <w:divBdr>
            <w:top w:val="none" w:sz="0" w:space="0" w:color="auto"/>
            <w:left w:val="none" w:sz="0" w:space="0" w:color="auto"/>
            <w:bottom w:val="none" w:sz="0" w:space="0" w:color="auto"/>
            <w:right w:val="none" w:sz="0" w:space="0" w:color="auto"/>
          </w:divBdr>
        </w:div>
        <w:div w:id="622347982">
          <w:marLeft w:val="0"/>
          <w:marRight w:val="0"/>
          <w:marTop w:val="0"/>
          <w:marBottom w:val="0"/>
          <w:divBdr>
            <w:top w:val="none" w:sz="0" w:space="0" w:color="auto"/>
            <w:left w:val="none" w:sz="0" w:space="0" w:color="auto"/>
            <w:bottom w:val="none" w:sz="0" w:space="0" w:color="auto"/>
            <w:right w:val="none" w:sz="0" w:space="0" w:color="auto"/>
          </w:divBdr>
          <w:divsChild>
            <w:div w:id="1437869353">
              <w:marLeft w:val="-225"/>
              <w:marRight w:val="-225"/>
              <w:marTop w:val="0"/>
              <w:marBottom w:val="0"/>
              <w:divBdr>
                <w:top w:val="none" w:sz="0" w:space="0" w:color="auto"/>
                <w:left w:val="none" w:sz="0" w:space="0" w:color="auto"/>
                <w:bottom w:val="none" w:sz="0" w:space="0" w:color="auto"/>
                <w:right w:val="none" w:sz="0" w:space="0" w:color="auto"/>
              </w:divBdr>
              <w:divsChild>
                <w:div w:id="14580854">
                  <w:marLeft w:val="0"/>
                  <w:marRight w:val="0"/>
                  <w:marTop w:val="0"/>
                  <w:marBottom w:val="0"/>
                  <w:divBdr>
                    <w:top w:val="none" w:sz="0" w:space="0" w:color="auto"/>
                    <w:left w:val="none" w:sz="0" w:space="0" w:color="auto"/>
                    <w:bottom w:val="none" w:sz="0" w:space="0" w:color="auto"/>
                    <w:right w:val="none" w:sz="0" w:space="0" w:color="auto"/>
                  </w:divBdr>
                  <w:divsChild>
                    <w:div w:id="18654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90314">
          <w:marLeft w:val="0"/>
          <w:marRight w:val="0"/>
          <w:marTop w:val="0"/>
          <w:marBottom w:val="0"/>
          <w:divBdr>
            <w:top w:val="none" w:sz="0" w:space="0" w:color="auto"/>
            <w:left w:val="none" w:sz="0" w:space="0" w:color="auto"/>
            <w:bottom w:val="none" w:sz="0" w:space="0" w:color="auto"/>
            <w:right w:val="none" w:sz="0" w:space="0" w:color="auto"/>
          </w:divBdr>
          <w:divsChild>
            <w:div w:id="1803845592">
              <w:marLeft w:val="0"/>
              <w:marRight w:val="0"/>
              <w:marTop w:val="0"/>
              <w:marBottom w:val="0"/>
              <w:divBdr>
                <w:top w:val="none" w:sz="0" w:space="0" w:color="auto"/>
                <w:left w:val="none" w:sz="0" w:space="0" w:color="auto"/>
                <w:bottom w:val="none" w:sz="0" w:space="0" w:color="auto"/>
                <w:right w:val="none" w:sz="0" w:space="0" w:color="auto"/>
              </w:divBdr>
              <w:divsChild>
                <w:div w:id="1290277805">
                  <w:marLeft w:val="0"/>
                  <w:marRight w:val="0"/>
                  <w:marTop w:val="0"/>
                  <w:marBottom w:val="0"/>
                  <w:divBdr>
                    <w:top w:val="none" w:sz="0" w:space="0" w:color="auto"/>
                    <w:left w:val="none" w:sz="0" w:space="0" w:color="auto"/>
                    <w:bottom w:val="none" w:sz="0" w:space="0" w:color="auto"/>
                    <w:right w:val="none" w:sz="0" w:space="0" w:color="auto"/>
                  </w:divBdr>
                  <w:divsChild>
                    <w:div w:id="917638670">
                      <w:marLeft w:val="0"/>
                      <w:marRight w:val="0"/>
                      <w:marTop w:val="0"/>
                      <w:marBottom w:val="0"/>
                      <w:divBdr>
                        <w:top w:val="none" w:sz="0" w:space="0" w:color="auto"/>
                        <w:left w:val="none" w:sz="0" w:space="0" w:color="auto"/>
                        <w:bottom w:val="none" w:sz="0" w:space="0" w:color="auto"/>
                        <w:right w:val="none" w:sz="0" w:space="0" w:color="auto"/>
                      </w:divBdr>
                      <w:divsChild>
                        <w:div w:id="15072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31668">
          <w:marLeft w:val="0"/>
          <w:marRight w:val="0"/>
          <w:marTop w:val="0"/>
          <w:marBottom w:val="0"/>
          <w:divBdr>
            <w:top w:val="none" w:sz="0" w:space="0" w:color="auto"/>
            <w:left w:val="none" w:sz="0" w:space="0" w:color="auto"/>
            <w:bottom w:val="none" w:sz="0" w:space="0" w:color="auto"/>
            <w:right w:val="none" w:sz="0" w:space="0" w:color="auto"/>
          </w:divBdr>
          <w:divsChild>
            <w:div w:id="1018507069">
              <w:marLeft w:val="-225"/>
              <w:marRight w:val="-225"/>
              <w:marTop w:val="0"/>
              <w:marBottom w:val="0"/>
              <w:divBdr>
                <w:top w:val="none" w:sz="0" w:space="0" w:color="auto"/>
                <w:left w:val="none" w:sz="0" w:space="0" w:color="auto"/>
                <w:bottom w:val="none" w:sz="0" w:space="0" w:color="auto"/>
                <w:right w:val="none" w:sz="0" w:space="0" w:color="auto"/>
              </w:divBdr>
              <w:divsChild>
                <w:div w:id="726413891">
                  <w:marLeft w:val="0"/>
                  <w:marRight w:val="0"/>
                  <w:marTop w:val="0"/>
                  <w:marBottom w:val="0"/>
                  <w:divBdr>
                    <w:top w:val="none" w:sz="0" w:space="0" w:color="auto"/>
                    <w:left w:val="none" w:sz="0" w:space="0" w:color="auto"/>
                    <w:bottom w:val="none" w:sz="0" w:space="0" w:color="auto"/>
                    <w:right w:val="none" w:sz="0" w:space="0" w:color="auto"/>
                  </w:divBdr>
                  <w:divsChild>
                    <w:div w:id="2303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16836">
      <w:bodyDiv w:val="1"/>
      <w:marLeft w:val="0"/>
      <w:marRight w:val="0"/>
      <w:marTop w:val="0"/>
      <w:marBottom w:val="0"/>
      <w:divBdr>
        <w:top w:val="none" w:sz="0" w:space="0" w:color="auto"/>
        <w:left w:val="none" w:sz="0" w:space="0" w:color="auto"/>
        <w:bottom w:val="none" w:sz="0" w:space="0" w:color="auto"/>
        <w:right w:val="none" w:sz="0" w:space="0" w:color="auto"/>
      </w:divBdr>
    </w:div>
    <w:div w:id="1668359122">
      <w:bodyDiv w:val="1"/>
      <w:marLeft w:val="0"/>
      <w:marRight w:val="0"/>
      <w:marTop w:val="0"/>
      <w:marBottom w:val="0"/>
      <w:divBdr>
        <w:top w:val="none" w:sz="0" w:space="0" w:color="auto"/>
        <w:left w:val="none" w:sz="0" w:space="0" w:color="auto"/>
        <w:bottom w:val="none" w:sz="0" w:space="0" w:color="auto"/>
        <w:right w:val="none" w:sz="0" w:space="0" w:color="auto"/>
      </w:divBdr>
    </w:div>
    <w:div w:id="1669822698">
      <w:bodyDiv w:val="1"/>
      <w:marLeft w:val="0"/>
      <w:marRight w:val="0"/>
      <w:marTop w:val="0"/>
      <w:marBottom w:val="0"/>
      <w:divBdr>
        <w:top w:val="none" w:sz="0" w:space="0" w:color="auto"/>
        <w:left w:val="none" w:sz="0" w:space="0" w:color="auto"/>
        <w:bottom w:val="none" w:sz="0" w:space="0" w:color="auto"/>
        <w:right w:val="none" w:sz="0" w:space="0" w:color="auto"/>
      </w:divBdr>
    </w:div>
    <w:div w:id="1671367351">
      <w:bodyDiv w:val="1"/>
      <w:marLeft w:val="0"/>
      <w:marRight w:val="0"/>
      <w:marTop w:val="0"/>
      <w:marBottom w:val="0"/>
      <w:divBdr>
        <w:top w:val="none" w:sz="0" w:space="0" w:color="auto"/>
        <w:left w:val="none" w:sz="0" w:space="0" w:color="auto"/>
        <w:bottom w:val="none" w:sz="0" w:space="0" w:color="auto"/>
        <w:right w:val="none" w:sz="0" w:space="0" w:color="auto"/>
      </w:divBdr>
    </w:div>
    <w:div w:id="1675184446">
      <w:bodyDiv w:val="1"/>
      <w:marLeft w:val="0"/>
      <w:marRight w:val="0"/>
      <w:marTop w:val="0"/>
      <w:marBottom w:val="0"/>
      <w:divBdr>
        <w:top w:val="none" w:sz="0" w:space="0" w:color="auto"/>
        <w:left w:val="none" w:sz="0" w:space="0" w:color="auto"/>
        <w:bottom w:val="none" w:sz="0" w:space="0" w:color="auto"/>
        <w:right w:val="none" w:sz="0" w:space="0" w:color="auto"/>
      </w:divBdr>
    </w:div>
    <w:div w:id="1675763822">
      <w:bodyDiv w:val="1"/>
      <w:marLeft w:val="0"/>
      <w:marRight w:val="0"/>
      <w:marTop w:val="0"/>
      <w:marBottom w:val="0"/>
      <w:divBdr>
        <w:top w:val="none" w:sz="0" w:space="0" w:color="auto"/>
        <w:left w:val="none" w:sz="0" w:space="0" w:color="auto"/>
        <w:bottom w:val="none" w:sz="0" w:space="0" w:color="auto"/>
        <w:right w:val="none" w:sz="0" w:space="0" w:color="auto"/>
      </w:divBdr>
    </w:div>
    <w:div w:id="1677801925">
      <w:bodyDiv w:val="1"/>
      <w:marLeft w:val="0"/>
      <w:marRight w:val="0"/>
      <w:marTop w:val="0"/>
      <w:marBottom w:val="0"/>
      <w:divBdr>
        <w:top w:val="none" w:sz="0" w:space="0" w:color="auto"/>
        <w:left w:val="none" w:sz="0" w:space="0" w:color="auto"/>
        <w:bottom w:val="none" w:sz="0" w:space="0" w:color="auto"/>
        <w:right w:val="none" w:sz="0" w:space="0" w:color="auto"/>
      </w:divBdr>
    </w:div>
    <w:div w:id="1678118060">
      <w:bodyDiv w:val="1"/>
      <w:marLeft w:val="0"/>
      <w:marRight w:val="0"/>
      <w:marTop w:val="0"/>
      <w:marBottom w:val="0"/>
      <w:divBdr>
        <w:top w:val="none" w:sz="0" w:space="0" w:color="auto"/>
        <w:left w:val="none" w:sz="0" w:space="0" w:color="auto"/>
        <w:bottom w:val="none" w:sz="0" w:space="0" w:color="auto"/>
        <w:right w:val="none" w:sz="0" w:space="0" w:color="auto"/>
      </w:divBdr>
    </w:div>
    <w:div w:id="1687318122">
      <w:bodyDiv w:val="1"/>
      <w:marLeft w:val="0"/>
      <w:marRight w:val="0"/>
      <w:marTop w:val="0"/>
      <w:marBottom w:val="0"/>
      <w:divBdr>
        <w:top w:val="none" w:sz="0" w:space="0" w:color="auto"/>
        <w:left w:val="none" w:sz="0" w:space="0" w:color="auto"/>
        <w:bottom w:val="none" w:sz="0" w:space="0" w:color="auto"/>
        <w:right w:val="none" w:sz="0" w:space="0" w:color="auto"/>
      </w:divBdr>
    </w:div>
    <w:div w:id="1690836241">
      <w:bodyDiv w:val="1"/>
      <w:marLeft w:val="0"/>
      <w:marRight w:val="0"/>
      <w:marTop w:val="0"/>
      <w:marBottom w:val="0"/>
      <w:divBdr>
        <w:top w:val="none" w:sz="0" w:space="0" w:color="auto"/>
        <w:left w:val="none" w:sz="0" w:space="0" w:color="auto"/>
        <w:bottom w:val="none" w:sz="0" w:space="0" w:color="auto"/>
        <w:right w:val="none" w:sz="0" w:space="0" w:color="auto"/>
      </w:divBdr>
      <w:divsChild>
        <w:div w:id="327447826">
          <w:marLeft w:val="0"/>
          <w:marRight w:val="0"/>
          <w:marTop w:val="0"/>
          <w:marBottom w:val="0"/>
          <w:divBdr>
            <w:top w:val="none" w:sz="0" w:space="0" w:color="auto"/>
            <w:left w:val="none" w:sz="0" w:space="0" w:color="auto"/>
            <w:bottom w:val="none" w:sz="0" w:space="0" w:color="auto"/>
            <w:right w:val="none" w:sz="0" w:space="0" w:color="auto"/>
          </w:divBdr>
          <w:divsChild>
            <w:div w:id="123426759">
              <w:marLeft w:val="-225"/>
              <w:marRight w:val="-225"/>
              <w:marTop w:val="0"/>
              <w:marBottom w:val="0"/>
              <w:divBdr>
                <w:top w:val="none" w:sz="0" w:space="0" w:color="auto"/>
                <w:left w:val="none" w:sz="0" w:space="0" w:color="auto"/>
                <w:bottom w:val="none" w:sz="0" w:space="0" w:color="auto"/>
                <w:right w:val="none" w:sz="0" w:space="0" w:color="auto"/>
              </w:divBdr>
              <w:divsChild>
                <w:div w:id="235867747">
                  <w:marLeft w:val="0"/>
                  <w:marRight w:val="0"/>
                  <w:marTop w:val="0"/>
                  <w:marBottom w:val="0"/>
                  <w:divBdr>
                    <w:top w:val="none" w:sz="0" w:space="0" w:color="auto"/>
                    <w:left w:val="none" w:sz="0" w:space="0" w:color="auto"/>
                    <w:bottom w:val="none" w:sz="0" w:space="0" w:color="auto"/>
                    <w:right w:val="none" w:sz="0" w:space="0" w:color="auto"/>
                  </w:divBdr>
                  <w:divsChild>
                    <w:div w:id="9495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98841">
          <w:marLeft w:val="0"/>
          <w:marRight w:val="0"/>
          <w:marTop w:val="0"/>
          <w:marBottom w:val="0"/>
          <w:divBdr>
            <w:top w:val="none" w:sz="0" w:space="0" w:color="auto"/>
            <w:left w:val="none" w:sz="0" w:space="0" w:color="auto"/>
            <w:bottom w:val="none" w:sz="0" w:space="0" w:color="auto"/>
            <w:right w:val="none" w:sz="0" w:space="0" w:color="auto"/>
          </w:divBdr>
          <w:divsChild>
            <w:div w:id="876815995">
              <w:marLeft w:val="0"/>
              <w:marRight w:val="0"/>
              <w:marTop w:val="0"/>
              <w:marBottom w:val="0"/>
              <w:divBdr>
                <w:top w:val="single" w:sz="6" w:space="24" w:color="EBEEF5"/>
                <w:left w:val="none" w:sz="0" w:space="0" w:color="auto"/>
                <w:bottom w:val="single" w:sz="6" w:space="18" w:color="EBEEF5"/>
                <w:right w:val="none" w:sz="0" w:space="0" w:color="auto"/>
              </w:divBdr>
              <w:divsChild>
                <w:div w:id="1648822387">
                  <w:marLeft w:val="0"/>
                  <w:marRight w:val="0"/>
                  <w:marTop w:val="0"/>
                  <w:marBottom w:val="0"/>
                  <w:divBdr>
                    <w:top w:val="none" w:sz="0" w:space="0" w:color="auto"/>
                    <w:left w:val="none" w:sz="0" w:space="0" w:color="auto"/>
                    <w:bottom w:val="none" w:sz="0" w:space="0" w:color="auto"/>
                    <w:right w:val="none" w:sz="0" w:space="0" w:color="auto"/>
                  </w:divBdr>
                  <w:divsChild>
                    <w:div w:id="1016806276">
                      <w:marLeft w:val="0"/>
                      <w:marRight w:val="0"/>
                      <w:marTop w:val="0"/>
                      <w:marBottom w:val="0"/>
                      <w:divBdr>
                        <w:top w:val="none" w:sz="0" w:space="0" w:color="auto"/>
                        <w:left w:val="none" w:sz="0" w:space="0" w:color="auto"/>
                        <w:bottom w:val="none" w:sz="0" w:space="0" w:color="auto"/>
                        <w:right w:val="none" w:sz="0" w:space="0" w:color="auto"/>
                      </w:divBdr>
                      <w:divsChild>
                        <w:div w:id="18119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19492">
          <w:marLeft w:val="0"/>
          <w:marRight w:val="0"/>
          <w:marTop w:val="0"/>
          <w:marBottom w:val="0"/>
          <w:divBdr>
            <w:top w:val="none" w:sz="0" w:space="0" w:color="auto"/>
            <w:left w:val="none" w:sz="0" w:space="0" w:color="auto"/>
            <w:bottom w:val="none" w:sz="0" w:space="0" w:color="auto"/>
            <w:right w:val="none" w:sz="0" w:space="0" w:color="auto"/>
          </w:divBdr>
          <w:divsChild>
            <w:div w:id="1742406995">
              <w:marLeft w:val="-225"/>
              <w:marRight w:val="-225"/>
              <w:marTop w:val="0"/>
              <w:marBottom w:val="0"/>
              <w:divBdr>
                <w:top w:val="none" w:sz="0" w:space="0" w:color="auto"/>
                <w:left w:val="none" w:sz="0" w:space="0" w:color="auto"/>
                <w:bottom w:val="none" w:sz="0" w:space="0" w:color="auto"/>
                <w:right w:val="none" w:sz="0" w:space="0" w:color="auto"/>
              </w:divBdr>
              <w:divsChild>
                <w:div w:id="1288392599">
                  <w:marLeft w:val="0"/>
                  <w:marRight w:val="0"/>
                  <w:marTop w:val="0"/>
                  <w:marBottom w:val="0"/>
                  <w:divBdr>
                    <w:top w:val="none" w:sz="0" w:space="0" w:color="auto"/>
                    <w:left w:val="none" w:sz="0" w:space="0" w:color="auto"/>
                    <w:bottom w:val="none" w:sz="0" w:space="0" w:color="auto"/>
                    <w:right w:val="none" w:sz="0" w:space="0" w:color="auto"/>
                  </w:divBdr>
                  <w:divsChild>
                    <w:div w:id="12625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7622">
          <w:marLeft w:val="0"/>
          <w:marRight w:val="0"/>
          <w:marTop w:val="0"/>
          <w:marBottom w:val="0"/>
          <w:divBdr>
            <w:top w:val="none" w:sz="0" w:space="0" w:color="auto"/>
            <w:left w:val="none" w:sz="0" w:space="0" w:color="auto"/>
            <w:bottom w:val="none" w:sz="0" w:space="0" w:color="auto"/>
            <w:right w:val="none" w:sz="0" w:space="0" w:color="auto"/>
          </w:divBdr>
        </w:div>
      </w:divsChild>
    </w:div>
    <w:div w:id="1695108994">
      <w:bodyDiv w:val="1"/>
      <w:marLeft w:val="0"/>
      <w:marRight w:val="0"/>
      <w:marTop w:val="0"/>
      <w:marBottom w:val="0"/>
      <w:divBdr>
        <w:top w:val="none" w:sz="0" w:space="0" w:color="auto"/>
        <w:left w:val="none" w:sz="0" w:space="0" w:color="auto"/>
        <w:bottom w:val="none" w:sz="0" w:space="0" w:color="auto"/>
        <w:right w:val="none" w:sz="0" w:space="0" w:color="auto"/>
      </w:divBdr>
    </w:div>
    <w:div w:id="1697734852">
      <w:bodyDiv w:val="1"/>
      <w:marLeft w:val="0"/>
      <w:marRight w:val="0"/>
      <w:marTop w:val="0"/>
      <w:marBottom w:val="0"/>
      <w:divBdr>
        <w:top w:val="none" w:sz="0" w:space="0" w:color="auto"/>
        <w:left w:val="none" w:sz="0" w:space="0" w:color="auto"/>
        <w:bottom w:val="none" w:sz="0" w:space="0" w:color="auto"/>
        <w:right w:val="none" w:sz="0" w:space="0" w:color="auto"/>
      </w:divBdr>
      <w:divsChild>
        <w:div w:id="420565247">
          <w:marLeft w:val="-225"/>
          <w:marRight w:val="-225"/>
          <w:marTop w:val="0"/>
          <w:marBottom w:val="0"/>
          <w:divBdr>
            <w:top w:val="none" w:sz="0" w:space="0" w:color="auto"/>
            <w:left w:val="none" w:sz="0" w:space="0" w:color="auto"/>
            <w:bottom w:val="none" w:sz="0" w:space="0" w:color="auto"/>
            <w:right w:val="none" w:sz="0" w:space="0" w:color="auto"/>
          </w:divBdr>
          <w:divsChild>
            <w:div w:id="1485780746">
              <w:marLeft w:val="0"/>
              <w:marRight w:val="0"/>
              <w:marTop w:val="0"/>
              <w:marBottom w:val="0"/>
              <w:divBdr>
                <w:top w:val="none" w:sz="0" w:space="0" w:color="auto"/>
                <w:left w:val="none" w:sz="0" w:space="0" w:color="auto"/>
                <w:bottom w:val="none" w:sz="0" w:space="0" w:color="auto"/>
                <w:right w:val="none" w:sz="0" w:space="0" w:color="auto"/>
              </w:divBdr>
              <w:divsChild>
                <w:div w:id="5798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0982">
      <w:bodyDiv w:val="1"/>
      <w:marLeft w:val="0"/>
      <w:marRight w:val="0"/>
      <w:marTop w:val="0"/>
      <w:marBottom w:val="0"/>
      <w:divBdr>
        <w:top w:val="none" w:sz="0" w:space="0" w:color="auto"/>
        <w:left w:val="none" w:sz="0" w:space="0" w:color="auto"/>
        <w:bottom w:val="none" w:sz="0" w:space="0" w:color="auto"/>
        <w:right w:val="none" w:sz="0" w:space="0" w:color="auto"/>
      </w:divBdr>
    </w:div>
    <w:div w:id="1701006519">
      <w:bodyDiv w:val="1"/>
      <w:marLeft w:val="0"/>
      <w:marRight w:val="0"/>
      <w:marTop w:val="0"/>
      <w:marBottom w:val="0"/>
      <w:divBdr>
        <w:top w:val="none" w:sz="0" w:space="0" w:color="auto"/>
        <w:left w:val="none" w:sz="0" w:space="0" w:color="auto"/>
        <w:bottom w:val="none" w:sz="0" w:space="0" w:color="auto"/>
        <w:right w:val="none" w:sz="0" w:space="0" w:color="auto"/>
      </w:divBdr>
    </w:div>
    <w:div w:id="1701979323">
      <w:bodyDiv w:val="1"/>
      <w:marLeft w:val="0"/>
      <w:marRight w:val="0"/>
      <w:marTop w:val="0"/>
      <w:marBottom w:val="0"/>
      <w:divBdr>
        <w:top w:val="none" w:sz="0" w:space="0" w:color="auto"/>
        <w:left w:val="none" w:sz="0" w:space="0" w:color="auto"/>
        <w:bottom w:val="none" w:sz="0" w:space="0" w:color="auto"/>
        <w:right w:val="none" w:sz="0" w:space="0" w:color="auto"/>
      </w:divBdr>
    </w:div>
    <w:div w:id="1702314436">
      <w:bodyDiv w:val="1"/>
      <w:marLeft w:val="0"/>
      <w:marRight w:val="0"/>
      <w:marTop w:val="0"/>
      <w:marBottom w:val="0"/>
      <w:divBdr>
        <w:top w:val="none" w:sz="0" w:space="0" w:color="auto"/>
        <w:left w:val="none" w:sz="0" w:space="0" w:color="auto"/>
        <w:bottom w:val="none" w:sz="0" w:space="0" w:color="auto"/>
        <w:right w:val="none" w:sz="0" w:space="0" w:color="auto"/>
      </w:divBdr>
      <w:divsChild>
        <w:div w:id="160901398">
          <w:marLeft w:val="0"/>
          <w:marRight w:val="0"/>
          <w:marTop w:val="0"/>
          <w:marBottom w:val="0"/>
          <w:divBdr>
            <w:top w:val="none" w:sz="0" w:space="0" w:color="auto"/>
            <w:left w:val="none" w:sz="0" w:space="0" w:color="auto"/>
            <w:bottom w:val="none" w:sz="0" w:space="0" w:color="auto"/>
            <w:right w:val="none" w:sz="0" w:space="0" w:color="auto"/>
          </w:divBdr>
        </w:div>
        <w:div w:id="388723797">
          <w:marLeft w:val="0"/>
          <w:marRight w:val="0"/>
          <w:marTop w:val="0"/>
          <w:marBottom w:val="0"/>
          <w:divBdr>
            <w:top w:val="none" w:sz="0" w:space="0" w:color="auto"/>
            <w:left w:val="none" w:sz="0" w:space="0" w:color="auto"/>
            <w:bottom w:val="none" w:sz="0" w:space="0" w:color="auto"/>
            <w:right w:val="none" w:sz="0" w:space="0" w:color="auto"/>
          </w:divBdr>
        </w:div>
        <w:div w:id="572352075">
          <w:marLeft w:val="0"/>
          <w:marRight w:val="0"/>
          <w:marTop w:val="0"/>
          <w:marBottom w:val="0"/>
          <w:divBdr>
            <w:top w:val="none" w:sz="0" w:space="0" w:color="auto"/>
            <w:left w:val="none" w:sz="0" w:space="0" w:color="auto"/>
            <w:bottom w:val="none" w:sz="0" w:space="0" w:color="auto"/>
            <w:right w:val="none" w:sz="0" w:space="0" w:color="auto"/>
          </w:divBdr>
          <w:divsChild>
            <w:div w:id="509878685">
              <w:marLeft w:val="-225"/>
              <w:marRight w:val="-225"/>
              <w:marTop w:val="0"/>
              <w:marBottom w:val="0"/>
              <w:divBdr>
                <w:top w:val="none" w:sz="0" w:space="0" w:color="auto"/>
                <w:left w:val="none" w:sz="0" w:space="0" w:color="auto"/>
                <w:bottom w:val="none" w:sz="0" w:space="0" w:color="auto"/>
                <w:right w:val="none" w:sz="0" w:space="0" w:color="auto"/>
              </w:divBdr>
              <w:divsChild>
                <w:div w:id="1582133116">
                  <w:marLeft w:val="0"/>
                  <w:marRight w:val="0"/>
                  <w:marTop w:val="0"/>
                  <w:marBottom w:val="0"/>
                  <w:divBdr>
                    <w:top w:val="none" w:sz="0" w:space="0" w:color="auto"/>
                    <w:left w:val="none" w:sz="0" w:space="0" w:color="auto"/>
                    <w:bottom w:val="none" w:sz="0" w:space="0" w:color="auto"/>
                    <w:right w:val="none" w:sz="0" w:space="0" w:color="auto"/>
                  </w:divBdr>
                  <w:divsChild>
                    <w:div w:id="10345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6045">
          <w:marLeft w:val="0"/>
          <w:marRight w:val="0"/>
          <w:marTop w:val="0"/>
          <w:marBottom w:val="0"/>
          <w:divBdr>
            <w:top w:val="none" w:sz="0" w:space="0" w:color="auto"/>
            <w:left w:val="none" w:sz="0" w:space="0" w:color="auto"/>
            <w:bottom w:val="none" w:sz="0" w:space="0" w:color="auto"/>
            <w:right w:val="none" w:sz="0" w:space="0" w:color="auto"/>
          </w:divBdr>
          <w:divsChild>
            <w:div w:id="1271621790">
              <w:marLeft w:val="0"/>
              <w:marRight w:val="0"/>
              <w:marTop w:val="0"/>
              <w:marBottom w:val="0"/>
              <w:divBdr>
                <w:top w:val="single" w:sz="6" w:space="24" w:color="EBEEF5"/>
                <w:left w:val="none" w:sz="0" w:space="0" w:color="auto"/>
                <w:bottom w:val="single" w:sz="6" w:space="18" w:color="EBEEF5"/>
                <w:right w:val="none" w:sz="0" w:space="0" w:color="auto"/>
              </w:divBdr>
              <w:divsChild>
                <w:div w:id="728572258">
                  <w:marLeft w:val="0"/>
                  <w:marRight w:val="0"/>
                  <w:marTop w:val="0"/>
                  <w:marBottom w:val="0"/>
                  <w:divBdr>
                    <w:top w:val="none" w:sz="0" w:space="0" w:color="auto"/>
                    <w:left w:val="none" w:sz="0" w:space="0" w:color="auto"/>
                    <w:bottom w:val="none" w:sz="0" w:space="0" w:color="auto"/>
                    <w:right w:val="none" w:sz="0" w:space="0" w:color="auto"/>
                  </w:divBdr>
                  <w:divsChild>
                    <w:div w:id="470907437">
                      <w:marLeft w:val="0"/>
                      <w:marRight w:val="0"/>
                      <w:marTop w:val="0"/>
                      <w:marBottom w:val="0"/>
                      <w:divBdr>
                        <w:top w:val="none" w:sz="0" w:space="0" w:color="auto"/>
                        <w:left w:val="none" w:sz="0" w:space="0" w:color="auto"/>
                        <w:bottom w:val="none" w:sz="0" w:space="0" w:color="auto"/>
                        <w:right w:val="none" w:sz="0" w:space="0" w:color="auto"/>
                      </w:divBdr>
                      <w:divsChild>
                        <w:div w:id="1703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689239">
          <w:marLeft w:val="0"/>
          <w:marRight w:val="0"/>
          <w:marTop w:val="0"/>
          <w:marBottom w:val="0"/>
          <w:divBdr>
            <w:top w:val="none" w:sz="0" w:space="0" w:color="auto"/>
            <w:left w:val="none" w:sz="0" w:space="0" w:color="auto"/>
            <w:bottom w:val="none" w:sz="0" w:space="0" w:color="auto"/>
            <w:right w:val="none" w:sz="0" w:space="0" w:color="auto"/>
          </w:divBdr>
          <w:divsChild>
            <w:div w:id="1740054552">
              <w:marLeft w:val="-225"/>
              <w:marRight w:val="-225"/>
              <w:marTop w:val="0"/>
              <w:marBottom w:val="0"/>
              <w:divBdr>
                <w:top w:val="none" w:sz="0" w:space="0" w:color="auto"/>
                <w:left w:val="none" w:sz="0" w:space="0" w:color="auto"/>
                <w:bottom w:val="none" w:sz="0" w:space="0" w:color="auto"/>
                <w:right w:val="none" w:sz="0" w:space="0" w:color="auto"/>
              </w:divBdr>
              <w:divsChild>
                <w:div w:id="1113941976">
                  <w:marLeft w:val="0"/>
                  <w:marRight w:val="0"/>
                  <w:marTop w:val="0"/>
                  <w:marBottom w:val="0"/>
                  <w:divBdr>
                    <w:top w:val="none" w:sz="0" w:space="0" w:color="auto"/>
                    <w:left w:val="none" w:sz="0" w:space="0" w:color="auto"/>
                    <w:bottom w:val="none" w:sz="0" w:space="0" w:color="auto"/>
                    <w:right w:val="none" w:sz="0" w:space="0" w:color="auto"/>
                  </w:divBdr>
                  <w:divsChild>
                    <w:div w:id="2102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63604">
      <w:bodyDiv w:val="1"/>
      <w:marLeft w:val="0"/>
      <w:marRight w:val="0"/>
      <w:marTop w:val="0"/>
      <w:marBottom w:val="0"/>
      <w:divBdr>
        <w:top w:val="none" w:sz="0" w:space="0" w:color="auto"/>
        <w:left w:val="none" w:sz="0" w:space="0" w:color="auto"/>
        <w:bottom w:val="none" w:sz="0" w:space="0" w:color="auto"/>
        <w:right w:val="none" w:sz="0" w:space="0" w:color="auto"/>
      </w:divBdr>
    </w:div>
    <w:div w:id="1702438514">
      <w:bodyDiv w:val="1"/>
      <w:marLeft w:val="0"/>
      <w:marRight w:val="0"/>
      <w:marTop w:val="0"/>
      <w:marBottom w:val="0"/>
      <w:divBdr>
        <w:top w:val="none" w:sz="0" w:space="0" w:color="auto"/>
        <w:left w:val="none" w:sz="0" w:space="0" w:color="auto"/>
        <w:bottom w:val="none" w:sz="0" w:space="0" w:color="auto"/>
        <w:right w:val="none" w:sz="0" w:space="0" w:color="auto"/>
      </w:divBdr>
    </w:div>
    <w:div w:id="1703088097">
      <w:bodyDiv w:val="1"/>
      <w:marLeft w:val="0"/>
      <w:marRight w:val="0"/>
      <w:marTop w:val="0"/>
      <w:marBottom w:val="0"/>
      <w:divBdr>
        <w:top w:val="none" w:sz="0" w:space="0" w:color="auto"/>
        <w:left w:val="none" w:sz="0" w:space="0" w:color="auto"/>
        <w:bottom w:val="none" w:sz="0" w:space="0" w:color="auto"/>
        <w:right w:val="none" w:sz="0" w:space="0" w:color="auto"/>
      </w:divBdr>
    </w:div>
    <w:div w:id="1712411638">
      <w:bodyDiv w:val="1"/>
      <w:marLeft w:val="0"/>
      <w:marRight w:val="0"/>
      <w:marTop w:val="0"/>
      <w:marBottom w:val="0"/>
      <w:divBdr>
        <w:top w:val="none" w:sz="0" w:space="0" w:color="auto"/>
        <w:left w:val="none" w:sz="0" w:space="0" w:color="auto"/>
        <w:bottom w:val="none" w:sz="0" w:space="0" w:color="auto"/>
        <w:right w:val="none" w:sz="0" w:space="0" w:color="auto"/>
      </w:divBdr>
    </w:div>
    <w:div w:id="1715810261">
      <w:bodyDiv w:val="1"/>
      <w:marLeft w:val="0"/>
      <w:marRight w:val="0"/>
      <w:marTop w:val="0"/>
      <w:marBottom w:val="0"/>
      <w:divBdr>
        <w:top w:val="none" w:sz="0" w:space="0" w:color="auto"/>
        <w:left w:val="none" w:sz="0" w:space="0" w:color="auto"/>
        <w:bottom w:val="none" w:sz="0" w:space="0" w:color="auto"/>
        <w:right w:val="none" w:sz="0" w:space="0" w:color="auto"/>
      </w:divBdr>
    </w:div>
    <w:div w:id="1718359231">
      <w:bodyDiv w:val="1"/>
      <w:marLeft w:val="0"/>
      <w:marRight w:val="0"/>
      <w:marTop w:val="0"/>
      <w:marBottom w:val="0"/>
      <w:divBdr>
        <w:top w:val="none" w:sz="0" w:space="0" w:color="auto"/>
        <w:left w:val="none" w:sz="0" w:space="0" w:color="auto"/>
        <w:bottom w:val="none" w:sz="0" w:space="0" w:color="auto"/>
        <w:right w:val="none" w:sz="0" w:space="0" w:color="auto"/>
      </w:divBdr>
    </w:div>
    <w:div w:id="1718771897">
      <w:bodyDiv w:val="1"/>
      <w:marLeft w:val="0"/>
      <w:marRight w:val="0"/>
      <w:marTop w:val="0"/>
      <w:marBottom w:val="0"/>
      <w:divBdr>
        <w:top w:val="none" w:sz="0" w:space="0" w:color="auto"/>
        <w:left w:val="none" w:sz="0" w:space="0" w:color="auto"/>
        <w:bottom w:val="none" w:sz="0" w:space="0" w:color="auto"/>
        <w:right w:val="none" w:sz="0" w:space="0" w:color="auto"/>
      </w:divBdr>
      <w:divsChild>
        <w:div w:id="95029264">
          <w:marLeft w:val="0"/>
          <w:marRight w:val="0"/>
          <w:marTop w:val="0"/>
          <w:marBottom w:val="0"/>
          <w:divBdr>
            <w:top w:val="none" w:sz="0" w:space="0" w:color="auto"/>
            <w:left w:val="none" w:sz="0" w:space="0" w:color="auto"/>
            <w:bottom w:val="none" w:sz="0" w:space="0" w:color="auto"/>
            <w:right w:val="none" w:sz="0" w:space="0" w:color="auto"/>
          </w:divBdr>
          <w:divsChild>
            <w:div w:id="1080517953">
              <w:marLeft w:val="0"/>
              <w:marRight w:val="0"/>
              <w:marTop w:val="0"/>
              <w:marBottom w:val="0"/>
              <w:divBdr>
                <w:top w:val="none" w:sz="0" w:space="0" w:color="auto"/>
                <w:left w:val="none" w:sz="0" w:space="0" w:color="auto"/>
                <w:bottom w:val="none" w:sz="0" w:space="0" w:color="auto"/>
                <w:right w:val="none" w:sz="0" w:space="0" w:color="auto"/>
              </w:divBdr>
              <w:divsChild>
                <w:div w:id="1261178018">
                  <w:marLeft w:val="0"/>
                  <w:marRight w:val="0"/>
                  <w:marTop w:val="0"/>
                  <w:marBottom w:val="0"/>
                  <w:divBdr>
                    <w:top w:val="none" w:sz="0" w:space="0" w:color="auto"/>
                    <w:left w:val="none" w:sz="0" w:space="0" w:color="auto"/>
                    <w:bottom w:val="none" w:sz="0" w:space="0" w:color="auto"/>
                    <w:right w:val="none" w:sz="0" w:space="0" w:color="auto"/>
                  </w:divBdr>
                  <w:divsChild>
                    <w:div w:id="1354500345">
                      <w:marLeft w:val="0"/>
                      <w:marRight w:val="0"/>
                      <w:marTop w:val="0"/>
                      <w:marBottom w:val="0"/>
                      <w:divBdr>
                        <w:top w:val="none" w:sz="0" w:space="0" w:color="auto"/>
                        <w:left w:val="none" w:sz="0" w:space="0" w:color="auto"/>
                        <w:bottom w:val="none" w:sz="0" w:space="0" w:color="auto"/>
                        <w:right w:val="none" w:sz="0" w:space="0" w:color="auto"/>
                      </w:divBdr>
                      <w:divsChild>
                        <w:div w:id="12940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294996">
          <w:marLeft w:val="0"/>
          <w:marRight w:val="0"/>
          <w:marTop w:val="0"/>
          <w:marBottom w:val="0"/>
          <w:divBdr>
            <w:top w:val="none" w:sz="0" w:space="0" w:color="auto"/>
            <w:left w:val="none" w:sz="0" w:space="0" w:color="auto"/>
            <w:bottom w:val="none" w:sz="0" w:space="0" w:color="auto"/>
            <w:right w:val="none" w:sz="0" w:space="0" w:color="auto"/>
          </w:divBdr>
          <w:divsChild>
            <w:div w:id="1363090321">
              <w:marLeft w:val="-225"/>
              <w:marRight w:val="-225"/>
              <w:marTop w:val="0"/>
              <w:marBottom w:val="0"/>
              <w:divBdr>
                <w:top w:val="none" w:sz="0" w:space="0" w:color="auto"/>
                <w:left w:val="none" w:sz="0" w:space="0" w:color="auto"/>
                <w:bottom w:val="none" w:sz="0" w:space="0" w:color="auto"/>
                <w:right w:val="none" w:sz="0" w:space="0" w:color="auto"/>
              </w:divBdr>
              <w:divsChild>
                <w:div w:id="1964268542">
                  <w:marLeft w:val="0"/>
                  <w:marRight w:val="0"/>
                  <w:marTop w:val="0"/>
                  <w:marBottom w:val="0"/>
                  <w:divBdr>
                    <w:top w:val="none" w:sz="0" w:space="0" w:color="auto"/>
                    <w:left w:val="none" w:sz="0" w:space="0" w:color="auto"/>
                    <w:bottom w:val="none" w:sz="0" w:space="0" w:color="auto"/>
                    <w:right w:val="none" w:sz="0" w:space="0" w:color="auto"/>
                  </w:divBdr>
                  <w:divsChild>
                    <w:div w:id="20228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3752">
          <w:marLeft w:val="0"/>
          <w:marRight w:val="0"/>
          <w:marTop w:val="0"/>
          <w:marBottom w:val="0"/>
          <w:divBdr>
            <w:top w:val="none" w:sz="0" w:space="0" w:color="auto"/>
            <w:left w:val="none" w:sz="0" w:space="0" w:color="auto"/>
            <w:bottom w:val="none" w:sz="0" w:space="0" w:color="auto"/>
            <w:right w:val="none" w:sz="0" w:space="0" w:color="auto"/>
          </w:divBdr>
          <w:divsChild>
            <w:div w:id="1085952366">
              <w:marLeft w:val="-225"/>
              <w:marRight w:val="-225"/>
              <w:marTop w:val="0"/>
              <w:marBottom w:val="0"/>
              <w:divBdr>
                <w:top w:val="none" w:sz="0" w:space="0" w:color="auto"/>
                <w:left w:val="none" w:sz="0" w:space="0" w:color="auto"/>
                <w:bottom w:val="none" w:sz="0" w:space="0" w:color="auto"/>
                <w:right w:val="none" w:sz="0" w:space="0" w:color="auto"/>
              </w:divBdr>
              <w:divsChild>
                <w:div w:id="698316623">
                  <w:marLeft w:val="0"/>
                  <w:marRight w:val="0"/>
                  <w:marTop w:val="0"/>
                  <w:marBottom w:val="0"/>
                  <w:divBdr>
                    <w:top w:val="none" w:sz="0" w:space="0" w:color="auto"/>
                    <w:left w:val="none" w:sz="0" w:space="0" w:color="auto"/>
                    <w:bottom w:val="none" w:sz="0" w:space="0" w:color="auto"/>
                    <w:right w:val="none" w:sz="0" w:space="0" w:color="auto"/>
                  </w:divBdr>
                  <w:divsChild>
                    <w:div w:id="7372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6203">
          <w:marLeft w:val="0"/>
          <w:marRight w:val="0"/>
          <w:marTop w:val="0"/>
          <w:marBottom w:val="0"/>
          <w:divBdr>
            <w:top w:val="none" w:sz="0" w:space="0" w:color="auto"/>
            <w:left w:val="none" w:sz="0" w:space="0" w:color="auto"/>
            <w:bottom w:val="none" w:sz="0" w:space="0" w:color="auto"/>
            <w:right w:val="none" w:sz="0" w:space="0" w:color="auto"/>
          </w:divBdr>
        </w:div>
      </w:divsChild>
    </w:div>
    <w:div w:id="1721830857">
      <w:bodyDiv w:val="1"/>
      <w:marLeft w:val="0"/>
      <w:marRight w:val="0"/>
      <w:marTop w:val="0"/>
      <w:marBottom w:val="0"/>
      <w:divBdr>
        <w:top w:val="none" w:sz="0" w:space="0" w:color="auto"/>
        <w:left w:val="none" w:sz="0" w:space="0" w:color="auto"/>
        <w:bottom w:val="none" w:sz="0" w:space="0" w:color="auto"/>
        <w:right w:val="none" w:sz="0" w:space="0" w:color="auto"/>
      </w:divBdr>
    </w:div>
    <w:div w:id="1724332157">
      <w:bodyDiv w:val="1"/>
      <w:marLeft w:val="0"/>
      <w:marRight w:val="0"/>
      <w:marTop w:val="0"/>
      <w:marBottom w:val="0"/>
      <w:divBdr>
        <w:top w:val="none" w:sz="0" w:space="0" w:color="auto"/>
        <w:left w:val="none" w:sz="0" w:space="0" w:color="auto"/>
        <w:bottom w:val="none" w:sz="0" w:space="0" w:color="auto"/>
        <w:right w:val="none" w:sz="0" w:space="0" w:color="auto"/>
      </w:divBdr>
    </w:div>
    <w:div w:id="1726292020">
      <w:bodyDiv w:val="1"/>
      <w:marLeft w:val="0"/>
      <w:marRight w:val="0"/>
      <w:marTop w:val="0"/>
      <w:marBottom w:val="0"/>
      <w:divBdr>
        <w:top w:val="none" w:sz="0" w:space="0" w:color="auto"/>
        <w:left w:val="none" w:sz="0" w:space="0" w:color="auto"/>
        <w:bottom w:val="none" w:sz="0" w:space="0" w:color="auto"/>
        <w:right w:val="none" w:sz="0" w:space="0" w:color="auto"/>
      </w:divBdr>
    </w:div>
    <w:div w:id="1726447331">
      <w:bodyDiv w:val="1"/>
      <w:marLeft w:val="0"/>
      <w:marRight w:val="0"/>
      <w:marTop w:val="0"/>
      <w:marBottom w:val="0"/>
      <w:divBdr>
        <w:top w:val="none" w:sz="0" w:space="0" w:color="auto"/>
        <w:left w:val="none" w:sz="0" w:space="0" w:color="auto"/>
        <w:bottom w:val="none" w:sz="0" w:space="0" w:color="auto"/>
        <w:right w:val="none" w:sz="0" w:space="0" w:color="auto"/>
      </w:divBdr>
      <w:divsChild>
        <w:div w:id="766121956">
          <w:marLeft w:val="0"/>
          <w:marRight w:val="0"/>
          <w:marTop w:val="0"/>
          <w:marBottom w:val="0"/>
          <w:divBdr>
            <w:top w:val="none" w:sz="0" w:space="0" w:color="auto"/>
            <w:left w:val="none" w:sz="0" w:space="0" w:color="auto"/>
            <w:bottom w:val="none" w:sz="0" w:space="0" w:color="auto"/>
            <w:right w:val="none" w:sz="0" w:space="0" w:color="auto"/>
          </w:divBdr>
        </w:div>
        <w:div w:id="1282498789">
          <w:marLeft w:val="0"/>
          <w:marRight w:val="0"/>
          <w:marTop w:val="0"/>
          <w:marBottom w:val="0"/>
          <w:divBdr>
            <w:top w:val="none" w:sz="0" w:space="0" w:color="auto"/>
            <w:left w:val="none" w:sz="0" w:space="0" w:color="auto"/>
            <w:bottom w:val="none" w:sz="0" w:space="0" w:color="auto"/>
            <w:right w:val="none" w:sz="0" w:space="0" w:color="auto"/>
          </w:divBdr>
          <w:divsChild>
            <w:div w:id="1473596783">
              <w:marLeft w:val="-225"/>
              <w:marRight w:val="-225"/>
              <w:marTop w:val="0"/>
              <w:marBottom w:val="0"/>
              <w:divBdr>
                <w:top w:val="none" w:sz="0" w:space="0" w:color="auto"/>
                <w:left w:val="none" w:sz="0" w:space="0" w:color="auto"/>
                <w:bottom w:val="none" w:sz="0" w:space="0" w:color="auto"/>
                <w:right w:val="none" w:sz="0" w:space="0" w:color="auto"/>
              </w:divBdr>
              <w:divsChild>
                <w:div w:id="176428956">
                  <w:marLeft w:val="0"/>
                  <w:marRight w:val="0"/>
                  <w:marTop w:val="0"/>
                  <w:marBottom w:val="0"/>
                  <w:divBdr>
                    <w:top w:val="none" w:sz="0" w:space="0" w:color="auto"/>
                    <w:left w:val="none" w:sz="0" w:space="0" w:color="auto"/>
                    <w:bottom w:val="none" w:sz="0" w:space="0" w:color="auto"/>
                    <w:right w:val="none" w:sz="0" w:space="0" w:color="auto"/>
                  </w:divBdr>
                  <w:divsChild>
                    <w:div w:id="928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33134">
          <w:marLeft w:val="0"/>
          <w:marRight w:val="0"/>
          <w:marTop w:val="0"/>
          <w:marBottom w:val="0"/>
          <w:divBdr>
            <w:top w:val="none" w:sz="0" w:space="0" w:color="auto"/>
            <w:left w:val="none" w:sz="0" w:space="0" w:color="auto"/>
            <w:bottom w:val="none" w:sz="0" w:space="0" w:color="auto"/>
            <w:right w:val="none" w:sz="0" w:space="0" w:color="auto"/>
          </w:divBdr>
          <w:divsChild>
            <w:div w:id="931015438">
              <w:marLeft w:val="0"/>
              <w:marRight w:val="0"/>
              <w:marTop w:val="0"/>
              <w:marBottom w:val="0"/>
              <w:divBdr>
                <w:top w:val="none" w:sz="0" w:space="0" w:color="auto"/>
                <w:left w:val="none" w:sz="0" w:space="0" w:color="auto"/>
                <w:bottom w:val="none" w:sz="0" w:space="0" w:color="auto"/>
                <w:right w:val="none" w:sz="0" w:space="0" w:color="auto"/>
              </w:divBdr>
              <w:divsChild>
                <w:div w:id="1090010211">
                  <w:marLeft w:val="0"/>
                  <w:marRight w:val="0"/>
                  <w:marTop w:val="0"/>
                  <w:marBottom w:val="0"/>
                  <w:divBdr>
                    <w:top w:val="none" w:sz="0" w:space="0" w:color="auto"/>
                    <w:left w:val="none" w:sz="0" w:space="0" w:color="auto"/>
                    <w:bottom w:val="none" w:sz="0" w:space="0" w:color="auto"/>
                    <w:right w:val="none" w:sz="0" w:space="0" w:color="auto"/>
                  </w:divBdr>
                  <w:divsChild>
                    <w:div w:id="409891750">
                      <w:marLeft w:val="0"/>
                      <w:marRight w:val="0"/>
                      <w:marTop w:val="0"/>
                      <w:marBottom w:val="0"/>
                      <w:divBdr>
                        <w:top w:val="none" w:sz="0" w:space="0" w:color="auto"/>
                        <w:left w:val="none" w:sz="0" w:space="0" w:color="auto"/>
                        <w:bottom w:val="none" w:sz="0" w:space="0" w:color="auto"/>
                        <w:right w:val="none" w:sz="0" w:space="0" w:color="auto"/>
                      </w:divBdr>
                      <w:divsChild>
                        <w:div w:id="650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1182">
          <w:marLeft w:val="0"/>
          <w:marRight w:val="0"/>
          <w:marTop w:val="0"/>
          <w:marBottom w:val="0"/>
          <w:divBdr>
            <w:top w:val="none" w:sz="0" w:space="0" w:color="auto"/>
            <w:left w:val="none" w:sz="0" w:space="0" w:color="auto"/>
            <w:bottom w:val="none" w:sz="0" w:space="0" w:color="auto"/>
            <w:right w:val="none" w:sz="0" w:space="0" w:color="auto"/>
          </w:divBdr>
          <w:divsChild>
            <w:div w:id="1248541266">
              <w:marLeft w:val="-225"/>
              <w:marRight w:val="-225"/>
              <w:marTop w:val="0"/>
              <w:marBottom w:val="0"/>
              <w:divBdr>
                <w:top w:val="none" w:sz="0" w:space="0" w:color="auto"/>
                <w:left w:val="none" w:sz="0" w:space="0" w:color="auto"/>
                <w:bottom w:val="none" w:sz="0" w:space="0" w:color="auto"/>
                <w:right w:val="none" w:sz="0" w:space="0" w:color="auto"/>
              </w:divBdr>
              <w:divsChild>
                <w:div w:id="1812360181">
                  <w:marLeft w:val="0"/>
                  <w:marRight w:val="0"/>
                  <w:marTop w:val="0"/>
                  <w:marBottom w:val="0"/>
                  <w:divBdr>
                    <w:top w:val="none" w:sz="0" w:space="0" w:color="auto"/>
                    <w:left w:val="none" w:sz="0" w:space="0" w:color="auto"/>
                    <w:bottom w:val="none" w:sz="0" w:space="0" w:color="auto"/>
                    <w:right w:val="none" w:sz="0" w:space="0" w:color="auto"/>
                  </w:divBdr>
                  <w:divsChild>
                    <w:div w:id="5487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72105">
      <w:bodyDiv w:val="1"/>
      <w:marLeft w:val="0"/>
      <w:marRight w:val="0"/>
      <w:marTop w:val="0"/>
      <w:marBottom w:val="0"/>
      <w:divBdr>
        <w:top w:val="none" w:sz="0" w:space="0" w:color="auto"/>
        <w:left w:val="none" w:sz="0" w:space="0" w:color="auto"/>
        <w:bottom w:val="none" w:sz="0" w:space="0" w:color="auto"/>
        <w:right w:val="none" w:sz="0" w:space="0" w:color="auto"/>
      </w:divBdr>
      <w:divsChild>
        <w:div w:id="56830398">
          <w:marLeft w:val="0"/>
          <w:marRight w:val="0"/>
          <w:marTop w:val="0"/>
          <w:marBottom w:val="0"/>
          <w:divBdr>
            <w:top w:val="none" w:sz="0" w:space="0" w:color="auto"/>
            <w:left w:val="none" w:sz="0" w:space="0" w:color="auto"/>
            <w:bottom w:val="none" w:sz="0" w:space="0" w:color="auto"/>
            <w:right w:val="none" w:sz="0" w:space="0" w:color="auto"/>
          </w:divBdr>
          <w:divsChild>
            <w:div w:id="1280066531">
              <w:marLeft w:val="0"/>
              <w:marRight w:val="0"/>
              <w:marTop w:val="0"/>
              <w:marBottom w:val="0"/>
              <w:divBdr>
                <w:top w:val="single" w:sz="6" w:space="24" w:color="EBEEF5"/>
                <w:left w:val="none" w:sz="0" w:space="0" w:color="auto"/>
                <w:bottom w:val="single" w:sz="6" w:space="18" w:color="EBEEF5"/>
                <w:right w:val="none" w:sz="0" w:space="0" w:color="auto"/>
              </w:divBdr>
              <w:divsChild>
                <w:div w:id="1717965227">
                  <w:marLeft w:val="0"/>
                  <w:marRight w:val="0"/>
                  <w:marTop w:val="0"/>
                  <w:marBottom w:val="0"/>
                  <w:divBdr>
                    <w:top w:val="none" w:sz="0" w:space="0" w:color="auto"/>
                    <w:left w:val="none" w:sz="0" w:space="0" w:color="auto"/>
                    <w:bottom w:val="none" w:sz="0" w:space="0" w:color="auto"/>
                    <w:right w:val="none" w:sz="0" w:space="0" w:color="auto"/>
                  </w:divBdr>
                  <w:divsChild>
                    <w:div w:id="913782587">
                      <w:marLeft w:val="0"/>
                      <w:marRight w:val="0"/>
                      <w:marTop w:val="0"/>
                      <w:marBottom w:val="0"/>
                      <w:divBdr>
                        <w:top w:val="none" w:sz="0" w:space="0" w:color="auto"/>
                        <w:left w:val="none" w:sz="0" w:space="0" w:color="auto"/>
                        <w:bottom w:val="none" w:sz="0" w:space="0" w:color="auto"/>
                        <w:right w:val="none" w:sz="0" w:space="0" w:color="auto"/>
                      </w:divBdr>
                      <w:divsChild>
                        <w:div w:id="6748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97701">
          <w:marLeft w:val="0"/>
          <w:marRight w:val="0"/>
          <w:marTop w:val="0"/>
          <w:marBottom w:val="0"/>
          <w:divBdr>
            <w:top w:val="none" w:sz="0" w:space="0" w:color="auto"/>
            <w:left w:val="none" w:sz="0" w:space="0" w:color="auto"/>
            <w:bottom w:val="none" w:sz="0" w:space="0" w:color="auto"/>
            <w:right w:val="none" w:sz="0" w:space="0" w:color="auto"/>
          </w:divBdr>
        </w:div>
        <w:div w:id="1312903765">
          <w:marLeft w:val="0"/>
          <w:marRight w:val="0"/>
          <w:marTop w:val="0"/>
          <w:marBottom w:val="0"/>
          <w:divBdr>
            <w:top w:val="none" w:sz="0" w:space="0" w:color="auto"/>
            <w:left w:val="none" w:sz="0" w:space="0" w:color="auto"/>
            <w:bottom w:val="none" w:sz="0" w:space="0" w:color="auto"/>
            <w:right w:val="none" w:sz="0" w:space="0" w:color="auto"/>
          </w:divBdr>
          <w:divsChild>
            <w:div w:id="791366957">
              <w:marLeft w:val="-225"/>
              <w:marRight w:val="-225"/>
              <w:marTop w:val="0"/>
              <w:marBottom w:val="0"/>
              <w:divBdr>
                <w:top w:val="none" w:sz="0" w:space="0" w:color="auto"/>
                <w:left w:val="none" w:sz="0" w:space="0" w:color="auto"/>
                <w:bottom w:val="none" w:sz="0" w:space="0" w:color="auto"/>
                <w:right w:val="none" w:sz="0" w:space="0" w:color="auto"/>
              </w:divBdr>
              <w:divsChild>
                <w:div w:id="1130980517">
                  <w:marLeft w:val="0"/>
                  <w:marRight w:val="0"/>
                  <w:marTop w:val="0"/>
                  <w:marBottom w:val="0"/>
                  <w:divBdr>
                    <w:top w:val="none" w:sz="0" w:space="0" w:color="auto"/>
                    <w:left w:val="none" w:sz="0" w:space="0" w:color="auto"/>
                    <w:bottom w:val="none" w:sz="0" w:space="0" w:color="auto"/>
                    <w:right w:val="none" w:sz="0" w:space="0" w:color="auto"/>
                  </w:divBdr>
                  <w:divsChild>
                    <w:div w:id="14603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3427">
          <w:marLeft w:val="0"/>
          <w:marRight w:val="0"/>
          <w:marTop w:val="0"/>
          <w:marBottom w:val="0"/>
          <w:divBdr>
            <w:top w:val="none" w:sz="0" w:space="0" w:color="auto"/>
            <w:left w:val="none" w:sz="0" w:space="0" w:color="auto"/>
            <w:bottom w:val="none" w:sz="0" w:space="0" w:color="auto"/>
            <w:right w:val="none" w:sz="0" w:space="0" w:color="auto"/>
          </w:divBdr>
          <w:divsChild>
            <w:div w:id="2044597468">
              <w:marLeft w:val="-225"/>
              <w:marRight w:val="-225"/>
              <w:marTop w:val="0"/>
              <w:marBottom w:val="0"/>
              <w:divBdr>
                <w:top w:val="none" w:sz="0" w:space="0" w:color="auto"/>
                <w:left w:val="none" w:sz="0" w:space="0" w:color="auto"/>
                <w:bottom w:val="none" w:sz="0" w:space="0" w:color="auto"/>
                <w:right w:val="none" w:sz="0" w:space="0" w:color="auto"/>
              </w:divBdr>
              <w:divsChild>
                <w:div w:id="524253693">
                  <w:marLeft w:val="0"/>
                  <w:marRight w:val="0"/>
                  <w:marTop w:val="0"/>
                  <w:marBottom w:val="0"/>
                  <w:divBdr>
                    <w:top w:val="none" w:sz="0" w:space="0" w:color="auto"/>
                    <w:left w:val="none" w:sz="0" w:space="0" w:color="auto"/>
                    <w:bottom w:val="none" w:sz="0" w:space="0" w:color="auto"/>
                    <w:right w:val="none" w:sz="0" w:space="0" w:color="auto"/>
                  </w:divBdr>
                  <w:divsChild>
                    <w:div w:id="17519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0747">
      <w:bodyDiv w:val="1"/>
      <w:marLeft w:val="0"/>
      <w:marRight w:val="0"/>
      <w:marTop w:val="0"/>
      <w:marBottom w:val="0"/>
      <w:divBdr>
        <w:top w:val="none" w:sz="0" w:space="0" w:color="auto"/>
        <w:left w:val="none" w:sz="0" w:space="0" w:color="auto"/>
        <w:bottom w:val="none" w:sz="0" w:space="0" w:color="auto"/>
        <w:right w:val="none" w:sz="0" w:space="0" w:color="auto"/>
      </w:divBdr>
    </w:div>
    <w:div w:id="1729456449">
      <w:bodyDiv w:val="1"/>
      <w:marLeft w:val="0"/>
      <w:marRight w:val="0"/>
      <w:marTop w:val="0"/>
      <w:marBottom w:val="0"/>
      <w:divBdr>
        <w:top w:val="none" w:sz="0" w:space="0" w:color="auto"/>
        <w:left w:val="none" w:sz="0" w:space="0" w:color="auto"/>
        <w:bottom w:val="none" w:sz="0" w:space="0" w:color="auto"/>
        <w:right w:val="none" w:sz="0" w:space="0" w:color="auto"/>
      </w:divBdr>
    </w:div>
    <w:div w:id="1729499623">
      <w:bodyDiv w:val="1"/>
      <w:marLeft w:val="0"/>
      <w:marRight w:val="0"/>
      <w:marTop w:val="0"/>
      <w:marBottom w:val="0"/>
      <w:divBdr>
        <w:top w:val="none" w:sz="0" w:space="0" w:color="auto"/>
        <w:left w:val="none" w:sz="0" w:space="0" w:color="auto"/>
        <w:bottom w:val="none" w:sz="0" w:space="0" w:color="auto"/>
        <w:right w:val="none" w:sz="0" w:space="0" w:color="auto"/>
      </w:divBdr>
    </w:div>
    <w:div w:id="1730422011">
      <w:bodyDiv w:val="1"/>
      <w:marLeft w:val="0"/>
      <w:marRight w:val="0"/>
      <w:marTop w:val="0"/>
      <w:marBottom w:val="0"/>
      <w:divBdr>
        <w:top w:val="none" w:sz="0" w:space="0" w:color="auto"/>
        <w:left w:val="none" w:sz="0" w:space="0" w:color="auto"/>
        <w:bottom w:val="none" w:sz="0" w:space="0" w:color="auto"/>
        <w:right w:val="none" w:sz="0" w:space="0" w:color="auto"/>
      </w:divBdr>
    </w:div>
    <w:div w:id="1736657578">
      <w:bodyDiv w:val="1"/>
      <w:marLeft w:val="0"/>
      <w:marRight w:val="0"/>
      <w:marTop w:val="0"/>
      <w:marBottom w:val="0"/>
      <w:divBdr>
        <w:top w:val="none" w:sz="0" w:space="0" w:color="auto"/>
        <w:left w:val="none" w:sz="0" w:space="0" w:color="auto"/>
        <w:bottom w:val="none" w:sz="0" w:space="0" w:color="auto"/>
        <w:right w:val="none" w:sz="0" w:space="0" w:color="auto"/>
      </w:divBdr>
    </w:div>
    <w:div w:id="1739784319">
      <w:bodyDiv w:val="1"/>
      <w:marLeft w:val="0"/>
      <w:marRight w:val="0"/>
      <w:marTop w:val="0"/>
      <w:marBottom w:val="0"/>
      <w:divBdr>
        <w:top w:val="none" w:sz="0" w:space="0" w:color="auto"/>
        <w:left w:val="none" w:sz="0" w:space="0" w:color="auto"/>
        <w:bottom w:val="none" w:sz="0" w:space="0" w:color="auto"/>
        <w:right w:val="none" w:sz="0" w:space="0" w:color="auto"/>
      </w:divBdr>
    </w:div>
    <w:div w:id="1740248675">
      <w:bodyDiv w:val="1"/>
      <w:marLeft w:val="0"/>
      <w:marRight w:val="0"/>
      <w:marTop w:val="0"/>
      <w:marBottom w:val="0"/>
      <w:divBdr>
        <w:top w:val="none" w:sz="0" w:space="0" w:color="auto"/>
        <w:left w:val="none" w:sz="0" w:space="0" w:color="auto"/>
        <w:bottom w:val="none" w:sz="0" w:space="0" w:color="auto"/>
        <w:right w:val="none" w:sz="0" w:space="0" w:color="auto"/>
      </w:divBdr>
      <w:divsChild>
        <w:div w:id="388461742">
          <w:marLeft w:val="0"/>
          <w:marRight w:val="0"/>
          <w:marTop w:val="0"/>
          <w:marBottom w:val="0"/>
          <w:divBdr>
            <w:top w:val="none" w:sz="0" w:space="0" w:color="auto"/>
            <w:left w:val="none" w:sz="0" w:space="0" w:color="auto"/>
            <w:bottom w:val="none" w:sz="0" w:space="0" w:color="auto"/>
            <w:right w:val="none" w:sz="0" w:space="0" w:color="auto"/>
          </w:divBdr>
          <w:divsChild>
            <w:div w:id="1468352437">
              <w:marLeft w:val="0"/>
              <w:marRight w:val="0"/>
              <w:marTop w:val="0"/>
              <w:marBottom w:val="0"/>
              <w:divBdr>
                <w:top w:val="none" w:sz="0" w:space="0" w:color="auto"/>
                <w:left w:val="none" w:sz="0" w:space="0" w:color="auto"/>
                <w:bottom w:val="none" w:sz="0" w:space="0" w:color="auto"/>
                <w:right w:val="none" w:sz="0" w:space="0" w:color="auto"/>
              </w:divBdr>
              <w:divsChild>
                <w:div w:id="1501849469">
                  <w:marLeft w:val="0"/>
                  <w:marRight w:val="0"/>
                  <w:marTop w:val="0"/>
                  <w:marBottom w:val="0"/>
                  <w:divBdr>
                    <w:top w:val="none" w:sz="0" w:space="0" w:color="auto"/>
                    <w:left w:val="none" w:sz="0" w:space="0" w:color="auto"/>
                    <w:bottom w:val="none" w:sz="0" w:space="0" w:color="auto"/>
                    <w:right w:val="none" w:sz="0" w:space="0" w:color="auto"/>
                  </w:divBdr>
                  <w:divsChild>
                    <w:div w:id="53552990">
                      <w:marLeft w:val="0"/>
                      <w:marRight w:val="0"/>
                      <w:marTop w:val="0"/>
                      <w:marBottom w:val="0"/>
                      <w:divBdr>
                        <w:top w:val="none" w:sz="0" w:space="0" w:color="auto"/>
                        <w:left w:val="none" w:sz="0" w:space="0" w:color="auto"/>
                        <w:bottom w:val="none" w:sz="0" w:space="0" w:color="auto"/>
                        <w:right w:val="none" w:sz="0" w:space="0" w:color="auto"/>
                      </w:divBdr>
                      <w:divsChild>
                        <w:div w:id="6784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86926">
          <w:marLeft w:val="0"/>
          <w:marRight w:val="0"/>
          <w:marTop w:val="0"/>
          <w:marBottom w:val="0"/>
          <w:divBdr>
            <w:top w:val="none" w:sz="0" w:space="0" w:color="auto"/>
            <w:left w:val="none" w:sz="0" w:space="0" w:color="auto"/>
            <w:bottom w:val="none" w:sz="0" w:space="0" w:color="auto"/>
            <w:right w:val="none" w:sz="0" w:space="0" w:color="auto"/>
          </w:divBdr>
        </w:div>
        <w:div w:id="922183243">
          <w:marLeft w:val="0"/>
          <w:marRight w:val="0"/>
          <w:marTop w:val="0"/>
          <w:marBottom w:val="0"/>
          <w:divBdr>
            <w:top w:val="none" w:sz="0" w:space="0" w:color="auto"/>
            <w:left w:val="none" w:sz="0" w:space="0" w:color="auto"/>
            <w:bottom w:val="none" w:sz="0" w:space="0" w:color="auto"/>
            <w:right w:val="none" w:sz="0" w:space="0" w:color="auto"/>
          </w:divBdr>
          <w:divsChild>
            <w:div w:id="530462769">
              <w:marLeft w:val="-225"/>
              <w:marRight w:val="-225"/>
              <w:marTop w:val="0"/>
              <w:marBottom w:val="0"/>
              <w:divBdr>
                <w:top w:val="none" w:sz="0" w:space="0" w:color="auto"/>
                <w:left w:val="none" w:sz="0" w:space="0" w:color="auto"/>
                <w:bottom w:val="none" w:sz="0" w:space="0" w:color="auto"/>
                <w:right w:val="none" w:sz="0" w:space="0" w:color="auto"/>
              </w:divBdr>
              <w:divsChild>
                <w:div w:id="1962295211">
                  <w:marLeft w:val="0"/>
                  <w:marRight w:val="0"/>
                  <w:marTop w:val="0"/>
                  <w:marBottom w:val="0"/>
                  <w:divBdr>
                    <w:top w:val="none" w:sz="0" w:space="0" w:color="auto"/>
                    <w:left w:val="none" w:sz="0" w:space="0" w:color="auto"/>
                    <w:bottom w:val="none" w:sz="0" w:space="0" w:color="auto"/>
                    <w:right w:val="none" w:sz="0" w:space="0" w:color="auto"/>
                  </w:divBdr>
                  <w:divsChild>
                    <w:div w:id="17740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2672">
          <w:marLeft w:val="0"/>
          <w:marRight w:val="0"/>
          <w:marTop w:val="0"/>
          <w:marBottom w:val="0"/>
          <w:divBdr>
            <w:top w:val="none" w:sz="0" w:space="0" w:color="auto"/>
            <w:left w:val="none" w:sz="0" w:space="0" w:color="auto"/>
            <w:bottom w:val="none" w:sz="0" w:space="0" w:color="auto"/>
            <w:right w:val="none" w:sz="0" w:space="0" w:color="auto"/>
          </w:divBdr>
          <w:divsChild>
            <w:div w:id="619457162">
              <w:marLeft w:val="-225"/>
              <w:marRight w:val="-225"/>
              <w:marTop w:val="0"/>
              <w:marBottom w:val="0"/>
              <w:divBdr>
                <w:top w:val="none" w:sz="0" w:space="0" w:color="auto"/>
                <w:left w:val="none" w:sz="0" w:space="0" w:color="auto"/>
                <w:bottom w:val="none" w:sz="0" w:space="0" w:color="auto"/>
                <w:right w:val="none" w:sz="0" w:space="0" w:color="auto"/>
              </w:divBdr>
              <w:divsChild>
                <w:div w:id="203911167">
                  <w:marLeft w:val="0"/>
                  <w:marRight w:val="0"/>
                  <w:marTop w:val="0"/>
                  <w:marBottom w:val="0"/>
                  <w:divBdr>
                    <w:top w:val="none" w:sz="0" w:space="0" w:color="auto"/>
                    <w:left w:val="none" w:sz="0" w:space="0" w:color="auto"/>
                    <w:bottom w:val="none" w:sz="0" w:space="0" w:color="auto"/>
                    <w:right w:val="none" w:sz="0" w:space="0" w:color="auto"/>
                  </w:divBdr>
                  <w:divsChild>
                    <w:div w:id="9106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94164">
      <w:bodyDiv w:val="1"/>
      <w:marLeft w:val="0"/>
      <w:marRight w:val="0"/>
      <w:marTop w:val="0"/>
      <w:marBottom w:val="0"/>
      <w:divBdr>
        <w:top w:val="none" w:sz="0" w:space="0" w:color="auto"/>
        <w:left w:val="none" w:sz="0" w:space="0" w:color="auto"/>
        <w:bottom w:val="none" w:sz="0" w:space="0" w:color="auto"/>
        <w:right w:val="none" w:sz="0" w:space="0" w:color="auto"/>
      </w:divBdr>
    </w:div>
    <w:div w:id="1740708078">
      <w:bodyDiv w:val="1"/>
      <w:marLeft w:val="0"/>
      <w:marRight w:val="0"/>
      <w:marTop w:val="0"/>
      <w:marBottom w:val="0"/>
      <w:divBdr>
        <w:top w:val="none" w:sz="0" w:space="0" w:color="auto"/>
        <w:left w:val="none" w:sz="0" w:space="0" w:color="auto"/>
        <w:bottom w:val="none" w:sz="0" w:space="0" w:color="auto"/>
        <w:right w:val="none" w:sz="0" w:space="0" w:color="auto"/>
      </w:divBdr>
    </w:div>
    <w:div w:id="1741173705">
      <w:bodyDiv w:val="1"/>
      <w:marLeft w:val="0"/>
      <w:marRight w:val="0"/>
      <w:marTop w:val="0"/>
      <w:marBottom w:val="0"/>
      <w:divBdr>
        <w:top w:val="none" w:sz="0" w:space="0" w:color="auto"/>
        <w:left w:val="none" w:sz="0" w:space="0" w:color="auto"/>
        <w:bottom w:val="none" w:sz="0" w:space="0" w:color="auto"/>
        <w:right w:val="none" w:sz="0" w:space="0" w:color="auto"/>
      </w:divBdr>
      <w:divsChild>
        <w:div w:id="112021860">
          <w:marLeft w:val="0"/>
          <w:marRight w:val="0"/>
          <w:marTop w:val="0"/>
          <w:marBottom w:val="0"/>
          <w:divBdr>
            <w:top w:val="none" w:sz="0" w:space="0" w:color="auto"/>
            <w:left w:val="none" w:sz="0" w:space="0" w:color="auto"/>
            <w:bottom w:val="none" w:sz="0" w:space="0" w:color="auto"/>
            <w:right w:val="none" w:sz="0" w:space="0" w:color="auto"/>
          </w:divBdr>
        </w:div>
        <w:div w:id="608201641">
          <w:marLeft w:val="0"/>
          <w:marRight w:val="0"/>
          <w:marTop w:val="0"/>
          <w:marBottom w:val="0"/>
          <w:divBdr>
            <w:top w:val="none" w:sz="0" w:space="0" w:color="auto"/>
            <w:left w:val="none" w:sz="0" w:space="0" w:color="auto"/>
            <w:bottom w:val="none" w:sz="0" w:space="0" w:color="auto"/>
            <w:right w:val="none" w:sz="0" w:space="0" w:color="auto"/>
          </w:divBdr>
          <w:divsChild>
            <w:div w:id="1530676390">
              <w:marLeft w:val="-225"/>
              <w:marRight w:val="-225"/>
              <w:marTop w:val="0"/>
              <w:marBottom w:val="0"/>
              <w:divBdr>
                <w:top w:val="none" w:sz="0" w:space="0" w:color="auto"/>
                <w:left w:val="none" w:sz="0" w:space="0" w:color="auto"/>
                <w:bottom w:val="none" w:sz="0" w:space="0" w:color="auto"/>
                <w:right w:val="none" w:sz="0" w:space="0" w:color="auto"/>
              </w:divBdr>
              <w:divsChild>
                <w:div w:id="555706901">
                  <w:marLeft w:val="0"/>
                  <w:marRight w:val="0"/>
                  <w:marTop w:val="0"/>
                  <w:marBottom w:val="0"/>
                  <w:divBdr>
                    <w:top w:val="none" w:sz="0" w:space="0" w:color="auto"/>
                    <w:left w:val="none" w:sz="0" w:space="0" w:color="auto"/>
                    <w:bottom w:val="none" w:sz="0" w:space="0" w:color="auto"/>
                    <w:right w:val="none" w:sz="0" w:space="0" w:color="auto"/>
                  </w:divBdr>
                  <w:divsChild>
                    <w:div w:id="11016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7844">
          <w:marLeft w:val="0"/>
          <w:marRight w:val="0"/>
          <w:marTop w:val="0"/>
          <w:marBottom w:val="0"/>
          <w:divBdr>
            <w:top w:val="none" w:sz="0" w:space="0" w:color="auto"/>
            <w:left w:val="none" w:sz="0" w:space="0" w:color="auto"/>
            <w:bottom w:val="none" w:sz="0" w:space="0" w:color="auto"/>
            <w:right w:val="none" w:sz="0" w:space="0" w:color="auto"/>
          </w:divBdr>
          <w:divsChild>
            <w:div w:id="2081898213">
              <w:marLeft w:val="0"/>
              <w:marRight w:val="0"/>
              <w:marTop w:val="0"/>
              <w:marBottom w:val="0"/>
              <w:divBdr>
                <w:top w:val="single" w:sz="6" w:space="24" w:color="EBEEF5"/>
                <w:left w:val="none" w:sz="0" w:space="0" w:color="auto"/>
                <w:bottom w:val="single" w:sz="6" w:space="18" w:color="EBEEF5"/>
                <w:right w:val="none" w:sz="0" w:space="0" w:color="auto"/>
              </w:divBdr>
              <w:divsChild>
                <w:div w:id="837422811">
                  <w:marLeft w:val="0"/>
                  <w:marRight w:val="0"/>
                  <w:marTop w:val="0"/>
                  <w:marBottom w:val="0"/>
                  <w:divBdr>
                    <w:top w:val="none" w:sz="0" w:space="0" w:color="auto"/>
                    <w:left w:val="none" w:sz="0" w:space="0" w:color="auto"/>
                    <w:bottom w:val="none" w:sz="0" w:space="0" w:color="auto"/>
                    <w:right w:val="none" w:sz="0" w:space="0" w:color="auto"/>
                  </w:divBdr>
                  <w:divsChild>
                    <w:div w:id="398789330">
                      <w:marLeft w:val="0"/>
                      <w:marRight w:val="0"/>
                      <w:marTop w:val="0"/>
                      <w:marBottom w:val="0"/>
                      <w:divBdr>
                        <w:top w:val="none" w:sz="0" w:space="0" w:color="auto"/>
                        <w:left w:val="none" w:sz="0" w:space="0" w:color="auto"/>
                        <w:bottom w:val="none" w:sz="0" w:space="0" w:color="auto"/>
                        <w:right w:val="none" w:sz="0" w:space="0" w:color="auto"/>
                      </w:divBdr>
                      <w:divsChild>
                        <w:div w:id="6369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20174">
          <w:marLeft w:val="0"/>
          <w:marRight w:val="0"/>
          <w:marTop w:val="0"/>
          <w:marBottom w:val="0"/>
          <w:divBdr>
            <w:top w:val="none" w:sz="0" w:space="0" w:color="auto"/>
            <w:left w:val="none" w:sz="0" w:space="0" w:color="auto"/>
            <w:bottom w:val="none" w:sz="0" w:space="0" w:color="auto"/>
            <w:right w:val="none" w:sz="0" w:space="0" w:color="auto"/>
          </w:divBdr>
          <w:divsChild>
            <w:div w:id="1329015871">
              <w:marLeft w:val="-225"/>
              <w:marRight w:val="-225"/>
              <w:marTop w:val="0"/>
              <w:marBottom w:val="0"/>
              <w:divBdr>
                <w:top w:val="none" w:sz="0" w:space="0" w:color="auto"/>
                <w:left w:val="none" w:sz="0" w:space="0" w:color="auto"/>
                <w:bottom w:val="none" w:sz="0" w:space="0" w:color="auto"/>
                <w:right w:val="none" w:sz="0" w:space="0" w:color="auto"/>
              </w:divBdr>
              <w:divsChild>
                <w:div w:id="1109351773">
                  <w:marLeft w:val="0"/>
                  <w:marRight w:val="0"/>
                  <w:marTop w:val="0"/>
                  <w:marBottom w:val="0"/>
                  <w:divBdr>
                    <w:top w:val="none" w:sz="0" w:space="0" w:color="auto"/>
                    <w:left w:val="none" w:sz="0" w:space="0" w:color="auto"/>
                    <w:bottom w:val="none" w:sz="0" w:space="0" w:color="auto"/>
                    <w:right w:val="none" w:sz="0" w:space="0" w:color="auto"/>
                  </w:divBdr>
                  <w:divsChild>
                    <w:div w:id="11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30623">
      <w:bodyDiv w:val="1"/>
      <w:marLeft w:val="0"/>
      <w:marRight w:val="0"/>
      <w:marTop w:val="0"/>
      <w:marBottom w:val="0"/>
      <w:divBdr>
        <w:top w:val="none" w:sz="0" w:space="0" w:color="auto"/>
        <w:left w:val="none" w:sz="0" w:space="0" w:color="auto"/>
        <w:bottom w:val="none" w:sz="0" w:space="0" w:color="auto"/>
        <w:right w:val="none" w:sz="0" w:space="0" w:color="auto"/>
      </w:divBdr>
    </w:div>
    <w:div w:id="1746220532">
      <w:bodyDiv w:val="1"/>
      <w:marLeft w:val="0"/>
      <w:marRight w:val="0"/>
      <w:marTop w:val="0"/>
      <w:marBottom w:val="0"/>
      <w:divBdr>
        <w:top w:val="none" w:sz="0" w:space="0" w:color="auto"/>
        <w:left w:val="none" w:sz="0" w:space="0" w:color="auto"/>
        <w:bottom w:val="none" w:sz="0" w:space="0" w:color="auto"/>
        <w:right w:val="none" w:sz="0" w:space="0" w:color="auto"/>
      </w:divBdr>
    </w:div>
    <w:div w:id="1748916710">
      <w:bodyDiv w:val="1"/>
      <w:marLeft w:val="0"/>
      <w:marRight w:val="0"/>
      <w:marTop w:val="0"/>
      <w:marBottom w:val="0"/>
      <w:divBdr>
        <w:top w:val="none" w:sz="0" w:space="0" w:color="auto"/>
        <w:left w:val="none" w:sz="0" w:space="0" w:color="auto"/>
        <w:bottom w:val="none" w:sz="0" w:space="0" w:color="auto"/>
        <w:right w:val="none" w:sz="0" w:space="0" w:color="auto"/>
      </w:divBdr>
    </w:div>
    <w:div w:id="1752501445">
      <w:bodyDiv w:val="1"/>
      <w:marLeft w:val="0"/>
      <w:marRight w:val="0"/>
      <w:marTop w:val="0"/>
      <w:marBottom w:val="0"/>
      <w:divBdr>
        <w:top w:val="none" w:sz="0" w:space="0" w:color="auto"/>
        <w:left w:val="none" w:sz="0" w:space="0" w:color="auto"/>
        <w:bottom w:val="none" w:sz="0" w:space="0" w:color="auto"/>
        <w:right w:val="none" w:sz="0" w:space="0" w:color="auto"/>
      </w:divBdr>
      <w:divsChild>
        <w:div w:id="182135478">
          <w:marLeft w:val="0"/>
          <w:marRight w:val="0"/>
          <w:marTop w:val="0"/>
          <w:marBottom w:val="0"/>
          <w:divBdr>
            <w:top w:val="none" w:sz="0" w:space="0" w:color="auto"/>
            <w:left w:val="none" w:sz="0" w:space="0" w:color="auto"/>
            <w:bottom w:val="none" w:sz="0" w:space="0" w:color="auto"/>
            <w:right w:val="none" w:sz="0" w:space="0" w:color="auto"/>
          </w:divBdr>
        </w:div>
        <w:div w:id="412438245">
          <w:marLeft w:val="0"/>
          <w:marRight w:val="0"/>
          <w:marTop w:val="0"/>
          <w:marBottom w:val="0"/>
          <w:divBdr>
            <w:top w:val="none" w:sz="0" w:space="0" w:color="auto"/>
            <w:left w:val="none" w:sz="0" w:space="0" w:color="auto"/>
            <w:bottom w:val="none" w:sz="0" w:space="0" w:color="auto"/>
            <w:right w:val="none" w:sz="0" w:space="0" w:color="auto"/>
          </w:divBdr>
          <w:divsChild>
            <w:div w:id="1954243465">
              <w:marLeft w:val="-225"/>
              <w:marRight w:val="-225"/>
              <w:marTop w:val="0"/>
              <w:marBottom w:val="0"/>
              <w:divBdr>
                <w:top w:val="none" w:sz="0" w:space="0" w:color="auto"/>
                <w:left w:val="none" w:sz="0" w:space="0" w:color="auto"/>
                <w:bottom w:val="none" w:sz="0" w:space="0" w:color="auto"/>
                <w:right w:val="none" w:sz="0" w:space="0" w:color="auto"/>
              </w:divBdr>
              <w:divsChild>
                <w:div w:id="1439594090">
                  <w:marLeft w:val="0"/>
                  <w:marRight w:val="0"/>
                  <w:marTop w:val="0"/>
                  <w:marBottom w:val="0"/>
                  <w:divBdr>
                    <w:top w:val="none" w:sz="0" w:space="0" w:color="auto"/>
                    <w:left w:val="none" w:sz="0" w:space="0" w:color="auto"/>
                    <w:bottom w:val="none" w:sz="0" w:space="0" w:color="auto"/>
                    <w:right w:val="none" w:sz="0" w:space="0" w:color="auto"/>
                  </w:divBdr>
                  <w:divsChild>
                    <w:div w:id="2659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29696">
          <w:marLeft w:val="-225"/>
          <w:marRight w:val="-225"/>
          <w:marTop w:val="0"/>
          <w:marBottom w:val="0"/>
          <w:divBdr>
            <w:top w:val="none" w:sz="0" w:space="0" w:color="auto"/>
            <w:left w:val="none" w:sz="0" w:space="0" w:color="auto"/>
            <w:bottom w:val="none" w:sz="0" w:space="0" w:color="auto"/>
            <w:right w:val="none" w:sz="0" w:space="0" w:color="auto"/>
          </w:divBdr>
          <w:divsChild>
            <w:div w:id="1018194013">
              <w:marLeft w:val="0"/>
              <w:marRight w:val="0"/>
              <w:marTop w:val="0"/>
              <w:marBottom w:val="0"/>
              <w:divBdr>
                <w:top w:val="none" w:sz="0" w:space="0" w:color="auto"/>
                <w:left w:val="none" w:sz="0" w:space="0" w:color="auto"/>
                <w:bottom w:val="none" w:sz="0" w:space="0" w:color="auto"/>
                <w:right w:val="none" w:sz="0" w:space="0" w:color="auto"/>
              </w:divBdr>
              <w:divsChild>
                <w:div w:id="3550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38044">
      <w:bodyDiv w:val="1"/>
      <w:marLeft w:val="0"/>
      <w:marRight w:val="0"/>
      <w:marTop w:val="0"/>
      <w:marBottom w:val="0"/>
      <w:divBdr>
        <w:top w:val="none" w:sz="0" w:space="0" w:color="auto"/>
        <w:left w:val="none" w:sz="0" w:space="0" w:color="auto"/>
        <w:bottom w:val="none" w:sz="0" w:space="0" w:color="auto"/>
        <w:right w:val="none" w:sz="0" w:space="0" w:color="auto"/>
      </w:divBdr>
    </w:div>
    <w:div w:id="1763868450">
      <w:bodyDiv w:val="1"/>
      <w:marLeft w:val="0"/>
      <w:marRight w:val="0"/>
      <w:marTop w:val="0"/>
      <w:marBottom w:val="0"/>
      <w:divBdr>
        <w:top w:val="none" w:sz="0" w:space="0" w:color="auto"/>
        <w:left w:val="none" w:sz="0" w:space="0" w:color="auto"/>
        <w:bottom w:val="none" w:sz="0" w:space="0" w:color="auto"/>
        <w:right w:val="none" w:sz="0" w:space="0" w:color="auto"/>
      </w:divBdr>
    </w:div>
    <w:div w:id="1765875758">
      <w:bodyDiv w:val="1"/>
      <w:marLeft w:val="0"/>
      <w:marRight w:val="0"/>
      <w:marTop w:val="0"/>
      <w:marBottom w:val="0"/>
      <w:divBdr>
        <w:top w:val="none" w:sz="0" w:space="0" w:color="auto"/>
        <w:left w:val="none" w:sz="0" w:space="0" w:color="auto"/>
        <w:bottom w:val="none" w:sz="0" w:space="0" w:color="auto"/>
        <w:right w:val="none" w:sz="0" w:space="0" w:color="auto"/>
      </w:divBdr>
      <w:divsChild>
        <w:div w:id="366180005">
          <w:marLeft w:val="0"/>
          <w:marRight w:val="0"/>
          <w:marTop w:val="0"/>
          <w:marBottom w:val="0"/>
          <w:divBdr>
            <w:top w:val="none" w:sz="0" w:space="0" w:color="auto"/>
            <w:left w:val="none" w:sz="0" w:space="0" w:color="auto"/>
            <w:bottom w:val="none" w:sz="0" w:space="0" w:color="auto"/>
            <w:right w:val="none" w:sz="0" w:space="0" w:color="auto"/>
          </w:divBdr>
        </w:div>
        <w:div w:id="833028719">
          <w:marLeft w:val="0"/>
          <w:marRight w:val="0"/>
          <w:marTop w:val="0"/>
          <w:marBottom w:val="0"/>
          <w:divBdr>
            <w:top w:val="none" w:sz="0" w:space="0" w:color="auto"/>
            <w:left w:val="none" w:sz="0" w:space="0" w:color="auto"/>
            <w:bottom w:val="none" w:sz="0" w:space="0" w:color="auto"/>
            <w:right w:val="none" w:sz="0" w:space="0" w:color="auto"/>
          </w:divBdr>
          <w:divsChild>
            <w:div w:id="406683541">
              <w:marLeft w:val="-225"/>
              <w:marRight w:val="-225"/>
              <w:marTop w:val="0"/>
              <w:marBottom w:val="0"/>
              <w:divBdr>
                <w:top w:val="none" w:sz="0" w:space="0" w:color="auto"/>
                <w:left w:val="none" w:sz="0" w:space="0" w:color="auto"/>
                <w:bottom w:val="none" w:sz="0" w:space="0" w:color="auto"/>
                <w:right w:val="none" w:sz="0" w:space="0" w:color="auto"/>
              </w:divBdr>
              <w:divsChild>
                <w:div w:id="2010137342">
                  <w:marLeft w:val="0"/>
                  <w:marRight w:val="0"/>
                  <w:marTop w:val="0"/>
                  <w:marBottom w:val="0"/>
                  <w:divBdr>
                    <w:top w:val="none" w:sz="0" w:space="0" w:color="auto"/>
                    <w:left w:val="none" w:sz="0" w:space="0" w:color="auto"/>
                    <w:bottom w:val="none" w:sz="0" w:space="0" w:color="auto"/>
                    <w:right w:val="none" w:sz="0" w:space="0" w:color="auto"/>
                  </w:divBdr>
                  <w:divsChild>
                    <w:div w:id="11874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9616">
          <w:marLeft w:val="0"/>
          <w:marRight w:val="0"/>
          <w:marTop w:val="0"/>
          <w:marBottom w:val="0"/>
          <w:divBdr>
            <w:top w:val="none" w:sz="0" w:space="0" w:color="auto"/>
            <w:left w:val="none" w:sz="0" w:space="0" w:color="auto"/>
            <w:bottom w:val="none" w:sz="0" w:space="0" w:color="auto"/>
            <w:right w:val="none" w:sz="0" w:space="0" w:color="auto"/>
          </w:divBdr>
          <w:divsChild>
            <w:div w:id="1280798349">
              <w:marLeft w:val="-225"/>
              <w:marRight w:val="-225"/>
              <w:marTop w:val="0"/>
              <w:marBottom w:val="0"/>
              <w:divBdr>
                <w:top w:val="none" w:sz="0" w:space="0" w:color="auto"/>
                <w:left w:val="none" w:sz="0" w:space="0" w:color="auto"/>
                <w:bottom w:val="none" w:sz="0" w:space="0" w:color="auto"/>
                <w:right w:val="none" w:sz="0" w:space="0" w:color="auto"/>
              </w:divBdr>
              <w:divsChild>
                <w:div w:id="1472675309">
                  <w:marLeft w:val="0"/>
                  <w:marRight w:val="0"/>
                  <w:marTop w:val="0"/>
                  <w:marBottom w:val="0"/>
                  <w:divBdr>
                    <w:top w:val="none" w:sz="0" w:space="0" w:color="auto"/>
                    <w:left w:val="none" w:sz="0" w:space="0" w:color="auto"/>
                    <w:bottom w:val="none" w:sz="0" w:space="0" w:color="auto"/>
                    <w:right w:val="none" w:sz="0" w:space="0" w:color="auto"/>
                  </w:divBdr>
                  <w:divsChild>
                    <w:div w:id="13057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62278">
          <w:marLeft w:val="0"/>
          <w:marRight w:val="0"/>
          <w:marTop w:val="0"/>
          <w:marBottom w:val="0"/>
          <w:divBdr>
            <w:top w:val="none" w:sz="0" w:space="0" w:color="auto"/>
            <w:left w:val="none" w:sz="0" w:space="0" w:color="auto"/>
            <w:bottom w:val="none" w:sz="0" w:space="0" w:color="auto"/>
            <w:right w:val="none" w:sz="0" w:space="0" w:color="auto"/>
          </w:divBdr>
          <w:divsChild>
            <w:div w:id="1191188411">
              <w:marLeft w:val="0"/>
              <w:marRight w:val="0"/>
              <w:marTop w:val="0"/>
              <w:marBottom w:val="0"/>
              <w:divBdr>
                <w:top w:val="none" w:sz="0" w:space="0" w:color="auto"/>
                <w:left w:val="none" w:sz="0" w:space="0" w:color="auto"/>
                <w:bottom w:val="none" w:sz="0" w:space="0" w:color="auto"/>
                <w:right w:val="none" w:sz="0" w:space="0" w:color="auto"/>
              </w:divBdr>
              <w:divsChild>
                <w:div w:id="1192181596">
                  <w:marLeft w:val="0"/>
                  <w:marRight w:val="0"/>
                  <w:marTop w:val="0"/>
                  <w:marBottom w:val="0"/>
                  <w:divBdr>
                    <w:top w:val="none" w:sz="0" w:space="0" w:color="auto"/>
                    <w:left w:val="none" w:sz="0" w:space="0" w:color="auto"/>
                    <w:bottom w:val="none" w:sz="0" w:space="0" w:color="auto"/>
                    <w:right w:val="none" w:sz="0" w:space="0" w:color="auto"/>
                  </w:divBdr>
                  <w:divsChild>
                    <w:div w:id="595987976">
                      <w:marLeft w:val="0"/>
                      <w:marRight w:val="0"/>
                      <w:marTop w:val="0"/>
                      <w:marBottom w:val="0"/>
                      <w:divBdr>
                        <w:top w:val="none" w:sz="0" w:space="0" w:color="auto"/>
                        <w:left w:val="none" w:sz="0" w:space="0" w:color="auto"/>
                        <w:bottom w:val="none" w:sz="0" w:space="0" w:color="auto"/>
                        <w:right w:val="none" w:sz="0" w:space="0" w:color="auto"/>
                      </w:divBdr>
                      <w:divsChild>
                        <w:div w:id="1260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332">
      <w:bodyDiv w:val="1"/>
      <w:marLeft w:val="0"/>
      <w:marRight w:val="0"/>
      <w:marTop w:val="0"/>
      <w:marBottom w:val="0"/>
      <w:divBdr>
        <w:top w:val="none" w:sz="0" w:space="0" w:color="auto"/>
        <w:left w:val="none" w:sz="0" w:space="0" w:color="auto"/>
        <w:bottom w:val="none" w:sz="0" w:space="0" w:color="auto"/>
        <w:right w:val="none" w:sz="0" w:space="0" w:color="auto"/>
      </w:divBdr>
    </w:div>
    <w:div w:id="1772165529">
      <w:bodyDiv w:val="1"/>
      <w:marLeft w:val="0"/>
      <w:marRight w:val="0"/>
      <w:marTop w:val="0"/>
      <w:marBottom w:val="0"/>
      <w:divBdr>
        <w:top w:val="none" w:sz="0" w:space="0" w:color="auto"/>
        <w:left w:val="none" w:sz="0" w:space="0" w:color="auto"/>
        <w:bottom w:val="none" w:sz="0" w:space="0" w:color="auto"/>
        <w:right w:val="none" w:sz="0" w:space="0" w:color="auto"/>
      </w:divBdr>
    </w:div>
    <w:div w:id="1772240630">
      <w:bodyDiv w:val="1"/>
      <w:marLeft w:val="0"/>
      <w:marRight w:val="0"/>
      <w:marTop w:val="0"/>
      <w:marBottom w:val="0"/>
      <w:divBdr>
        <w:top w:val="none" w:sz="0" w:space="0" w:color="auto"/>
        <w:left w:val="none" w:sz="0" w:space="0" w:color="auto"/>
        <w:bottom w:val="none" w:sz="0" w:space="0" w:color="auto"/>
        <w:right w:val="none" w:sz="0" w:space="0" w:color="auto"/>
      </w:divBdr>
    </w:div>
    <w:div w:id="1773279641">
      <w:bodyDiv w:val="1"/>
      <w:marLeft w:val="0"/>
      <w:marRight w:val="0"/>
      <w:marTop w:val="0"/>
      <w:marBottom w:val="0"/>
      <w:divBdr>
        <w:top w:val="none" w:sz="0" w:space="0" w:color="auto"/>
        <w:left w:val="none" w:sz="0" w:space="0" w:color="auto"/>
        <w:bottom w:val="none" w:sz="0" w:space="0" w:color="auto"/>
        <w:right w:val="none" w:sz="0" w:space="0" w:color="auto"/>
      </w:divBdr>
    </w:div>
    <w:div w:id="1774126752">
      <w:bodyDiv w:val="1"/>
      <w:marLeft w:val="0"/>
      <w:marRight w:val="0"/>
      <w:marTop w:val="0"/>
      <w:marBottom w:val="0"/>
      <w:divBdr>
        <w:top w:val="none" w:sz="0" w:space="0" w:color="auto"/>
        <w:left w:val="none" w:sz="0" w:space="0" w:color="auto"/>
        <w:bottom w:val="none" w:sz="0" w:space="0" w:color="auto"/>
        <w:right w:val="none" w:sz="0" w:space="0" w:color="auto"/>
      </w:divBdr>
    </w:div>
    <w:div w:id="1775906228">
      <w:bodyDiv w:val="1"/>
      <w:marLeft w:val="0"/>
      <w:marRight w:val="0"/>
      <w:marTop w:val="0"/>
      <w:marBottom w:val="0"/>
      <w:divBdr>
        <w:top w:val="none" w:sz="0" w:space="0" w:color="auto"/>
        <w:left w:val="none" w:sz="0" w:space="0" w:color="auto"/>
        <w:bottom w:val="none" w:sz="0" w:space="0" w:color="auto"/>
        <w:right w:val="none" w:sz="0" w:space="0" w:color="auto"/>
      </w:divBdr>
    </w:div>
    <w:div w:id="1776247000">
      <w:bodyDiv w:val="1"/>
      <w:marLeft w:val="0"/>
      <w:marRight w:val="0"/>
      <w:marTop w:val="0"/>
      <w:marBottom w:val="0"/>
      <w:divBdr>
        <w:top w:val="none" w:sz="0" w:space="0" w:color="auto"/>
        <w:left w:val="none" w:sz="0" w:space="0" w:color="auto"/>
        <w:bottom w:val="none" w:sz="0" w:space="0" w:color="auto"/>
        <w:right w:val="none" w:sz="0" w:space="0" w:color="auto"/>
      </w:divBdr>
    </w:div>
    <w:div w:id="1776899737">
      <w:bodyDiv w:val="1"/>
      <w:marLeft w:val="0"/>
      <w:marRight w:val="0"/>
      <w:marTop w:val="0"/>
      <w:marBottom w:val="0"/>
      <w:divBdr>
        <w:top w:val="none" w:sz="0" w:space="0" w:color="auto"/>
        <w:left w:val="none" w:sz="0" w:space="0" w:color="auto"/>
        <w:bottom w:val="none" w:sz="0" w:space="0" w:color="auto"/>
        <w:right w:val="none" w:sz="0" w:space="0" w:color="auto"/>
      </w:divBdr>
    </w:div>
    <w:div w:id="1778522511">
      <w:bodyDiv w:val="1"/>
      <w:marLeft w:val="0"/>
      <w:marRight w:val="0"/>
      <w:marTop w:val="0"/>
      <w:marBottom w:val="0"/>
      <w:divBdr>
        <w:top w:val="none" w:sz="0" w:space="0" w:color="auto"/>
        <w:left w:val="none" w:sz="0" w:space="0" w:color="auto"/>
        <w:bottom w:val="none" w:sz="0" w:space="0" w:color="auto"/>
        <w:right w:val="none" w:sz="0" w:space="0" w:color="auto"/>
      </w:divBdr>
    </w:div>
    <w:div w:id="1781605893">
      <w:bodyDiv w:val="1"/>
      <w:marLeft w:val="0"/>
      <w:marRight w:val="0"/>
      <w:marTop w:val="0"/>
      <w:marBottom w:val="0"/>
      <w:divBdr>
        <w:top w:val="none" w:sz="0" w:space="0" w:color="auto"/>
        <w:left w:val="none" w:sz="0" w:space="0" w:color="auto"/>
        <w:bottom w:val="none" w:sz="0" w:space="0" w:color="auto"/>
        <w:right w:val="none" w:sz="0" w:space="0" w:color="auto"/>
      </w:divBdr>
    </w:div>
    <w:div w:id="1787654820">
      <w:bodyDiv w:val="1"/>
      <w:marLeft w:val="0"/>
      <w:marRight w:val="0"/>
      <w:marTop w:val="0"/>
      <w:marBottom w:val="0"/>
      <w:divBdr>
        <w:top w:val="none" w:sz="0" w:space="0" w:color="auto"/>
        <w:left w:val="none" w:sz="0" w:space="0" w:color="auto"/>
        <w:bottom w:val="none" w:sz="0" w:space="0" w:color="auto"/>
        <w:right w:val="none" w:sz="0" w:space="0" w:color="auto"/>
      </w:divBdr>
    </w:div>
    <w:div w:id="1787888319">
      <w:bodyDiv w:val="1"/>
      <w:marLeft w:val="0"/>
      <w:marRight w:val="0"/>
      <w:marTop w:val="0"/>
      <w:marBottom w:val="0"/>
      <w:divBdr>
        <w:top w:val="none" w:sz="0" w:space="0" w:color="auto"/>
        <w:left w:val="none" w:sz="0" w:space="0" w:color="auto"/>
        <w:bottom w:val="none" w:sz="0" w:space="0" w:color="auto"/>
        <w:right w:val="none" w:sz="0" w:space="0" w:color="auto"/>
      </w:divBdr>
    </w:div>
    <w:div w:id="1789008967">
      <w:bodyDiv w:val="1"/>
      <w:marLeft w:val="0"/>
      <w:marRight w:val="0"/>
      <w:marTop w:val="0"/>
      <w:marBottom w:val="0"/>
      <w:divBdr>
        <w:top w:val="none" w:sz="0" w:space="0" w:color="auto"/>
        <w:left w:val="none" w:sz="0" w:space="0" w:color="auto"/>
        <w:bottom w:val="none" w:sz="0" w:space="0" w:color="auto"/>
        <w:right w:val="none" w:sz="0" w:space="0" w:color="auto"/>
      </w:divBdr>
    </w:div>
    <w:div w:id="1793862800">
      <w:bodyDiv w:val="1"/>
      <w:marLeft w:val="0"/>
      <w:marRight w:val="0"/>
      <w:marTop w:val="0"/>
      <w:marBottom w:val="0"/>
      <w:divBdr>
        <w:top w:val="none" w:sz="0" w:space="0" w:color="auto"/>
        <w:left w:val="none" w:sz="0" w:space="0" w:color="auto"/>
        <w:bottom w:val="none" w:sz="0" w:space="0" w:color="auto"/>
        <w:right w:val="none" w:sz="0" w:space="0" w:color="auto"/>
      </w:divBdr>
    </w:div>
    <w:div w:id="1795101030">
      <w:bodyDiv w:val="1"/>
      <w:marLeft w:val="0"/>
      <w:marRight w:val="0"/>
      <w:marTop w:val="0"/>
      <w:marBottom w:val="0"/>
      <w:divBdr>
        <w:top w:val="none" w:sz="0" w:space="0" w:color="auto"/>
        <w:left w:val="none" w:sz="0" w:space="0" w:color="auto"/>
        <w:bottom w:val="none" w:sz="0" w:space="0" w:color="auto"/>
        <w:right w:val="none" w:sz="0" w:space="0" w:color="auto"/>
      </w:divBdr>
    </w:div>
    <w:div w:id="1800682228">
      <w:bodyDiv w:val="1"/>
      <w:marLeft w:val="0"/>
      <w:marRight w:val="0"/>
      <w:marTop w:val="0"/>
      <w:marBottom w:val="0"/>
      <w:divBdr>
        <w:top w:val="none" w:sz="0" w:space="0" w:color="auto"/>
        <w:left w:val="none" w:sz="0" w:space="0" w:color="auto"/>
        <w:bottom w:val="none" w:sz="0" w:space="0" w:color="auto"/>
        <w:right w:val="none" w:sz="0" w:space="0" w:color="auto"/>
      </w:divBdr>
    </w:div>
    <w:div w:id="1803501509">
      <w:bodyDiv w:val="1"/>
      <w:marLeft w:val="0"/>
      <w:marRight w:val="0"/>
      <w:marTop w:val="0"/>
      <w:marBottom w:val="0"/>
      <w:divBdr>
        <w:top w:val="none" w:sz="0" w:space="0" w:color="auto"/>
        <w:left w:val="none" w:sz="0" w:space="0" w:color="auto"/>
        <w:bottom w:val="none" w:sz="0" w:space="0" w:color="auto"/>
        <w:right w:val="none" w:sz="0" w:space="0" w:color="auto"/>
      </w:divBdr>
    </w:div>
    <w:div w:id="1805004665">
      <w:bodyDiv w:val="1"/>
      <w:marLeft w:val="0"/>
      <w:marRight w:val="0"/>
      <w:marTop w:val="0"/>
      <w:marBottom w:val="0"/>
      <w:divBdr>
        <w:top w:val="none" w:sz="0" w:space="0" w:color="auto"/>
        <w:left w:val="none" w:sz="0" w:space="0" w:color="auto"/>
        <w:bottom w:val="none" w:sz="0" w:space="0" w:color="auto"/>
        <w:right w:val="none" w:sz="0" w:space="0" w:color="auto"/>
      </w:divBdr>
    </w:div>
    <w:div w:id="1805271418">
      <w:bodyDiv w:val="1"/>
      <w:marLeft w:val="0"/>
      <w:marRight w:val="0"/>
      <w:marTop w:val="0"/>
      <w:marBottom w:val="0"/>
      <w:divBdr>
        <w:top w:val="none" w:sz="0" w:space="0" w:color="auto"/>
        <w:left w:val="none" w:sz="0" w:space="0" w:color="auto"/>
        <w:bottom w:val="none" w:sz="0" w:space="0" w:color="auto"/>
        <w:right w:val="none" w:sz="0" w:space="0" w:color="auto"/>
      </w:divBdr>
    </w:div>
    <w:div w:id="1806460327">
      <w:bodyDiv w:val="1"/>
      <w:marLeft w:val="0"/>
      <w:marRight w:val="0"/>
      <w:marTop w:val="0"/>
      <w:marBottom w:val="0"/>
      <w:divBdr>
        <w:top w:val="none" w:sz="0" w:space="0" w:color="auto"/>
        <w:left w:val="none" w:sz="0" w:space="0" w:color="auto"/>
        <w:bottom w:val="none" w:sz="0" w:space="0" w:color="auto"/>
        <w:right w:val="none" w:sz="0" w:space="0" w:color="auto"/>
      </w:divBdr>
      <w:divsChild>
        <w:div w:id="673610700">
          <w:marLeft w:val="0"/>
          <w:marRight w:val="0"/>
          <w:marTop w:val="0"/>
          <w:marBottom w:val="0"/>
          <w:divBdr>
            <w:top w:val="none" w:sz="0" w:space="0" w:color="auto"/>
            <w:left w:val="none" w:sz="0" w:space="0" w:color="auto"/>
            <w:bottom w:val="none" w:sz="0" w:space="0" w:color="auto"/>
            <w:right w:val="none" w:sz="0" w:space="0" w:color="auto"/>
          </w:divBdr>
          <w:divsChild>
            <w:div w:id="2144038043">
              <w:marLeft w:val="-225"/>
              <w:marRight w:val="-225"/>
              <w:marTop w:val="0"/>
              <w:marBottom w:val="0"/>
              <w:divBdr>
                <w:top w:val="none" w:sz="0" w:space="0" w:color="auto"/>
                <w:left w:val="none" w:sz="0" w:space="0" w:color="auto"/>
                <w:bottom w:val="none" w:sz="0" w:space="0" w:color="auto"/>
                <w:right w:val="none" w:sz="0" w:space="0" w:color="auto"/>
              </w:divBdr>
              <w:divsChild>
                <w:div w:id="351998247">
                  <w:marLeft w:val="0"/>
                  <w:marRight w:val="0"/>
                  <w:marTop w:val="0"/>
                  <w:marBottom w:val="0"/>
                  <w:divBdr>
                    <w:top w:val="none" w:sz="0" w:space="0" w:color="auto"/>
                    <w:left w:val="none" w:sz="0" w:space="0" w:color="auto"/>
                    <w:bottom w:val="none" w:sz="0" w:space="0" w:color="auto"/>
                    <w:right w:val="none" w:sz="0" w:space="0" w:color="auto"/>
                  </w:divBdr>
                  <w:divsChild>
                    <w:div w:id="6389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12904">
          <w:marLeft w:val="0"/>
          <w:marRight w:val="0"/>
          <w:marTop w:val="0"/>
          <w:marBottom w:val="0"/>
          <w:divBdr>
            <w:top w:val="none" w:sz="0" w:space="0" w:color="auto"/>
            <w:left w:val="none" w:sz="0" w:space="0" w:color="auto"/>
            <w:bottom w:val="none" w:sz="0" w:space="0" w:color="auto"/>
            <w:right w:val="none" w:sz="0" w:space="0" w:color="auto"/>
          </w:divBdr>
        </w:div>
        <w:div w:id="1203707113">
          <w:marLeft w:val="0"/>
          <w:marRight w:val="0"/>
          <w:marTop w:val="0"/>
          <w:marBottom w:val="0"/>
          <w:divBdr>
            <w:top w:val="none" w:sz="0" w:space="0" w:color="auto"/>
            <w:left w:val="none" w:sz="0" w:space="0" w:color="auto"/>
            <w:bottom w:val="none" w:sz="0" w:space="0" w:color="auto"/>
            <w:right w:val="none" w:sz="0" w:space="0" w:color="auto"/>
          </w:divBdr>
          <w:divsChild>
            <w:div w:id="649795417">
              <w:marLeft w:val="-225"/>
              <w:marRight w:val="-225"/>
              <w:marTop w:val="0"/>
              <w:marBottom w:val="0"/>
              <w:divBdr>
                <w:top w:val="none" w:sz="0" w:space="0" w:color="auto"/>
                <w:left w:val="none" w:sz="0" w:space="0" w:color="auto"/>
                <w:bottom w:val="none" w:sz="0" w:space="0" w:color="auto"/>
                <w:right w:val="none" w:sz="0" w:space="0" w:color="auto"/>
              </w:divBdr>
              <w:divsChild>
                <w:div w:id="1030454415">
                  <w:marLeft w:val="0"/>
                  <w:marRight w:val="0"/>
                  <w:marTop w:val="0"/>
                  <w:marBottom w:val="0"/>
                  <w:divBdr>
                    <w:top w:val="none" w:sz="0" w:space="0" w:color="auto"/>
                    <w:left w:val="none" w:sz="0" w:space="0" w:color="auto"/>
                    <w:bottom w:val="none" w:sz="0" w:space="0" w:color="auto"/>
                    <w:right w:val="none" w:sz="0" w:space="0" w:color="auto"/>
                  </w:divBdr>
                  <w:divsChild>
                    <w:div w:id="2981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7651">
          <w:marLeft w:val="0"/>
          <w:marRight w:val="0"/>
          <w:marTop w:val="0"/>
          <w:marBottom w:val="0"/>
          <w:divBdr>
            <w:top w:val="none" w:sz="0" w:space="0" w:color="auto"/>
            <w:left w:val="none" w:sz="0" w:space="0" w:color="auto"/>
            <w:bottom w:val="none" w:sz="0" w:space="0" w:color="auto"/>
            <w:right w:val="none" w:sz="0" w:space="0" w:color="auto"/>
          </w:divBdr>
          <w:divsChild>
            <w:div w:id="1881354726">
              <w:marLeft w:val="0"/>
              <w:marRight w:val="0"/>
              <w:marTop w:val="0"/>
              <w:marBottom w:val="0"/>
              <w:divBdr>
                <w:top w:val="single" w:sz="6" w:space="24" w:color="EBEEF5"/>
                <w:left w:val="none" w:sz="0" w:space="0" w:color="auto"/>
                <w:bottom w:val="single" w:sz="6" w:space="18" w:color="EBEEF5"/>
                <w:right w:val="none" w:sz="0" w:space="0" w:color="auto"/>
              </w:divBdr>
              <w:divsChild>
                <w:div w:id="731004622">
                  <w:marLeft w:val="0"/>
                  <w:marRight w:val="0"/>
                  <w:marTop w:val="0"/>
                  <w:marBottom w:val="0"/>
                  <w:divBdr>
                    <w:top w:val="none" w:sz="0" w:space="0" w:color="auto"/>
                    <w:left w:val="none" w:sz="0" w:space="0" w:color="auto"/>
                    <w:bottom w:val="none" w:sz="0" w:space="0" w:color="auto"/>
                    <w:right w:val="none" w:sz="0" w:space="0" w:color="auto"/>
                  </w:divBdr>
                  <w:divsChild>
                    <w:div w:id="1655404560">
                      <w:marLeft w:val="0"/>
                      <w:marRight w:val="0"/>
                      <w:marTop w:val="0"/>
                      <w:marBottom w:val="0"/>
                      <w:divBdr>
                        <w:top w:val="none" w:sz="0" w:space="0" w:color="auto"/>
                        <w:left w:val="none" w:sz="0" w:space="0" w:color="auto"/>
                        <w:bottom w:val="none" w:sz="0" w:space="0" w:color="auto"/>
                        <w:right w:val="none" w:sz="0" w:space="0" w:color="auto"/>
                      </w:divBdr>
                      <w:divsChild>
                        <w:div w:id="4722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17689">
      <w:bodyDiv w:val="1"/>
      <w:marLeft w:val="0"/>
      <w:marRight w:val="0"/>
      <w:marTop w:val="0"/>
      <w:marBottom w:val="0"/>
      <w:divBdr>
        <w:top w:val="none" w:sz="0" w:space="0" w:color="auto"/>
        <w:left w:val="none" w:sz="0" w:space="0" w:color="auto"/>
        <w:bottom w:val="none" w:sz="0" w:space="0" w:color="auto"/>
        <w:right w:val="none" w:sz="0" w:space="0" w:color="auto"/>
      </w:divBdr>
    </w:div>
    <w:div w:id="1810902632">
      <w:bodyDiv w:val="1"/>
      <w:marLeft w:val="0"/>
      <w:marRight w:val="0"/>
      <w:marTop w:val="0"/>
      <w:marBottom w:val="0"/>
      <w:divBdr>
        <w:top w:val="none" w:sz="0" w:space="0" w:color="auto"/>
        <w:left w:val="none" w:sz="0" w:space="0" w:color="auto"/>
        <w:bottom w:val="none" w:sz="0" w:space="0" w:color="auto"/>
        <w:right w:val="none" w:sz="0" w:space="0" w:color="auto"/>
      </w:divBdr>
    </w:div>
    <w:div w:id="1811290578">
      <w:bodyDiv w:val="1"/>
      <w:marLeft w:val="0"/>
      <w:marRight w:val="0"/>
      <w:marTop w:val="0"/>
      <w:marBottom w:val="0"/>
      <w:divBdr>
        <w:top w:val="none" w:sz="0" w:space="0" w:color="auto"/>
        <w:left w:val="none" w:sz="0" w:space="0" w:color="auto"/>
        <w:bottom w:val="none" w:sz="0" w:space="0" w:color="auto"/>
        <w:right w:val="none" w:sz="0" w:space="0" w:color="auto"/>
      </w:divBdr>
    </w:div>
    <w:div w:id="1812094603">
      <w:bodyDiv w:val="1"/>
      <w:marLeft w:val="0"/>
      <w:marRight w:val="0"/>
      <w:marTop w:val="0"/>
      <w:marBottom w:val="0"/>
      <w:divBdr>
        <w:top w:val="none" w:sz="0" w:space="0" w:color="auto"/>
        <w:left w:val="none" w:sz="0" w:space="0" w:color="auto"/>
        <w:bottom w:val="none" w:sz="0" w:space="0" w:color="auto"/>
        <w:right w:val="none" w:sz="0" w:space="0" w:color="auto"/>
      </w:divBdr>
    </w:div>
    <w:div w:id="1813906315">
      <w:bodyDiv w:val="1"/>
      <w:marLeft w:val="0"/>
      <w:marRight w:val="0"/>
      <w:marTop w:val="0"/>
      <w:marBottom w:val="0"/>
      <w:divBdr>
        <w:top w:val="none" w:sz="0" w:space="0" w:color="auto"/>
        <w:left w:val="none" w:sz="0" w:space="0" w:color="auto"/>
        <w:bottom w:val="none" w:sz="0" w:space="0" w:color="auto"/>
        <w:right w:val="none" w:sz="0" w:space="0" w:color="auto"/>
      </w:divBdr>
    </w:div>
    <w:div w:id="1816599663">
      <w:bodyDiv w:val="1"/>
      <w:marLeft w:val="0"/>
      <w:marRight w:val="0"/>
      <w:marTop w:val="0"/>
      <w:marBottom w:val="0"/>
      <w:divBdr>
        <w:top w:val="none" w:sz="0" w:space="0" w:color="auto"/>
        <w:left w:val="none" w:sz="0" w:space="0" w:color="auto"/>
        <w:bottom w:val="none" w:sz="0" w:space="0" w:color="auto"/>
        <w:right w:val="none" w:sz="0" w:space="0" w:color="auto"/>
      </w:divBdr>
    </w:div>
    <w:div w:id="1818958892">
      <w:bodyDiv w:val="1"/>
      <w:marLeft w:val="0"/>
      <w:marRight w:val="0"/>
      <w:marTop w:val="0"/>
      <w:marBottom w:val="0"/>
      <w:divBdr>
        <w:top w:val="none" w:sz="0" w:space="0" w:color="auto"/>
        <w:left w:val="none" w:sz="0" w:space="0" w:color="auto"/>
        <w:bottom w:val="none" w:sz="0" w:space="0" w:color="auto"/>
        <w:right w:val="none" w:sz="0" w:space="0" w:color="auto"/>
      </w:divBdr>
      <w:divsChild>
        <w:div w:id="147601668">
          <w:marLeft w:val="0"/>
          <w:marRight w:val="0"/>
          <w:marTop w:val="0"/>
          <w:marBottom w:val="0"/>
          <w:divBdr>
            <w:top w:val="none" w:sz="0" w:space="0" w:color="auto"/>
            <w:left w:val="none" w:sz="0" w:space="0" w:color="auto"/>
            <w:bottom w:val="none" w:sz="0" w:space="0" w:color="auto"/>
            <w:right w:val="none" w:sz="0" w:space="0" w:color="auto"/>
          </w:divBdr>
          <w:divsChild>
            <w:div w:id="679896562">
              <w:marLeft w:val="-225"/>
              <w:marRight w:val="-225"/>
              <w:marTop w:val="0"/>
              <w:marBottom w:val="0"/>
              <w:divBdr>
                <w:top w:val="none" w:sz="0" w:space="0" w:color="auto"/>
                <w:left w:val="none" w:sz="0" w:space="0" w:color="auto"/>
                <w:bottom w:val="none" w:sz="0" w:space="0" w:color="auto"/>
                <w:right w:val="none" w:sz="0" w:space="0" w:color="auto"/>
              </w:divBdr>
              <w:divsChild>
                <w:div w:id="786509368">
                  <w:marLeft w:val="0"/>
                  <w:marRight w:val="0"/>
                  <w:marTop w:val="0"/>
                  <w:marBottom w:val="0"/>
                  <w:divBdr>
                    <w:top w:val="none" w:sz="0" w:space="0" w:color="auto"/>
                    <w:left w:val="none" w:sz="0" w:space="0" w:color="auto"/>
                    <w:bottom w:val="none" w:sz="0" w:space="0" w:color="auto"/>
                    <w:right w:val="none" w:sz="0" w:space="0" w:color="auto"/>
                  </w:divBdr>
                  <w:divsChild>
                    <w:div w:id="3177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3791">
          <w:marLeft w:val="0"/>
          <w:marRight w:val="0"/>
          <w:marTop w:val="0"/>
          <w:marBottom w:val="0"/>
          <w:divBdr>
            <w:top w:val="none" w:sz="0" w:space="0" w:color="auto"/>
            <w:left w:val="none" w:sz="0" w:space="0" w:color="auto"/>
            <w:bottom w:val="none" w:sz="0" w:space="0" w:color="auto"/>
            <w:right w:val="none" w:sz="0" w:space="0" w:color="auto"/>
          </w:divBdr>
        </w:div>
        <w:div w:id="639532259">
          <w:marLeft w:val="0"/>
          <w:marRight w:val="0"/>
          <w:marTop w:val="0"/>
          <w:marBottom w:val="0"/>
          <w:divBdr>
            <w:top w:val="none" w:sz="0" w:space="0" w:color="auto"/>
            <w:left w:val="none" w:sz="0" w:space="0" w:color="auto"/>
            <w:bottom w:val="none" w:sz="0" w:space="0" w:color="auto"/>
            <w:right w:val="none" w:sz="0" w:space="0" w:color="auto"/>
          </w:divBdr>
          <w:divsChild>
            <w:div w:id="1863131579">
              <w:marLeft w:val="0"/>
              <w:marRight w:val="0"/>
              <w:marTop w:val="0"/>
              <w:marBottom w:val="0"/>
              <w:divBdr>
                <w:top w:val="none" w:sz="0" w:space="0" w:color="auto"/>
                <w:left w:val="none" w:sz="0" w:space="0" w:color="auto"/>
                <w:bottom w:val="none" w:sz="0" w:space="0" w:color="auto"/>
                <w:right w:val="none" w:sz="0" w:space="0" w:color="auto"/>
              </w:divBdr>
              <w:divsChild>
                <w:div w:id="1761219505">
                  <w:marLeft w:val="0"/>
                  <w:marRight w:val="0"/>
                  <w:marTop w:val="0"/>
                  <w:marBottom w:val="0"/>
                  <w:divBdr>
                    <w:top w:val="none" w:sz="0" w:space="0" w:color="auto"/>
                    <w:left w:val="none" w:sz="0" w:space="0" w:color="auto"/>
                    <w:bottom w:val="none" w:sz="0" w:space="0" w:color="auto"/>
                    <w:right w:val="none" w:sz="0" w:space="0" w:color="auto"/>
                  </w:divBdr>
                  <w:divsChild>
                    <w:div w:id="1808471688">
                      <w:marLeft w:val="0"/>
                      <w:marRight w:val="0"/>
                      <w:marTop w:val="0"/>
                      <w:marBottom w:val="0"/>
                      <w:divBdr>
                        <w:top w:val="none" w:sz="0" w:space="0" w:color="auto"/>
                        <w:left w:val="none" w:sz="0" w:space="0" w:color="auto"/>
                        <w:bottom w:val="none" w:sz="0" w:space="0" w:color="auto"/>
                        <w:right w:val="none" w:sz="0" w:space="0" w:color="auto"/>
                      </w:divBdr>
                      <w:divsChild>
                        <w:div w:id="8909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652704">
          <w:marLeft w:val="0"/>
          <w:marRight w:val="0"/>
          <w:marTop w:val="0"/>
          <w:marBottom w:val="0"/>
          <w:divBdr>
            <w:top w:val="none" w:sz="0" w:space="0" w:color="auto"/>
            <w:left w:val="none" w:sz="0" w:space="0" w:color="auto"/>
            <w:bottom w:val="none" w:sz="0" w:space="0" w:color="auto"/>
            <w:right w:val="none" w:sz="0" w:space="0" w:color="auto"/>
          </w:divBdr>
          <w:divsChild>
            <w:div w:id="711613371">
              <w:marLeft w:val="-225"/>
              <w:marRight w:val="-225"/>
              <w:marTop w:val="0"/>
              <w:marBottom w:val="0"/>
              <w:divBdr>
                <w:top w:val="none" w:sz="0" w:space="0" w:color="auto"/>
                <w:left w:val="none" w:sz="0" w:space="0" w:color="auto"/>
                <w:bottom w:val="none" w:sz="0" w:space="0" w:color="auto"/>
                <w:right w:val="none" w:sz="0" w:space="0" w:color="auto"/>
              </w:divBdr>
              <w:divsChild>
                <w:div w:id="1217278217">
                  <w:marLeft w:val="0"/>
                  <w:marRight w:val="0"/>
                  <w:marTop w:val="0"/>
                  <w:marBottom w:val="0"/>
                  <w:divBdr>
                    <w:top w:val="none" w:sz="0" w:space="0" w:color="auto"/>
                    <w:left w:val="none" w:sz="0" w:space="0" w:color="auto"/>
                    <w:bottom w:val="none" w:sz="0" w:space="0" w:color="auto"/>
                    <w:right w:val="none" w:sz="0" w:space="0" w:color="auto"/>
                  </w:divBdr>
                  <w:divsChild>
                    <w:div w:id="20337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94672">
      <w:bodyDiv w:val="1"/>
      <w:marLeft w:val="0"/>
      <w:marRight w:val="0"/>
      <w:marTop w:val="0"/>
      <w:marBottom w:val="0"/>
      <w:divBdr>
        <w:top w:val="none" w:sz="0" w:space="0" w:color="auto"/>
        <w:left w:val="none" w:sz="0" w:space="0" w:color="auto"/>
        <w:bottom w:val="none" w:sz="0" w:space="0" w:color="auto"/>
        <w:right w:val="none" w:sz="0" w:space="0" w:color="auto"/>
      </w:divBdr>
    </w:div>
    <w:div w:id="1825658599">
      <w:bodyDiv w:val="1"/>
      <w:marLeft w:val="0"/>
      <w:marRight w:val="0"/>
      <w:marTop w:val="0"/>
      <w:marBottom w:val="0"/>
      <w:divBdr>
        <w:top w:val="none" w:sz="0" w:space="0" w:color="auto"/>
        <w:left w:val="none" w:sz="0" w:space="0" w:color="auto"/>
        <w:bottom w:val="none" w:sz="0" w:space="0" w:color="auto"/>
        <w:right w:val="none" w:sz="0" w:space="0" w:color="auto"/>
      </w:divBdr>
    </w:div>
    <w:div w:id="1826042500">
      <w:bodyDiv w:val="1"/>
      <w:marLeft w:val="0"/>
      <w:marRight w:val="0"/>
      <w:marTop w:val="0"/>
      <w:marBottom w:val="0"/>
      <w:divBdr>
        <w:top w:val="none" w:sz="0" w:space="0" w:color="auto"/>
        <w:left w:val="none" w:sz="0" w:space="0" w:color="auto"/>
        <w:bottom w:val="none" w:sz="0" w:space="0" w:color="auto"/>
        <w:right w:val="none" w:sz="0" w:space="0" w:color="auto"/>
      </w:divBdr>
    </w:div>
    <w:div w:id="1826126082">
      <w:bodyDiv w:val="1"/>
      <w:marLeft w:val="0"/>
      <w:marRight w:val="0"/>
      <w:marTop w:val="0"/>
      <w:marBottom w:val="0"/>
      <w:divBdr>
        <w:top w:val="none" w:sz="0" w:space="0" w:color="auto"/>
        <w:left w:val="none" w:sz="0" w:space="0" w:color="auto"/>
        <w:bottom w:val="none" w:sz="0" w:space="0" w:color="auto"/>
        <w:right w:val="none" w:sz="0" w:space="0" w:color="auto"/>
      </w:divBdr>
    </w:div>
    <w:div w:id="1827623881">
      <w:bodyDiv w:val="1"/>
      <w:marLeft w:val="0"/>
      <w:marRight w:val="0"/>
      <w:marTop w:val="0"/>
      <w:marBottom w:val="0"/>
      <w:divBdr>
        <w:top w:val="none" w:sz="0" w:space="0" w:color="auto"/>
        <w:left w:val="none" w:sz="0" w:space="0" w:color="auto"/>
        <w:bottom w:val="none" w:sz="0" w:space="0" w:color="auto"/>
        <w:right w:val="none" w:sz="0" w:space="0" w:color="auto"/>
      </w:divBdr>
      <w:divsChild>
        <w:div w:id="145779410">
          <w:marLeft w:val="0"/>
          <w:marRight w:val="0"/>
          <w:marTop w:val="0"/>
          <w:marBottom w:val="0"/>
          <w:divBdr>
            <w:top w:val="none" w:sz="0" w:space="0" w:color="auto"/>
            <w:left w:val="none" w:sz="0" w:space="0" w:color="auto"/>
            <w:bottom w:val="none" w:sz="0" w:space="0" w:color="auto"/>
            <w:right w:val="none" w:sz="0" w:space="0" w:color="auto"/>
          </w:divBdr>
          <w:divsChild>
            <w:div w:id="947002844">
              <w:marLeft w:val="-225"/>
              <w:marRight w:val="-225"/>
              <w:marTop w:val="0"/>
              <w:marBottom w:val="0"/>
              <w:divBdr>
                <w:top w:val="none" w:sz="0" w:space="0" w:color="auto"/>
                <w:left w:val="none" w:sz="0" w:space="0" w:color="auto"/>
                <w:bottom w:val="none" w:sz="0" w:space="0" w:color="auto"/>
                <w:right w:val="none" w:sz="0" w:space="0" w:color="auto"/>
              </w:divBdr>
              <w:divsChild>
                <w:div w:id="437722462">
                  <w:marLeft w:val="0"/>
                  <w:marRight w:val="0"/>
                  <w:marTop w:val="0"/>
                  <w:marBottom w:val="0"/>
                  <w:divBdr>
                    <w:top w:val="none" w:sz="0" w:space="0" w:color="auto"/>
                    <w:left w:val="none" w:sz="0" w:space="0" w:color="auto"/>
                    <w:bottom w:val="none" w:sz="0" w:space="0" w:color="auto"/>
                    <w:right w:val="none" w:sz="0" w:space="0" w:color="auto"/>
                  </w:divBdr>
                  <w:divsChild>
                    <w:div w:id="15373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5884">
          <w:marLeft w:val="0"/>
          <w:marRight w:val="0"/>
          <w:marTop w:val="0"/>
          <w:marBottom w:val="0"/>
          <w:divBdr>
            <w:top w:val="none" w:sz="0" w:space="0" w:color="auto"/>
            <w:left w:val="none" w:sz="0" w:space="0" w:color="auto"/>
            <w:bottom w:val="none" w:sz="0" w:space="0" w:color="auto"/>
            <w:right w:val="none" w:sz="0" w:space="0" w:color="auto"/>
          </w:divBdr>
        </w:div>
        <w:div w:id="1549995585">
          <w:marLeft w:val="0"/>
          <w:marRight w:val="0"/>
          <w:marTop w:val="0"/>
          <w:marBottom w:val="0"/>
          <w:divBdr>
            <w:top w:val="none" w:sz="0" w:space="0" w:color="auto"/>
            <w:left w:val="none" w:sz="0" w:space="0" w:color="auto"/>
            <w:bottom w:val="none" w:sz="0" w:space="0" w:color="auto"/>
            <w:right w:val="none" w:sz="0" w:space="0" w:color="auto"/>
          </w:divBdr>
          <w:divsChild>
            <w:div w:id="817116923">
              <w:marLeft w:val="-225"/>
              <w:marRight w:val="-225"/>
              <w:marTop w:val="0"/>
              <w:marBottom w:val="0"/>
              <w:divBdr>
                <w:top w:val="none" w:sz="0" w:space="0" w:color="auto"/>
                <w:left w:val="none" w:sz="0" w:space="0" w:color="auto"/>
                <w:bottom w:val="none" w:sz="0" w:space="0" w:color="auto"/>
                <w:right w:val="none" w:sz="0" w:space="0" w:color="auto"/>
              </w:divBdr>
              <w:divsChild>
                <w:div w:id="1552883572">
                  <w:marLeft w:val="0"/>
                  <w:marRight w:val="0"/>
                  <w:marTop w:val="0"/>
                  <w:marBottom w:val="0"/>
                  <w:divBdr>
                    <w:top w:val="none" w:sz="0" w:space="0" w:color="auto"/>
                    <w:left w:val="none" w:sz="0" w:space="0" w:color="auto"/>
                    <w:bottom w:val="none" w:sz="0" w:space="0" w:color="auto"/>
                    <w:right w:val="none" w:sz="0" w:space="0" w:color="auto"/>
                  </w:divBdr>
                  <w:divsChild>
                    <w:div w:id="18992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30548">
      <w:bodyDiv w:val="1"/>
      <w:marLeft w:val="0"/>
      <w:marRight w:val="0"/>
      <w:marTop w:val="0"/>
      <w:marBottom w:val="0"/>
      <w:divBdr>
        <w:top w:val="none" w:sz="0" w:space="0" w:color="auto"/>
        <w:left w:val="none" w:sz="0" w:space="0" w:color="auto"/>
        <w:bottom w:val="none" w:sz="0" w:space="0" w:color="auto"/>
        <w:right w:val="none" w:sz="0" w:space="0" w:color="auto"/>
      </w:divBdr>
    </w:div>
    <w:div w:id="1828354469">
      <w:bodyDiv w:val="1"/>
      <w:marLeft w:val="0"/>
      <w:marRight w:val="0"/>
      <w:marTop w:val="0"/>
      <w:marBottom w:val="0"/>
      <w:divBdr>
        <w:top w:val="none" w:sz="0" w:space="0" w:color="auto"/>
        <w:left w:val="none" w:sz="0" w:space="0" w:color="auto"/>
        <w:bottom w:val="none" w:sz="0" w:space="0" w:color="auto"/>
        <w:right w:val="none" w:sz="0" w:space="0" w:color="auto"/>
      </w:divBdr>
    </w:div>
    <w:div w:id="1828472661">
      <w:bodyDiv w:val="1"/>
      <w:marLeft w:val="0"/>
      <w:marRight w:val="0"/>
      <w:marTop w:val="0"/>
      <w:marBottom w:val="0"/>
      <w:divBdr>
        <w:top w:val="none" w:sz="0" w:space="0" w:color="auto"/>
        <w:left w:val="none" w:sz="0" w:space="0" w:color="auto"/>
        <w:bottom w:val="none" w:sz="0" w:space="0" w:color="auto"/>
        <w:right w:val="none" w:sz="0" w:space="0" w:color="auto"/>
      </w:divBdr>
    </w:div>
    <w:div w:id="1829056535">
      <w:bodyDiv w:val="1"/>
      <w:marLeft w:val="0"/>
      <w:marRight w:val="0"/>
      <w:marTop w:val="0"/>
      <w:marBottom w:val="0"/>
      <w:divBdr>
        <w:top w:val="none" w:sz="0" w:space="0" w:color="auto"/>
        <w:left w:val="none" w:sz="0" w:space="0" w:color="auto"/>
        <w:bottom w:val="none" w:sz="0" w:space="0" w:color="auto"/>
        <w:right w:val="none" w:sz="0" w:space="0" w:color="auto"/>
      </w:divBdr>
      <w:divsChild>
        <w:div w:id="908075230">
          <w:marLeft w:val="-225"/>
          <w:marRight w:val="-225"/>
          <w:marTop w:val="0"/>
          <w:marBottom w:val="0"/>
          <w:divBdr>
            <w:top w:val="none" w:sz="0" w:space="0" w:color="auto"/>
            <w:left w:val="none" w:sz="0" w:space="0" w:color="auto"/>
            <w:bottom w:val="none" w:sz="0" w:space="0" w:color="auto"/>
            <w:right w:val="none" w:sz="0" w:space="0" w:color="auto"/>
          </w:divBdr>
          <w:divsChild>
            <w:div w:id="487936697">
              <w:marLeft w:val="0"/>
              <w:marRight w:val="0"/>
              <w:marTop w:val="0"/>
              <w:marBottom w:val="0"/>
              <w:divBdr>
                <w:top w:val="none" w:sz="0" w:space="0" w:color="auto"/>
                <w:left w:val="none" w:sz="0" w:space="0" w:color="auto"/>
                <w:bottom w:val="none" w:sz="0" w:space="0" w:color="auto"/>
                <w:right w:val="none" w:sz="0" w:space="0" w:color="auto"/>
              </w:divBdr>
              <w:divsChild>
                <w:div w:id="15348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1490">
      <w:bodyDiv w:val="1"/>
      <w:marLeft w:val="0"/>
      <w:marRight w:val="0"/>
      <w:marTop w:val="0"/>
      <w:marBottom w:val="0"/>
      <w:divBdr>
        <w:top w:val="none" w:sz="0" w:space="0" w:color="auto"/>
        <w:left w:val="none" w:sz="0" w:space="0" w:color="auto"/>
        <w:bottom w:val="none" w:sz="0" w:space="0" w:color="auto"/>
        <w:right w:val="none" w:sz="0" w:space="0" w:color="auto"/>
      </w:divBdr>
    </w:div>
    <w:div w:id="1835106032">
      <w:bodyDiv w:val="1"/>
      <w:marLeft w:val="0"/>
      <w:marRight w:val="0"/>
      <w:marTop w:val="0"/>
      <w:marBottom w:val="0"/>
      <w:divBdr>
        <w:top w:val="none" w:sz="0" w:space="0" w:color="auto"/>
        <w:left w:val="none" w:sz="0" w:space="0" w:color="auto"/>
        <w:bottom w:val="none" w:sz="0" w:space="0" w:color="auto"/>
        <w:right w:val="none" w:sz="0" w:space="0" w:color="auto"/>
      </w:divBdr>
    </w:div>
    <w:div w:id="1839074138">
      <w:bodyDiv w:val="1"/>
      <w:marLeft w:val="0"/>
      <w:marRight w:val="0"/>
      <w:marTop w:val="0"/>
      <w:marBottom w:val="0"/>
      <w:divBdr>
        <w:top w:val="none" w:sz="0" w:space="0" w:color="auto"/>
        <w:left w:val="none" w:sz="0" w:space="0" w:color="auto"/>
        <w:bottom w:val="none" w:sz="0" w:space="0" w:color="auto"/>
        <w:right w:val="none" w:sz="0" w:space="0" w:color="auto"/>
      </w:divBdr>
      <w:divsChild>
        <w:div w:id="910892810">
          <w:marLeft w:val="0"/>
          <w:marRight w:val="0"/>
          <w:marTop w:val="0"/>
          <w:marBottom w:val="0"/>
          <w:divBdr>
            <w:top w:val="none" w:sz="0" w:space="0" w:color="auto"/>
            <w:left w:val="none" w:sz="0" w:space="0" w:color="auto"/>
            <w:bottom w:val="none" w:sz="0" w:space="0" w:color="auto"/>
            <w:right w:val="none" w:sz="0" w:space="0" w:color="auto"/>
          </w:divBdr>
        </w:div>
        <w:div w:id="1106536568">
          <w:marLeft w:val="0"/>
          <w:marRight w:val="0"/>
          <w:marTop w:val="0"/>
          <w:marBottom w:val="0"/>
          <w:divBdr>
            <w:top w:val="none" w:sz="0" w:space="0" w:color="auto"/>
            <w:left w:val="none" w:sz="0" w:space="0" w:color="auto"/>
            <w:bottom w:val="none" w:sz="0" w:space="0" w:color="auto"/>
            <w:right w:val="none" w:sz="0" w:space="0" w:color="auto"/>
          </w:divBdr>
          <w:divsChild>
            <w:div w:id="1968050839">
              <w:marLeft w:val="-225"/>
              <w:marRight w:val="-225"/>
              <w:marTop w:val="0"/>
              <w:marBottom w:val="0"/>
              <w:divBdr>
                <w:top w:val="none" w:sz="0" w:space="0" w:color="auto"/>
                <w:left w:val="none" w:sz="0" w:space="0" w:color="auto"/>
                <w:bottom w:val="none" w:sz="0" w:space="0" w:color="auto"/>
                <w:right w:val="none" w:sz="0" w:space="0" w:color="auto"/>
              </w:divBdr>
              <w:divsChild>
                <w:div w:id="1079905160">
                  <w:marLeft w:val="0"/>
                  <w:marRight w:val="0"/>
                  <w:marTop w:val="0"/>
                  <w:marBottom w:val="0"/>
                  <w:divBdr>
                    <w:top w:val="none" w:sz="0" w:space="0" w:color="auto"/>
                    <w:left w:val="none" w:sz="0" w:space="0" w:color="auto"/>
                    <w:bottom w:val="none" w:sz="0" w:space="0" w:color="auto"/>
                    <w:right w:val="none" w:sz="0" w:space="0" w:color="auto"/>
                  </w:divBdr>
                  <w:divsChild>
                    <w:div w:id="7794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4360">
          <w:marLeft w:val="0"/>
          <w:marRight w:val="0"/>
          <w:marTop w:val="0"/>
          <w:marBottom w:val="0"/>
          <w:divBdr>
            <w:top w:val="none" w:sz="0" w:space="0" w:color="auto"/>
            <w:left w:val="none" w:sz="0" w:space="0" w:color="auto"/>
            <w:bottom w:val="none" w:sz="0" w:space="0" w:color="auto"/>
            <w:right w:val="none" w:sz="0" w:space="0" w:color="auto"/>
          </w:divBdr>
          <w:divsChild>
            <w:div w:id="1782991976">
              <w:marLeft w:val="-225"/>
              <w:marRight w:val="-225"/>
              <w:marTop w:val="0"/>
              <w:marBottom w:val="0"/>
              <w:divBdr>
                <w:top w:val="none" w:sz="0" w:space="0" w:color="auto"/>
                <w:left w:val="none" w:sz="0" w:space="0" w:color="auto"/>
                <w:bottom w:val="none" w:sz="0" w:space="0" w:color="auto"/>
                <w:right w:val="none" w:sz="0" w:space="0" w:color="auto"/>
              </w:divBdr>
              <w:divsChild>
                <w:div w:id="309602910">
                  <w:marLeft w:val="0"/>
                  <w:marRight w:val="0"/>
                  <w:marTop w:val="0"/>
                  <w:marBottom w:val="0"/>
                  <w:divBdr>
                    <w:top w:val="none" w:sz="0" w:space="0" w:color="auto"/>
                    <w:left w:val="none" w:sz="0" w:space="0" w:color="auto"/>
                    <w:bottom w:val="none" w:sz="0" w:space="0" w:color="auto"/>
                    <w:right w:val="none" w:sz="0" w:space="0" w:color="auto"/>
                  </w:divBdr>
                  <w:divsChild>
                    <w:div w:id="12043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694585">
      <w:bodyDiv w:val="1"/>
      <w:marLeft w:val="0"/>
      <w:marRight w:val="0"/>
      <w:marTop w:val="0"/>
      <w:marBottom w:val="0"/>
      <w:divBdr>
        <w:top w:val="none" w:sz="0" w:space="0" w:color="auto"/>
        <w:left w:val="none" w:sz="0" w:space="0" w:color="auto"/>
        <w:bottom w:val="none" w:sz="0" w:space="0" w:color="auto"/>
        <w:right w:val="none" w:sz="0" w:space="0" w:color="auto"/>
      </w:divBdr>
    </w:div>
    <w:div w:id="1843428304">
      <w:bodyDiv w:val="1"/>
      <w:marLeft w:val="0"/>
      <w:marRight w:val="0"/>
      <w:marTop w:val="0"/>
      <w:marBottom w:val="0"/>
      <w:divBdr>
        <w:top w:val="none" w:sz="0" w:space="0" w:color="auto"/>
        <w:left w:val="none" w:sz="0" w:space="0" w:color="auto"/>
        <w:bottom w:val="none" w:sz="0" w:space="0" w:color="auto"/>
        <w:right w:val="none" w:sz="0" w:space="0" w:color="auto"/>
      </w:divBdr>
    </w:div>
    <w:div w:id="1843616133">
      <w:bodyDiv w:val="1"/>
      <w:marLeft w:val="0"/>
      <w:marRight w:val="0"/>
      <w:marTop w:val="0"/>
      <w:marBottom w:val="0"/>
      <w:divBdr>
        <w:top w:val="none" w:sz="0" w:space="0" w:color="auto"/>
        <w:left w:val="none" w:sz="0" w:space="0" w:color="auto"/>
        <w:bottom w:val="none" w:sz="0" w:space="0" w:color="auto"/>
        <w:right w:val="none" w:sz="0" w:space="0" w:color="auto"/>
      </w:divBdr>
    </w:div>
    <w:div w:id="1846703556">
      <w:bodyDiv w:val="1"/>
      <w:marLeft w:val="0"/>
      <w:marRight w:val="0"/>
      <w:marTop w:val="0"/>
      <w:marBottom w:val="0"/>
      <w:divBdr>
        <w:top w:val="none" w:sz="0" w:space="0" w:color="auto"/>
        <w:left w:val="none" w:sz="0" w:space="0" w:color="auto"/>
        <w:bottom w:val="none" w:sz="0" w:space="0" w:color="auto"/>
        <w:right w:val="none" w:sz="0" w:space="0" w:color="auto"/>
      </w:divBdr>
    </w:div>
    <w:div w:id="1847207576">
      <w:bodyDiv w:val="1"/>
      <w:marLeft w:val="0"/>
      <w:marRight w:val="0"/>
      <w:marTop w:val="0"/>
      <w:marBottom w:val="0"/>
      <w:divBdr>
        <w:top w:val="none" w:sz="0" w:space="0" w:color="auto"/>
        <w:left w:val="none" w:sz="0" w:space="0" w:color="auto"/>
        <w:bottom w:val="none" w:sz="0" w:space="0" w:color="auto"/>
        <w:right w:val="none" w:sz="0" w:space="0" w:color="auto"/>
      </w:divBdr>
      <w:divsChild>
        <w:div w:id="732703526">
          <w:marLeft w:val="0"/>
          <w:marRight w:val="0"/>
          <w:marTop w:val="240"/>
          <w:marBottom w:val="240"/>
          <w:divBdr>
            <w:top w:val="none" w:sz="0" w:space="0" w:color="auto"/>
            <w:left w:val="none" w:sz="0" w:space="0" w:color="auto"/>
            <w:bottom w:val="none" w:sz="0" w:space="0" w:color="auto"/>
            <w:right w:val="none" w:sz="0" w:space="0" w:color="auto"/>
          </w:divBdr>
        </w:div>
      </w:divsChild>
    </w:div>
    <w:div w:id="1848980668">
      <w:bodyDiv w:val="1"/>
      <w:marLeft w:val="0"/>
      <w:marRight w:val="0"/>
      <w:marTop w:val="0"/>
      <w:marBottom w:val="0"/>
      <w:divBdr>
        <w:top w:val="none" w:sz="0" w:space="0" w:color="auto"/>
        <w:left w:val="none" w:sz="0" w:space="0" w:color="auto"/>
        <w:bottom w:val="none" w:sz="0" w:space="0" w:color="auto"/>
        <w:right w:val="none" w:sz="0" w:space="0" w:color="auto"/>
      </w:divBdr>
    </w:div>
    <w:div w:id="1849708598">
      <w:bodyDiv w:val="1"/>
      <w:marLeft w:val="0"/>
      <w:marRight w:val="0"/>
      <w:marTop w:val="0"/>
      <w:marBottom w:val="0"/>
      <w:divBdr>
        <w:top w:val="none" w:sz="0" w:space="0" w:color="auto"/>
        <w:left w:val="none" w:sz="0" w:space="0" w:color="auto"/>
        <w:bottom w:val="none" w:sz="0" w:space="0" w:color="auto"/>
        <w:right w:val="none" w:sz="0" w:space="0" w:color="auto"/>
      </w:divBdr>
    </w:div>
    <w:div w:id="1849903278">
      <w:bodyDiv w:val="1"/>
      <w:marLeft w:val="0"/>
      <w:marRight w:val="0"/>
      <w:marTop w:val="0"/>
      <w:marBottom w:val="0"/>
      <w:divBdr>
        <w:top w:val="none" w:sz="0" w:space="0" w:color="auto"/>
        <w:left w:val="none" w:sz="0" w:space="0" w:color="auto"/>
        <w:bottom w:val="none" w:sz="0" w:space="0" w:color="auto"/>
        <w:right w:val="none" w:sz="0" w:space="0" w:color="auto"/>
      </w:divBdr>
    </w:div>
    <w:div w:id="1850212838">
      <w:bodyDiv w:val="1"/>
      <w:marLeft w:val="0"/>
      <w:marRight w:val="0"/>
      <w:marTop w:val="0"/>
      <w:marBottom w:val="0"/>
      <w:divBdr>
        <w:top w:val="none" w:sz="0" w:space="0" w:color="auto"/>
        <w:left w:val="none" w:sz="0" w:space="0" w:color="auto"/>
        <w:bottom w:val="none" w:sz="0" w:space="0" w:color="auto"/>
        <w:right w:val="none" w:sz="0" w:space="0" w:color="auto"/>
      </w:divBdr>
    </w:div>
    <w:div w:id="1853639663">
      <w:bodyDiv w:val="1"/>
      <w:marLeft w:val="0"/>
      <w:marRight w:val="0"/>
      <w:marTop w:val="0"/>
      <w:marBottom w:val="0"/>
      <w:divBdr>
        <w:top w:val="none" w:sz="0" w:space="0" w:color="auto"/>
        <w:left w:val="none" w:sz="0" w:space="0" w:color="auto"/>
        <w:bottom w:val="none" w:sz="0" w:space="0" w:color="auto"/>
        <w:right w:val="none" w:sz="0" w:space="0" w:color="auto"/>
      </w:divBdr>
    </w:div>
    <w:div w:id="1853955127">
      <w:bodyDiv w:val="1"/>
      <w:marLeft w:val="0"/>
      <w:marRight w:val="0"/>
      <w:marTop w:val="0"/>
      <w:marBottom w:val="0"/>
      <w:divBdr>
        <w:top w:val="none" w:sz="0" w:space="0" w:color="auto"/>
        <w:left w:val="none" w:sz="0" w:space="0" w:color="auto"/>
        <w:bottom w:val="none" w:sz="0" w:space="0" w:color="auto"/>
        <w:right w:val="none" w:sz="0" w:space="0" w:color="auto"/>
      </w:divBdr>
    </w:div>
    <w:div w:id="1854802517">
      <w:bodyDiv w:val="1"/>
      <w:marLeft w:val="0"/>
      <w:marRight w:val="0"/>
      <w:marTop w:val="0"/>
      <w:marBottom w:val="0"/>
      <w:divBdr>
        <w:top w:val="none" w:sz="0" w:space="0" w:color="auto"/>
        <w:left w:val="none" w:sz="0" w:space="0" w:color="auto"/>
        <w:bottom w:val="none" w:sz="0" w:space="0" w:color="auto"/>
        <w:right w:val="none" w:sz="0" w:space="0" w:color="auto"/>
      </w:divBdr>
      <w:divsChild>
        <w:div w:id="894703267">
          <w:marLeft w:val="0"/>
          <w:marRight w:val="0"/>
          <w:marTop w:val="0"/>
          <w:marBottom w:val="0"/>
          <w:divBdr>
            <w:top w:val="none" w:sz="0" w:space="0" w:color="auto"/>
            <w:left w:val="none" w:sz="0" w:space="0" w:color="auto"/>
            <w:bottom w:val="none" w:sz="0" w:space="0" w:color="auto"/>
            <w:right w:val="none" w:sz="0" w:space="0" w:color="auto"/>
          </w:divBdr>
        </w:div>
        <w:div w:id="913667423">
          <w:marLeft w:val="0"/>
          <w:marRight w:val="0"/>
          <w:marTop w:val="0"/>
          <w:marBottom w:val="0"/>
          <w:divBdr>
            <w:top w:val="none" w:sz="0" w:space="0" w:color="auto"/>
            <w:left w:val="none" w:sz="0" w:space="0" w:color="auto"/>
            <w:bottom w:val="none" w:sz="0" w:space="0" w:color="auto"/>
            <w:right w:val="none" w:sz="0" w:space="0" w:color="auto"/>
          </w:divBdr>
          <w:divsChild>
            <w:div w:id="1921478025">
              <w:marLeft w:val="-225"/>
              <w:marRight w:val="-225"/>
              <w:marTop w:val="0"/>
              <w:marBottom w:val="0"/>
              <w:divBdr>
                <w:top w:val="none" w:sz="0" w:space="0" w:color="auto"/>
                <w:left w:val="none" w:sz="0" w:space="0" w:color="auto"/>
                <w:bottom w:val="none" w:sz="0" w:space="0" w:color="auto"/>
                <w:right w:val="none" w:sz="0" w:space="0" w:color="auto"/>
              </w:divBdr>
              <w:divsChild>
                <w:div w:id="220558530">
                  <w:marLeft w:val="0"/>
                  <w:marRight w:val="0"/>
                  <w:marTop w:val="0"/>
                  <w:marBottom w:val="0"/>
                  <w:divBdr>
                    <w:top w:val="none" w:sz="0" w:space="0" w:color="auto"/>
                    <w:left w:val="none" w:sz="0" w:space="0" w:color="auto"/>
                    <w:bottom w:val="none" w:sz="0" w:space="0" w:color="auto"/>
                    <w:right w:val="none" w:sz="0" w:space="0" w:color="auto"/>
                  </w:divBdr>
                  <w:divsChild>
                    <w:div w:id="1798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60427">
          <w:marLeft w:val="0"/>
          <w:marRight w:val="0"/>
          <w:marTop w:val="0"/>
          <w:marBottom w:val="0"/>
          <w:divBdr>
            <w:top w:val="none" w:sz="0" w:space="0" w:color="auto"/>
            <w:left w:val="none" w:sz="0" w:space="0" w:color="auto"/>
            <w:bottom w:val="none" w:sz="0" w:space="0" w:color="auto"/>
            <w:right w:val="none" w:sz="0" w:space="0" w:color="auto"/>
          </w:divBdr>
          <w:divsChild>
            <w:div w:id="444736099">
              <w:marLeft w:val="-225"/>
              <w:marRight w:val="-225"/>
              <w:marTop w:val="0"/>
              <w:marBottom w:val="0"/>
              <w:divBdr>
                <w:top w:val="none" w:sz="0" w:space="0" w:color="auto"/>
                <w:left w:val="none" w:sz="0" w:space="0" w:color="auto"/>
                <w:bottom w:val="none" w:sz="0" w:space="0" w:color="auto"/>
                <w:right w:val="none" w:sz="0" w:space="0" w:color="auto"/>
              </w:divBdr>
              <w:divsChild>
                <w:div w:id="964232186">
                  <w:marLeft w:val="0"/>
                  <w:marRight w:val="0"/>
                  <w:marTop w:val="0"/>
                  <w:marBottom w:val="0"/>
                  <w:divBdr>
                    <w:top w:val="none" w:sz="0" w:space="0" w:color="auto"/>
                    <w:left w:val="none" w:sz="0" w:space="0" w:color="auto"/>
                    <w:bottom w:val="none" w:sz="0" w:space="0" w:color="auto"/>
                    <w:right w:val="none" w:sz="0" w:space="0" w:color="auto"/>
                  </w:divBdr>
                  <w:divsChild>
                    <w:div w:id="278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37434">
          <w:marLeft w:val="0"/>
          <w:marRight w:val="0"/>
          <w:marTop w:val="0"/>
          <w:marBottom w:val="0"/>
          <w:divBdr>
            <w:top w:val="none" w:sz="0" w:space="0" w:color="auto"/>
            <w:left w:val="none" w:sz="0" w:space="0" w:color="auto"/>
            <w:bottom w:val="none" w:sz="0" w:space="0" w:color="auto"/>
            <w:right w:val="none" w:sz="0" w:space="0" w:color="auto"/>
          </w:divBdr>
          <w:divsChild>
            <w:div w:id="237982232">
              <w:marLeft w:val="0"/>
              <w:marRight w:val="0"/>
              <w:marTop w:val="0"/>
              <w:marBottom w:val="0"/>
              <w:divBdr>
                <w:top w:val="single" w:sz="6" w:space="24" w:color="EBEEF5"/>
                <w:left w:val="none" w:sz="0" w:space="0" w:color="auto"/>
                <w:bottom w:val="single" w:sz="6" w:space="18" w:color="EBEEF5"/>
                <w:right w:val="none" w:sz="0" w:space="0" w:color="auto"/>
              </w:divBdr>
              <w:divsChild>
                <w:div w:id="370498096">
                  <w:marLeft w:val="0"/>
                  <w:marRight w:val="0"/>
                  <w:marTop w:val="0"/>
                  <w:marBottom w:val="0"/>
                  <w:divBdr>
                    <w:top w:val="none" w:sz="0" w:space="0" w:color="auto"/>
                    <w:left w:val="none" w:sz="0" w:space="0" w:color="auto"/>
                    <w:bottom w:val="none" w:sz="0" w:space="0" w:color="auto"/>
                    <w:right w:val="none" w:sz="0" w:space="0" w:color="auto"/>
                  </w:divBdr>
                  <w:divsChild>
                    <w:div w:id="2003117659">
                      <w:marLeft w:val="0"/>
                      <w:marRight w:val="0"/>
                      <w:marTop w:val="0"/>
                      <w:marBottom w:val="0"/>
                      <w:divBdr>
                        <w:top w:val="none" w:sz="0" w:space="0" w:color="auto"/>
                        <w:left w:val="none" w:sz="0" w:space="0" w:color="auto"/>
                        <w:bottom w:val="none" w:sz="0" w:space="0" w:color="auto"/>
                        <w:right w:val="none" w:sz="0" w:space="0" w:color="auto"/>
                      </w:divBdr>
                      <w:divsChild>
                        <w:div w:id="1609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74449">
      <w:bodyDiv w:val="1"/>
      <w:marLeft w:val="0"/>
      <w:marRight w:val="0"/>
      <w:marTop w:val="0"/>
      <w:marBottom w:val="0"/>
      <w:divBdr>
        <w:top w:val="none" w:sz="0" w:space="0" w:color="auto"/>
        <w:left w:val="none" w:sz="0" w:space="0" w:color="auto"/>
        <w:bottom w:val="none" w:sz="0" w:space="0" w:color="auto"/>
        <w:right w:val="none" w:sz="0" w:space="0" w:color="auto"/>
      </w:divBdr>
    </w:div>
    <w:div w:id="1859734361">
      <w:bodyDiv w:val="1"/>
      <w:marLeft w:val="0"/>
      <w:marRight w:val="0"/>
      <w:marTop w:val="0"/>
      <w:marBottom w:val="0"/>
      <w:divBdr>
        <w:top w:val="none" w:sz="0" w:space="0" w:color="auto"/>
        <w:left w:val="none" w:sz="0" w:space="0" w:color="auto"/>
        <w:bottom w:val="none" w:sz="0" w:space="0" w:color="auto"/>
        <w:right w:val="none" w:sz="0" w:space="0" w:color="auto"/>
      </w:divBdr>
    </w:div>
    <w:div w:id="1860855647">
      <w:bodyDiv w:val="1"/>
      <w:marLeft w:val="0"/>
      <w:marRight w:val="0"/>
      <w:marTop w:val="0"/>
      <w:marBottom w:val="0"/>
      <w:divBdr>
        <w:top w:val="none" w:sz="0" w:space="0" w:color="auto"/>
        <w:left w:val="none" w:sz="0" w:space="0" w:color="auto"/>
        <w:bottom w:val="none" w:sz="0" w:space="0" w:color="auto"/>
        <w:right w:val="none" w:sz="0" w:space="0" w:color="auto"/>
      </w:divBdr>
    </w:div>
    <w:div w:id="1862160490">
      <w:bodyDiv w:val="1"/>
      <w:marLeft w:val="0"/>
      <w:marRight w:val="0"/>
      <w:marTop w:val="0"/>
      <w:marBottom w:val="0"/>
      <w:divBdr>
        <w:top w:val="none" w:sz="0" w:space="0" w:color="auto"/>
        <w:left w:val="none" w:sz="0" w:space="0" w:color="auto"/>
        <w:bottom w:val="none" w:sz="0" w:space="0" w:color="auto"/>
        <w:right w:val="none" w:sz="0" w:space="0" w:color="auto"/>
      </w:divBdr>
    </w:div>
    <w:div w:id="1864662241">
      <w:bodyDiv w:val="1"/>
      <w:marLeft w:val="0"/>
      <w:marRight w:val="0"/>
      <w:marTop w:val="0"/>
      <w:marBottom w:val="0"/>
      <w:divBdr>
        <w:top w:val="none" w:sz="0" w:space="0" w:color="auto"/>
        <w:left w:val="none" w:sz="0" w:space="0" w:color="auto"/>
        <w:bottom w:val="none" w:sz="0" w:space="0" w:color="auto"/>
        <w:right w:val="none" w:sz="0" w:space="0" w:color="auto"/>
      </w:divBdr>
    </w:div>
    <w:div w:id="1865243947">
      <w:bodyDiv w:val="1"/>
      <w:marLeft w:val="0"/>
      <w:marRight w:val="0"/>
      <w:marTop w:val="0"/>
      <w:marBottom w:val="0"/>
      <w:divBdr>
        <w:top w:val="none" w:sz="0" w:space="0" w:color="auto"/>
        <w:left w:val="none" w:sz="0" w:space="0" w:color="auto"/>
        <w:bottom w:val="none" w:sz="0" w:space="0" w:color="auto"/>
        <w:right w:val="none" w:sz="0" w:space="0" w:color="auto"/>
      </w:divBdr>
    </w:div>
    <w:div w:id="1865360265">
      <w:bodyDiv w:val="1"/>
      <w:marLeft w:val="0"/>
      <w:marRight w:val="0"/>
      <w:marTop w:val="0"/>
      <w:marBottom w:val="0"/>
      <w:divBdr>
        <w:top w:val="none" w:sz="0" w:space="0" w:color="auto"/>
        <w:left w:val="none" w:sz="0" w:space="0" w:color="auto"/>
        <w:bottom w:val="none" w:sz="0" w:space="0" w:color="auto"/>
        <w:right w:val="none" w:sz="0" w:space="0" w:color="auto"/>
      </w:divBdr>
    </w:div>
    <w:div w:id="1868710044">
      <w:bodyDiv w:val="1"/>
      <w:marLeft w:val="0"/>
      <w:marRight w:val="0"/>
      <w:marTop w:val="0"/>
      <w:marBottom w:val="0"/>
      <w:divBdr>
        <w:top w:val="none" w:sz="0" w:space="0" w:color="auto"/>
        <w:left w:val="none" w:sz="0" w:space="0" w:color="auto"/>
        <w:bottom w:val="none" w:sz="0" w:space="0" w:color="auto"/>
        <w:right w:val="none" w:sz="0" w:space="0" w:color="auto"/>
      </w:divBdr>
    </w:div>
    <w:div w:id="1871140566">
      <w:bodyDiv w:val="1"/>
      <w:marLeft w:val="0"/>
      <w:marRight w:val="0"/>
      <w:marTop w:val="0"/>
      <w:marBottom w:val="0"/>
      <w:divBdr>
        <w:top w:val="none" w:sz="0" w:space="0" w:color="auto"/>
        <w:left w:val="none" w:sz="0" w:space="0" w:color="auto"/>
        <w:bottom w:val="none" w:sz="0" w:space="0" w:color="auto"/>
        <w:right w:val="none" w:sz="0" w:space="0" w:color="auto"/>
      </w:divBdr>
    </w:div>
    <w:div w:id="1872647356">
      <w:bodyDiv w:val="1"/>
      <w:marLeft w:val="0"/>
      <w:marRight w:val="0"/>
      <w:marTop w:val="0"/>
      <w:marBottom w:val="0"/>
      <w:divBdr>
        <w:top w:val="none" w:sz="0" w:space="0" w:color="auto"/>
        <w:left w:val="none" w:sz="0" w:space="0" w:color="auto"/>
        <w:bottom w:val="none" w:sz="0" w:space="0" w:color="auto"/>
        <w:right w:val="none" w:sz="0" w:space="0" w:color="auto"/>
      </w:divBdr>
    </w:div>
    <w:div w:id="1872953347">
      <w:bodyDiv w:val="1"/>
      <w:marLeft w:val="0"/>
      <w:marRight w:val="0"/>
      <w:marTop w:val="0"/>
      <w:marBottom w:val="0"/>
      <w:divBdr>
        <w:top w:val="none" w:sz="0" w:space="0" w:color="auto"/>
        <w:left w:val="none" w:sz="0" w:space="0" w:color="auto"/>
        <w:bottom w:val="none" w:sz="0" w:space="0" w:color="auto"/>
        <w:right w:val="none" w:sz="0" w:space="0" w:color="auto"/>
      </w:divBdr>
    </w:div>
    <w:div w:id="1873111986">
      <w:bodyDiv w:val="1"/>
      <w:marLeft w:val="0"/>
      <w:marRight w:val="0"/>
      <w:marTop w:val="0"/>
      <w:marBottom w:val="0"/>
      <w:divBdr>
        <w:top w:val="none" w:sz="0" w:space="0" w:color="auto"/>
        <w:left w:val="none" w:sz="0" w:space="0" w:color="auto"/>
        <w:bottom w:val="none" w:sz="0" w:space="0" w:color="auto"/>
        <w:right w:val="none" w:sz="0" w:space="0" w:color="auto"/>
      </w:divBdr>
    </w:div>
    <w:div w:id="1873420210">
      <w:bodyDiv w:val="1"/>
      <w:marLeft w:val="0"/>
      <w:marRight w:val="0"/>
      <w:marTop w:val="0"/>
      <w:marBottom w:val="0"/>
      <w:divBdr>
        <w:top w:val="none" w:sz="0" w:space="0" w:color="auto"/>
        <w:left w:val="none" w:sz="0" w:space="0" w:color="auto"/>
        <w:bottom w:val="none" w:sz="0" w:space="0" w:color="auto"/>
        <w:right w:val="none" w:sz="0" w:space="0" w:color="auto"/>
      </w:divBdr>
    </w:div>
    <w:div w:id="1873616044">
      <w:bodyDiv w:val="1"/>
      <w:marLeft w:val="0"/>
      <w:marRight w:val="0"/>
      <w:marTop w:val="0"/>
      <w:marBottom w:val="0"/>
      <w:divBdr>
        <w:top w:val="none" w:sz="0" w:space="0" w:color="auto"/>
        <w:left w:val="none" w:sz="0" w:space="0" w:color="auto"/>
        <w:bottom w:val="none" w:sz="0" w:space="0" w:color="auto"/>
        <w:right w:val="none" w:sz="0" w:space="0" w:color="auto"/>
      </w:divBdr>
    </w:div>
    <w:div w:id="1873686638">
      <w:bodyDiv w:val="1"/>
      <w:marLeft w:val="0"/>
      <w:marRight w:val="0"/>
      <w:marTop w:val="0"/>
      <w:marBottom w:val="0"/>
      <w:divBdr>
        <w:top w:val="none" w:sz="0" w:space="0" w:color="auto"/>
        <w:left w:val="none" w:sz="0" w:space="0" w:color="auto"/>
        <w:bottom w:val="none" w:sz="0" w:space="0" w:color="auto"/>
        <w:right w:val="none" w:sz="0" w:space="0" w:color="auto"/>
      </w:divBdr>
    </w:div>
    <w:div w:id="1874267565">
      <w:bodyDiv w:val="1"/>
      <w:marLeft w:val="0"/>
      <w:marRight w:val="0"/>
      <w:marTop w:val="0"/>
      <w:marBottom w:val="0"/>
      <w:divBdr>
        <w:top w:val="none" w:sz="0" w:space="0" w:color="auto"/>
        <w:left w:val="none" w:sz="0" w:space="0" w:color="auto"/>
        <w:bottom w:val="none" w:sz="0" w:space="0" w:color="auto"/>
        <w:right w:val="none" w:sz="0" w:space="0" w:color="auto"/>
      </w:divBdr>
      <w:divsChild>
        <w:div w:id="381171308">
          <w:marLeft w:val="0"/>
          <w:marRight w:val="0"/>
          <w:marTop w:val="0"/>
          <w:marBottom w:val="0"/>
          <w:divBdr>
            <w:top w:val="none" w:sz="0" w:space="0" w:color="auto"/>
            <w:left w:val="none" w:sz="0" w:space="0" w:color="auto"/>
            <w:bottom w:val="none" w:sz="0" w:space="0" w:color="auto"/>
            <w:right w:val="none" w:sz="0" w:space="0" w:color="auto"/>
          </w:divBdr>
        </w:div>
        <w:div w:id="571040700">
          <w:marLeft w:val="0"/>
          <w:marRight w:val="0"/>
          <w:marTop w:val="0"/>
          <w:marBottom w:val="0"/>
          <w:divBdr>
            <w:top w:val="none" w:sz="0" w:space="0" w:color="auto"/>
            <w:left w:val="none" w:sz="0" w:space="0" w:color="auto"/>
            <w:bottom w:val="none" w:sz="0" w:space="0" w:color="auto"/>
            <w:right w:val="none" w:sz="0" w:space="0" w:color="auto"/>
          </w:divBdr>
          <w:divsChild>
            <w:div w:id="2003853633">
              <w:marLeft w:val="-225"/>
              <w:marRight w:val="-225"/>
              <w:marTop w:val="0"/>
              <w:marBottom w:val="0"/>
              <w:divBdr>
                <w:top w:val="none" w:sz="0" w:space="0" w:color="auto"/>
                <w:left w:val="none" w:sz="0" w:space="0" w:color="auto"/>
                <w:bottom w:val="none" w:sz="0" w:space="0" w:color="auto"/>
                <w:right w:val="none" w:sz="0" w:space="0" w:color="auto"/>
              </w:divBdr>
              <w:divsChild>
                <w:div w:id="81226642">
                  <w:marLeft w:val="0"/>
                  <w:marRight w:val="0"/>
                  <w:marTop w:val="0"/>
                  <w:marBottom w:val="0"/>
                  <w:divBdr>
                    <w:top w:val="none" w:sz="0" w:space="0" w:color="auto"/>
                    <w:left w:val="none" w:sz="0" w:space="0" w:color="auto"/>
                    <w:bottom w:val="none" w:sz="0" w:space="0" w:color="auto"/>
                    <w:right w:val="none" w:sz="0" w:space="0" w:color="auto"/>
                  </w:divBdr>
                  <w:divsChild>
                    <w:div w:id="18040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75184">
          <w:marLeft w:val="0"/>
          <w:marRight w:val="0"/>
          <w:marTop w:val="0"/>
          <w:marBottom w:val="0"/>
          <w:divBdr>
            <w:top w:val="none" w:sz="0" w:space="0" w:color="auto"/>
            <w:left w:val="none" w:sz="0" w:space="0" w:color="auto"/>
            <w:bottom w:val="none" w:sz="0" w:space="0" w:color="auto"/>
            <w:right w:val="none" w:sz="0" w:space="0" w:color="auto"/>
          </w:divBdr>
          <w:divsChild>
            <w:div w:id="528298553">
              <w:marLeft w:val="-225"/>
              <w:marRight w:val="-225"/>
              <w:marTop w:val="0"/>
              <w:marBottom w:val="0"/>
              <w:divBdr>
                <w:top w:val="none" w:sz="0" w:space="0" w:color="auto"/>
                <w:left w:val="none" w:sz="0" w:space="0" w:color="auto"/>
                <w:bottom w:val="none" w:sz="0" w:space="0" w:color="auto"/>
                <w:right w:val="none" w:sz="0" w:space="0" w:color="auto"/>
              </w:divBdr>
              <w:divsChild>
                <w:div w:id="1453137956">
                  <w:marLeft w:val="0"/>
                  <w:marRight w:val="0"/>
                  <w:marTop w:val="0"/>
                  <w:marBottom w:val="0"/>
                  <w:divBdr>
                    <w:top w:val="none" w:sz="0" w:space="0" w:color="auto"/>
                    <w:left w:val="none" w:sz="0" w:space="0" w:color="auto"/>
                    <w:bottom w:val="none" w:sz="0" w:space="0" w:color="auto"/>
                    <w:right w:val="none" w:sz="0" w:space="0" w:color="auto"/>
                  </w:divBdr>
                  <w:divsChild>
                    <w:div w:id="1470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0894">
          <w:marLeft w:val="0"/>
          <w:marRight w:val="0"/>
          <w:marTop w:val="0"/>
          <w:marBottom w:val="0"/>
          <w:divBdr>
            <w:top w:val="none" w:sz="0" w:space="0" w:color="auto"/>
            <w:left w:val="none" w:sz="0" w:space="0" w:color="auto"/>
            <w:bottom w:val="none" w:sz="0" w:space="0" w:color="auto"/>
            <w:right w:val="none" w:sz="0" w:space="0" w:color="auto"/>
          </w:divBdr>
          <w:divsChild>
            <w:div w:id="268316712">
              <w:marLeft w:val="0"/>
              <w:marRight w:val="0"/>
              <w:marTop w:val="0"/>
              <w:marBottom w:val="0"/>
              <w:divBdr>
                <w:top w:val="single" w:sz="6" w:space="24" w:color="EBEEF5"/>
                <w:left w:val="none" w:sz="0" w:space="0" w:color="auto"/>
                <w:bottom w:val="single" w:sz="6" w:space="18" w:color="EBEEF5"/>
                <w:right w:val="none" w:sz="0" w:space="0" w:color="auto"/>
              </w:divBdr>
              <w:divsChild>
                <w:div w:id="2088261742">
                  <w:marLeft w:val="0"/>
                  <w:marRight w:val="0"/>
                  <w:marTop w:val="0"/>
                  <w:marBottom w:val="0"/>
                  <w:divBdr>
                    <w:top w:val="none" w:sz="0" w:space="0" w:color="auto"/>
                    <w:left w:val="none" w:sz="0" w:space="0" w:color="auto"/>
                    <w:bottom w:val="none" w:sz="0" w:space="0" w:color="auto"/>
                    <w:right w:val="none" w:sz="0" w:space="0" w:color="auto"/>
                  </w:divBdr>
                  <w:divsChild>
                    <w:div w:id="1533031734">
                      <w:marLeft w:val="0"/>
                      <w:marRight w:val="0"/>
                      <w:marTop w:val="0"/>
                      <w:marBottom w:val="0"/>
                      <w:divBdr>
                        <w:top w:val="none" w:sz="0" w:space="0" w:color="auto"/>
                        <w:left w:val="none" w:sz="0" w:space="0" w:color="auto"/>
                        <w:bottom w:val="none" w:sz="0" w:space="0" w:color="auto"/>
                        <w:right w:val="none" w:sz="0" w:space="0" w:color="auto"/>
                      </w:divBdr>
                      <w:divsChild>
                        <w:div w:id="14785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686138">
      <w:bodyDiv w:val="1"/>
      <w:marLeft w:val="0"/>
      <w:marRight w:val="0"/>
      <w:marTop w:val="0"/>
      <w:marBottom w:val="0"/>
      <w:divBdr>
        <w:top w:val="none" w:sz="0" w:space="0" w:color="auto"/>
        <w:left w:val="none" w:sz="0" w:space="0" w:color="auto"/>
        <w:bottom w:val="none" w:sz="0" w:space="0" w:color="auto"/>
        <w:right w:val="none" w:sz="0" w:space="0" w:color="auto"/>
      </w:divBdr>
    </w:div>
    <w:div w:id="1874883366">
      <w:bodyDiv w:val="1"/>
      <w:marLeft w:val="0"/>
      <w:marRight w:val="0"/>
      <w:marTop w:val="0"/>
      <w:marBottom w:val="0"/>
      <w:divBdr>
        <w:top w:val="none" w:sz="0" w:space="0" w:color="auto"/>
        <w:left w:val="none" w:sz="0" w:space="0" w:color="auto"/>
        <w:bottom w:val="none" w:sz="0" w:space="0" w:color="auto"/>
        <w:right w:val="none" w:sz="0" w:space="0" w:color="auto"/>
      </w:divBdr>
    </w:div>
    <w:div w:id="1878421056">
      <w:bodyDiv w:val="1"/>
      <w:marLeft w:val="0"/>
      <w:marRight w:val="0"/>
      <w:marTop w:val="0"/>
      <w:marBottom w:val="0"/>
      <w:divBdr>
        <w:top w:val="none" w:sz="0" w:space="0" w:color="auto"/>
        <w:left w:val="none" w:sz="0" w:space="0" w:color="auto"/>
        <w:bottom w:val="none" w:sz="0" w:space="0" w:color="auto"/>
        <w:right w:val="none" w:sz="0" w:space="0" w:color="auto"/>
      </w:divBdr>
    </w:div>
    <w:div w:id="1879388398">
      <w:bodyDiv w:val="1"/>
      <w:marLeft w:val="0"/>
      <w:marRight w:val="0"/>
      <w:marTop w:val="0"/>
      <w:marBottom w:val="0"/>
      <w:divBdr>
        <w:top w:val="none" w:sz="0" w:space="0" w:color="auto"/>
        <w:left w:val="none" w:sz="0" w:space="0" w:color="auto"/>
        <w:bottom w:val="none" w:sz="0" w:space="0" w:color="auto"/>
        <w:right w:val="none" w:sz="0" w:space="0" w:color="auto"/>
      </w:divBdr>
    </w:div>
    <w:div w:id="1879513172">
      <w:bodyDiv w:val="1"/>
      <w:marLeft w:val="0"/>
      <w:marRight w:val="0"/>
      <w:marTop w:val="0"/>
      <w:marBottom w:val="0"/>
      <w:divBdr>
        <w:top w:val="none" w:sz="0" w:space="0" w:color="auto"/>
        <w:left w:val="none" w:sz="0" w:space="0" w:color="auto"/>
        <w:bottom w:val="none" w:sz="0" w:space="0" w:color="auto"/>
        <w:right w:val="none" w:sz="0" w:space="0" w:color="auto"/>
      </w:divBdr>
    </w:div>
    <w:div w:id="1881749417">
      <w:bodyDiv w:val="1"/>
      <w:marLeft w:val="0"/>
      <w:marRight w:val="0"/>
      <w:marTop w:val="0"/>
      <w:marBottom w:val="0"/>
      <w:divBdr>
        <w:top w:val="none" w:sz="0" w:space="0" w:color="auto"/>
        <w:left w:val="none" w:sz="0" w:space="0" w:color="auto"/>
        <w:bottom w:val="none" w:sz="0" w:space="0" w:color="auto"/>
        <w:right w:val="none" w:sz="0" w:space="0" w:color="auto"/>
      </w:divBdr>
    </w:div>
    <w:div w:id="1883397758">
      <w:bodyDiv w:val="1"/>
      <w:marLeft w:val="0"/>
      <w:marRight w:val="0"/>
      <w:marTop w:val="0"/>
      <w:marBottom w:val="0"/>
      <w:divBdr>
        <w:top w:val="none" w:sz="0" w:space="0" w:color="auto"/>
        <w:left w:val="none" w:sz="0" w:space="0" w:color="auto"/>
        <w:bottom w:val="none" w:sz="0" w:space="0" w:color="auto"/>
        <w:right w:val="none" w:sz="0" w:space="0" w:color="auto"/>
      </w:divBdr>
    </w:div>
    <w:div w:id="1886334290">
      <w:bodyDiv w:val="1"/>
      <w:marLeft w:val="0"/>
      <w:marRight w:val="0"/>
      <w:marTop w:val="0"/>
      <w:marBottom w:val="0"/>
      <w:divBdr>
        <w:top w:val="none" w:sz="0" w:space="0" w:color="auto"/>
        <w:left w:val="none" w:sz="0" w:space="0" w:color="auto"/>
        <w:bottom w:val="none" w:sz="0" w:space="0" w:color="auto"/>
        <w:right w:val="none" w:sz="0" w:space="0" w:color="auto"/>
      </w:divBdr>
    </w:div>
    <w:div w:id="1886481964">
      <w:bodyDiv w:val="1"/>
      <w:marLeft w:val="0"/>
      <w:marRight w:val="0"/>
      <w:marTop w:val="0"/>
      <w:marBottom w:val="0"/>
      <w:divBdr>
        <w:top w:val="none" w:sz="0" w:space="0" w:color="auto"/>
        <w:left w:val="none" w:sz="0" w:space="0" w:color="auto"/>
        <w:bottom w:val="none" w:sz="0" w:space="0" w:color="auto"/>
        <w:right w:val="none" w:sz="0" w:space="0" w:color="auto"/>
      </w:divBdr>
      <w:divsChild>
        <w:div w:id="13894213">
          <w:marLeft w:val="0"/>
          <w:marRight w:val="0"/>
          <w:marTop w:val="0"/>
          <w:marBottom w:val="0"/>
          <w:divBdr>
            <w:top w:val="none" w:sz="0" w:space="0" w:color="auto"/>
            <w:left w:val="none" w:sz="0" w:space="0" w:color="auto"/>
            <w:bottom w:val="none" w:sz="0" w:space="0" w:color="auto"/>
            <w:right w:val="none" w:sz="0" w:space="0" w:color="auto"/>
          </w:divBdr>
        </w:div>
        <w:div w:id="304506595">
          <w:marLeft w:val="0"/>
          <w:marRight w:val="0"/>
          <w:marTop w:val="0"/>
          <w:marBottom w:val="0"/>
          <w:divBdr>
            <w:top w:val="none" w:sz="0" w:space="0" w:color="auto"/>
            <w:left w:val="none" w:sz="0" w:space="0" w:color="auto"/>
            <w:bottom w:val="none" w:sz="0" w:space="0" w:color="auto"/>
            <w:right w:val="none" w:sz="0" w:space="0" w:color="auto"/>
          </w:divBdr>
          <w:divsChild>
            <w:div w:id="603460560">
              <w:marLeft w:val="-225"/>
              <w:marRight w:val="-225"/>
              <w:marTop w:val="0"/>
              <w:marBottom w:val="0"/>
              <w:divBdr>
                <w:top w:val="none" w:sz="0" w:space="0" w:color="auto"/>
                <w:left w:val="none" w:sz="0" w:space="0" w:color="auto"/>
                <w:bottom w:val="none" w:sz="0" w:space="0" w:color="auto"/>
                <w:right w:val="none" w:sz="0" w:space="0" w:color="auto"/>
              </w:divBdr>
              <w:divsChild>
                <w:div w:id="819346090">
                  <w:marLeft w:val="0"/>
                  <w:marRight w:val="0"/>
                  <w:marTop w:val="0"/>
                  <w:marBottom w:val="0"/>
                  <w:divBdr>
                    <w:top w:val="none" w:sz="0" w:space="0" w:color="auto"/>
                    <w:left w:val="none" w:sz="0" w:space="0" w:color="auto"/>
                    <w:bottom w:val="none" w:sz="0" w:space="0" w:color="auto"/>
                    <w:right w:val="none" w:sz="0" w:space="0" w:color="auto"/>
                  </w:divBdr>
                  <w:divsChild>
                    <w:div w:id="3240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5462">
          <w:marLeft w:val="0"/>
          <w:marRight w:val="0"/>
          <w:marTop w:val="0"/>
          <w:marBottom w:val="0"/>
          <w:divBdr>
            <w:top w:val="none" w:sz="0" w:space="0" w:color="auto"/>
            <w:left w:val="none" w:sz="0" w:space="0" w:color="auto"/>
            <w:bottom w:val="none" w:sz="0" w:space="0" w:color="auto"/>
            <w:right w:val="none" w:sz="0" w:space="0" w:color="auto"/>
          </w:divBdr>
          <w:divsChild>
            <w:div w:id="1667593889">
              <w:marLeft w:val="-225"/>
              <w:marRight w:val="-225"/>
              <w:marTop w:val="0"/>
              <w:marBottom w:val="0"/>
              <w:divBdr>
                <w:top w:val="none" w:sz="0" w:space="0" w:color="auto"/>
                <w:left w:val="none" w:sz="0" w:space="0" w:color="auto"/>
                <w:bottom w:val="none" w:sz="0" w:space="0" w:color="auto"/>
                <w:right w:val="none" w:sz="0" w:space="0" w:color="auto"/>
              </w:divBdr>
              <w:divsChild>
                <w:div w:id="637540276">
                  <w:marLeft w:val="0"/>
                  <w:marRight w:val="0"/>
                  <w:marTop w:val="0"/>
                  <w:marBottom w:val="0"/>
                  <w:divBdr>
                    <w:top w:val="none" w:sz="0" w:space="0" w:color="auto"/>
                    <w:left w:val="none" w:sz="0" w:space="0" w:color="auto"/>
                    <w:bottom w:val="none" w:sz="0" w:space="0" w:color="auto"/>
                    <w:right w:val="none" w:sz="0" w:space="0" w:color="auto"/>
                  </w:divBdr>
                  <w:divsChild>
                    <w:div w:id="7409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832565">
          <w:marLeft w:val="0"/>
          <w:marRight w:val="0"/>
          <w:marTop w:val="0"/>
          <w:marBottom w:val="0"/>
          <w:divBdr>
            <w:top w:val="none" w:sz="0" w:space="0" w:color="auto"/>
            <w:left w:val="none" w:sz="0" w:space="0" w:color="auto"/>
            <w:bottom w:val="none" w:sz="0" w:space="0" w:color="auto"/>
            <w:right w:val="none" w:sz="0" w:space="0" w:color="auto"/>
          </w:divBdr>
          <w:divsChild>
            <w:div w:id="2036030126">
              <w:marLeft w:val="0"/>
              <w:marRight w:val="0"/>
              <w:marTop w:val="0"/>
              <w:marBottom w:val="0"/>
              <w:divBdr>
                <w:top w:val="none" w:sz="0" w:space="0" w:color="auto"/>
                <w:left w:val="none" w:sz="0" w:space="0" w:color="auto"/>
                <w:bottom w:val="none" w:sz="0" w:space="0" w:color="auto"/>
                <w:right w:val="none" w:sz="0" w:space="0" w:color="auto"/>
              </w:divBdr>
              <w:divsChild>
                <w:div w:id="956981645">
                  <w:marLeft w:val="0"/>
                  <w:marRight w:val="0"/>
                  <w:marTop w:val="0"/>
                  <w:marBottom w:val="0"/>
                  <w:divBdr>
                    <w:top w:val="none" w:sz="0" w:space="0" w:color="auto"/>
                    <w:left w:val="none" w:sz="0" w:space="0" w:color="auto"/>
                    <w:bottom w:val="none" w:sz="0" w:space="0" w:color="auto"/>
                    <w:right w:val="none" w:sz="0" w:space="0" w:color="auto"/>
                  </w:divBdr>
                  <w:divsChild>
                    <w:div w:id="1914312637">
                      <w:marLeft w:val="0"/>
                      <w:marRight w:val="0"/>
                      <w:marTop w:val="0"/>
                      <w:marBottom w:val="0"/>
                      <w:divBdr>
                        <w:top w:val="none" w:sz="0" w:space="0" w:color="auto"/>
                        <w:left w:val="none" w:sz="0" w:space="0" w:color="auto"/>
                        <w:bottom w:val="none" w:sz="0" w:space="0" w:color="auto"/>
                        <w:right w:val="none" w:sz="0" w:space="0" w:color="auto"/>
                      </w:divBdr>
                      <w:divsChild>
                        <w:div w:id="6765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984627">
      <w:bodyDiv w:val="1"/>
      <w:marLeft w:val="0"/>
      <w:marRight w:val="0"/>
      <w:marTop w:val="0"/>
      <w:marBottom w:val="0"/>
      <w:divBdr>
        <w:top w:val="none" w:sz="0" w:space="0" w:color="auto"/>
        <w:left w:val="none" w:sz="0" w:space="0" w:color="auto"/>
        <w:bottom w:val="none" w:sz="0" w:space="0" w:color="auto"/>
        <w:right w:val="none" w:sz="0" w:space="0" w:color="auto"/>
      </w:divBdr>
    </w:div>
    <w:div w:id="1888252098">
      <w:bodyDiv w:val="1"/>
      <w:marLeft w:val="0"/>
      <w:marRight w:val="0"/>
      <w:marTop w:val="0"/>
      <w:marBottom w:val="0"/>
      <w:divBdr>
        <w:top w:val="none" w:sz="0" w:space="0" w:color="auto"/>
        <w:left w:val="none" w:sz="0" w:space="0" w:color="auto"/>
        <w:bottom w:val="none" w:sz="0" w:space="0" w:color="auto"/>
        <w:right w:val="none" w:sz="0" w:space="0" w:color="auto"/>
      </w:divBdr>
    </w:div>
    <w:div w:id="1894534398">
      <w:bodyDiv w:val="1"/>
      <w:marLeft w:val="0"/>
      <w:marRight w:val="0"/>
      <w:marTop w:val="0"/>
      <w:marBottom w:val="0"/>
      <w:divBdr>
        <w:top w:val="none" w:sz="0" w:space="0" w:color="auto"/>
        <w:left w:val="none" w:sz="0" w:space="0" w:color="auto"/>
        <w:bottom w:val="none" w:sz="0" w:space="0" w:color="auto"/>
        <w:right w:val="none" w:sz="0" w:space="0" w:color="auto"/>
      </w:divBdr>
    </w:div>
    <w:div w:id="1894849653">
      <w:bodyDiv w:val="1"/>
      <w:marLeft w:val="0"/>
      <w:marRight w:val="0"/>
      <w:marTop w:val="0"/>
      <w:marBottom w:val="0"/>
      <w:divBdr>
        <w:top w:val="none" w:sz="0" w:space="0" w:color="auto"/>
        <w:left w:val="none" w:sz="0" w:space="0" w:color="auto"/>
        <w:bottom w:val="none" w:sz="0" w:space="0" w:color="auto"/>
        <w:right w:val="none" w:sz="0" w:space="0" w:color="auto"/>
      </w:divBdr>
    </w:div>
    <w:div w:id="1897473560">
      <w:bodyDiv w:val="1"/>
      <w:marLeft w:val="0"/>
      <w:marRight w:val="0"/>
      <w:marTop w:val="0"/>
      <w:marBottom w:val="0"/>
      <w:divBdr>
        <w:top w:val="none" w:sz="0" w:space="0" w:color="auto"/>
        <w:left w:val="none" w:sz="0" w:space="0" w:color="auto"/>
        <w:bottom w:val="none" w:sz="0" w:space="0" w:color="auto"/>
        <w:right w:val="none" w:sz="0" w:space="0" w:color="auto"/>
      </w:divBdr>
    </w:div>
    <w:div w:id="1897668089">
      <w:bodyDiv w:val="1"/>
      <w:marLeft w:val="0"/>
      <w:marRight w:val="0"/>
      <w:marTop w:val="0"/>
      <w:marBottom w:val="0"/>
      <w:divBdr>
        <w:top w:val="none" w:sz="0" w:space="0" w:color="auto"/>
        <w:left w:val="none" w:sz="0" w:space="0" w:color="auto"/>
        <w:bottom w:val="none" w:sz="0" w:space="0" w:color="auto"/>
        <w:right w:val="none" w:sz="0" w:space="0" w:color="auto"/>
      </w:divBdr>
      <w:divsChild>
        <w:div w:id="195509879">
          <w:marLeft w:val="0"/>
          <w:marRight w:val="0"/>
          <w:marTop w:val="0"/>
          <w:marBottom w:val="0"/>
          <w:divBdr>
            <w:top w:val="none" w:sz="0" w:space="0" w:color="auto"/>
            <w:left w:val="none" w:sz="0" w:space="0" w:color="auto"/>
            <w:bottom w:val="none" w:sz="0" w:space="0" w:color="auto"/>
            <w:right w:val="none" w:sz="0" w:space="0" w:color="auto"/>
          </w:divBdr>
          <w:divsChild>
            <w:div w:id="2090422204">
              <w:marLeft w:val="-225"/>
              <w:marRight w:val="-225"/>
              <w:marTop w:val="0"/>
              <w:marBottom w:val="0"/>
              <w:divBdr>
                <w:top w:val="none" w:sz="0" w:space="0" w:color="auto"/>
                <w:left w:val="none" w:sz="0" w:space="0" w:color="auto"/>
                <w:bottom w:val="none" w:sz="0" w:space="0" w:color="auto"/>
                <w:right w:val="none" w:sz="0" w:space="0" w:color="auto"/>
              </w:divBdr>
              <w:divsChild>
                <w:div w:id="1225793912">
                  <w:marLeft w:val="0"/>
                  <w:marRight w:val="0"/>
                  <w:marTop w:val="0"/>
                  <w:marBottom w:val="0"/>
                  <w:divBdr>
                    <w:top w:val="none" w:sz="0" w:space="0" w:color="auto"/>
                    <w:left w:val="none" w:sz="0" w:space="0" w:color="auto"/>
                    <w:bottom w:val="none" w:sz="0" w:space="0" w:color="auto"/>
                    <w:right w:val="none" w:sz="0" w:space="0" w:color="auto"/>
                  </w:divBdr>
                  <w:divsChild>
                    <w:div w:id="13677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3208">
          <w:marLeft w:val="0"/>
          <w:marRight w:val="0"/>
          <w:marTop w:val="0"/>
          <w:marBottom w:val="0"/>
          <w:divBdr>
            <w:top w:val="none" w:sz="0" w:space="0" w:color="auto"/>
            <w:left w:val="none" w:sz="0" w:space="0" w:color="auto"/>
            <w:bottom w:val="none" w:sz="0" w:space="0" w:color="auto"/>
            <w:right w:val="none" w:sz="0" w:space="0" w:color="auto"/>
          </w:divBdr>
          <w:divsChild>
            <w:div w:id="1440687685">
              <w:marLeft w:val="-225"/>
              <w:marRight w:val="-225"/>
              <w:marTop w:val="0"/>
              <w:marBottom w:val="0"/>
              <w:divBdr>
                <w:top w:val="none" w:sz="0" w:space="0" w:color="auto"/>
                <w:left w:val="none" w:sz="0" w:space="0" w:color="auto"/>
                <w:bottom w:val="none" w:sz="0" w:space="0" w:color="auto"/>
                <w:right w:val="none" w:sz="0" w:space="0" w:color="auto"/>
              </w:divBdr>
              <w:divsChild>
                <w:div w:id="1995134240">
                  <w:marLeft w:val="0"/>
                  <w:marRight w:val="0"/>
                  <w:marTop w:val="0"/>
                  <w:marBottom w:val="0"/>
                  <w:divBdr>
                    <w:top w:val="none" w:sz="0" w:space="0" w:color="auto"/>
                    <w:left w:val="none" w:sz="0" w:space="0" w:color="auto"/>
                    <w:bottom w:val="none" w:sz="0" w:space="0" w:color="auto"/>
                    <w:right w:val="none" w:sz="0" w:space="0" w:color="auto"/>
                  </w:divBdr>
                  <w:divsChild>
                    <w:div w:id="18130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00011">
          <w:marLeft w:val="0"/>
          <w:marRight w:val="0"/>
          <w:marTop w:val="0"/>
          <w:marBottom w:val="0"/>
          <w:divBdr>
            <w:top w:val="none" w:sz="0" w:space="0" w:color="auto"/>
            <w:left w:val="none" w:sz="0" w:space="0" w:color="auto"/>
            <w:bottom w:val="none" w:sz="0" w:space="0" w:color="auto"/>
            <w:right w:val="none" w:sz="0" w:space="0" w:color="auto"/>
          </w:divBdr>
        </w:div>
      </w:divsChild>
    </w:div>
    <w:div w:id="1897815323">
      <w:bodyDiv w:val="1"/>
      <w:marLeft w:val="0"/>
      <w:marRight w:val="0"/>
      <w:marTop w:val="0"/>
      <w:marBottom w:val="0"/>
      <w:divBdr>
        <w:top w:val="none" w:sz="0" w:space="0" w:color="auto"/>
        <w:left w:val="none" w:sz="0" w:space="0" w:color="auto"/>
        <w:bottom w:val="none" w:sz="0" w:space="0" w:color="auto"/>
        <w:right w:val="none" w:sz="0" w:space="0" w:color="auto"/>
      </w:divBdr>
    </w:div>
    <w:div w:id="1897889313">
      <w:bodyDiv w:val="1"/>
      <w:marLeft w:val="0"/>
      <w:marRight w:val="0"/>
      <w:marTop w:val="0"/>
      <w:marBottom w:val="0"/>
      <w:divBdr>
        <w:top w:val="none" w:sz="0" w:space="0" w:color="auto"/>
        <w:left w:val="none" w:sz="0" w:space="0" w:color="auto"/>
        <w:bottom w:val="none" w:sz="0" w:space="0" w:color="auto"/>
        <w:right w:val="none" w:sz="0" w:space="0" w:color="auto"/>
      </w:divBdr>
    </w:div>
    <w:div w:id="1899825460">
      <w:bodyDiv w:val="1"/>
      <w:marLeft w:val="0"/>
      <w:marRight w:val="0"/>
      <w:marTop w:val="0"/>
      <w:marBottom w:val="0"/>
      <w:divBdr>
        <w:top w:val="none" w:sz="0" w:space="0" w:color="auto"/>
        <w:left w:val="none" w:sz="0" w:space="0" w:color="auto"/>
        <w:bottom w:val="none" w:sz="0" w:space="0" w:color="auto"/>
        <w:right w:val="none" w:sz="0" w:space="0" w:color="auto"/>
      </w:divBdr>
    </w:div>
    <w:div w:id="1901557958">
      <w:bodyDiv w:val="1"/>
      <w:marLeft w:val="0"/>
      <w:marRight w:val="0"/>
      <w:marTop w:val="0"/>
      <w:marBottom w:val="0"/>
      <w:divBdr>
        <w:top w:val="none" w:sz="0" w:space="0" w:color="auto"/>
        <w:left w:val="none" w:sz="0" w:space="0" w:color="auto"/>
        <w:bottom w:val="none" w:sz="0" w:space="0" w:color="auto"/>
        <w:right w:val="none" w:sz="0" w:space="0" w:color="auto"/>
      </w:divBdr>
    </w:div>
    <w:div w:id="1905027499">
      <w:bodyDiv w:val="1"/>
      <w:marLeft w:val="0"/>
      <w:marRight w:val="0"/>
      <w:marTop w:val="0"/>
      <w:marBottom w:val="0"/>
      <w:divBdr>
        <w:top w:val="none" w:sz="0" w:space="0" w:color="auto"/>
        <w:left w:val="none" w:sz="0" w:space="0" w:color="auto"/>
        <w:bottom w:val="none" w:sz="0" w:space="0" w:color="auto"/>
        <w:right w:val="none" w:sz="0" w:space="0" w:color="auto"/>
      </w:divBdr>
    </w:div>
    <w:div w:id="1914006311">
      <w:bodyDiv w:val="1"/>
      <w:marLeft w:val="0"/>
      <w:marRight w:val="0"/>
      <w:marTop w:val="0"/>
      <w:marBottom w:val="0"/>
      <w:divBdr>
        <w:top w:val="none" w:sz="0" w:space="0" w:color="auto"/>
        <w:left w:val="none" w:sz="0" w:space="0" w:color="auto"/>
        <w:bottom w:val="none" w:sz="0" w:space="0" w:color="auto"/>
        <w:right w:val="none" w:sz="0" w:space="0" w:color="auto"/>
      </w:divBdr>
    </w:div>
    <w:div w:id="1914467801">
      <w:bodyDiv w:val="1"/>
      <w:marLeft w:val="0"/>
      <w:marRight w:val="0"/>
      <w:marTop w:val="0"/>
      <w:marBottom w:val="0"/>
      <w:divBdr>
        <w:top w:val="none" w:sz="0" w:space="0" w:color="auto"/>
        <w:left w:val="none" w:sz="0" w:space="0" w:color="auto"/>
        <w:bottom w:val="none" w:sz="0" w:space="0" w:color="auto"/>
        <w:right w:val="none" w:sz="0" w:space="0" w:color="auto"/>
      </w:divBdr>
    </w:div>
    <w:div w:id="1917326118">
      <w:bodyDiv w:val="1"/>
      <w:marLeft w:val="0"/>
      <w:marRight w:val="0"/>
      <w:marTop w:val="0"/>
      <w:marBottom w:val="0"/>
      <w:divBdr>
        <w:top w:val="none" w:sz="0" w:space="0" w:color="auto"/>
        <w:left w:val="none" w:sz="0" w:space="0" w:color="auto"/>
        <w:bottom w:val="none" w:sz="0" w:space="0" w:color="auto"/>
        <w:right w:val="none" w:sz="0" w:space="0" w:color="auto"/>
      </w:divBdr>
    </w:div>
    <w:div w:id="1918595205">
      <w:bodyDiv w:val="1"/>
      <w:marLeft w:val="0"/>
      <w:marRight w:val="0"/>
      <w:marTop w:val="0"/>
      <w:marBottom w:val="0"/>
      <w:divBdr>
        <w:top w:val="none" w:sz="0" w:space="0" w:color="auto"/>
        <w:left w:val="none" w:sz="0" w:space="0" w:color="auto"/>
        <w:bottom w:val="none" w:sz="0" w:space="0" w:color="auto"/>
        <w:right w:val="none" w:sz="0" w:space="0" w:color="auto"/>
      </w:divBdr>
    </w:div>
    <w:div w:id="1922442927">
      <w:bodyDiv w:val="1"/>
      <w:marLeft w:val="0"/>
      <w:marRight w:val="0"/>
      <w:marTop w:val="0"/>
      <w:marBottom w:val="0"/>
      <w:divBdr>
        <w:top w:val="none" w:sz="0" w:space="0" w:color="auto"/>
        <w:left w:val="none" w:sz="0" w:space="0" w:color="auto"/>
        <w:bottom w:val="none" w:sz="0" w:space="0" w:color="auto"/>
        <w:right w:val="none" w:sz="0" w:space="0" w:color="auto"/>
      </w:divBdr>
    </w:div>
    <w:div w:id="1923485016">
      <w:bodyDiv w:val="1"/>
      <w:marLeft w:val="0"/>
      <w:marRight w:val="0"/>
      <w:marTop w:val="0"/>
      <w:marBottom w:val="0"/>
      <w:divBdr>
        <w:top w:val="none" w:sz="0" w:space="0" w:color="auto"/>
        <w:left w:val="none" w:sz="0" w:space="0" w:color="auto"/>
        <w:bottom w:val="none" w:sz="0" w:space="0" w:color="auto"/>
        <w:right w:val="none" w:sz="0" w:space="0" w:color="auto"/>
      </w:divBdr>
    </w:div>
    <w:div w:id="1927641466">
      <w:bodyDiv w:val="1"/>
      <w:marLeft w:val="0"/>
      <w:marRight w:val="0"/>
      <w:marTop w:val="0"/>
      <w:marBottom w:val="0"/>
      <w:divBdr>
        <w:top w:val="none" w:sz="0" w:space="0" w:color="auto"/>
        <w:left w:val="none" w:sz="0" w:space="0" w:color="auto"/>
        <w:bottom w:val="none" w:sz="0" w:space="0" w:color="auto"/>
        <w:right w:val="none" w:sz="0" w:space="0" w:color="auto"/>
      </w:divBdr>
    </w:div>
    <w:div w:id="1928809396">
      <w:bodyDiv w:val="1"/>
      <w:marLeft w:val="0"/>
      <w:marRight w:val="0"/>
      <w:marTop w:val="0"/>
      <w:marBottom w:val="0"/>
      <w:divBdr>
        <w:top w:val="none" w:sz="0" w:space="0" w:color="auto"/>
        <w:left w:val="none" w:sz="0" w:space="0" w:color="auto"/>
        <w:bottom w:val="none" w:sz="0" w:space="0" w:color="auto"/>
        <w:right w:val="none" w:sz="0" w:space="0" w:color="auto"/>
      </w:divBdr>
    </w:div>
    <w:div w:id="1929118373">
      <w:bodyDiv w:val="1"/>
      <w:marLeft w:val="0"/>
      <w:marRight w:val="0"/>
      <w:marTop w:val="0"/>
      <w:marBottom w:val="0"/>
      <w:divBdr>
        <w:top w:val="none" w:sz="0" w:space="0" w:color="auto"/>
        <w:left w:val="none" w:sz="0" w:space="0" w:color="auto"/>
        <w:bottom w:val="none" w:sz="0" w:space="0" w:color="auto"/>
        <w:right w:val="none" w:sz="0" w:space="0" w:color="auto"/>
      </w:divBdr>
    </w:div>
    <w:div w:id="1929341904">
      <w:bodyDiv w:val="1"/>
      <w:marLeft w:val="0"/>
      <w:marRight w:val="0"/>
      <w:marTop w:val="0"/>
      <w:marBottom w:val="0"/>
      <w:divBdr>
        <w:top w:val="none" w:sz="0" w:space="0" w:color="auto"/>
        <w:left w:val="none" w:sz="0" w:space="0" w:color="auto"/>
        <w:bottom w:val="none" w:sz="0" w:space="0" w:color="auto"/>
        <w:right w:val="none" w:sz="0" w:space="0" w:color="auto"/>
      </w:divBdr>
    </w:div>
    <w:div w:id="1930769834">
      <w:bodyDiv w:val="1"/>
      <w:marLeft w:val="0"/>
      <w:marRight w:val="0"/>
      <w:marTop w:val="0"/>
      <w:marBottom w:val="0"/>
      <w:divBdr>
        <w:top w:val="none" w:sz="0" w:space="0" w:color="auto"/>
        <w:left w:val="none" w:sz="0" w:space="0" w:color="auto"/>
        <w:bottom w:val="none" w:sz="0" w:space="0" w:color="auto"/>
        <w:right w:val="none" w:sz="0" w:space="0" w:color="auto"/>
      </w:divBdr>
    </w:div>
    <w:div w:id="1934194776">
      <w:bodyDiv w:val="1"/>
      <w:marLeft w:val="0"/>
      <w:marRight w:val="0"/>
      <w:marTop w:val="0"/>
      <w:marBottom w:val="0"/>
      <w:divBdr>
        <w:top w:val="none" w:sz="0" w:space="0" w:color="auto"/>
        <w:left w:val="none" w:sz="0" w:space="0" w:color="auto"/>
        <w:bottom w:val="none" w:sz="0" w:space="0" w:color="auto"/>
        <w:right w:val="none" w:sz="0" w:space="0" w:color="auto"/>
      </w:divBdr>
    </w:div>
    <w:div w:id="1934703982">
      <w:bodyDiv w:val="1"/>
      <w:marLeft w:val="0"/>
      <w:marRight w:val="0"/>
      <w:marTop w:val="0"/>
      <w:marBottom w:val="0"/>
      <w:divBdr>
        <w:top w:val="none" w:sz="0" w:space="0" w:color="auto"/>
        <w:left w:val="none" w:sz="0" w:space="0" w:color="auto"/>
        <w:bottom w:val="none" w:sz="0" w:space="0" w:color="auto"/>
        <w:right w:val="none" w:sz="0" w:space="0" w:color="auto"/>
      </w:divBdr>
    </w:div>
    <w:div w:id="1936357569">
      <w:bodyDiv w:val="1"/>
      <w:marLeft w:val="0"/>
      <w:marRight w:val="0"/>
      <w:marTop w:val="0"/>
      <w:marBottom w:val="0"/>
      <w:divBdr>
        <w:top w:val="none" w:sz="0" w:space="0" w:color="auto"/>
        <w:left w:val="none" w:sz="0" w:space="0" w:color="auto"/>
        <w:bottom w:val="none" w:sz="0" w:space="0" w:color="auto"/>
        <w:right w:val="none" w:sz="0" w:space="0" w:color="auto"/>
      </w:divBdr>
    </w:div>
    <w:div w:id="1936552461">
      <w:bodyDiv w:val="1"/>
      <w:marLeft w:val="0"/>
      <w:marRight w:val="0"/>
      <w:marTop w:val="0"/>
      <w:marBottom w:val="0"/>
      <w:divBdr>
        <w:top w:val="none" w:sz="0" w:space="0" w:color="auto"/>
        <w:left w:val="none" w:sz="0" w:space="0" w:color="auto"/>
        <w:bottom w:val="none" w:sz="0" w:space="0" w:color="auto"/>
        <w:right w:val="none" w:sz="0" w:space="0" w:color="auto"/>
      </w:divBdr>
    </w:div>
    <w:div w:id="1936674116">
      <w:bodyDiv w:val="1"/>
      <w:marLeft w:val="0"/>
      <w:marRight w:val="0"/>
      <w:marTop w:val="0"/>
      <w:marBottom w:val="0"/>
      <w:divBdr>
        <w:top w:val="none" w:sz="0" w:space="0" w:color="auto"/>
        <w:left w:val="none" w:sz="0" w:space="0" w:color="auto"/>
        <w:bottom w:val="none" w:sz="0" w:space="0" w:color="auto"/>
        <w:right w:val="none" w:sz="0" w:space="0" w:color="auto"/>
      </w:divBdr>
    </w:div>
    <w:div w:id="1942949733">
      <w:bodyDiv w:val="1"/>
      <w:marLeft w:val="0"/>
      <w:marRight w:val="0"/>
      <w:marTop w:val="0"/>
      <w:marBottom w:val="0"/>
      <w:divBdr>
        <w:top w:val="none" w:sz="0" w:space="0" w:color="auto"/>
        <w:left w:val="none" w:sz="0" w:space="0" w:color="auto"/>
        <w:bottom w:val="none" w:sz="0" w:space="0" w:color="auto"/>
        <w:right w:val="none" w:sz="0" w:space="0" w:color="auto"/>
      </w:divBdr>
    </w:div>
    <w:div w:id="1944065652">
      <w:bodyDiv w:val="1"/>
      <w:marLeft w:val="0"/>
      <w:marRight w:val="0"/>
      <w:marTop w:val="0"/>
      <w:marBottom w:val="0"/>
      <w:divBdr>
        <w:top w:val="none" w:sz="0" w:space="0" w:color="auto"/>
        <w:left w:val="none" w:sz="0" w:space="0" w:color="auto"/>
        <w:bottom w:val="none" w:sz="0" w:space="0" w:color="auto"/>
        <w:right w:val="none" w:sz="0" w:space="0" w:color="auto"/>
      </w:divBdr>
    </w:div>
    <w:div w:id="1945459132">
      <w:bodyDiv w:val="1"/>
      <w:marLeft w:val="0"/>
      <w:marRight w:val="0"/>
      <w:marTop w:val="0"/>
      <w:marBottom w:val="0"/>
      <w:divBdr>
        <w:top w:val="none" w:sz="0" w:space="0" w:color="auto"/>
        <w:left w:val="none" w:sz="0" w:space="0" w:color="auto"/>
        <w:bottom w:val="none" w:sz="0" w:space="0" w:color="auto"/>
        <w:right w:val="none" w:sz="0" w:space="0" w:color="auto"/>
      </w:divBdr>
    </w:div>
    <w:div w:id="1947349297">
      <w:bodyDiv w:val="1"/>
      <w:marLeft w:val="0"/>
      <w:marRight w:val="0"/>
      <w:marTop w:val="0"/>
      <w:marBottom w:val="0"/>
      <w:divBdr>
        <w:top w:val="none" w:sz="0" w:space="0" w:color="auto"/>
        <w:left w:val="none" w:sz="0" w:space="0" w:color="auto"/>
        <w:bottom w:val="none" w:sz="0" w:space="0" w:color="auto"/>
        <w:right w:val="none" w:sz="0" w:space="0" w:color="auto"/>
      </w:divBdr>
      <w:divsChild>
        <w:div w:id="367991119">
          <w:marLeft w:val="0"/>
          <w:marRight w:val="0"/>
          <w:marTop w:val="0"/>
          <w:marBottom w:val="0"/>
          <w:divBdr>
            <w:top w:val="none" w:sz="0" w:space="0" w:color="auto"/>
            <w:left w:val="none" w:sz="0" w:space="0" w:color="auto"/>
            <w:bottom w:val="none" w:sz="0" w:space="0" w:color="auto"/>
            <w:right w:val="none" w:sz="0" w:space="0" w:color="auto"/>
          </w:divBdr>
          <w:divsChild>
            <w:div w:id="185221302">
              <w:marLeft w:val="0"/>
              <w:marRight w:val="0"/>
              <w:marTop w:val="0"/>
              <w:marBottom w:val="0"/>
              <w:divBdr>
                <w:top w:val="single" w:sz="6" w:space="24" w:color="EBEEF5"/>
                <w:left w:val="none" w:sz="0" w:space="0" w:color="auto"/>
                <w:bottom w:val="single" w:sz="6" w:space="18" w:color="EBEEF5"/>
                <w:right w:val="none" w:sz="0" w:space="0" w:color="auto"/>
              </w:divBdr>
              <w:divsChild>
                <w:div w:id="1139763508">
                  <w:marLeft w:val="0"/>
                  <w:marRight w:val="0"/>
                  <w:marTop w:val="0"/>
                  <w:marBottom w:val="0"/>
                  <w:divBdr>
                    <w:top w:val="none" w:sz="0" w:space="0" w:color="auto"/>
                    <w:left w:val="none" w:sz="0" w:space="0" w:color="auto"/>
                    <w:bottom w:val="none" w:sz="0" w:space="0" w:color="auto"/>
                    <w:right w:val="none" w:sz="0" w:space="0" w:color="auto"/>
                  </w:divBdr>
                  <w:divsChild>
                    <w:div w:id="2001733991">
                      <w:marLeft w:val="0"/>
                      <w:marRight w:val="0"/>
                      <w:marTop w:val="0"/>
                      <w:marBottom w:val="0"/>
                      <w:divBdr>
                        <w:top w:val="none" w:sz="0" w:space="0" w:color="auto"/>
                        <w:left w:val="none" w:sz="0" w:space="0" w:color="auto"/>
                        <w:bottom w:val="none" w:sz="0" w:space="0" w:color="auto"/>
                        <w:right w:val="none" w:sz="0" w:space="0" w:color="auto"/>
                      </w:divBdr>
                      <w:divsChild>
                        <w:div w:id="16848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33606">
          <w:marLeft w:val="0"/>
          <w:marRight w:val="0"/>
          <w:marTop w:val="0"/>
          <w:marBottom w:val="0"/>
          <w:divBdr>
            <w:top w:val="none" w:sz="0" w:space="0" w:color="auto"/>
            <w:left w:val="none" w:sz="0" w:space="0" w:color="auto"/>
            <w:bottom w:val="none" w:sz="0" w:space="0" w:color="auto"/>
            <w:right w:val="none" w:sz="0" w:space="0" w:color="auto"/>
          </w:divBdr>
          <w:divsChild>
            <w:div w:id="10031586">
              <w:marLeft w:val="-225"/>
              <w:marRight w:val="-225"/>
              <w:marTop w:val="0"/>
              <w:marBottom w:val="0"/>
              <w:divBdr>
                <w:top w:val="none" w:sz="0" w:space="0" w:color="auto"/>
                <w:left w:val="none" w:sz="0" w:space="0" w:color="auto"/>
                <w:bottom w:val="none" w:sz="0" w:space="0" w:color="auto"/>
                <w:right w:val="none" w:sz="0" w:space="0" w:color="auto"/>
              </w:divBdr>
              <w:divsChild>
                <w:div w:id="132068636">
                  <w:marLeft w:val="0"/>
                  <w:marRight w:val="0"/>
                  <w:marTop w:val="0"/>
                  <w:marBottom w:val="0"/>
                  <w:divBdr>
                    <w:top w:val="none" w:sz="0" w:space="0" w:color="auto"/>
                    <w:left w:val="none" w:sz="0" w:space="0" w:color="auto"/>
                    <w:bottom w:val="none" w:sz="0" w:space="0" w:color="auto"/>
                    <w:right w:val="none" w:sz="0" w:space="0" w:color="auto"/>
                  </w:divBdr>
                  <w:divsChild>
                    <w:div w:id="7852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7829">
          <w:marLeft w:val="0"/>
          <w:marRight w:val="0"/>
          <w:marTop w:val="0"/>
          <w:marBottom w:val="0"/>
          <w:divBdr>
            <w:top w:val="none" w:sz="0" w:space="0" w:color="auto"/>
            <w:left w:val="none" w:sz="0" w:space="0" w:color="auto"/>
            <w:bottom w:val="none" w:sz="0" w:space="0" w:color="auto"/>
            <w:right w:val="none" w:sz="0" w:space="0" w:color="auto"/>
          </w:divBdr>
          <w:divsChild>
            <w:div w:id="573974525">
              <w:marLeft w:val="-225"/>
              <w:marRight w:val="-225"/>
              <w:marTop w:val="0"/>
              <w:marBottom w:val="0"/>
              <w:divBdr>
                <w:top w:val="none" w:sz="0" w:space="0" w:color="auto"/>
                <w:left w:val="none" w:sz="0" w:space="0" w:color="auto"/>
                <w:bottom w:val="none" w:sz="0" w:space="0" w:color="auto"/>
                <w:right w:val="none" w:sz="0" w:space="0" w:color="auto"/>
              </w:divBdr>
              <w:divsChild>
                <w:div w:id="629749661">
                  <w:marLeft w:val="0"/>
                  <w:marRight w:val="0"/>
                  <w:marTop w:val="0"/>
                  <w:marBottom w:val="0"/>
                  <w:divBdr>
                    <w:top w:val="none" w:sz="0" w:space="0" w:color="auto"/>
                    <w:left w:val="none" w:sz="0" w:space="0" w:color="auto"/>
                    <w:bottom w:val="none" w:sz="0" w:space="0" w:color="auto"/>
                    <w:right w:val="none" w:sz="0" w:space="0" w:color="auto"/>
                  </w:divBdr>
                  <w:divsChild>
                    <w:div w:id="21100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59114">
          <w:marLeft w:val="0"/>
          <w:marRight w:val="0"/>
          <w:marTop w:val="0"/>
          <w:marBottom w:val="0"/>
          <w:divBdr>
            <w:top w:val="none" w:sz="0" w:space="0" w:color="auto"/>
            <w:left w:val="none" w:sz="0" w:space="0" w:color="auto"/>
            <w:bottom w:val="none" w:sz="0" w:space="0" w:color="auto"/>
            <w:right w:val="none" w:sz="0" w:space="0" w:color="auto"/>
          </w:divBdr>
        </w:div>
      </w:divsChild>
    </w:div>
    <w:div w:id="1950694832">
      <w:bodyDiv w:val="1"/>
      <w:marLeft w:val="0"/>
      <w:marRight w:val="0"/>
      <w:marTop w:val="0"/>
      <w:marBottom w:val="0"/>
      <w:divBdr>
        <w:top w:val="none" w:sz="0" w:space="0" w:color="auto"/>
        <w:left w:val="none" w:sz="0" w:space="0" w:color="auto"/>
        <w:bottom w:val="none" w:sz="0" w:space="0" w:color="auto"/>
        <w:right w:val="none" w:sz="0" w:space="0" w:color="auto"/>
      </w:divBdr>
    </w:div>
    <w:div w:id="1951665947">
      <w:bodyDiv w:val="1"/>
      <w:marLeft w:val="0"/>
      <w:marRight w:val="0"/>
      <w:marTop w:val="0"/>
      <w:marBottom w:val="0"/>
      <w:divBdr>
        <w:top w:val="none" w:sz="0" w:space="0" w:color="auto"/>
        <w:left w:val="none" w:sz="0" w:space="0" w:color="auto"/>
        <w:bottom w:val="none" w:sz="0" w:space="0" w:color="auto"/>
        <w:right w:val="none" w:sz="0" w:space="0" w:color="auto"/>
      </w:divBdr>
    </w:div>
    <w:div w:id="1953397698">
      <w:bodyDiv w:val="1"/>
      <w:marLeft w:val="0"/>
      <w:marRight w:val="0"/>
      <w:marTop w:val="0"/>
      <w:marBottom w:val="0"/>
      <w:divBdr>
        <w:top w:val="none" w:sz="0" w:space="0" w:color="auto"/>
        <w:left w:val="none" w:sz="0" w:space="0" w:color="auto"/>
        <w:bottom w:val="none" w:sz="0" w:space="0" w:color="auto"/>
        <w:right w:val="none" w:sz="0" w:space="0" w:color="auto"/>
      </w:divBdr>
    </w:div>
    <w:div w:id="1959407651">
      <w:bodyDiv w:val="1"/>
      <w:marLeft w:val="0"/>
      <w:marRight w:val="0"/>
      <w:marTop w:val="0"/>
      <w:marBottom w:val="0"/>
      <w:divBdr>
        <w:top w:val="none" w:sz="0" w:space="0" w:color="auto"/>
        <w:left w:val="none" w:sz="0" w:space="0" w:color="auto"/>
        <w:bottom w:val="none" w:sz="0" w:space="0" w:color="auto"/>
        <w:right w:val="none" w:sz="0" w:space="0" w:color="auto"/>
      </w:divBdr>
    </w:div>
    <w:div w:id="1960455942">
      <w:bodyDiv w:val="1"/>
      <w:marLeft w:val="0"/>
      <w:marRight w:val="0"/>
      <w:marTop w:val="0"/>
      <w:marBottom w:val="0"/>
      <w:divBdr>
        <w:top w:val="none" w:sz="0" w:space="0" w:color="auto"/>
        <w:left w:val="none" w:sz="0" w:space="0" w:color="auto"/>
        <w:bottom w:val="none" w:sz="0" w:space="0" w:color="auto"/>
        <w:right w:val="none" w:sz="0" w:space="0" w:color="auto"/>
      </w:divBdr>
      <w:divsChild>
        <w:div w:id="1164468626">
          <w:marLeft w:val="0"/>
          <w:marRight w:val="0"/>
          <w:marTop w:val="0"/>
          <w:marBottom w:val="0"/>
          <w:divBdr>
            <w:top w:val="none" w:sz="0" w:space="0" w:color="auto"/>
            <w:left w:val="none" w:sz="0" w:space="0" w:color="auto"/>
            <w:bottom w:val="none" w:sz="0" w:space="0" w:color="auto"/>
            <w:right w:val="none" w:sz="0" w:space="0" w:color="auto"/>
          </w:divBdr>
          <w:divsChild>
            <w:div w:id="2368216">
              <w:marLeft w:val="0"/>
              <w:marRight w:val="0"/>
              <w:marTop w:val="0"/>
              <w:marBottom w:val="0"/>
              <w:divBdr>
                <w:top w:val="none" w:sz="0" w:space="0" w:color="auto"/>
                <w:left w:val="none" w:sz="0" w:space="0" w:color="auto"/>
                <w:bottom w:val="none" w:sz="0" w:space="0" w:color="auto"/>
                <w:right w:val="none" w:sz="0" w:space="0" w:color="auto"/>
              </w:divBdr>
              <w:divsChild>
                <w:div w:id="4053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3024">
          <w:marLeft w:val="0"/>
          <w:marRight w:val="0"/>
          <w:marTop w:val="0"/>
          <w:marBottom w:val="0"/>
          <w:divBdr>
            <w:top w:val="none" w:sz="0" w:space="0" w:color="auto"/>
            <w:left w:val="none" w:sz="0" w:space="0" w:color="auto"/>
            <w:bottom w:val="none" w:sz="0" w:space="0" w:color="auto"/>
            <w:right w:val="none" w:sz="0" w:space="0" w:color="auto"/>
          </w:divBdr>
          <w:divsChild>
            <w:div w:id="248079017">
              <w:marLeft w:val="0"/>
              <w:marRight w:val="0"/>
              <w:marTop w:val="0"/>
              <w:marBottom w:val="60"/>
              <w:divBdr>
                <w:top w:val="none" w:sz="0" w:space="0" w:color="auto"/>
                <w:left w:val="none" w:sz="0" w:space="0" w:color="auto"/>
                <w:bottom w:val="none" w:sz="0" w:space="0" w:color="auto"/>
                <w:right w:val="none" w:sz="0" w:space="0" w:color="auto"/>
              </w:divBdr>
              <w:divsChild>
                <w:div w:id="655839094">
                  <w:marLeft w:val="0"/>
                  <w:marRight w:val="0"/>
                  <w:marTop w:val="0"/>
                  <w:marBottom w:val="0"/>
                  <w:divBdr>
                    <w:top w:val="none" w:sz="0" w:space="0" w:color="auto"/>
                    <w:left w:val="none" w:sz="0" w:space="0" w:color="auto"/>
                    <w:bottom w:val="none" w:sz="0" w:space="0" w:color="auto"/>
                    <w:right w:val="none" w:sz="0" w:space="0" w:color="auto"/>
                  </w:divBdr>
                  <w:divsChild>
                    <w:div w:id="672490073">
                      <w:marLeft w:val="0"/>
                      <w:marRight w:val="0"/>
                      <w:marTop w:val="0"/>
                      <w:marBottom w:val="0"/>
                      <w:divBdr>
                        <w:top w:val="none" w:sz="0" w:space="0" w:color="auto"/>
                        <w:left w:val="none" w:sz="0" w:space="0" w:color="auto"/>
                        <w:bottom w:val="none" w:sz="0" w:space="0" w:color="auto"/>
                        <w:right w:val="none" w:sz="0" w:space="0" w:color="auto"/>
                      </w:divBdr>
                      <w:divsChild>
                        <w:div w:id="12069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337229">
      <w:bodyDiv w:val="1"/>
      <w:marLeft w:val="0"/>
      <w:marRight w:val="0"/>
      <w:marTop w:val="0"/>
      <w:marBottom w:val="0"/>
      <w:divBdr>
        <w:top w:val="none" w:sz="0" w:space="0" w:color="auto"/>
        <w:left w:val="none" w:sz="0" w:space="0" w:color="auto"/>
        <w:bottom w:val="none" w:sz="0" w:space="0" w:color="auto"/>
        <w:right w:val="none" w:sz="0" w:space="0" w:color="auto"/>
      </w:divBdr>
    </w:div>
    <w:div w:id="1969121958">
      <w:bodyDiv w:val="1"/>
      <w:marLeft w:val="0"/>
      <w:marRight w:val="0"/>
      <w:marTop w:val="0"/>
      <w:marBottom w:val="0"/>
      <w:divBdr>
        <w:top w:val="none" w:sz="0" w:space="0" w:color="auto"/>
        <w:left w:val="none" w:sz="0" w:space="0" w:color="auto"/>
        <w:bottom w:val="none" w:sz="0" w:space="0" w:color="auto"/>
        <w:right w:val="none" w:sz="0" w:space="0" w:color="auto"/>
      </w:divBdr>
    </w:div>
    <w:div w:id="1970894036">
      <w:bodyDiv w:val="1"/>
      <w:marLeft w:val="0"/>
      <w:marRight w:val="0"/>
      <w:marTop w:val="0"/>
      <w:marBottom w:val="0"/>
      <w:divBdr>
        <w:top w:val="none" w:sz="0" w:space="0" w:color="auto"/>
        <w:left w:val="none" w:sz="0" w:space="0" w:color="auto"/>
        <w:bottom w:val="none" w:sz="0" w:space="0" w:color="auto"/>
        <w:right w:val="none" w:sz="0" w:space="0" w:color="auto"/>
      </w:divBdr>
    </w:div>
    <w:div w:id="1971665115">
      <w:bodyDiv w:val="1"/>
      <w:marLeft w:val="0"/>
      <w:marRight w:val="0"/>
      <w:marTop w:val="0"/>
      <w:marBottom w:val="0"/>
      <w:divBdr>
        <w:top w:val="none" w:sz="0" w:space="0" w:color="auto"/>
        <w:left w:val="none" w:sz="0" w:space="0" w:color="auto"/>
        <w:bottom w:val="none" w:sz="0" w:space="0" w:color="auto"/>
        <w:right w:val="none" w:sz="0" w:space="0" w:color="auto"/>
      </w:divBdr>
      <w:divsChild>
        <w:div w:id="349914143">
          <w:marLeft w:val="0"/>
          <w:marRight w:val="0"/>
          <w:marTop w:val="0"/>
          <w:marBottom w:val="0"/>
          <w:divBdr>
            <w:top w:val="none" w:sz="0" w:space="0" w:color="auto"/>
            <w:left w:val="none" w:sz="0" w:space="0" w:color="auto"/>
            <w:bottom w:val="none" w:sz="0" w:space="0" w:color="auto"/>
            <w:right w:val="none" w:sz="0" w:space="0" w:color="auto"/>
          </w:divBdr>
          <w:divsChild>
            <w:div w:id="1172989479">
              <w:marLeft w:val="-225"/>
              <w:marRight w:val="-225"/>
              <w:marTop w:val="0"/>
              <w:marBottom w:val="0"/>
              <w:divBdr>
                <w:top w:val="none" w:sz="0" w:space="0" w:color="auto"/>
                <w:left w:val="none" w:sz="0" w:space="0" w:color="auto"/>
                <w:bottom w:val="none" w:sz="0" w:space="0" w:color="auto"/>
                <w:right w:val="none" w:sz="0" w:space="0" w:color="auto"/>
              </w:divBdr>
              <w:divsChild>
                <w:div w:id="245655821">
                  <w:marLeft w:val="0"/>
                  <w:marRight w:val="0"/>
                  <w:marTop w:val="0"/>
                  <w:marBottom w:val="0"/>
                  <w:divBdr>
                    <w:top w:val="none" w:sz="0" w:space="0" w:color="auto"/>
                    <w:left w:val="none" w:sz="0" w:space="0" w:color="auto"/>
                    <w:bottom w:val="none" w:sz="0" w:space="0" w:color="auto"/>
                    <w:right w:val="none" w:sz="0" w:space="0" w:color="auto"/>
                  </w:divBdr>
                  <w:divsChild>
                    <w:div w:id="705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6781">
          <w:marLeft w:val="0"/>
          <w:marRight w:val="0"/>
          <w:marTop w:val="0"/>
          <w:marBottom w:val="0"/>
          <w:divBdr>
            <w:top w:val="none" w:sz="0" w:space="0" w:color="auto"/>
            <w:left w:val="none" w:sz="0" w:space="0" w:color="auto"/>
            <w:bottom w:val="none" w:sz="0" w:space="0" w:color="auto"/>
            <w:right w:val="none" w:sz="0" w:space="0" w:color="auto"/>
          </w:divBdr>
          <w:divsChild>
            <w:div w:id="1351832403">
              <w:marLeft w:val="-225"/>
              <w:marRight w:val="-225"/>
              <w:marTop w:val="0"/>
              <w:marBottom w:val="0"/>
              <w:divBdr>
                <w:top w:val="none" w:sz="0" w:space="0" w:color="auto"/>
                <w:left w:val="none" w:sz="0" w:space="0" w:color="auto"/>
                <w:bottom w:val="none" w:sz="0" w:space="0" w:color="auto"/>
                <w:right w:val="none" w:sz="0" w:space="0" w:color="auto"/>
              </w:divBdr>
              <w:divsChild>
                <w:div w:id="387605460">
                  <w:marLeft w:val="0"/>
                  <w:marRight w:val="0"/>
                  <w:marTop w:val="0"/>
                  <w:marBottom w:val="0"/>
                  <w:divBdr>
                    <w:top w:val="none" w:sz="0" w:space="0" w:color="auto"/>
                    <w:left w:val="none" w:sz="0" w:space="0" w:color="auto"/>
                    <w:bottom w:val="none" w:sz="0" w:space="0" w:color="auto"/>
                    <w:right w:val="none" w:sz="0" w:space="0" w:color="auto"/>
                  </w:divBdr>
                  <w:divsChild>
                    <w:div w:id="10110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6687">
          <w:marLeft w:val="0"/>
          <w:marRight w:val="0"/>
          <w:marTop w:val="0"/>
          <w:marBottom w:val="0"/>
          <w:divBdr>
            <w:top w:val="none" w:sz="0" w:space="0" w:color="auto"/>
            <w:left w:val="none" w:sz="0" w:space="0" w:color="auto"/>
            <w:bottom w:val="none" w:sz="0" w:space="0" w:color="auto"/>
            <w:right w:val="none" w:sz="0" w:space="0" w:color="auto"/>
          </w:divBdr>
        </w:div>
        <w:div w:id="1583182700">
          <w:marLeft w:val="0"/>
          <w:marRight w:val="0"/>
          <w:marTop w:val="0"/>
          <w:marBottom w:val="0"/>
          <w:divBdr>
            <w:top w:val="none" w:sz="0" w:space="0" w:color="auto"/>
            <w:left w:val="none" w:sz="0" w:space="0" w:color="auto"/>
            <w:bottom w:val="none" w:sz="0" w:space="0" w:color="auto"/>
            <w:right w:val="none" w:sz="0" w:space="0" w:color="auto"/>
          </w:divBdr>
          <w:divsChild>
            <w:div w:id="283705420">
              <w:marLeft w:val="0"/>
              <w:marRight w:val="0"/>
              <w:marTop w:val="0"/>
              <w:marBottom w:val="0"/>
              <w:divBdr>
                <w:top w:val="none" w:sz="0" w:space="0" w:color="auto"/>
                <w:left w:val="none" w:sz="0" w:space="0" w:color="auto"/>
                <w:bottom w:val="none" w:sz="0" w:space="0" w:color="auto"/>
                <w:right w:val="none" w:sz="0" w:space="0" w:color="auto"/>
              </w:divBdr>
              <w:divsChild>
                <w:div w:id="219631902">
                  <w:marLeft w:val="0"/>
                  <w:marRight w:val="0"/>
                  <w:marTop w:val="0"/>
                  <w:marBottom w:val="0"/>
                  <w:divBdr>
                    <w:top w:val="none" w:sz="0" w:space="0" w:color="auto"/>
                    <w:left w:val="none" w:sz="0" w:space="0" w:color="auto"/>
                    <w:bottom w:val="none" w:sz="0" w:space="0" w:color="auto"/>
                    <w:right w:val="none" w:sz="0" w:space="0" w:color="auto"/>
                  </w:divBdr>
                  <w:divsChild>
                    <w:div w:id="1883129434">
                      <w:marLeft w:val="0"/>
                      <w:marRight w:val="0"/>
                      <w:marTop w:val="0"/>
                      <w:marBottom w:val="0"/>
                      <w:divBdr>
                        <w:top w:val="none" w:sz="0" w:space="0" w:color="auto"/>
                        <w:left w:val="none" w:sz="0" w:space="0" w:color="auto"/>
                        <w:bottom w:val="none" w:sz="0" w:space="0" w:color="auto"/>
                        <w:right w:val="none" w:sz="0" w:space="0" w:color="auto"/>
                      </w:divBdr>
                      <w:divsChild>
                        <w:div w:id="15779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843929">
      <w:bodyDiv w:val="1"/>
      <w:marLeft w:val="0"/>
      <w:marRight w:val="0"/>
      <w:marTop w:val="0"/>
      <w:marBottom w:val="0"/>
      <w:divBdr>
        <w:top w:val="none" w:sz="0" w:space="0" w:color="auto"/>
        <w:left w:val="none" w:sz="0" w:space="0" w:color="auto"/>
        <w:bottom w:val="none" w:sz="0" w:space="0" w:color="auto"/>
        <w:right w:val="none" w:sz="0" w:space="0" w:color="auto"/>
      </w:divBdr>
    </w:div>
    <w:div w:id="1983726968">
      <w:bodyDiv w:val="1"/>
      <w:marLeft w:val="0"/>
      <w:marRight w:val="0"/>
      <w:marTop w:val="0"/>
      <w:marBottom w:val="0"/>
      <w:divBdr>
        <w:top w:val="none" w:sz="0" w:space="0" w:color="auto"/>
        <w:left w:val="none" w:sz="0" w:space="0" w:color="auto"/>
        <w:bottom w:val="none" w:sz="0" w:space="0" w:color="auto"/>
        <w:right w:val="none" w:sz="0" w:space="0" w:color="auto"/>
      </w:divBdr>
    </w:div>
    <w:div w:id="1983848542">
      <w:bodyDiv w:val="1"/>
      <w:marLeft w:val="0"/>
      <w:marRight w:val="0"/>
      <w:marTop w:val="0"/>
      <w:marBottom w:val="0"/>
      <w:divBdr>
        <w:top w:val="none" w:sz="0" w:space="0" w:color="auto"/>
        <w:left w:val="none" w:sz="0" w:space="0" w:color="auto"/>
        <w:bottom w:val="none" w:sz="0" w:space="0" w:color="auto"/>
        <w:right w:val="none" w:sz="0" w:space="0" w:color="auto"/>
      </w:divBdr>
      <w:divsChild>
        <w:div w:id="406001206">
          <w:marLeft w:val="0"/>
          <w:marRight w:val="0"/>
          <w:marTop w:val="0"/>
          <w:marBottom w:val="0"/>
          <w:divBdr>
            <w:top w:val="none" w:sz="0" w:space="0" w:color="auto"/>
            <w:left w:val="none" w:sz="0" w:space="0" w:color="auto"/>
            <w:bottom w:val="none" w:sz="0" w:space="0" w:color="auto"/>
            <w:right w:val="none" w:sz="0" w:space="0" w:color="auto"/>
          </w:divBdr>
          <w:divsChild>
            <w:div w:id="1282685957">
              <w:marLeft w:val="-225"/>
              <w:marRight w:val="-225"/>
              <w:marTop w:val="0"/>
              <w:marBottom w:val="0"/>
              <w:divBdr>
                <w:top w:val="none" w:sz="0" w:space="0" w:color="auto"/>
                <w:left w:val="none" w:sz="0" w:space="0" w:color="auto"/>
                <w:bottom w:val="none" w:sz="0" w:space="0" w:color="auto"/>
                <w:right w:val="none" w:sz="0" w:space="0" w:color="auto"/>
              </w:divBdr>
              <w:divsChild>
                <w:div w:id="1242182338">
                  <w:marLeft w:val="0"/>
                  <w:marRight w:val="0"/>
                  <w:marTop w:val="0"/>
                  <w:marBottom w:val="0"/>
                  <w:divBdr>
                    <w:top w:val="none" w:sz="0" w:space="0" w:color="auto"/>
                    <w:left w:val="none" w:sz="0" w:space="0" w:color="auto"/>
                    <w:bottom w:val="none" w:sz="0" w:space="0" w:color="auto"/>
                    <w:right w:val="none" w:sz="0" w:space="0" w:color="auto"/>
                  </w:divBdr>
                  <w:divsChild>
                    <w:div w:id="3219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1273">
          <w:marLeft w:val="0"/>
          <w:marRight w:val="0"/>
          <w:marTop w:val="0"/>
          <w:marBottom w:val="0"/>
          <w:divBdr>
            <w:top w:val="none" w:sz="0" w:space="0" w:color="auto"/>
            <w:left w:val="none" w:sz="0" w:space="0" w:color="auto"/>
            <w:bottom w:val="none" w:sz="0" w:space="0" w:color="auto"/>
            <w:right w:val="none" w:sz="0" w:space="0" w:color="auto"/>
          </w:divBdr>
        </w:div>
        <w:div w:id="1128209733">
          <w:marLeft w:val="0"/>
          <w:marRight w:val="0"/>
          <w:marTop w:val="0"/>
          <w:marBottom w:val="0"/>
          <w:divBdr>
            <w:top w:val="none" w:sz="0" w:space="0" w:color="auto"/>
            <w:left w:val="none" w:sz="0" w:space="0" w:color="auto"/>
            <w:bottom w:val="none" w:sz="0" w:space="0" w:color="auto"/>
            <w:right w:val="none" w:sz="0" w:space="0" w:color="auto"/>
          </w:divBdr>
          <w:divsChild>
            <w:div w:id="1339767540">
              <w:marLeft w:val="-225"/>
              <w:marRight w:val="-225"/>
              <w:marTop w:val="0"/>
              <w:marBottom w:val="0"/>
              <w:divBdr>
                <w:top w:val="none" w:sz="0" w:space="0" w:color="auto"/>
                <w:left w:val="none" w:sz="0" w:space="0" w:color="auto"/>
                <w:bottom w:val="none" w:sz="0" w:space="0" w:color="auto"/>
                <w:right w:val="none" w:sz="0" w:space="0" w:color="auto"/>
              </w:divBdr>
              <w:divsChild>
                <w:div w:id="1947813228">
                  <w:marLeft w:val="0"/>
                  <w:marRight w:val="0"/>
                  <w:marTop w:val="0"/>
                  <w:marBottom w:val="0"/>
                  <w:divBdr>
                    <w:top w:val="none" w:sz="0" w:space="0" w:color="auto"/>
                    <w:left w:val="none" w:sz="0" w:space="0" w:color="auto"/>
                    <w:bottom w:val="none" w:sz="0" w:space="0" w:color="auto"/>
                    <w:right w:val="none" w:sz="0" w:space="0" w:color="auto"/>
                  </w:divBdr>
                  <w:divsChild>
                    <w:div w:id="14898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1333">
          <w:marLeft w:val="0"/>
          <w:marRight w:val="0"/>
          <w:marTop w:val="0"/>
          <w:marBottom w:val="0"/>
          <w:divBdr>
            <w:top w:val="none" w:sz="0" w:space="0" w:color="auto"/>
            <w:left w:val="none" w:sz="0" w:space="0" w:color="auto"/>
            <w:bottom w:val="none" w:sz="0" w:space="0" w:color="auto"/>
            <w:right w:val="none" w:sz="0" w:space="0" w:color="auto"/>
          </w:divBdr>
          <w:divsChild>
            <w:div w:id="731583509">
              <w:marLeft w:val="0"/>
              <w:marRight w:val="0"/>
              <w:marTop w:val="0"/>
              <w:marBottom w:val="0"/>
              <w:divBdr>
                <w:top w:val="none" w:sz="0" w:space="0" w:color="auto"/>
                <w:left w:val="none" w:sz="0" w:space="0" w:color="auto"/>
                <w:bottom w:val="none" w:sz="0" w:space="0" w:color="auto"/>
                <w:right w:val="none" w:sz="0" w:space="0" w:color="auto"/>
              </w:divBdr>
              <w:divsChild>
                <w:div w:id="1353409494">
                  <w:marLeft w:val="0"/>
                  <w:marRight w:val="0"/>
                  <w:marTop w:val="0"/>
                  <w:marBottom w:val="0"/>
                  <w:divBdr>
                    <w:top w:val="none" w:sz="0" w:space="0" w:color="auto"/>
                    <w:left w:val="none" w:sz="0" w:space="0" w:color="auto"/>
                    <w:bottom w:val="none" w:sz="0" w:space="0" w:color="auto"/>
                    <w:right w:val="none" w:sz="0" w:space="0" w:color="auto"/>
                  </w:divBdr>
                  <w:divsChild>
                    <w:div w:id="1775468421">
                      <w:marLeft w:val="0"/>
                      <w:marRight w:val="0"/>
                      <w:marTop w:val="0"/>
                      <w:marBottom w:val="0"/>
                      <w:divBdr>
                        <w:top w:val="none" w:sz="0" w:space="0" w:color="auto"/>
                        <w:left w:val="none" w:sz="0" w:space="0" w:color="auto"/>
                        <w:bottom w:val="none" w:sz="0" w:space="0" w:color="auto"/>
                        <w:right w:val="none" w:sz="0" w:space="0" w:color="auto"/>
                      </w:divBdr>
                      <w:divsChild>
                        <w:div w:id="4767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616951">
      <w:bodyDiv w:val="1"/>
      <w:marLeft w:val="0"/>
      <w:marRight w:val="0"/>
      <w:marTop w:val="0"/>
      <w:marBottom w:val="0"/>
      <w:divBdr>
        <w:top w:val="none" w:sz="0" w:space="0" w:color="auto"/>
        <w:left w:val="none" w:sz="0" w:space="0" w:color="auto"/>
        <w:bottom w:val="none" w:sz="0" w:space="0" w:color="auto"/>
        <w:right w:val="none" w:sz="0" w:space="0" w:color="auto"/>
      </w:divBdr>
    </w:div>
    <w:div w:id="1988902233">
      <w:bodyDiv w:val="1"/>
      <w:marLeft w:val="0"/>
      <w:marRight w:val="0"/>
      <w:marTop w:val="0"/>
      <w:marBottom w:val="0"/>
      <w:divBdr>
        <w:top w:val="none" w:sz="0" w:space="0" w:color="auto"/>
        <w:left w:val="none" w:sz="0" w:space="0" w:color="auto"/>
        <w:bottom w:val="none" w:sz="0" w:space="0" w:color="auto"/>
        <w:right w:val="none" w:sz="0" w:space="0" w:color="auto"/>
      </w:divBdr>
    </w:div>
    <w:div w:id="1991128273">
      <w:bodyDiv w:val="1"/>
      <w:marLeft w:val="0"/>
      <w:marRight w:val="0"/>
      <w:marTop w:val="0"/>
      <w:marBottom w:val="0"/>
      <w:divBdr>
        <w:top w:val="none" w:sz="0" w:space="0" w:color="auto"/>
        <w:left w:val="none" w:sz="0" w:space="0" w:color="auto"/>
        <w:bottom w:val="none" w:sz="0" w:space="0" w:color="auto"/>
        <w:right w:val="none" w:sz="0" w:space="0" w:color="auto"/>
      </w:divBdr>
    </w:div>
    <w:div w:id="1992515746">
      <w:bodyDiv w:val="1"/>
      <w:marLeft w:val="0"/>
      <w:marRight w:val="0"/>
      <w:marTop w:val="0"/>
      <w:marBottom w:val="0"/>
      <w:divBdr>
        <w:top w:val="none" w:sz="0" w:space="0" w:color="auto"/>
        <w:left w:val="none" w:sz="0" w:space="0" w:color="auto"/>
        <w:bottom w:val="none" w:sz="0" w:space="0" w:color="auto"/>
        <w:right w:val="none" w:sz="0" w:space="0" w:color="auto"/>
      </w:divBdr>
    </w:div>
    <w:div w:id="1995253987">
      <w:bodyDiv w:val="1"/>
      <w:marLeft w:val="0"/>
      <w:marRight w:val="0"/>
      <w:marTop w:val="0"/>
      <w:marBottom w:val="0"/>
      <w:divBdr>
        <w:top w:val="none" w:sz="0" w:space="0" w:color="auto"/>
        <w:left w:val="none" w:sz="0" w:space="0" w:color="auto"/>
        <w:bottom w:val="none" w:sz="0" w:space="0" w:color="auto"/>
        <w:right w:val="none" w:sz="0" w:space="0" w:color="auto"/>
      </w:divBdr>
    </w:div>
    <w:div w:id="1996178912">
      <w:bodyDiv w:val="1"/>
      <w:marLeft w:val="0"/>
      <w:marRight w:val="0"/>
      <w:marTop w:val="0"/>
      <w:marBottom w:val="0"/>
      <w:divBdr>
        <w:top w:val="none" w:sz="0" w:space="0" w:color="auto"/>
        <w:left w:val="none" w:sz="0" w:space="0" w:color="auto"/>
        <w:bottom w:val="none" w:sz="0" w:space="0" w:color="auto"/>
        <w:right w:val="none" w:sz="0" w:space="0" w:color="auto"/>
      </w:divBdr>
      <w:divsChild>
        <w:div w:id="315770134">
          <w:marLeft w:val="0"/>
          <w:marRight w:val="0"/>
          <w:marTop w:val="0"/>
          <w:marBottom w:val="0"/>
          <w:divBdr>
            <w:top w:val="none" w:sz="0" w:space="0" w:color="auto"/>
            <w:left w:val="none" w:sz="0" w:space="0" w:color="auto"/>
            <w:bottom w:val="none" w:sz="0" w:space="0" w:color="auto"/>
            <w:right w:val="none" w:sz="0" w:space="0" w:color="auto"/>
          </w:divBdr>
          <w:divsChild>
            <w:div w:id="429859186">
              <w:marLeft w:val="-225"/>
              <w:marRight w:val="-225"/>
              <w:marTop w:val="0"/>
              <w:marBottom w:val="0"/>
              <w:divBdr>
                <w:top w:val="none" w:sz="0" w:space="0" w:color="auto"/>
                <w:left w:val="none" w:sz="0" w:space="0" w:color="auto"/>
                <w:bottom w:val="none" w:sz="0" w:space="0" w:color="auto"/>
                <w:right w:val="none" w:sz="0" w:space="0" w:color="auto"/>
              </w:divBdr>
              <w:divsChild>
                <w:div w:id="1068916216">
                  <w:marLeft w:val="0"/>
                  <w:marRight w:val="0"/>
                  <w:marTop w:val="0"/>
                  <w:marBottom w:val="0"/>
                  <w:divBdr>
                    <w:top w:val="none" w:sz="0" w:space="0" w:color="auto"/>
                    <w:left w:val="none" w:sz="0" w:space="0" w:color="auto"/>
                    <w:bottom w:val="none" w:sz="0" w:space="0" w:color="auto"/>
                    <w:right w:val="none" w:sz="0" w:space="0" w:color="auto"/>
                  </w:divBdr>
                  <w:divsChild>
                    <w:div w:id="1787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67012">
          <w:marLeft w:val="0"/>
          <w:marRight w:val="0"/>
          <w:marTop w:val="0"/>
          <w:marBottom w:val="0"/>
          <w:divBdr>
            <w:top w:val="none" w:sz="0" w:space="0" w:color="auto"/>
            <w:left w:val="none" w:sz="0" w:space="0" w:color="auto"/>
            <w:bottom w:val="none" w:sz="0" w:space="0" w:color="auto"/>
            <w:right w:val="none" w:sz="0" w:space="0" w:color="auto"/>
          </w:divBdr>
          <w:divsChild>
            <w:div w:id="1302997583">
              <w:marLeft w:val="0"/>
              <w:marRight w:val="0"/>
              <w:marTop w:val="0"/>
              <w:marBottom w:val="0"/>
              <w:divBdr>
                <w:top w:val="single" w:sz="6" w:space="24" w:color="EBEEF5"/>
                <w:left w:val="none" w:sz="0" w:space="0" w:color="auto"/>
                <w:bottom w:val="single" w:sz="6" w:space="18" w:color="EBEEF5"/>
                <w:right w:val="none" w:sz="0" w:space="0" w:color="auto"/>
              </w:divBdr>
              <w:divsChild>
                <w:div w:id="131169557">
                  <w:marLeft w:val="0"/>
                  <w:marRight w:val="0"/>
                  <w:marTop w:val="0"/>
                  <w:marBottom w:val="0"/>
                  <w:divBdr>
                    <w:top w:val="none" w:sz="0" w:space="0" w:color="auto"/>
                    <w:left w:val="none" w:sz="0" w:space="0" w:color="auto"/>
                    <w:bottom w:val="none" w:sz="0" w:space="0" w:color="auto"/>
                    <w:right w:val="none" w:sz="0" w:space="0" w:color="auto"/>
                  </w:divBdr>
                  <w:divsChild>
                    <w:div w:id="782194184">
                      <w:marLeft w:val="0"/>
                      <w:marRight w:val="0"/>
                      <w:marTop w:val="0"/>
                      <w:marBottom w:val="0"/>
                      <w:divBdr>
                        <w:top w:val="none" w:sz="0" w:space="0" w:color="auto"/>
                        <w:left w:val="none" w:sz="0" w:space="0" w:color="auto"/>
                        <w:bottom w:val="none" w:sz="0" w:space="0" w:color="auto"/>
                        <w:right w:val="none" w:sz="0" w:space="0" w:color="auto"/>
                      </w:divBdr>
                      <w:divsChild>
                        <w:div w:id="17492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633177">
          <w:marLeft w:val="0"/>
          <w:marRight w:val="0"/>
          <w:marTop w:val="0"/>
          <w:marBottom w:val="0"/>
          <w:divBdr>
            <w:top w:val="none" w:sz="0" w:space="0" w:color="auto"/>
            <w:left w:val="none" w:sz="0" w:space="0" w:color="auto"/>
            <w:bottom w:val="none" w:sz="0" w:space="0" w:color="auto"/>
            <w:right w:val="none" w:sz="0" w:space="0" w:color="auto"/>
          </w:divBdr>
          <w:divsChild>
            <w:div w:id="2073384679">
              <w:marLeft w:val="-225"/>
              <w:marRight w:val="-225"/>
              <w:marTop w:val="0"/>
              <w:marBottom w:val="0"/>
              <w:divBdr>
                <w:top w:val="none" w:sz="0" w:space="0" w:color="auto"/>
                <w:left w:val="none" w:sz="0" w:space="0" w:color="auto"/>
                <w:bottom w:val="none" w:sz="0" w:space="0" w:color="auto"/>
                <w:right w:val="none" w:sz="0" w:space="0" w:color="auto"/>
              </w:divBdr>
              <w:divsChild>
                <w:div w:id="332799291">
                  <w:marLeft w:val="0"/>
                  <w:marRight w:val="0"/>
                  <w:marTop w:val="0"/>
                  <w:marBottom w:val="0"/>
                  <w:divBdr>
                    <w:top w:val="none" w:sz="0" w:space="0" w:color="auto"/>
                    <w:left w:val="none" w:sz="0" w:space="0" w:color="auto"/>
                    <w:bottom w:val="none" w:sz="0" w:space="0" w:color="auto"/>
                    <w:right w:val="none" w:sz="0" w:space="0" w:color="auto"/>
                  </w:divBdr>
                  <w:divsChild>
                    <w:div w:id="157700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245671">
      <w:bodyDiv w:val="1"/>
      <w:marLeft w:val="0"/>
      <w:marRight w:val="0"/>
      <w:marTop w:val="0"/>
      <w:marBottom w:val="0"/>
      <w:divBdr>
        <w:top w:val="none" w:sz="0" w:space="0" w:color="auto"/>
        <w:left w:val="none" w:sz="0" w:space="0" w:color="auto"/>
        <w:bottom w:val="none" w:sz="0" w:space="0" w:color="auto"/>
        <w:right w:val="none" w:sz="0" w:space="0" w:color="auto"/>
      </w:divBdr>
    </w:div>
    <w:div w:id="2008239484">
      <w:bodyDiv w:val="1"/>
      <w:marLeft w:val="0"/>
      <w:marRight w:val="0"/>
      <w:marTop w:val="0"/>
      <w:marBottom w:val="0"/>
      <w:divBdr>
        <w:top w:val="none" w:sz="0" w:space="0" w:color="auto"/>
        <w:left w:val="none" w:sz="0" w:space="0" w:color="auto"/>
        <w:bottom w:val="none" w:sz="0" w:space="0" w:color="auto"/>
        <w:right w:val="none" w:sz="0" w:space="0" w:color="auto"/>
      </w:divBdr>
    </w:div>
    <w:div w:id="2010476967">
      <w:bodyDiv w:val="1"/>
      <w:marLeft w:val="0"/>
      <w:marRight w:val="0"/>
      <w:marTop w:val="0"/>
      <w:marBottom w:val="0"/>
      <w:divBdr>
        <w:top w:val="none" w:sz="0" w:space="0" w:color="auto"/>
        <w:left w:val="none" w:sz="0" w:space="0" w:color="auto"/>
        <w:bottom w:val="none" w:sz="0" w:space="0" w:color="auto"/>
        <w:right w:val="none" w:sz="0" w:space="0" w:color="auto"/>
      </w:divBdr>
      <w:divsChild>
        <w:div w:id="231545734">
          <w:marLeft w:val="0"/>
          <w:marRight w:val="0"/>
          <w:marTop w:val="0"/>
          <w:marBottom w:val="0"/>
          <w:divBdr>
            <w:top w:val="none" w:sz="0" w:space="0" w:color="auto"/>
            <w:left w:val="none" w:sz="0" w:space="0" w:color="auto"/>
            <w:bottom w:val="none" w:sz="0" w:space="0" w:color="auto"/>
            <w:right w:val="none" w:sz="0" w:space="0" w:color="auto"/>
          </w:divBdr>
          <w:divsChild>
            <w:div w:id="350305431">
              <w:marLeft w:val="-225"/>
              <w:marRight w:val="-225"/>
              <w:marTop w:val="0"/>
              <w:marBottom w:val="0"/>
              <w:divBdr>
                <w:top w:val="none" w:sz="0" w:space="0" w:color="auto"/>
                <w:left w:val="none" w:sz="0" w:space="0" w:color="auto"/>
                <w:bottom w:val="none" w:sz="0" w:space="0" w:color="auto"/>
                <w:right w:val="none" w:sz="0" w:space="0" w:color="auto"/>
              </w:divBdr>
              <w:divsChild>
                <w:div w:id="526406202">
                  <w:marLeft w:val="0"/>
                  <w:marRight w:val="0"/>
                  <w:marTop w:val="0"/>
                  <w:marBottom w:val="0"/>
                  <w:divBdr>
                    <w:top w:val="none" w:sz="0" w:space="0" w:color="auto"/>
                    <w:left w:val="none" w:sz="0" w:space="0" w:color="auto"/>
                    <w:bottom w:val="none" w:sz="0" w:space="0" w:color="auto"/>
                    <w:right w:val="none" w:sz="0" w:space="0" w:color="auto"/>
                  </w:divBdr>
                  <w:divsChild>
                    <w:div w:id="7492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5114">
          <w:marLeft w:val="0"/>
          <w:marRight w:val="0"/>
          <w:marTop w:val="0"/>
          <w:marBottom w:val="0"/>
          <w:divBdr>
            <w:top w:val="none" w:sz="0" w:space="0" w:color="auto"/>
            <w:left w:val="none" w:sz="0" w:space="0" w:color="auto"/>
            <w:bottom w:val="none" w:sz="0" w:space="0" w:color="auto"/>
            <w:right w:val="none" w:sz="0" w:space="0" w:color="auto"/>
          </w:divBdr>
        </w:div>
        <w:div w:id="1031489761">
          <w:marLeft w:val="0"/>
          <w:marRight w:val="0"/>
          <w:marTop w:val="0"/>
          <w:marBottom w:val="0"/>
          <w:divBdr>
            <w:top w:val="none" w:sz="0" w:space="0" w:color="auto"/>
            <w:left w:val="none" w:sz="0" w:space="0" w:color="auto"/>
            <w:bottom w:val="none" w:sz="0" w:space="0" w:color="auto"/>
            <w:right w:val="none" w:sz="0" w:space="0" w:color="auto"/>
          </w:divBdr>
          <w:divsChild>
            <w:div w:id="1094280444">
              <w:marLeft w:val="0"/>
              <w:marRight w:val="0"/>
              <w:marTop w:val="0"/>
              <w:marBottom w:val="0"/>
              <w:divBdr>
                <w:top w:val="none" w:sz="0" w:space="0" w:color="auto"/>
                <w:left w:val="none" w:sz="0" w:space="0" w:color="auto"/>
                <w:bottom w:val="none" w:sz="0" w:space="0" w:color="auto"/>
                <w:right w:val="none" w:sz="0" w:space="0" w:color="auto"/>
              </w:divBdr>
              <w:divsChild>
                <w:div w:id="1908106369">
                  <w:marLeft w:val="0"/>
                  <w:marRight w:val="0"/>
                  <w:marTop w:val="0"/>
                  <w:marBottom w:val="0"/>
                  <w:divBdr>
                    <w:top w:val="none" w:sz="0" w:space="0" w:color="auto"/>
                    <w:left w:val="none" w:sz="0" w:space="0" w:color="auto"/>
                    <w:bottom w:val="none" w:sz="0" w:space="0" w:color="auto"/>
                    <w:right w:val="none" w:sz="0" w:space="0" w:color="auto"/>
                  </w:divBdr>
                  <w:divsChild>
                    <w:div w:id="888028898">
                      <w:marLeft w:val="0"/>
                      <w:marRight w:val="0"/>
                      <w:marTop w:val="0"/>
                      <w:marBottom w:val="0"/>
                      <w:divBdr>
                        <w:top w:val="none" w:sz="0" w:space="0" w:color="auto"/>
                        <w:left w:val="none" w:sz="0" w:space="0" w:color="auto"/>
                        <w:bottom w:val="none" w:sz="0" w:space="0" w:color="auto"/>
                        <w:right w:val="none" w:sz="0" w:space="0" w:color="auto"/>
                      </w:divBdr>
                      <w:divsChild>
                        <w:div w:id="1827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936">
          <w:marLeft w:val="0"/>
          <w:marRight w:val="0"/>
          <w:marTop w:val="0"/>
          <w:marBottom w:val="0"/>
          <w:divBdr>
            <w:top w:val="none" w:sz="0" w:space="0" w:color="auto"/>
            <w:left w:val="none" w:sz="0" w:space="0" w:color="auto"/>
            <w:bottom w:val="none" w:sz="0" w:space="0" w:color="auto"/>
            <w:right w:val="none" w:sz="0" w:space="0" w:color="auto"/>
          </w:divBdr>
          <w:divsChild>
            <w:div w:id="1135174197">
              <w:marLeft w:val="-225"/>
              <w:marRight w:val="-225"/>
              <w:marTop w:val="0"/>
              <w:marBottom w:val="0"/>
              <w:divBdr>
                <w:top w:val="none" w:sz="0" w:space="0" w:color="auto"/>
                <w:left w:val="none" w:sz="0" w:space="0" w:color="auto"/>
                <w:bottom w:val="none" w:sz="0" w:space="0" w:color="auto"/>
                <w:right w:val="none" w:sz="0" w:space="0" w:color="auto"/>
              </w:divBdr>
              <w:divsChild>
                <w:div w:id="1684278134">
                  <w:marLeft w:val="0"/>
                  <w:marRight w:val="0"/>
                  <w:marTop w:val="0"/>
                  <w:marBottom w:val="0"/>
                  <w:divBdr>
                    <w:top w:val="none" w:sz="0" w:space="0" w:color="auto"/>
                    <w:left w:val="none" w:sz="0" w:space="0" w:color="auto"/>
                    <w:bottom w:val="none" w:sz="0" w:space="0" w:color="auto"/>
                    <w:right w:val="none" w:sz="0" w:space="0" w:color="auto"/>
                  </w:divBdr>
                  <w:divsChild>
                    <w:div w:id="18950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93120">
      <w:bodyDiv w:val="1"/>
      <w:marLeft w:val="0"/>
      <w:marRight w:val="0"/>
      <w:marTop w:val="0"/>
      <w:marBottom w:val="0"/>
      <w:divBdr>
        <w:top w:val="none" w:sz="0" w:space="0" w:color="auto"/>
        <w:left w:val="none" w:sz="0" w:space="0" w:color="auto"/>
        <w:bottom w:val="none" w:sz="0" w:space="0" w:color="auto"/>
        <w:right w:val="none" w:sz="0" w:space="0" w:color="auto"/>
      </w:divBdr>
      <w:divsChild>
        <w:div w:id="1212231626">
          <w:marLeft w:val="0"/>
          <w:marRight w:val="0"/>
          <w:marTop w:val="0"/>
          <w:marBottom w:val="0"/>
          <w:divBdr>
            <w:top w:val="none" w:sz="0" w:space="0" w:color="auto"/>
            <w:left w:val="none" w:sz="0" w:space="0" w:color="auto"/>
            <w:bottom w:val="none" w:sz="0" w:space="0" w:color="auto"/>
            <w:right w:val="none" w:sz="0" w:space="0" w:color="auto"/>
          </w:divBdr>
          <w:divsChild>
            <w:div w:id="140123687">
              <w:marLeft w:val="-225"/>
              <w:marRight w:val="-225"/>
              <w:marTop w:val="0"/>
              <w:marBottom w:val="0"/>
              <w:divBdr>
                <w:top w:val="none" w:sz="0" w:space="0" w:color="auto"/>
                <w:left w:val="none" w:sz="0" w:space="0" w:color="auto"/>
                <w:bottom w:val="none" w:sz="0" w:space="0" w:color="auto"/>
                <w:right w:val="none" w:sz="0" w:space="0" w:color="auto"/>
              </w:divBdr>
              <w:divsChild>
                <w:div w:id="1606226121">
                  <w:marLeft w:val="0"/>
                  <w:marRight w:val="0"/>
                  <w:marTop w:val="0"/>
                  <w:marBottom w:val="0"/>
                  <w:divBdr>
                    <w:top w:val="none" w:sz="0" w:space="0" w:color="auto"/>
                    <w:left w:val="none" w:sz="0" w:space="0" w:color="auto"/>
                    <w:bottom w:val="none" w:sz="0" w:space="0" w:color="auto"/>
                    <w:right w:val="none" w:sz="0" w:space="0" w:color="auto"/>
                  </w:divBdr>
                  <w:divsChild>
                    <w:div w:id="8394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1790">
          <w:marLeft w:val="0"/>
          <w:marRight w:val="0"/>
          <w:marTop w:val="0"/>
          <w:marBottom w:val="0"/>
          <w:divBdr>
            <w:top w:val="none" w:sz="0" w:space="0" w:color="auto"/>
            <w:left w:val="none" w:sz="0" w:space="0" w:color="auto"/>
            <w:bottom w:val="none" w:sz="0" w:space="0" w:color="auto"/>
            <w:right w:val="none" w:sz="0" w:space="0" w:color="auto"/>
          </w:divBdr>
          <w:divsChild>
            <w:div w:id="1369338289">
              <w:marLeft w:val="-225"/>
              <w:marRight w:val="-225"/>
              <w:marTop w:val="0"/>
              <w:marBottom w:val="0"/>
              <w:divBdr>
                <w:top w:val="none" w:sz="0" w:space="0" w:color="auto"/>
                <w:left w:val="none" w:sz="0" w:space="0" w:color="auto"/>
                <w:bottom w:val="none" w:sz="0" w:space="0" w:color="auto"/>
                <w:right w:val="none" w:sz="0" w:space="0" w:color="auto"/>
              </w:divBdr>
              <w:divsChild>
                <w:div w:id="1126004309">
                  <w:marLeft w:val="0"/>
                  <w:marRight w:val="0"/>
                  <w:marTop w:val="0"/>
                  <w:marBottom w:val="0"/>
                  <w:divBdr>
                    <w:top w:val="none" w:sz="0" w:space="0" w:color="auto"/>
                    <w:left w:val="none" w:sz="0" w:space="0" w:color="auto"/>
                    <w:bottom w:val="none" w:sz="0" w:space="0" w:color="auto"/>
                    <w:right w:val="none" w:sz="0" w:space="0" w:color="auto"/>
                  </w:divBdr>
                  <w:divsChild>
                    <w:div w:id="2701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4322">
          <w:marLeft w:val="0"/>
          <w:marRight w:val="0"/>
          <w:marTop w:val="0"/>
          <w:marBottom w:val="0"/>
          <w:divBdr>
            <w:top w:val="none" w:sz="0" w:space="0" w:color="auto"/>
            <w:left w:val="none" w:sz="0" w:space="0" w:color="auto"/>
            <w:bottom w:val="none" w:sz="0" w:space="0" w:color="auto"/>
            <w:right w:val="none" w:sz="0" w:space="0" w:color="auto"/>
          </w:divBdr>
          <w:divsChild>
            <w:div w:id="1150902094">
              <w:marLeft w:val="0"/>
              <w:marRight w:val="0"/>
              <w:marTop w:val="0"/>
              <w:marBottom w:val="0"/>
              <w:divBdr>
                <w:top w:val="none" w:sz="0" w:space="0" w:color="auto"/>
                <w:left w:val="none" w:sz="0" w:space="0" w:color="auto"/>
                <w:bottom w:val="none" w:sz="0" w:space="0" w:color="auto"/>
                <w:right w:val="none" w:sz="0" w:space="0" w:color="auto"/>
              </w:divBdr>
              <w:divsChild>
                <w:div w:id="640885487">
                  <w:marLeft w:val="0"/>
                  <w:marRight w:val="0"/>
                  <w:marTop w:val="0"/>
                  <w:marBottom w:val="0"/>
                  <w:divBdr>
                    <w:top w:val="none" w:sz="0" w:space="0" w:color="auto"/>
                    <w:left w:val="none" w:sz="0" w:space="0" w:color="auto"/>
                    <w:bottom w:val="none" w:sz="0" w:space="0" w:color="auto"/>
                    <w:right w:val="none" w:sz="0" w:space="0" w:color="auto"/>
                  </w:divBdr>
                  <w:divsChild>
                    <w:div w:id="1068504924">
                      <w:marLeft w:val="0"/>
                      <w:marRight w:val="0"/>
                      <w:marTop w:val="0"/>
                      <w:marBottom w:val="0"/>
                      <w:divBdr>
                        <w:top w:val="none" w:sz="0" w:space="0" w:color="auto"/>
                        <w:left w:val="none" w:sz="0" w:space="0" w:color="auto"/>
                        <w:bottom w:val="none" w:sz="0" w:space="0" w:color="auto"/>
                        <w:right w:val="none" w:sz="0" w:space="0" w:color="auto"/>
                      </w:divBdr>
                      <w:divsChild>
                        <w:div w:id="3613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445392">
          <w:marLeft w:val="0"/>
          <w:marRight w:val="0"/>
          <w:marTop w:val="0"/>
          <w:marBottom w:val="0"/>
          <w:divBdr>
            <w:top w:val="none" w:sz="0" w:space="0" w:color="auto"/>
            <w:left w:val="none" w:sz="0" w:space="0" w:color="auto"/>
            <w:bottom w:val="none" w:sz="0" w:space="0" w:color="auto"/>
            <w:right w:val="none" w:sz="0" w:space="0" w:color="auto"/>
          </w:divBdr>
        </w:div>
      </w:divsChild>
    </w:div>
    <w:div w:id="2014453328">
      <w:bodyDiv w:val="1"/>
      <w:marLeft w:val="0"/>
      <w:marRight w:val="0"/>
      <w:marTop w:val="0"/>
      <w:marBottom w:val="0"/>
      <w:divBdr>
        <w:top w:val="none" w:sz="0" w:space="0" w:color="auto"/>
        <w:left w:val="none" w:sz="0" w:space="0" w:color="auto"/>
        <w:bottom w:val="none" w:sz="0" w:space="0" w:color="auto"/>
        <w:right w:val="none" w:sz="0" w:space="0" w:color="auto"/>
      </w:divBdr>
    </w:div>
    <w:div w:id="2018462797">
      <w:bodyDiv w:val="1"/>
      <w:marLeft w:val="0"/>
      <w:marRight w:val="0"/>
      <w:marTop w:val="0"/>
      <w:marBottom w:val="0"/>
      <w:divBdr>
        <w:top w:val="none" w:sz="0" w:space="0" w:color="auto"/>
        <w:left w:val="none" w:sz="0" w:space="0" w:color="auto"/>
        <w:bottom w:val="none" w:sz="0" w:space="0" w:color="auto"/>
        <w:right w:val="none" w:sz="0" w:space="0" w:color="auto"/>
      </w:divBdr>
      <w:divsChild>
        <w:div w:id="310448615">
          <w:marLeft w:val="0"/>
          <w:marRight w:val="0"/>
          <w:marTop w:val="0"/>
          <w:marBottom w:val="0"/>
          <w:divBdr>
            <w:top w:val="none" w:sz="0" w:space="0" w:color="auto"/>
            <w:left w:val="none" w:sz="0" w:space="0" w:color="auto"/>
            <w:bottom w:val="none" w:sz="0" w:space="0" w:color="auto"/>
            <w:right w:val="none" w:sz="0" w:space="0" w:color="auto"/>
          </w:divBdr>
        </w:div>
        <w:div w:id="810943657">
          <w:marLeft w:val="0"/>
          <w:marRight w:val="0"/>
          <w:marTop w:val="0"/>
          <w:marBottom w:val="0"/>
          <w:divBdr>
            <w:top w:val="none" w:sz="0" w:space="0" w:color="auto"/>
            <w:left w:val="none" w:sz="0" w:space="0" w:color="auto"/>
            <w:bottom w:val="none" w:sz="0" w:space="0" w:color="auto"/>
            <w:right w:val="none" w:sz="0" w:space="0" w:color="auto"/>
          </w:divBdr>
          <w:divsChild>
            <w:div w:id="1234003416">
              <w:marLeft w:val="-225"/>
              <w:marRight w:val="-225"/>
              <w:marTop w:val="0"/>
              <w:marBottom w:val="0"/>
              <w:divBdr>
                <w:top w:val="none" w:sz="0" w:space="0" w:color="auto"/>
                <w:left w:val="none" w:sz="0" w:space="0" w:color="auto"/>
                <w:bottom w:val="none" w:sz="0" w:space="0" w:color="auto"/>
                <w:right w:val="none" w:sz="0" w:space="0" w:color="auto"/>
              </w:divBdr>
              <w:divsChild>
                <w:div w:id="418336842">
                  <w:marLeft w:val="0"/>
                  <w:marRight w:val="0"/>
                  <w:marTop w:val="0"/>
                  <w:marBottom w:val="0"/>
                  <w:divBdr>
                    <w:top w:val="none" w:sz="0" w:space="0" w:color="auto"/>
                    <w:left w:val="none" w:sz="0" w:space="0" w:color="auto"/>
                    <w:bottom w:val="none" w:sz="0" w:space="0" w:color="auto"/>
                    <w:right w:val="none" w:sz="0" w:space="0" w:color="auto"/>
                  </w:divBdr>
                  <w:divsChild>
                    <w:div w:id="11797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6710">
          <w:marLeft w:val="0"/>
          <w:marRight w:val="0"/>
          <w:marTop w:val="0"/>
          <w:marBottom w:val="0"/>
          <w:divBdr>
            <w:top w:val="none" w:sz="0" w:space="0" w:color="auto"/>
            <w:left w:val="none" w:sz="0" w:space="0" w:color="auto"/>
            <w:bottom w:val="none" w:sz="0" w:space="0" w:color="auto"/>
            <w:right w:val="none" w:sz="0" w:space="0" w:color="auto"/>
          </w:divBdr>
          <w:divsChild>
            <w:div w:id="1761095012">
              <w:marLeft w:val="0"/>
              <w:marRight w:val="0"/>
              <w:marTop w:val="0"/>
              <w:marBottom w:val="0"/>
              <w:divBdr>
                <w:top w:val="single" w:sz="6" w:space="24" w:color="EBEEF5"/>
                <w:left w:val="none" w:sz="0" w:space="0" w:color="auto"/>
                <w:bottom w:val="single" w:sz="6" w:space="18" w:color="EBEEF5"/>
                <w:right w:val="none" w:sz="0" w:space="0" w:color="auto"/>
              </w:divBdr>
              <w:divsChild>
                <w:div w:id="1395394336">
                  <w:marLeft w:val="0"/>
                  <w:marRight w:val="0"/>
                  <w:marTop w:val="0"/>
                  <w:marBottom w:val="0"/>
                  <w:divBdr>
                    <w:top w:val="none" w:sz="0" w:space="0" w:color="auto"/>
                    <w:left w:val="none" w:sz="0" w:space="0" w:color="auto"/>
                    <w:bottom w:val="none" w:sz="0" w:space="0" w:color="auto"/>
                    <w:right w:val="none" w:sz="0" w:space="0" w:color="auto"/>
                  </w:divBdr>
                  <w:divsChild>
                    <w:div w:id="1647516793">
                      <w:marLeft w:val="0"/>
                      <w:marRight w:val="0"/>
                      <w:marTop w:val="0"/>
                      <w:marBottom w:val="0"/>
                      <w:divBdr>
                        <w:top w:val="none" w:sz="0" w:space="0" w:color="auto"/>
                        <w:left w:val="none" w:sz="0" w:space="0" w:color="auto"/>
                        <w:bottom w:val="none" w:sz="0" w:space="0" w:color="auto"/>
                        <w:right w:val="none" w:sz="0" w:space="0" w:color="auto"/>
                      </w:divBdr>
                      <w:divsChild>
                        <w:div w:id="11525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528650">
          <w:marLeft w:val="0"/>
          <w:marRight w:val="0"/>
          <w:marTop w:val="0"/>
          <w:marBottom w:val="0"/>
          <w:divBdr>
            <w:top w:val="none" w:sz="0" w:space="0" w:color="auto"/>
            <w:left w:val="none" w:sz="0" w:space="0" w:color="auto"/>
            <w:bottom w:val="none" w:sz="0" w:space="0" w:color="auto"/>
            <w:right w:val="none" w:sz="0" w:space="0" w:color="auto"/>
          </w:divBdr>
          <w:divsChild>
            <w:div w:id="756246601">
              <w:marLeft w:val="-225"/>
              <w:marRight w:val="-225"/>
              <w:marTop w:val="0"/>
              <w:marBottom w:val="0"/>
              <w:divBdr>
                <w:top w:val="none" w:sz="0" w:space="0" w:color="auto"/>
                <w:left w:val="none" w:sz="0" w:space="0" w:color="auto"/>
                <w:bottom w:val="none" w:sz="0" w:space="0" w:color="auto"/>
                <w:right w:val="none" w:sz="0" w:space="0" w:color="auto"/>
              </w:divBdr>
              <w:divsChild>
                <w:div w:id="1559240941">
                  <w:marLeft w:val="0"/>
                  <w:marRight w:val="0"/>
                  <w:marTop w:val="0"/>
                  <w:marBottom w:val="0"/>
                  <w:divBdr>
                    <w:top w:val="none" w:sz="0" w:space="0" w:color="auto"/>
                    <w:left w:val="none" w:sz="0" w:space="0" w:color="auto"/>
                    <w:bottom w:val="none" w:sz="0" w:space="0" w:color="auto"/>
                    <w:right w:val="none" w:sz="0" w:space="0" w:color="auto"/>
                  </w:divBdr>
                  <w:divsChild>
                    <w:div w:id="20892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56762">
      <w:bodyDiv w:val="1"/>
      <w:marLeft w:val="0"/>
      <w:marRight w:val="0"/>
      <w:marTop w:val="0"/>
      <w:marBottom w:val="0"/>
      <w:divBdr>
        <w:top w:val="none" w:sz="0" w:space="0" w:color="auto"/>
        <w:left w:val="none" w:sz="0" w:space="0" w:color="auto"/>
        <w:bottom w:val="none" w:sz="0" w:space="0" w:color="auto"/>
        <w:right w:val="none" w:sz="0" w:space="0" w:color="auto"/>
      </w:divBdr>
    </w:div>
    <w:div w:id="2021545862">
      <w:bodyDiv w:val="1"/>
      <w:marLeft w:val="0"/>
      <w:marRight w:val="0"/>
      <w:marTop w:val="0"/>
      <w:marBottom w:val="0"/>
      <w:divBdr>
        <w:top w:val="none" w:sz="0" w:space="0" w:color="auto"/>
        <w:left w:val="none" w:sz="0" w:space="0" w:color="auto"/>
        <w:bottom w:val="none" w:sz="0" w:space="0" w:color="auto"/>
        <w:right w:val="none" w:sz="0" w:space="0" w:color="auto"/>
      </w:divBdr>
    </w:div>
    <w:div w:id="2025354429">
      <w:bodyDiv w:val="1"/>
      <w:marLeft w:val="0"/>
      <w:marRight w:val="0"/>
      <w:marTop w:val="0"/>
      <w:marBottom w:val="0"/>
      <w:divBdr>
        <w:top w:val="none" w:sz="0" w:space="0" w:color="auto"/>
        <w:left w:val="none" w:sz="0" w:space="0" w:color="auto"/>
        <w:bottom w:val="none" w:sz="0" w:space="0" w:color="auto"/>
        <w:right w:val="none" w:sz="0" w:space="0" w:color="auto"/>
      </w:divBdr>
      <w:divsChild>
        <w:div w:id="945112199">
          <w:marLeft w:val="0"/>
          <w:marRight w:val="0"/>
          <w:marTop w:val="240"/>
          <w:marBottom w:val="240"/>
          <w:divBdr>
            <w:top w:val="none" w:sz="0" w:space="0" w:color="auto"/>
            <w:left w:val="none" w:sz="0" w:space="0" w:color="auto"/>
            <w:bottom w:val="none" w:sz="0" w:space="0" w:color="auto"/>
            <w:right w:val="none" w:sz="0" w:space="0" w:color="auto"/>
          </w:divBdr>
        </w:div>
      </w:divsChild>
    </w:div>
    <w:div w:id="2026982208">
      <w:bodyDiv w:val="1"/>
      <w:marLeft w:val="0"/>
      <w:marRight w:val="0"/>
      <w:marTop w:val="0"/>
      <w:marBottom w:val="0"/>
      <w:divBdr>
        <w:top w:val="none" w:sz="0" w:space="0" w:color="auto"/>
        <w:left w:val="none" w:sz="0" w:space="0" w:color="auto"/>
        <w:bottom w:val="none" w:sz="0" w:space="0" w:color="auto"/>
        <w:right w:val="none" w:sz="0" w:space="0" w:color="auto"/>
      </w:divBdr>
    </w:div>
    <w:div w:id="2033334312">
      <w:bodyDiv w:val="1"/>
      <w:marLeft w:val="0"/>
      <w:marRight w:val="0"/>
      <w:marTop w:val="0"/>
      <w:marBottom w:val="0"/>
      <w:divBdr>
        <w:top w:val="none" w:sz="0" w:space="0" w:color="auto"/>
        <w:left w:val="none" w:sz="0" w:space="0" w:color="auto"/>
        <w:bottom w:val="none" w:sz="0" w:space="0" w:color="auto"/>
        <w:right w:val="none" w:sz="0" w:space="0" w:color="auto"/>
      </w:divBdr>
    </w:div>
    <w:div w:id="2035421899">
      <w:bodyDiv w:val="1"/>
      <w:marLeft w:val="0"/>
      <w:marRight w:val="0"/>
      <w:marTop w:val="0"/>
      <w:marBottom w:val="0"/>
      <w:divBdr>
        <w:top w:val="none" w:sz="0" w:space="0" w:color="auto"/>
        <w:left w:val="none" w:sz="0" w:space="0" w:color="auto"/>
        <w:bottom w:val="none" w:sz="0" w:space="0" w:color="auto"/>
        <w:right w:val="none" w:sz="0" w:space="0" w:color="auto"/>
      </w:divBdr>
      <w:divsChild>
        <w:div w:id="196628025">
          <w:marLeft w:val="0"/>
          <w:marRight w:val="0"/>
          <w:marTop w:val="0"/>
          <w:marBottom w:val="0"/>
          <w:divBdr>
            <w:top w:val="none" w:sz="0" w:space="0" w:color="auto"/>
            <w:left w:val="none" w:sz="0" w:space="0" w:color="auto"/>
            <w:bottom w:val="none" w:sz="0" w:space="0" w:color="auto"/>
            <w:right w:val="none" w:sz="0" w:space="0" w:color="auto"/>
          </w:divBdr>
          <w:divsChild>
            <w:div w:id="285239627">
              <w:marLeft w:val="0"/>
              <w:marRight w:val="0"/>
              <w:marTop w:val="0"/>
              <w:marBottom w:val="0"/>
              <w:divBdr>
                <w:top w:val="single" w:sz="6" w:space="24" w:color="EBEEF5"/>
                <w:left w:val="none" w:sz="0" w:space="0" w:color="auto"/>
                <w:bottom w:val="single" w:sz="6" w:space="18" w:color="EBEEF5"/>
                <w:right w:val="none" w:sz="0" w:space="0" w:color="auto"/>
              </w:divBdr>
              <w:divsChild>
                <w:div w:id="1902397305">
                  <w:marLeft w:val="0"/>
                  <w:marRight w:val="0"/>
                  <w:marTop w:val="0"/>
                  <w:marBottom w:val="0"/>
                  <w:divBdr>
                    <w:top w:val="none" w:sz="0" w:space="0" w:color="auto"/>
                    <w:left w:val="none" w:sz="0" w:space="0" w:color="auto"/>
                    <w:bottom w:val="none" w:sz="0" w:space="0" w:color="auto"/>
                    <w:right w:val="none" w:sz="0" w:space="0" w:color="auto"/>
                  </w:divBdr>
                  <w:divsChild>
                    <w:div w:id="1709993354">
                      <w:marLeft w:val="0"/>
                      <w:marRight w:val="0"/>
                      <w:marTop w:val="0"/>
                      <w:marBottom w:val="0"/>
                      <w:divBdr>
                        <w:top w:val="none" w:sz="0" w:space="0" w:color="auto"/>
                        <w:left w:val="none" w:sz="0" w:space="0" w:color="auto"/>
                        <w:bottom w:val="none" w:sz="0" w:space="0" w:color="auto"/>
                        <w:right w:val="none" w:sz="0" w:space="0" w:color="auto"/>
                      </w:divBdr>
                      <w:divsChild>
                        <w:div w:id="1751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56986">
          <w:marLeft w:val="0"/>
          <w:marRight w:val="0"/>
          <w:marTop w:val="0"/>
          <w:marBottom w:val="0"/>
          <w:divBdr>
            <w:top w:val="none" w:sz="0" w:space="0" w:color="auto"/>
            <w:left w:val="none" w:sz="0" w:space="0" w:color="auto"/>
            <w:bottom w:val="none" w:sz="0" w:space="0" w:color="auto"/>
            <w:right w:val="none" w:sz="0" w:space="0" w:color="auto"/>
          </w:divBdr>
          <w:divsChild>
            <w:div w:id="655650729">
              <w:marLeft w:val="-225"/>
              <w:marRight w:val="-225"/>
              <w:marTop w:val="0"/>
              <w:marBottom w:val="0"/>
              <w:divBdr>
                <w:top w:val="none" w:sz="0" w:space="0" w:color="auto"/>
                <w:left w:val="none" w:sz="0" w:space="0" w:color="auto"/>
                <w:bottom w:val="none" w:sz="0" w:space="0" w:color="auto"/>
                <w:right w:val="none" w:sz="0" w:space="0" w:color="auto"/>
              </w:divBdr>
              <w:divsChild>
                <w:div w:id="96561300">
                  <w:marLeft w:val="0"/>
                  <w:marRight w:val="0"/>
                  <w:marTop w:val="0"/>
                  <w:marBottom w:val="0"/>
                  <w:divBdr>
                    <w:top w:val="none" w:sz="0" w:space="0" w:color="auto"/>
                    <w:left w:val="none" w:sz="0" w:space="0" w:color="auto"/>
                    <w:bottom w:val="none" w:sz="0" w:space="0" w:color="auto"/>
                    <w:right w:val="none" w:sz="0" w:space="0" w:color="auto"/>
                  </w:divBdr>
                  <w:divsChild>
                    <w:div w:id="20689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25914">
          <w:marLeft w:val="0"/>
          <w:marRight w:val="0"/>
          <w:marTop w:val="0"/>
          <w:marBottom w:val="0"/>
          <w:divBdr>
            <w:top w:val="none" w:sz="0" w:space="0" w:color="auto"/>
            <w:left w:val="none" w:sz="0" w:space="0" w:color="auto"/>
            <w:bottom w:val="none" w:sz="0" w:space="0" w:color="auto"/>
            <w:right w:val="none" w:sz="0" w:space="0" w:color="auto"/>
          </w:divBdr>
        </w:div>
        <w:div w:id="1988703776">
          <w:marLeft w:val="0"/>
          <w:marRight w:val="0"/>
          <w:marTop w:val="0"/>
          <w:marBottom w:val="0"/>
          <w:divBdr>
            <w:top w:val="none" w:sz="0" w:space="0" w:color="auto"/>
            <w:left w:val="none" w:sz="0" w:space="0" w:color="auto"/>
            <w:bottom w:val="none" w:sz="0" w:space="0" w:color="auto"/>
            <w:right w:val="none" w:sz="0" w:space="0" w:color="auto"/>
          </w:divBdr>
          <w:divsChild>
            <w:div w:id="2049790191">
              <w:marLeft w:val="-225"/>
              <w:marRight w:val="-225"/>
              <w:marTop w:val="0"/>
              <w:marBottom w:val="0"/>
              <w:divBdr>
                <w:top w:val="none" w:sz="0" w:space="0" w:color="auto"/>
                <w:left w:val="none" w:sz="0" w:space="0" w:color="auto"/>
                <w:bottom w:val="none" w:sz="0" w:space="0" w:color="auto"/>
                <w:right w:val="none" w:sz="0" w:space="0" w:color="auto"/>
              </w:divBdr>
              <w:divsChild>
                <w:div w:id="133372432">
                  <w:marLeft w:val="0"/>
                  <w:marRight w:val="0"/>
                  <w:marTop w:val="0"/>
                  <w:marBottom w:val="0"/>
                  <w:divBdr>
                    <w:top w:val="none" w:sz="0" w:space="0" w:color="auto"/>
                    <w:left w:val="none" w:sz="0" w:space="0" w:color="auto"/>
                    <w:bottom w:val="none" w:sz="0" w:space="0" w:color="auto"/>
                    <w:right w:val="none" w:sz="0" w:space="0" w:color="auto"/>
                  </w:divBdr>
                  <w:divsChild>
                    <w:div w:id="17797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8787">
      <w:bodyDiv w:val="1"/>
      <w:marLeft w:val="0"/>
      <w:marRight w:val="0"/>
      <w:marTop w:val="0"/>
      <w:marBottom w:val="0"/>
      <w:divBdr>
        <w:top w:val="none" w:sz="0" w:space="0" w:color="auto"/>
        <w:left w:val="none" w:sz="0" w:space="0" w:color="auto"/>
        <w:bottom w:val="none" w:sz="0" w:space="0" w:color="auto"/>
        <w:right w:val="none" w:sz="0" w:space="0" w:color="auto"/>
      </w:divBdr>
    </w:div>
    <w:div w:id="2036231842">
      <w:bodyDiv w:val="1"/>
      <w:marLeft w:val="0"/>
      <w:marRight w:val="0"/>
      <w:marTop w:val="0"/>
      <w:marBottom w:val="0"/>
      <w:divBdr>
        <w:top w:val="none" w:sz="0" w:space="0" w:color="auto"/>
        <w:left w:val="none" w:sz="0" w:space="0" w:color="auto"/>
        <w:bottom w:val="none" w:sz="0" w:space="0" w:color="auto"/>
        <w:right w:val="none" w:sz="0" w:space="0" w:color="auto"/>
      </w:divBdr>
      <w:divsChild>
        <w:div w:id="124743641">
          <w:marLeft w:val="-225"/>
          <w:marRight w:val="-225"/>
          <w:marTop w:val="0"/>
          <w:marBottom w:val="0"/>
          <w:divBdr>
            <w:top w:val="none" w:sz="0" w:space="0" w:color="auto"/>
            <w:left w:val="none" w:sz="0" w:space="0" w:color="auto"/>
            <w:bottom w:val="none" w:sz="0" w:space="0" w:color="auto"/>
            <w:right w:val="none" w:sz="0" w:space="0" w:color="auto"/>
          </w:divBdr>
          <w:divsChild>
            <w:div w:id="575482379">
              <w:marLeft w:val="0"/>
              <w:marRight w:val="0"/>
              <w:marTop w:val="0"/>
              <w:marBottom w:val="0"/>
              <w:divBdr>
                <w:top w:val="none" w:sz="0" w:space="0" w:color="auto"/>
                <w:left w:val="none" w:sz="0" w:space="0" w:color="auto"/>
                <w:bottom w:val="none" w:sz="0" w:space="0" w:color="auto"/>
                <w:right w:val="none" w:sz="0" w:space="0" w:color="auto"/>
              </w:divBdr>
              <w:divsChild>
                <w:div w:id="12082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89339">
      <w:bodyDiv w:val="1"/>
      <w:marLeft w:val="0"/>
      <w:marRight w:val="0"/>
      <w:marTop w:val="0"/>
      <w:marBottom w:val="0"/>
      <w:divBdr>
        <w:top w:val="none" w:sz="0" w:space="0" w:color="auto"/>
        <w:left w:val="none" w:sz="0" w:space="0" w:color="auto"/>
        <w:bottom w:val="none" w:sz="0" w:space="0" w:color="auto"/>
        <w:right w:val="none" w:sz="0" w:space="0" w:color="auto"/>
      </w:divBdr>
      <w:divsChild>
        <w:div w:id="361518197">
          <w:marLeft w:val="0"/>
          <w:marRight w:val="0"/>
          <w:marTop w:val="0"/>
          <w:marBottom w:val="0"/>
          <w:divBdr>
            <w:top w:val="none" w:sz="0" w:space="0" w:color="auto"/>
            <w:left w:val="none" w:sz="0" w:space="0" w:color="auto"/>
            <w:bottom w:val="none" w:sz="0" w:space="0" w:color="auto"/>
            <w:right w:val="none" w:sz="0" w:space="0" w:color="auto"/>
          </w:divBdr>
          <w:divsChild>
            <w:div w:id="1641231838">
              <w:marLeft w:val="-225"/>
              <w:marRight w:val="-225"/>
              <w:marTop w:val="0"/>
              <w:marBottom w:val="0"/>
              <w:divBdr>
                <w:top w:val="none" w:sz="0" w:space="0" w:color="auto"/>
                <w:left w:val="none" w:sz="0" w:space="0" w:color="auto"/>
                <w:bottom w:val="none" w:sz="0" w:space="0" w:color="auto"/>
                <w:right w:val="none" w:sz="0" w:space="0" w:color="auto"/>
              </w:divBdr>
              <w:divsChild>
                <w:div w:id="1203326800">
                  <w:marLeft w:val="0"/>
                  <w:marRight w:val="0"/>
                  <w:marTop w:val="0"/>
                  <w:marBottom w:val="0"/>
                  <w:divBdr>
                    <w:top w:val="none" w:sz="0" w:space="0" w:color="auto"/>
                    <w:left w:val="none" w:sz="0" w:space="0" w:color="auto"/>
                    <w:bottom w:val="none" w:sz="0" w:space="0" w:color="auto"/>
                    <w:right w:val="none" w:sz="0" w:space="0" w:color="auto"/>
                  </w:divBdr>
                  <w:divsChild>
                    <w:div w:id="9647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35711">
          <w:marLeft w:val="0"/>
          <w:marRight w:val="0"/>
          <w:marTop w:val="0"/>
          <w:marBottom w:val="0"/>
          <w:divBdr>
            <w:top w:val="none" w:sz="0" w:space="0" w:color="auto"/>
            <w:left w:val="none" w:sz="0" w:space="0" w:color="auto"/>
            <w:bottom w:val="none" w:sz="0" w:space="0" w:color="auto"/>
            <w:right w:val="none" w:sz="0" w:space="0" w:color="auto"/>
          </w:divBdr>
        </w:div>
        <w:div w:id="1600790380">
          <w:marLeft w:val="0"/>
          <w:marRight w:val="0"/>
          <w:marTop w:val="0"/>
          <w:marBottom w:val="0"/>
          <w:divBdr>
            <w:top w:val="none" w:sz="0" w:space="0" w:color="auto"/>
            <w:left w:val="none" w:sz="0" w:space="0" w:color="auto"/>
            <w:bottom w:val="none" w:sz="0" w:space="0" w:color="auto"/>
            <w:right w:val="none" w:sz="0" w:space="0" w:color="auto"/>
          </w:divBdr>
          <w:divsChild>
            <w:div w:id="609554145">
              <w:marLeft w:val="-225"/>
              <w:marRight w:val="-225"/>
              <w:marTop w:val="0"/>
              <w:marBottom w:val="0"/>
              <w:divBdr>
                <w:top w:val="none" w:sz="0" w:space="0" w:color="auto"/>
                <w:left w:val="none" w:sz="0" w:space="0" w:color="auto"/>
                <w:bottom w:val="none" w:sz="0" w:space="0" w:color="auto"/>
                <w:right w:val="none" w:sz="0" w:space="0" w:color="auto"/>
              </w:divBdr>
              <w:divsChild>
                <w:div w:id="175969686">
                  <w:marLeft w:val="0"/>
                  <w:marRight w:val="0"/>
                  <w:marTop w:val="0"/>
                  <w:marBottom w:val="0"/>
                  <w:divBdr>
                    <w:top w:val="none" w:sz="0" w:space="0" w:color="auto"/>
                    <w:left w:val="none" w:sz="0" w:space="0" w:color="auto"/>
                    <w:bottom w:val="none" w:sz="0" w:space="0" w:color="auto"/>
                    <w:right w:val="none" w:sz="0" w:space="0" w:color="auto"/>
                  </w:divBdr>
                  <w:divsChild>
                    <w:div w:id="418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4780">
          <w:marLeft w:val="0"/>
          <w:marRight w:val="0"/>
          <w:marTop w:val="0"/>
          <w:marBottom w:val="0"/>
          <w:divBdr>
            <w:top w:val="none" w:sz="0" w:space="0" w:color="auto"/>
            <w:left w:val="none" w:sz="0" w:space="0" w:color="auto"/>
            <w:bottom w:val="none" w:sz="0" w:space="0" w:color="auto"/>
            <w:right w:val="none" w:sz="0" w:space="0" w:color="auto"/>
          </w:divBdr>
          <w:divsChild>
            <w:div w:id="1932423406">
              <w:marLeft w:val="0"/>
              <w:marRight w:val="0"/>
              <w:marTop w:val="0"/>
              <w:marBottom w:val="0"/>
              <w:divBdr>
                <w:top w:val="single" w:sz="6" w:space="24" w:color="EBEEF5"/>
                <w:left w:val="none" w:sz="0" w:space="0" w:color="auto"/>
                <w:bottom w:val="single" w:sz="6" w:space="18" w:color="EBEEF5"/>
                <w:right w:val="none" w:sz="0" w:space="0" w:color="auto"/>
              </w:divBdr>
              <w:divsChild>
                <w:div w:id="1346128737">
                  <w:marLeft w:val="0"/>
                  <w:marRight w:val="0"/>
                  <w:marTop w:val="0"/>
                  <w:marBottom w:val="0"/>
                  <w:divBdr>
                    <w:top w:val="none" w:sz="0" w:space="0" w:color="auto"/>
                    <w:left w:val="none" w:sz="0" w:space="0" w:color="auto"/>
                    <w:bottom w:val="none" w:sz="0" w:space="0" w:color="auto"/>
                    <w:right w:val="none" w:sz="0" w:space="0" w:color="auto"/>
                  </w:divBdr>
                  <w:divsChild>
                    <w:div w:id="637339140">
                      <w:marLeft w:val="0"/>
                      <w:marRight w:val="0"/>
                      <w:marTop w:val="0"/>
                      <w:marBottom w:val="0"/>
                      <w:divBdr>
                        <w:top w:val="none" w:sz="0" w:space="0" w:color="auto"/>
                        <w:left w:val="none" w:sz="0" w:space="0" w:color="auto"/>
                        <w:bottom w:val="none" w:sz="0" w:space="0" w:color="auto"/>
                        <w:right w:val="none" w:sz="0" w:space="0" w:color="auto"/>
                      </w:divBdr>
                      <w:divsChild>
                        <w:div w:id="10658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322415">
      <w:bodyDiv w:val="1"/>
      <w:marLeft w:val="0"/>
      <w:marRight w:val="0"/>
      <w:marTop w:val="0"/>
      <w:marBottom w:val="0"/>
      <w:divBdr>
        <w:top w:val="none" w:sz="0" w:space="0" w:color="auto"/>
        <w:left w:val="none" w:sz="0" w:space="0" w:color="auto"/>
        <w:bottom w:val="none" w:sz="0" w:space="0" w:color="auto"/>
        <w:right w:val="none" w:sz="0" w:space="0" w:color="auto"/>
      </w:divBdr>
    </w:div>
    <w:div w:id="2047830073">
      <w:bodyDiv w:val="1"/>
      <w:marLeft w:val="0"/>
      <w:marRight w:val="0"/>
      <w:marTop w:val="0"/>
      <w:marBottom w:val="0"/>
      <w:divBdr>
        <w:top w:val="none" w:sz="0" w:space="0" w:color="auto"/>
        <w:left w:val="none" w:sz="0" w:space="0" w:color="auto"/>
        <w:bottom w:val="none" w:sz="0" w:space="0" w:color="auto"/>
        <w:right w:val="none" w:sz="0" w:space="0" w:color="auto"/>
      </w:divBdr>
    </w:div>
    <w:div w:id="2049991799">
      <w:bodyDiv w:val="1"/>
      <w:marLeft w:val="0"/>
      <w:marRight w:val="0"/>
      <w:marTop w:val="0"/>
      <w:marBottom w:val="0"/>
      <w:divBdr>
        <w:top w:val="none" w:sz="0" w:space="0" w:color="auto"/>
        <w:left w:val="none" w:sz="0" w:space="0" w:color="auto"/>
        <w:bottom w:val="none" w:sz="0" w:space="0" w:color="auto"/>
        <w:right w:val="none" w:sz="0" w:space="0" w:color="auto"/>
      </w:divBdr>
    </w:div>
    <w:div w:id="2050836304">
      <w:bodyDiv w:val="1"/>
      <w:marLeft w:val="0"/>
      <w:marRight w:val="0"/>
      <w:marTop w:val="0"/>
      <w:marBottom w:val="0"/>
      <w:divBdr>
        <w:top w:val="none" w:sz="0" w:space="0" w:color="auto"/>
        <w:left w:val="none" w:sz="0" w:space="0" w:color="auto"/>
        <w:bottom w:val="none" w:sz="0" w:space="0" w:color="auto"/>
        <w:right w:val="none" w:sz="0" w:space="0" w:color="auto"/>
      </w:divBdr>
    </w:div>
    <w:div w:id="2052460633">
      <w:bodyDiv w:val="1"/>
      <w:marLeft w:val="0"/>
      <w:marRight w:val="0"/>
      <w:marTop w:val="0"/>
      <w:marBottom w:val="0"/>
      <w:divBdr>
        <w:top w:val="none" w:sz="0" w:space="0" w:color="auto"/>
        <w:left w:val="none" w:sz="0" w:space="0" w:color="auto"/>
        <w:bottom w:val="none" w:sz="0" w:space="0" w:color="auto"/>
        <w:right w:val="none" w:sz="0" w:space="0" w:color="auto"/>
      </w:divBdr>
    </w:div>
    <w:div w:id="2059432316">
      <w:bodyDiv w:val="1"/>
      <w:marLeft w:val="0"/>
      <w:marRight w:val="0"/>
      <w:marTop w:val="0"/>
      <w:marBottom w:val="0"/>
      <w:divBdr>
        <w:top w:val="none" w:sz="0" w:space="0" w:color="auto"/>
        <w:left w:val="none" w:sz="0" w:space="0" w:color="auto"/>
        <w:bottom w:val="none" w:sz="0" w:space="0" w:color="auto"/>
        <w:right w:val="none" w:sz="0" w:space="0" w:color="auto"/>
      </w:divBdr>
    </w:div>
    <w:div w:id="2062287964">
      <w:bodyDiv w:val="1"/>
      <w:marLeft w:val="0"/>
      <w:marRight w:val="0"/>
      <w:marTop w:val="0"/>
      <w:marBottom w:val="0"/>
      <w:divBdr>
        <w:top w:val="none" w:sz="0" w:space="0" w:color="auto"/>
        <w:left w:val="none" w:sz="0" w:space="0" w:color="auto"/>
        <w:bottom w:val="none" w:sz="0" w:space="0" w:color="auto"/>
        <w:right w:val="none" w:sz="0" w:space="0" w:color="auto"/>
      </w:divBdr>
    </w:div>
    <w:div w:id="2062485180">
      <w:bodyDiv w:val="1"/>
      <w:marLeft w:val="0"/>
      <w:marRight w:val="0"/>
      <w:marTop w:val="0"/>
      <w:marBottom w:val="0"/>
      <w:divBdr>
        <w:top w:val="none" w:sz="0" w:space="0" w:color="auto"/>
        <w:left w:val="none" w:sz="0" w:space="0" w:color="auto"/>
        <w:bottom w:val="none" w:sz="0" w:space="0" w:color="auto"/>
        <w:right w:val="none" w:sz="0" w:space="0" w:color="auto"/>
      </w:divBdr>
    </w:div>
    <w:div w:id="2063018846">
      <w:bodyDiv w:val="1"/>
      <w:marLeft w:val="0"/>
      <w:marRight w:val="0"/>
      <w:marTop w:val="0"/>
      <w:marBottom w:val="0"/>
      <w:divBdr>
        <w:top w:val="none" w:sz="0" w:space="0" w:color="auto"/>
        <w:left w:val="none" w:sz="0" w:space="0" w:color="auto"/>
        <w:bottom w:val="none" w:sz="0" w:space="0" w:color="auto"/>
        <w:right w:val="none" w:sz="0" w:space="0" w:color="auto"/>
      </w:divBdr>
      <w:divsChild>
        <w:div w:id="383262238">
          <w:marLeft w:val="240"/>
          <w:marRight w:val="240"/>
          <w:marTop w:val="240"/>
          <w:marBottom w:val="240"/>
          <w:divBdr>
            <w:top w:val="none" w:sz="0" w:space="0" w:color="auto"/>
            <w:left w:val="none" w:sz="0" w:space="0" w:color="auto"/>
            <w:bottom w:val="none" w:sz="0" w:space="0" w:color="auto"/>
            <w:right w:val="none" w:sz="0" w:space="0" w:color="auto"/>
          </w:divBdr>
          <w:divsChild>
            <w:div w:id="575893476">
              <w:marLeft w:val="0"/>
              <w:marRight w:val="0"/>
              <w:marTop w:val="0"/>
              <w:marBottom w:val="0"/>
              <w:divBdr>
                <w:top w:val="none" w:sz="0" w:space="0" w:color="auto"/>
                <w:left w:val="none" w:sz="0" w:space="0" w:color="auto"/>
                <w:bottom w:val="none" w:sz="0" w:space="0" w:color="auto"/>
                <w:right w:val="none" w:sz="0" w:space="0" w:color="auto"/>
              </w:divBdr>
            </w:div>
          </w:divsChild>
        </w:div>
        <w:div w:id="695621435">
          <w:marLeft w:val="-456"/>
          <w:marRight w:val="0"/>
          <w:marTop w:val="300"/>
          <w:marBottom w:val="240"/>
          <w:divBdr>
            <w:top w:val="none" w:sz="0" w:space="0" w:color="auto"/>
            <w:left w:val="none" w:sz="0" w:space="0" w:color="auto"/>
            <w:bottom w:val="none" w:sz="0" w:space="0" w:color="auto"/>
            <w:right w:val="none" w:sz="0" w:space="0" w:color="auto"/>
          </w:divBdr>
          <w:divsChild>
            <w:div w:id="4999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9528">
      <w:bodyDiv w:val="1"/>
      <w:marLeft w:val="0"/>
      <w:marRight w:val="0"/>
      <w:marTop w:val="0"/>
      <w:marBottom w:val="0"/>
      <w:divBdr>
        <w:top w:val="none" w:sz="0" w:space="0" w:color="auto"/>
        <w:left w:val="none" w:sz="0" w:space="0" w:color="auto"/>
        <w:bottom w:val="none" w:sz="0" w:space="0" w:color="auto"/>
        <w:right w:val="none" w:sz="0" w:space="0" w:color="auto"/>
      </w:divBdr>
    </w:div>
    <w:div w:id="2063677047">
      <w:bodyDiv w:val="1"/>
      <w:marLeft w:val="0"/>
      <w:marRight w:val="0"/>
      <w:marTop w:val="0"/>
      <w:marBottom w:val="0"/>
      <w:divBdr>
        <w:top w:val="none" w:sz="0" w:space="0" w:color="auto"/>
        <w:left w:val="none" w:sz="0" w:space="0" w:color="auto"/>
        <w:bottom w:val="none" w:sz="0" w:space="0" w:color="auto"/>
        <w:right w:val="none" w:sz="0" w:space="0" w:color="auto"/>
      </w:divBdr>
    </w:div>
    <w:div w:id="2065133518">
      <w:bodyDiv w:val="1"/>
      <w:marLeft w:val="0"/>
      <w:marRight w:val="0"/>
      <w:marTop w:val="0"/>
      <w:marBottom w:val="0"/>
      <w:divBdr>
        <w:top w:val="none" w:sz="0" w:space="0" w:color="auto"/>
        <w:left w:val="none" w:sz="0" w:space="0" w:color="auto"/>
        <w:bottom w:val="none" w:sz="0" w:space="0" w:color="auto"/>
        <w:right w:val="none" w:sz="0" w:space="0" w:color="auto"/>
      </w:divBdr>
    </w:div>
    <w:div w:id="2066833178">
      <w:bodyDiv w:val="1"/>
      <w:marLeft w:val="0"/>
      <w:marRight w:val="0"/>
      <w:marTop w:val="0"/>
      <w:marBottom w:val="0"/>
      <w:divBdr>
        <w:top w:val="none" w:sz="0" w:space="0" w:color="auto"/>
        <w:left w:val="none" w:sz="0" w:space="0" w:color="auto"/>
        <w:bottom w:val="none" w:sz="0" w:space="0" w:color="auto"/>
        <w:right w:val="none" w:sz="0" w:space="0" w:color="auto"/>
      </w:divBdr>
    </w:div>
    <w:div w:id="2067026214">
      <w:bodyDiv w:val="1"/>
      <w:marLeft w:val="0"/>
      <w:marRight w:val="0"/>
      <w:marTop w:val="0"/>
      <w:marBottom w:val="0"/>
      <w:divBdr>
        <w:top w:val="none" w:sz="0" w:space="0" w:color="auto"/>
        <w:left w:val="none" w:sz="0" w:space="0" w:color="auto"/>
        <w:bottom w:val="none" w:sz="0" w:space="0" w:color="auto"/>
        <w:right w:val="none" w:sz="0" w:space="0" w:color="auto"/>
      </w:divBdr>
    </w:div>
    <w:div w:id="2069918176">
      <w:bodyDiv w:val="1"/>
      <w:marLeft w:val="0"/>
      <w:marRight w:val="0"/>
      <w:marTop w:val="0"/>
      <w:marBottom w:val="0"/>
      <w:divBdr>
        <w:top w:val="none" w:sz="0" w:space="0" w:color="auto"/>
        <w:left w:val="none" w:sz="0" w:space="0" w:color="auto"/>
        <w:bottom w:val="none" w:sz="0" w:space="0" w:color="auto"/>
        <w:right w:val="none" w:sz="0" w:space="0" w:color="auto"/>
      </w:divBdr>
      <w:divsChild>
        <w:div w:id="168571207">
          <w:marLeft w:val="0"/>
          <w:marRight w:val="0"/>
          <w:marTop w:val="0"/>
          <w:marBottom w:val="0"/>
          <w:divBdr>
            <w:top w:val="none" w:sz="0" w:space="0" w:color="auto"/>
            <w:left w:val="none" w:sz="0" w:space="0" w:color="auto"/>
            <w:bottom w:val="none" w:sz="0" w:space="0" w:color="auto"/>
            <w:right w:val="none" w:sz="0" w:space="0" w:color="auto"/>
          </w:divBdr>
        </w:div>
        <w:div w:id="1951936205">
          <w:marLeft w:val="0"/>
          <w:marRight w:val="0"/>
          <w:marTop w:val="0"/>
          <w:marBottom w:val="0"/>
          <w:divBdr>
            <w:top w:val="none" w:sz="0" w:space="0" w:color="auto"/>
            <w:left w:val="none" w:sz="0" w:space="0" w:color="auto"/>
            <w:bottom w:val="none" w:sz="0" w:space="0" w:color="auto"/>
            <w:right w:val="none" w:sz="0" w:space="0" w:color="auto"/>
          </w:divBdr>
          <w:divsChild>
            <w:div w:id="1292176344">
              <w:marLeft w:val="-225"/>
              <w:marRight w:val="-225"/>
              <w:marTop w:val="0"/>
              <w:marBottom w:val="0"/>
              <w:divBdr>
                <w:top w:val="none" w:sz="0" w:space="0" w:color="auto"/>
                <w:left w:val="none" w:sz="0" w:space="0" w:color="auto"/>
                <w:bottom w:val="none" w:sz="0" w:space="0" w:color="auto"/>
                <w:right w:val="none" w:sz="0" w:space="0" w:color="auto"/>
              </w:divBdr>
              <w:divsChild>
                <w:div w:id="497891337">
                  <w:marLeft w:val="0"/>
                  <w:marRight w:val="0"/>
                  <w:marTop w:val="0"/>
                  <w:marBottom w:val="0"/>
                  <w:divBdr>
                    <w:top w:val="none" w:sz="0" w:space="0" w:color="auto"/>
                    <w:left w:val="none" w:sz="0" w:space="0" w:color="auto"/>
                    <w:bottom w:val="none" w:sz="0" w:space="0" w:color="auto"/>
                    <w:right w:val="none" w:sz="0" w:space="0" w:color="auto"/>
                  </w:divBdr>
                  <w:divsChild>
                    <w:div w:id="1057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76259">
          <w:marLeft w:val="0"/>
          <w:marRight w:val="0"/>
          <w:marTop w:val="0"/>
          <w:marBottom w:val="0"/>
          <w:divBdr>
            <w:top w:val="none" w:sz="0" w:space="0" w:color="auto"/>
            <w:left w:val="none" w:sz="0" w:space="0" w:color="auto"/>
            <w:bottom w:val="none" w:sz="0" w:space="0" w:color="auto"/>
            <w:right w:val="none" w:sz="0" w:space="0" w:color="auto"/>
          </w:divBdr>
          <w:divsChild>
            <w:div w:id="1897935602">
              <w:marLeft w:val="-225"/>
              <w:marRight w:val="-225"/>
              <w:marTop w:val="0"/>
              <w:marBottom w:val="0"/>
              <w:divBdr>
                <w:top w:val="none" w:sz="0" w:space="0" w:color="auto"/>
                <w:left w:val="none" w:sz="0" w:space="0" w:color="auto"/>
                <w:bottom w:val="none" w:sz="0" w:space="0" w:color="auto"/>
                <w:right w:val="none" w:sz="0" w:space="0" w:color="auto"/>
              </w:divBdr>
              <w:divsChild>
                <w:div w:id="1302029919">
                  <w:marLeft w:val="0"/>
                  <w:marRight w:val="0"/>
                  <w:marTop w:val="0"/>
                  <w:marBottom w:val="0"/>
                  <w:divBdr>
                    <w:top w:val="none" w:sz="0" w:space="0" w:color="auto"/>
                    <w:left w:val="none" w:sz="0" w:space="0" w:color="auto"/>
                    <w:bottom w:val="none" w:sz="0" w:space="0" w:color="auto"/>
                    <w:right w:val="none" w:sz="0" w:space="0" w:color="auto"/>
                  </w:divBdr>
                  <w:divsChild>
                    <w:div w:id="3735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72327">
      <w:bodyDiv w:val="1"/>
      <w:marLeft w:val="0"/>
      <w:marRight w:val="0"/>
      <w:marTop w:val="0"/>
      <w:marBottom w:val="0"/>
      <w:divBdr>
        <w:top w:val="none" w:sz="0" w:space="0" w:color="auto"/>
        <w:left w:val="none" w:sz="0" w:space="0" w:color="auto"/>
        <w:bottom w:val="none" w:sz="0" w:space="0" w:color="auto"/>
        <w:right w:val="none" w:sz="0" w:space="0" w:color="auto"/>
      </w:divBdr>
      <w:divsChild>
        <w:div w:id="205526697">
          <w:marLeft w:val="0"/>
          <w:marRight w:val="0"/>
          <w:marTop w:val="0"/>
          <w:marBottom w:val="0"/>
          <w:divBdr>
            <w:top w:val="none" w:sz="0" w:space="0" w:color="auto"/>
            <w:left w:val="none" w:sz="0" w:space="0" w:color="auto"/>
            <w:bottom w:val="none" w:sz="0" w:space="0" w:color="auto"/>
            <w:right w:val="none" w:sz="0" w:space="0" w:color="auto"/>
          </w:divBdr>
        </w:div>
        <w:div w:id="90400061">
          <w:marLeft w:val="0"/>
          <w:marRight w:val="0"/>
          <w:marTop w:val="0"/>
          <w:marBottom w:val="0"/>
          <w:divBdr>
            <w:top w:val="none" w:sz="0" w:space="0" w:color="auto"/>
            <w:left w:val="none" w:sz="0" w:space="0" w:color="auto"/>
            <w:bottom w:val="none" w:sz="0" w:space="0" w:color="auto"/>
            <w:right w:val="none" w:sz="0" w:space="0" w:color="auto"/>
          </w:divBdr>
          <w:divsChild>
            <w:div w:id="798380498">
              <w:marLeft w:val="0"/>
              <w:marRight w:val="0"/>
              <w:marTop w:val="0"/>
              <w:marBottom w:val="0"/>
              <w:divBdr>
                <w:top w:val="none" w:sz="0" w:space="0" w:color="auto"/>
                <w:left w:val="none" w:sz="0" w:space="0" w:color="auto"/>
                <w:bottom w:val="none" w:sz="0" w:space="0" w:color="auto"/>
                <w:right w:val="none" w:sz="0" w:space="0" w:color="auto"/>
              </w:divBdr>
              <w:divsChild>
                <w:div w:id="2055809301">
                  <w:marLeft w:val="0"/>
                  <w:marRight w:val="0"/>
                  <w:marTop w:val="0"/>
                  <w:marBottom w:val="0"/>
                  <w:divBdr>
                    <w:top w:val="none" w:sz="0" w:space="0" w:color="auto"/>
                    <w:left w:val="none" w:sz="0" w:space="0" w:color="auto"/>
                    <w:bottom w:val="none" w:sz="0" w:space="0" w:color="auto"/>
                    <w:right w:val="none" w:sz="0" w:space="0" w:color="auto"/>
                  </w:divBdr>
                  <w:divsChild>
                    <w:div w:id="13706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39611">
      <w:bodyDiv w:val="1"/>
      <w:marLeft w:val="0"/>
      <w:marRight w:val="0"/>
      <w:marTop w:val="0"/>
      <w:marBottom w:val="0"/>
      <w:divBdr>
        <w:top w:val="none" w:sz="0" w:space="0" w:color="auto"/>
        <w:left w:val="none" w:sz="0" w:space="0" w:color="auto"/>
        <w:bottom w:val="none" w:sz="0" w:space="0" w:color="auto"/>
        <w:right w:val="none" w:sz="0" w:space="0" w:color="auto"/>
      </w:divBdr>
      <w:divsChild>
        <w:div w:id="171913672">
          <w:marLeft w:val="0"/>
          <w:marRight w:val="0"/>
          <w:marTop w:val="0"/>
          <w:marBottom w:val="0"/>
          <w:divBdr>
            <w:top w:val="none" w:sz="0" w:space="0" w:color="auto"/>
            <w:left w:val="none" w:sz="0" w:space="0" w:color="auto"/>
            <w:bottom w:val="none" w:sz="0" w:space="0" w:color="auto"/>
            <w:right w:val="none" w:sz="0" w:space="0" w:color="auto"/>
          </w:divBdr>
        </w:div>
        <w:div w:id="254676019">
          <w:marLeft w:val="0"/>
          <w:marRight w:val="0"/>
          <w:marTop w:val="0"/>
          <w:marBottom w:val="0"/>
          <w:divBdr>
            <w:top w:val="none" w:sz="0" w:space="0" w:color="auto"/>
            <w:left w:val="none" w:sz="0" w:space="0" w:color="auto"/>
            <w:bottom w:val="none" w:sz="0" w:space="0" w:color="auto"/>
            <w:right w:val="none" w:sz="0" w:space="0" w:color="auto"/>
          </w:divBdr>
          <w:divsChild>
            <w:div w:id="2087679038">
              <w:marLeft w:val="-225"/>
              <w:marRight w:val="-225"/>
              <w:marTop w:val="0"/>
              <w:marBottom w:val="0"/>
              <w:divBdr>
                <w:top w:val="none" w:sz="0" w:space="0" w:color="auto"/>
                <w:left w:val="none" w:sz="0" w:space="0" w:color="auto"/>
                <w:bottom w:val="none" w:sz="0" w:space="0" w:color="auto"/>
                <w:right w:val="none" w:sz="0" w:space="0" w:color="auto"/>
              </w:divBdr>
              <w:divsChild>
                <w:div w:id="861627996">
                  <w:marLeft w:val="0"/>
                  <w:marRight w:val="0"/>
                  <w:marTop w:val="0"/>
                  <w:marBottom w:val="0"/>
                  <w:divBdr>
                    <w:top w:val="none" w:sz="0" w:space="0" w:color="auto"/>
                    <w:left w:val="none" w:sz="0" w:space="0" w:color="auto"/>
                    <w:bottom w:val="none" w:sz="0" w:space="0" w:color="auto"/>
                    <w:right w:val="none" w:sz="0" w:space="0" w:color="auto"/>
                  </w:divBdr>
                  <w:divsChild>
                    <w:div w:id="15498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5130">
          <w:marLeft w:val="0"/>
          <w:marRight w:val="0"/>
          <w:marTop w:val="0"/>
          <w:marBottom w:val="0"/>
          <w:divBdr>
            <w:top w:val="none" w:sz="0" w:space="0" w:color="auto"/>
            <w:left w:val="none" w:sz="0" w:space="0" w:color="auto"/>
            <w:bottom w:val="none" w:sz="0" w:space="0" w:color="auto"/>
            <w:right w:val="none" w:sz="0" w:space="0" w:color="auto"/>
          </w:divBdr>
          <w:divsChild>
            <w:div w:id="1110127140">
              <w:marLeft w:val="0"/>
              <w:marRight w:val="0"/>
              <w:marTop w:val="0"/>
              <w:marBottom w:val="0"/>
              <w:divBdr>
                <w:top w:val="none" w:sz="0" w:space="0" w:color="auto"/>
                <w:left w:val="none" w:sz="0" w:space="0" w:color="auto"/>
                <w:bottom w:val="none" w:sz="0" w:space="0" w:color="auto"/>
                <w:right w:val="none" w:sz="0" w:space="0" w:color="auto"/>
              </w:divBdr>
              <w:divsChild>
                <w:div w:id="537007204">
                  <w:marLeft w:val="0"/>
                  <w:marRight w:val="0"/>
                  <w:marTop w:val="0"/>
                  <w:marBottom w:val="0"/>
                  <w:divBdr>
                    <w:top w:val="none" w:sz="0" w:space="0" w:color="auto"/>
                    <w:left w:val="none" w:sz="0" w:space="0" w:color="auto"/>
                    <w:bottom w:val="none" w:sz="0" w:space="0" w:color="auto"/>
                    <w:right w:val="none" w:sz="0" w:space="0" w:color="auto"/>
                  </w:divBdr>
                  <w:divsChild>
                    <w:div w:id="1832256917">
                      <w:marLeft w:val="0"/>
                      <w:marRight w:val="0"/>
                      <w:marTop w:val="0"/>
                      <w:marBottom w:val="0"/>
                      <w:divBdr>
                        <w:top w:val="none" w:sz="0" w:space="0" w:color="auto"/>
                        <w:left w:val="none" w:sz="0" w:space="0" w:color="auto"/>
                        <w:bottom w:val="none" w:sz="0" w:space="0" w:color="auto"/>
                        <w:right w:val="none" w:sz="0" w:space="0" w:color="auto"/>
                      </w:divBdr>
                      <w:divsChild>
                        <w:div w:id="329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273630">
          <w:marLeft w:val="0"/>
          <w:marRight w:val="0"/>
          <w:marTop w:val="0"/>
          <w:marBottom w:val="0"/>
          <w:divBdr>
            <w:top w:val="none" w:sz="0" w:space="0" w:color="auto"/>
            <w:left w:val="none" w:sz="0" w:space="0" w:color="auto"/>
            <w:bottom w:val="none" w:sz="0" w:space="0" w:color="auto"/>
            <w:right w:val="none" w:sz="0" w:space="0" w:color="auto"/>
          </w:divBdr>
          <w:divsChild>
            <w:div w:id="541134777">
              <w:marLeft w:val="-225"/>
              <w:marRight w:val="-225"/>
              <w:marTop w:val="0"/>
              <w:marBottom w:val="0"/>
              <w:divBdr>
                <w:top w:val="none" w:sz="0" w:space="0" w:color="auto"/>
                <w:left w:val="none" w:sz="0" w:space="0" w:color="auto"/>
                <w:bottom w:val="none" w:sz="0" w:space="0" w:color="auto"/>
                <w:right w:val="none" w:sz="0" w:space="0" w:color="auto"/>
              </w:divBdr>
              <w:divsChild>
                <w:div w:id="41444633">
                  <w:marLeft w:val="0"/>
                  <w:marRight w:val="0"/>
                  <w:marTop w:val="0"/>
                  <w:marBottom w:val="0"/>
                  <w:divBdr>
                    <w:top w:val="none" w:sz="0" w:space="0" w:color="auto"/>
                    <w:left w:val="none" w:sz="0" w:space="0" w:color="auto"/>
                    <w:bottom w:val="none" w:sz="0" w:space="0" w:color="auto"/>
                    <w:right w:val="none" w:sz="0" w:space="0" w:color="auto"/>
                  </w:divBdr>
                  <w:divsChild>
                    <w:div w:id="1552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64466">
      <w:bodyDiv w:val="1"/>
      <w:marLeft w:val="0"/>
      <w:marRight w:val="0"/>
      <w:marTop w:val="0"/>
      <w:marBottom w:val="0"/>
      <w:divBdr>
        <w:top w:val="none" w:sz="0" w:space="0" w:color="auto"/>
        <w:left w:val="none" w:sz="0" w:space="0" w:color="auto"/>
        <w:bottom w:val="none" w:sz="0" w:space="0" w:color="auto"/>
        <w:right w:val="none" w:sz="0" w:space="0" w:color="auto"/>
      </w:divBdr>
    </w:div>
    <w:div w:id="2083091523">
      <w:bodyDiv w:val="1"/>
      <w:marLeft w:val="0"/>
      <w:marRight w:val="0"/>
      <w:marTop w:val="0"/>
      <w:marBottom w:val="0"/>
      <w:divBdr>
        <w:top w:val="none" w:sz="0" w:space="0" w:color="auto"/>
        <w:left w:val="none" w:sz="0" w:space="0" w:color="auto"/>
        <w:bottom w:val="none" w:sz="0" w:space="0" w:color="auto"/>
        <w:right w:val="none" w:sz="0" w:space="0" w:color="auto"/>
      </w:divBdr>
    </w:div>
    <w:div w:id="2083721244">
      <w:bodyDiv w:val="1"/>
      <w:marLeft w:val="0"/>
      <w:marRight w:val="0"/>
      <w:marTop w:val="0"/>
      <w:marBottom w:val="0"/>
      <w:divBdr>
        <w:top w:val="none" w:sz="0" w:space="0" w:color="auto"/>
        <w:left w:val="none" w:sz="0" w:space="0" w:color="auto"/>
        <w:bottom w:val="none" w:sz="0" w:space="0" w:color="auto"/>
        <w:right w:val="none" w:sz="0" w:space="0" w:color="auto"/>
      </w:divBdr>
    </w:div>
    <w:div w:id="2095087541">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sChild>
        <w:div w:id="955869258">
          <w:marLeft w:val="-225"/>
          <w:marRight w:val="-225"/>
          <w:marTop w:val="0"/>
          <w:marBottom w:val="0"/>
          <w:divBdr>
            <w:top w:val="none" w:sz="0" w:space="0" w:color="auto"/>
            <w:left w:val="none" w:sz="0" w:space="0" w:color="auto"/>
            <w:bottom w:val="none" w:sz="0" w:space="0" w:color="auto"/>
            <w:right w:val="none" w:sz="0" w:space="0" w:color="auto"/>
          </w:divBdr>
          <w:divsChild>
            <w:div w:id="1551113553">
              <w:marLeft w:val="0"/>
              <w:marRight w:val="0"/>
              <w:marTop w:val="0"/>
              <w:marBottom w:val="0"/>
              <w:divBdr>
                <w:top w:val="none" w:sz="0" w:space="0" w:color="auto"/>
                <w:left w:val="none" w:sz="0" w:space="0" w:color="auto"/>
                <w:bottom w:val="none" w:sz="0" w:space="0" w:color="auto"/>
                <w:right w:val="none" w:sz="0" w:space="0" w:color="auto"/>
              </w:divBdr>
              <w:divsChild>
                <w:div w:id="441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016">
      <w:bodyDiv w:val="1"/>
      <w:marLeft w:val="0"/>
      <w:marRight w:val="0"/>
      <w:marTop w:val="0"/>
      <w:marBottom w:val="0"/>
      <w:divBdr>
        <w:top w:val="none" w:sz="0" w:space="0" w:color="auto"/>
        <w:left w:val="none" w:sz="0" w:space="0" w:color="auto"/>
        <w:bottom w:val="none" w:sz="0" w:space="0" w:color="auto"/>
        <w:right w:val="none" w:sz="0" w:space="0" w:color="auto"/>
      </w:divBdr>
    </w:div>
    <w:div w:id="2097552762">
      <w:bodyDiv w:val="1"/>
      <w:marLeft w:val="0"/>
      <w:marRight w:val="0"/>
      <w:marTop w:val="0"/>
      <w:marBottom w:val="0"/>
      <w:divBdr>
        <w:top w:val="none" w:sz="0" w:space="0" w:color="auto"/>
        <w:left w:val="none" w:sz="0" w:space="0" w:color="auto"/>
        <w:bottom w:val="none" w:sz="0" w:space="0" w:color="auto"/>
        <w:right w:val="none" w:sz="0" w:space="0" w:color="auto"/>
      </w:divBdr>
    </w:div>
    <w:div w:id="2100759789">
      <w:bodyDiv w:val="1"/>
      <w:marLeft w:val="0"/>
      <w:marRight w:val="0"/>
      <w:marTop w:val="0"/>
      <w:marBottom w:val="0"/>
      <w:divBdr>
        <w:top w:val="none" w:sz="0" w:space="0" w:color="auto"/>
        <w:left w:val="none" w:sz="0" w:space="0" w:color="auto"/>
        <w:bottom w:val="none" w:sz="0" w:space="0" w:color="auto"/>
        <w:right w:val="none" w:sz="0" w:space="0" w:color="auto"/>
      </w:divBdr>
    </w:div>
    <w:div w:id="2109808982">
      <w:bodyDiv w:val="1"/>
      <w:marLeft w:val="0"/>
      <w:marRight w:val="0"/>
      <w:marTop w:val="0"/>
      <w:marBottom w:val="0"/>
      <w:divBdr>
        <w:top w:val="none" w:sz="0" w:space="0" w:color="auto"/>
        <w:left w:val="none" w:sz="0" w:space="0" w:color="auto"/>
        <w:bottom w:val="none" w:sz="0" w:space="0" w:color="auto"/>
        <w:right w:val="none" w:sz="0" w:space="0" w:color="auto"/>
      </w:divBdr>
    </w:div>
    <w:div w:id="2112780292">
      <w:bodyDiv w:val="1"/>
      <w:marLeft w:val="0"/>
      <w:marRight w:val="0"/>
      <w:marTop w:val="0"/>
      <w:marBottom w:val="0"/>
      <w:divBdr>
        <w:top w:val="none" w:sz="0" w:space="0" w:color="auto"/>
        <w:left w:val="none" w:sz="0" w:space="0" w:color="auto"/>
        <w:bottom w:val="none" w:sz="0" w:space="0" w:color="auto"/>
        <w:right w:val="none" w:sz="0" w:space="0" w:color="auto"/>
      </w:divBdr>
    </w:div>
    <w:div w:id="2114282792">
      <w:bodyDiv w:val="1"/>
      <w:marLeft w:val="0"/>
      <w:marRight w:val="0"/>
      <w:marTop w:val="0"/>
      <w:marBottom w:val="0"/>
      <w:divBdr>
        <w:top w:val="none" w:sz="0" w:space="0" w:color="auto"/>
        <w:left w:val="none" w:sz="0" w:space="0" w:color="auto"/>
        <w:bottom w:val="none" w:sz="0" w:space="0" w:color="auto"/>
        <w:right w:val="none" w:sz="0" w:space="0" w:color="auto"/>
      </w:divBdr>
      <w:divsChild>
        <w:div w:id="334575453">
          <w:marLeft w:val="0"/>
          <w:marRight w:val="0"/>
          <w:marTop w:val="0"/>
          <w:marBottom w:val="0"/>
          <w:divBdr>
            <w:top w:val="none" w:sz="0" w:space="0" w:color="auto"/>
            <w:left w:val="none" w:sz="0" w:space="0" w:color="auto"/>
            <w:bottom w:val="none" w:sz="0" w:space="0" w:color="auto"/>
            <w:right w:val="none" w:sz="0" w:space="0" w:color="auto"/>
          </w:divBdr>
        </w:div>
        <w:div w:id="760486337">
          <w:marLeft w:val="0"/>
          <w:marRight w:val="0"/>
          <w:marTop w:val="0"/>
          <w:marBottom w:val="0"/>
          <w:divBdr>
            <w:top w:val="none" w:sz="0" w:space="0" w:color="auto"/>
            <w:left w:val="none" w:sz="0" w:space="0" w:color="auto"/>
            <w:bottom w:val="none" w:sz="0" w:space="0" w:color="auto"/>
            <w:right w:val="none" w:sz="0" w:space="0" w:color="auto"/>
          </w:divBdr>
          <w:divsChild>
            <w:div w:id="561409106">
              <w:marLeft w:val="-225"/>
              <w:marRight w:val="-225"/>
              <w:marTop w:val="0"/>
              <w:marBottom w:val="0"/>
              <w:divBdr>
                <w:top w:val="none" w:sz="0" w:space="0" w:color="auto"/>
                <w:left w:val="none" w:sz="0" w:space="0" w:color="auto"/>
                <w:bottom w:val="none" w:sz="0" w:space="0" w:color="auto"/>
                <w:right w:val="none" w:sz="0" w:space="0" w:color="auto"/>
              </w:divBdr>
              <w:divsChild>
                <w:div w:id="28141102">
                  <w:marLeft w:val="0"/>
                  <w:marRight w:val="0"/>
                  <w:marTop w:val="0"/>
                  <w:marBottom w:val="0"/>
                  <w:divBdr>
                    <w:top w:val="none" w:sz="0" w:space="0" w:color="auto"/>
                    <w:left w:val="none" w:sz="0" w:space="0" w:color="auto"/>
                    <w:bottom w:val="none" w:sz="0" w:space="0" w:color="auto"/>
                    <w:right w:val="none" w:sz="0" w:space="0" w:color="auto"/>
                  </w:divBdr>
                  <w:divsChild>
                    <w:div w:id="3148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1366">
          <w:marLeft w:val="0"/>
          <w:marRight w:val="0"/>
          <w:marTop w:val="0"/>
          <w:marBottom w:val="0"/>
          <w:divBdr>
            <w:top w:val="none" w:sz="0" w:space="0" w:color="auto"/>
            <w:left w:val="none" w:sz="0" w:space="0" w:color="auto"/>
            <w:bottom w:val="none" w:sz="0" w:space="0" w:color="auto"/>
            <w:right w:val="none" w:sz="0" w:space="0" w:color="auto"/>
          </w:divBdr>
          <w:divsChild>
            <w:div w:id="879511034">
              <w:marLeft w:val="0"/>
              <w:marRight w:val="0"/>
              <w:marTop w:val="0"/>
              <w:marBottom w:val="0"/>
              <w:divBdr>
                <w:top w:val="single" w:sz="6" w:space="24" w:color="EBEEF5"/>
                <w:left w:val="none" w:sz="0" w:space="0" w:color="auto"/>
                <w:bottom w:val="single" w:sz="6" w:space="18" w:color="EBEEF5"/>
                <w:right w:val="none" w:sz="0" w:space="0" w:color="auto"/>
              </w:divBdr>
              <w:divsChild>
                <w:div w:id="1506507696">
                  <w:marLeft w:val="0"/>
                  <w:marRight w:val="0"/>
                  <w:marTop w:val="0"/>
                  <w:marBottom w:val="0"/>
                  <w:divBdr>
                    <w:top w:val="none" w:sz="0" w:space="0" w:color="auto"/>
                    <w:left w:val="none" w:sz="0" w:space="0" w:color="auto"/>
                    <w:bottom w:val="none" w:sz="0" w:space="0" w:color="auto"/>
                    <w:right w:val="none" w:sz="0" w:space="0" w:color="auto"/>
                  </w:divBdr>
                  <w:divsChild>
                    <w:div w:id="293675997">
                      <w:marLeft w:val="0"/>
                      <w:marRight w:val="0"/>
                      <w:marTop w:val="0"/>
                      <w:marBottom w:val="0"/>
                      <w:divBdr>
                        <w:top w:val="none" w:sz="0" w:space="0" w:color="auto"/>
                        <w:left w:val="none" w:sz="0" w:space="0" w:color="auto"/>
                        <w:bottom w:val="none" w:sz="0" w:space="0" w:color="auto"/>
                        <w:right w:val="none" w:sz="0" w:space="0" w:color="auto"/>
                      </w:divBdr>
                      <w:divsChild>
                        <w:div w:id="20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29402">
          <w:marLeft w:val="0"/>
          <w:marRight w:val="0"/>
          <w:marTop w:val="0"/>
          <w:marBottom w:val="0"/>
          <w:divBdr>
            <w:top w:val="none" w:sz="0" w:space="0" w:color="auto"/>
            <w:left w:val="none" w:sz="0" w:space="0" w:color="auto"/>
            <w:bottom w:val="none" w:sz="0" w:space="0" w:color="auto"/>
            <w:right w:val="none" w:sz="0" w:space="0" w:color="auto"/>
          </w:divBdr>
          <w:divsChild>
            <w:div w:id="933393765">
              <w:marLeft w:val="-225"/>
              <w:marRight w:val="-225"/>
              <w:marTop w:val="0"/>
              <w:marBottom w:val="0"/>
              <w:divBdr>
                <w:top w:val="none" w:sz="0" w:space="0" w:color="auto"/>
                <w:left w:val="none" w:sz="0" w:space="0" w:color="auto"/>
                <w:bottom w:val="none" w:sz="0" w:space="0" w:color="auto"/>
                <w:right w:val="none" w:sz="0" w:space="0" w:color="auto"/>
              </w:divBdr>
              <w:divsChild>
                <w:div w:id="1865291659">
                  <w:marLeft w:val="0"/>
                  <w:marRight w:val="0"/>
                  <w:marTop w:val="0"/>
                  <w:marBottom w:val="0"/>
                  <w:divBdr>
                    <w:top w:val="none" w:sz="0" w:space="0" w:color="auto"/>
                    <w:left w:val="none" w:sz="0" w:space="0" w:color="auto"/>
                    <w:bottom w:val="none" w:sz="0" w:space="0" w:color="auto"/>
                    <w:right w:val="none" w:sz="0" w:space="0" w:color="auto"/>
                  </w:divBdr>
                  <w:divsChild>
                    <w:div w:id="11533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89452">
      <w:bodyDiv w:val="1"/>
      <w:marLeft w:val="0"/>
      <w:marRight w:val="0"/>
      <w:marTop w:val="0"/>
      <w:marBottom w:val="0"/>
      <w:divBdr>
        <w:top w:val="none" w:sz="0" w:space="0" w:color="auto"/>
        <w:left w:val="none" w:sz="0" w:space="0" w:color="auto"/>
        <w:bottom w:val="none" w:sz="0" w:space="0" w:color="auto"/>
        <w:right w:val="none" w:sz="0" w:space="0" w:color="auto"/>
      </w:divBdr>
      <w:divsChild>
        <w:div w:id="487093733">
          <w:marLeft w:val="0"/>
          <w:marRight w:val="0"/>
          <w:marTop w:val="0"/>
          <w:marBottom w:val="0"/>
          <w:divBdr>
            <w:top w:val="none" w:sz="0" w:space="0" w:color="auto"/>
            <w:left w:val="none" w:sz="0" w:space="0" w:color="auto"/>
            <w:bottom w:val="none" w:sz="0" w:space="0" w:color="auto"/>
            <w:right w:val="none" w:sz="0" w:space="0" w:color="auto"/>
          </w:divBdr>
          <w:divsChild>
            <w:div w:id="936133210">
              <w:marLeft w:val="-225"/>
              <w:marRight w:val="-225"/>
              <w:marTop w:val="0"/>
              <w:marBottom w:val="0"/>
              <w:divBdr>
                <w:top w:val="none" w:sz="0" w:space="0" w:color="auto"/>
                <w:left w:val="none" w:sz="0" w:space="0" w:color="auto"/>
                <w:bottom w:val="none" w:sz="0" w:space="0" w:color="auto"/>
                <w:right w:val="none" w:sz="0" w:space="0" w:color="auto"/>
              </w:divBdr>
              <w:divsChild>
                <w:div w:id="373385275">
                  <w:marLeft w:val="0"/>
                  <w:marRight w:val="0"/>
                  <w:marTop w:val="0"/>
                  <w:marBottom w:val="0"/>
                  <w:divBdr>
                    <w:top w:val="none" w:sz="0" w:space="0" w:color="auto"/>
                    <w:left w:val="none" w:sz="0" w:space="0" w:color="auto"/>
                    <w:bottom w:val="none" w:sz="0" w:space="0" w:color="auto"/>
                    <w:right w:val="none" w:sz="0" w:space="0" w:color="auto"/>
                  </w:divBdr>
                  <w:divsChild>
                    <w:div w:id="11125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901">
          <w:marLeft w:val="0"/>
          <w:marRight w:val="0"/>
          <w:marTop w:val="0"/>
          <w:marBottom w:val="0"/>
          <w:divBdr>
            <w:top w:val="none" w:sz="0" w:space="0" w:color="auto"/>
            <w:left w:val="none" w:sz="0" w:space="0" w:color="auto"/>
            <w:bottom w:val="none" w:sz="0" w:space="0" w:color="auto"/>
            <w:right w:val="none" w:sz="0" w:space="0" w:color="auto"/>
          </w:divBdr>
          <w:divsChild>
            <w:div w:id="1239903184">
              <w:marLeft w:val="-225"/>
              <w:marRight w:val="-225"/>
              <w:marTop w:val="0"/>
              <w:marBottom w:val="0"/>
              <w:divBdr>
                <w:top w:val="none" w:sz="0" w:space="0" w:color="auto"/>
                <w:left w:val="none" w:sz="0" w:space="0" w:color="auto"/>
                <w:bottom w:val="none" w:sz="0" w:space="0" w:color="auto"/>
                <w:right w:val="none" w:sz="0" w:space="0" w:color="auto"/>
              </w:divBdr>
              <w:divsChild>
                <w:div w:id="1951280880">
                  <w:marLeft w:val="0"/>
                  <w:marRight w:val="0"/>
                  <w:marTop w:val="0"/>
                  <w:marBottom w:val="0"/>
                  <w:divBdr>
                    <w:top w:val="none" w:sz="0" w:space="0" w:color="auto"/>
                    <w:left w:val="none" w:sz="0" w:space="0" w:color="auto"/>
                    <w:bottom w:val="none" w:sz="0" w:space="0" w:color="auto"/>
                    <w:right w:val="none" w:sz="0" w:space="0" w:color="auto"/>
                  </w:divBdr>
                  <w:divsChild>
                    <w:div w:id="12579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0478">
          <w:marLeft w:val="0"/>
          <w:marRight w:val="0"/>
          <w:marTop w:val="0"/>
          <w:marBottom w:val="0"/>
          <w:divBdr>
            <w:top w:val="none" w:sz="0" w:space="0" w:color="auto"/>
            <w:left w:val="none" w:sz="0" w:space="0" w:color="auto"/>
            <w:bottom w:val="none" w:sz="0" w:space="0" w:color="auto"/>
            <w:right w:val="none" w:sz="0" w:space="0" w:color="auto"/>
          </w:divBdr>
          <w:divsChild>
            <w:div w:id="89275738">
              <w:marLeft w:val="0"/>
              <w:marRight w:val="0"/>
              <w:marTop w:val="0"/>
              <w:marBottom w:val="0"/>
              <w:divBdr>
                <w:top w:val="none" w:sz="0" w:space="0" w:color="auto"/>
                <w:left w:val="none" w:sz="0" w:space="0" w:color="auto"/>
                <w:bottom w:val="none" w:sz="0" w:space="0" w:color="auto"/>
                <w:right w:val="none" w:sz="0" w:space="0" w:color="auto"/>
              </w:divBdr>
              <w:divsChild>
                <w:div w:id="592862201">
                  <w:marLeft w:val="0"/>
                  <w:marRight w:val="0"/>
                  <w:marTop w:val="0"/>
                  <w:marBottom w:val="0"/>
                  <w:divBdr>
                    <w:top w:val="none" w:sz="0" w:space="0" w:color="auto"/>
                    <w:left w:val="none" w:sz="0" w:space="0" w:color="auto"/>
                    <w:bottom w:val="none" w:sz="0" w:space="0" w:color="auto"/>
                    <w:right w:val="none" w:sz="0" w:space="0" w:color="auto"/>
                  </w:divBdr>
                  <w:divsChild>
                    <w:div w:id="848644048">
                      <w:marLeft w:val="0"/>
                      <w:marRight w:val="0"/>
                      <w:marTop w:val="0"/>
                      <w:marBottom w:val="0"/>
                      <w:divBdr>
                        <w:top w:val="none" w:sz="0" w:space="0" w:color="auto"/>
                        <w:left w:val="none" w:sz="0" w:space="0" w:color="auto"/>
                        <w:bottom w:val="none" w:sz="0" w:space="0" w:color="auto"/>
                        <w:right w:val="none" w:sz="0" w:space="0" w:color="auto"/>
                      </w:divBdr>
                      <w:divsChild>
                        <w:div w:id="17976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573615">
          <w:marLeft w:val="0"/>
          <w:marRight w:val="0"/>
          <w:marTop w:val="0"/>
          <w:marBottom w:val="0"/>
          <w:divBdr>
            <w:top w:val="none" w:sz="0" w:space="0" w:color="auto"/>
            <w:left w:val="none" w:sz="0" w:space="0" w:color="auto"/>
            <w:bottom w:val="none" w:sz="0" w:space="0" w:color="auto"/>
            <w:right w:val="none" w:sz="0" w:space="0" w:color="auto"/>
          </w:divBdr>
        </w:div>
      </w:divsChild>
    </w:div>
    <w:div w:id="2119107017">
      <w:bodyDiv w:val="1"/>
      <w:marLeft w:val="0"/>
      <w:marRight w:val="0"/>
      <w:marTop w:val="0"/>
      <w:marBottom w:val="0"/>
      <w:divBdr>
        <w:top w:val="none" w:sz="0" w:space="0" w:color="auto"/>
        <w:left w:val="none" w:sz="0" w:space="0" w:color="auto"/>
        <w:bottom w:val="none" w:sz="0" w:space="0" w:color="auto"/>
        <w:right w:val="none" w:sz="0" w:space="0" w:color="auto"/>
      </w:divBdr>
    </w:div>
    <w:div w:id="2123454993">
      <w:bodyDiv w:val="1"/>
      <w:marLeft w:val="0"/>
      <w:marRight w:val="0"/>
      <w:marTop w:val="0"/>
      <w:marBottom w:val="0"/>
      <w:divBdr>
        <w:top w:val="none" w:sz="0" w:space="0" w:color="auto"/>
        <w:left w:val="none" w:sz="0" w:space="0" w:color="auto"/>
        <w:bottom w:val="none" w:sz="0" w:space="0" w:color="auto"/>
        <w:right w:val="none" w:sz="0" w:space="0" w:color="auto"/>
      </w:divBdr>
    </w:div>
    <w:div w:id="2124108517">
      <w:bodyDiv w:val="1"/>
      <w:marLeft w:val="0"/>
      <w:marRight w:val="0"/>
      <w:marTop w:val="0"/>
      <w:marBottom w:val="0"/>
      <w:divBdr>
        <w:top w:val="none" w:sz="0" w:space="0" w:color="auto"/>
        <w:left w:val="none" w:sz="0" w:space="0" w:color="auto"/>
        <w:bottom w:val="none" w:sz="0" w:space="0" w:color="auto"/>
        <w:right w:val="none" w:sz="0" w:space="0" w:color="auto"/>
      </w:divBdr>
      <w:divsChild>
        <w:div w:id="858543503">
          <w:marLeft w:val="0"/>
          <w:marRight w:val="0"/>
          <w:marTop w:val="0"/>
          <w:marBottom w:val="0"/>
          <w:divBdr>
            <w:top w:val="none" w:sz="0" w:space="0" w:color="auto"/>
            <w:left w:val="none" w:sz="0" w:space="0" w:color="auto"/>
            <w:bottom w:val="none" w:sz="0" w:space="0" w:color="auto"/>
            <w:right w:val="none" w:sz="0" w:space="0" w:color="auto"/>
          </w:divBdr>
          <w:divsChild>
            <w:div w:id="992487184">
              <w:marLeft w:val="-225"/>
              <w:marRight w:val="-225"/>
              <w:marTop w:val="0"/>
              <w:marBottom w:val="0"/>
              <w:divBdr>
                <w:top w:val="none" w:sz="0" w:space="0" w:color="auto"/>
                <w:left w:val="none" w:sz="0" w:space="0" w:color="auto"/>
                <w:bottom w:val="none" w:sz="0" w:space="0" w:color="auto"/>
                <w:right w:val="none" w:sz="0" w:space="0" w:color="auto"/>
              </w:divBdr>
              <w:divsChild>
                <w:div w:id="668213845">
                  <w:marLeft w:val="0"/>
                  <w:marRight w:val="0"/>
                  <w:marTop w:val="0"/>
                  <w:marBottom w:val="0"/>
                  <w:divBdr>
                    <w:top w:val="none" w:sz="0" w:space="0" w:color="auto"/>
                    <w:left w:val="none" w:sz="0" w:space="0" w:color="auto"/>
                    <w:bottom w:val="none" w:sz="0" w:space="0" w:color="auto"/>
                    <w:right w:val="none" w:sz="0" w:space="0" w:color="auto"/>
                  </w:divBdr>
                  <w:divsChild>
                    <w:div w:id="10179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3722">
          <w:marLeft w:val="0"/>
          <w:marRight w:val="0"/>
          <w:marTop w:val="0"/>
          <w:marBottom w:val="0"/>
          <w:divBdr>
            <w:top w:val="none" w:sz="0" w:space="0" w:color="auto"/>
            <w:left w:val="none" w:sz="0" w:space="0" w:color="auto"/>
            <w:bottom w:val="none" w:sz="0" w:space="0" w:color="auto"/>
            <w:right w:val="none" w:sz="0" w:space="0" w:color="auto"/>
          </w:divBdr>
          <w:divsChild>
            <w:div w:id="1490438688">
              <w:marLeft w:val="0"/>
              <w:marRight w:val="0"/>
              <w:marTop w:val="0"/>
              <w:marBottom w:val="0"/>
              <w:divBdr>
                <w:top w:val="none" w:sz="0" w:space="0" w:color="auto"/>
                <w:left w:val="none" w:sz="0" w:space="0" w:color="auto"/>
                <w:bottom w:val="none" w:sz="0" w:space="0" w:color="auto"/>
                <w:right w:val="none" w:sz="0" w:space="0" w:color="auto"/>
              </w:divBdr>
              <w:divsChild>
                <w:div w:id="450901014">
                  <w:marLeft w:val="0"/>
                  <w:marRight w:val="0"/>
                  <w:marTop w:val="0"/>
                  <w:marBottom w:val="0"/>
                  <w:divBdr>
                    <w:top w:val="none" w:sz="0" w:space="0" w:color="auto"/>
                    <w:left w:val="none" w:sz="0" w:space="0" w:color="auto"/>
                    <w:bottom w:val="none" w:sz="0" w:space="0" w:color="auto"/>
                    <w:right w:val="none" w:sz="0" w:space="0" w:color="auto"/>
                  </w:divBdr>
                  <w:divsChild>
                    <w:div w:id="1966037339">
                      <w:marLeft w:val="0"/>
                      <w:marRight w:val="0"/>
                      <w:marTop w:val="0"/>
                      <w:marBottom w:val="0"/>
                      <w:divBdr>
                        <w:top w:val="none" w:sz="0" w:space="0" w:color="auto"/>
                        <w:left w:val="none" w:sz="0" w:space="0" w:color="auto"/>
                        <w:bottom w:val="none" w:sz="0" w:space="0" w:color="auto"/>
                        <w:right w:val="none" w:sz="0" w:space="0" w:color="auto"/>
                      </w:divBdr>
                      <w:divsChild>
                        <w:div w:id="3364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957">
          <w:marLeft w:val="0"/>
          <w:marRight w:val="0"/>
          <w:marTop w:val="0"/>
          <w:marBottom w:val="0"/>
          <w:divBdr>
            <w:top w:val="none" w:sz="0" w:space="0" w:color="auto"/>
            <w:left w:val="none" w:sz="0" w:space="0" w:color="auto"/>
            <w:bottom w:val="none" w:sz="0" w:space="0" w:color="auto"/>
            <w:right w:val="none" w:sz="0" w:space="0" w:color="auto"/>
          </w:divBdr>
        </w:div>
        <w:div w:id="2061393123">
          <w:marLeft w:val="0"/>
          <w:marRight w:val="0"/>
          <w:marTop w:val="0"/>
          <w:marBottom w:val="0"/>
          <w:divBdr>
            <w:top w:val="none" w:sz="0" w:space="0" w:color="auto"/>
            <w:left w:val="none" w:sz="0" w:space="0" w:color="auto"/>
            <w:bottom w:val="none" w:sz="0" w:space="0" w:color="auto"/>
            <w:right w:val="none" w:sz="0" w:space="0" w:color="auto"/>
          </w:divBdr>
          <w:divsChild>
            <w:div w:id="1402020316">
              <w:marLeft w:val="-225"/>
              <w:marRight w:val="-225"/>
              <w:marTop w:val="0"/>
              <w:marBottom w:val="0"/>
              <w:divBdr>
                <w:top w:val="none" w:sz="0" w:space="0" w:color="auto"/>
                <w:left w:val="none" w:sz="0" w:space="0" w:color="auto"/>
                <w:bottom w:val="none" w:sz="0" w:space="0" w:color="auto"/>
                <w:right w:val="none" w:sz="0" w:space="0" w:color="auto"/>
              </w:divBdr>
              <w:divsChild>
                <w:div w:id="1900165226">
                  <w:marLeft w:val="0"/>
                  <w:marRight w:val="0"/>
                  <w:marTop w:val="0"/>
                  <w:marBottom w:val="0"/>
                  <w:divBdr>
                    <w:top w:val="none" w:sz="0" w:space="0" w:color="auto"/>
                    <w:left w:val="none" w:sz="0" w:space="0" w:color="auto"/>
                    <w:bottom w:val="none" w:sz="0" w:space="0" w:color="auto"/>
                    <w:right w:val="none" w:sz="0" w:space="0" w:color="auto"/>
                  </w:divBdr>
                  <w:divsChild>
                    <w:div w:id="1390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457332">
      <w:bodyDiv w:val="1"/>
      <w:marLeft w:val="0"/>
      <w:marRight w:val="0"/>
      <w:marTop w:val="0"/>
      <w:marBottom w:val="0"/>
      <w:divBdr>
        <w:top w:val="none" w:sz="0" w:space="0" w:color="auto"/>
        <w:left w:val="none" w:sz="0" w:space="0" w:color="auto"/>
        <w:bottom w:val="none" w:sz="0" w:space="0" w:color="auto"/>
        <w:right w:val="none" w:sz="0" w:space="0" w:color="auto"/>
      </w:divBdr>
    </w:div>
    <w:div w:id="2127114739">
      <w:bodyDiv w:val="1"/>
      <w:marLeft w:val="0"/>
      <w:marRight w:val="0"/>
      <w:marTop w:val="0"/>
      <w:marBottom w:val="0"/>
      <w:divBdr>
        <w:top w:val="none" w:sz="0" w:space="0" w:color="auto"/>
        <w:left w:val="none" w:sz="0" w:space="0" w:color="auto"/>
        <w:bottom w:val="none" w:sz="0" w:space="0" w:color="auto"/>
        <w:right w:val="none" w:sz="0" w:space="0" w:color="auto"/>
      </w:divBdr>
    </w:div>
    <w:div w:id="2130393650">
      <w:bodyDiv w:val="1"/>
      <w:marLeft w:val="0"/>
      <w:marRight w:val="0"/>
      <w:marTop w:val="0"/>
      <w:marBottom w:val="0"/>
      <w:divBdr>
        <w:top w:val="none" w:sz="0" w:space="0" w:color="auto"/>
        <w:left w:val="none" w:sz="0" w:space="0" w:color="auto"/>
        <w:bottom w:val="none" w:sz="0" w:space="0" w:color="auto"/>
        <w:right w:val="none" w:sz="0" w:space="0" w:color="auto"/>
      </w:divBdr>
      <w:divsChild>
        <w:div w:id="395517719">
          <w:marLeft w:val="0"/>
          <w:marRight w:val="0"/>
          <w:marTop w:val="0"/>
          <w:marBottom w:val="0"/>
          <w:divBdr>
            <w:top w:val="none" w:sz="0" w:space="0" w:color="auto"/>
            <w:left w:val="none" w:sz="0" w:space="0" w:color="auto"/>
            <w:bottom w:val="none" w:sz="0" w:space="0" w:color="auto"/>
            <w:right w:val="none" w:sz="0" w:space="0" w:color="auto"/>
          </w:divBdr>
        </w:div>
        <w:div w:id="903688095">
          <w:marLeft w:val="0"/>
          <w:marRight w:val="0"/>
          <w:marTop w:val="0"/>
          <w:marBottom w:val="0"/>
          <w:divBdr>
            <w:top w:val="none" w:sz="0" w:space="0" w:color="auto"/>
            <w:left w:val="none" w:sz="0" w:space="0" w:color="auto"/>
            <w:bottom w:val="none" w:sz="0" w:space="0" w:color="auto"/>
            <w:right w:val="none" w:sz="0" w:space="0" w:color="auto"/>
          </w:divBdr>
          <w:divsChild>
            <w:div w:id="11161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87857">
      <w:bodyDiv w:val="1"/>
      <w:marLeft w:val="0"/>
      <w:marRight w:val="0"/>
      <w:marTop w:val="0"/>
      <w:marBottom w:val="0"/>
      <w:divBdr>
        <w:top w:val="none" w:sz="0" w:space="0" w:color="auto"/>
        <w:left w:val="none" w:sz="0" w:space="0" w:color="auto"/>
        <w:bottom w:val="none" w:sz="0" w:space="0" w:color="auto"/>
        <w:right w:val="none" w:sz="0" w:space="0" w:color="auto"/>
      </w:divBdr>
    </w:div>
    <w:div w:id="2137916911">
      <w:bodyDiv w:val="1"/>
      <w:marLeft w:val="0"/>
      <w:marRight w:val="0"/>
      <w:marTop w:val="0"/>
      <w:marBottom w:val="0"/>
      <w:divBdr>
        <w:top w:val="none" w:sz="0" w:space="0" w:color="auto"/>
        <w:left w:val="none" w:sz="0" w:space="0" w:color="auto"/>
        <w:bottom w:val="none" w:sz="0" w:space="0" w:color="auto"/>
        <w:right w:val="none" w:sz="0" w:space="0" w:color="auto"/>
      </w:divBdr>
    </w:div>
    <w:div w:id="2138180854">
      <w:bodyDiv w:val="1"/>
      <w:marLeft w:val="0"/>
      <w:marRight w:val="0"/>
      <w:marTop w:val="0"/>
      <w:marBottom w:val="0"/>
      <w:divBdr>
        <w:top w:val="none" w:sz="0" w:space="0" w:color="auto"/>
        <w:left w:val="none" w:sz="0" w:space="0" w:color="auto"/>
        <w:bottom w:val="none" w:sz="0" w:space="0" w:color="auto"/>
        <w:right w:val="none" w:sz="0" w:space="0" w:color="auto"/>
      </w:divBdr>
      <w:divsChild>
        <w:div w:id="40906438">
          <w:marLeft w:val="0"/>
          <w:marRight w:val="0"/>
          <w:marTop w:val="0"/>
          <w:marBottom w:val="0"/>
          <w:divBdr>
            <w:top w:val="none" w:sz="0" w:space="0" w:color="auto"/>
            <w:left w:val="none" w:sz="0" w:space="0" w:color="auto"/>
            <w:bottom w:val="none" w:sz="0" w:space="0" w:color="auto"/>
            <w:right w:val="none" w:sz="0" w:space="0" w:color="auto"/>
          </w:divBdr>
          <w:divsChild>
            <w:div w:id="580989385">
              <w:marLeft w:val="-225"/>
              <w:marRight w:val="-225"/>
              <w:marTop w:val="0"/>
              <w:marBottom w:val="0"/>
              <w:divBdr>
                <w:top w:val="none" w:sz="0" w:space="0" w:color="auto"/>
                <w:left w:val="none" w:sz="0" w:space="0" w:color="auto"/>
                <w:bottom w:val="none" w:sz="0" w:space="0" w:color="auto"/>
                <w:right w:val="none" w:sz="0" w:space="0" w:color="auto"/>
              </w:divBdr>
              <w:divsChild>
                <w:div w:id="1766850964">
                  <w:marLeft w:val="0"/>
                  <w:marRight w:val="0"/>
                  <w:marTop w:val="0"/>
                  <w:marBottom w:val="0"/>
                  <w:divBdr>
                    <w:top w:val="none" w:sz="0" w:space="0" w:color="auto"/>
                    <w:left w:val="none" w:sz="0" w:space="0" w:color="auto"/>
                    <w:bottom w:val="none" w:sz="0" w:space="0" w:color="auto"/>
                    <w:right w:val="none" w:sz="0" w:space="0" w:color="auto"/>
                  </w:divBdr>
                  <w:divsChild>
                    <w:div w:id="3319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9788">
          <w:marLeft w:val="0"/>
          <w:marRight w:val="0"/>
          <w:marTop w:val="0"/>
          <w:marBottom w:val="0"/>
          <w:divBdr>
            <w:top w:val="none" w:sz="0" w:space="0" w:color="auto"/>
            <w:left w:val="none" w:sz="0" w:space="0" w:color="auto"/>
            <w:bottom w:val="none" w:sz="0" w:space="0" w:color="auto"/>
            <w:right w:val="none" w:sz="0" w:space="0" w:color="auto"/>
          </w:divBdr>
        </w:div>
        <w:div w:id="1367289800">
          <w:marLeft w:val="0"/>
          <w:marRight w:val="0"/>
          <w:marTop w:val="0"/>
          <w:marBottom w:val="0"/>
          <w:divBdr>
            <w:top w:val="none" w:sz="0" w:space="0" w:color="auto"/>
            <w:left w:val="none" w:sz="0" w:space="0" w:color="auto"/>
            <w:bottom w:val="none" w:sz="0" w:space="0" w:color="auto"/>
            <w:right w:val="none" w:sz="0" w:space="0" w:color="auto"/>
          </w:divBdr>
          <w:divsChild>
            <w:div w:id="1281765828">
              <w:marLeft w:val="0"/>
              <w:marRight w:val="0"/>
              <w:marTop w:val="0"/>
              <w:marBottom w:val="0"/>
              <w:divBdr>
                <w:top w:val="none" w:sz="0" w:space="0" w:color="auto"/>
                <w:left w:val="none" w:sz="0" w:space="0" w:color="auto"/>
                <w:bottom w:val="none" w:sz="0" w:space="0" w:color="auto"/>
                <w:right w:val="none" w:sz="0" w:space="0" w:color="auto"/>
              </w:divBdr>
              <w:divsChild>
                <w:div w:id="296375701">
                  <w:marLeft w:val="0"/>
                  <w:marRight w:val="0"/>
                  <w:marTop w:val="0"/>
                  <w:marBottom w:val="0"/>
                  <w:divBdr>
                    <w:top w:val="none" w:sz="0" w:space="0" w:color="auto"/>
                    <w:left w:val="none" w:sz="0" w:space="0" w:color="auto"/>
                    <w:bottom w:val="none" w:sz="0" w:space="0" w:color="auto"/>
                    <w:right w:val="none" w:sz="0" w:space="0" w:color="auto"/>
                  </w:divBdr>
                  <w:divsChild>
                    <w:div w:id="96869829">
                      <w:marLeft w:val="0"/>
                      <w:marRight w:val="0"/>
                      <w:marTop w:val="0"/>
                      <w:marBottom w:val="0"/>
                      <w:divBdr>
                        <w:top w:val="none" w:sz="0" w:space="0" w:color="auto"/>
                        <w:left w:val="none" w:sz="0" w:space="0" w:color="auto"/>
                        <w:bottom w:val="none" w:sz="0" w:space="0" w:color="auto"/>
                        <w:right w:val="none" w:sz="0" w:space="0" w:color="auto"/>
                      </w:divBdr>
                      <w:divsChild>
                        <w:div w:id="11892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842216">
          <w:marLeft w:val="0"/>
          <w:marRight w:val="0"/>
          <w:marTop w:val="0"/>
          <w:marBottom w:val="0"/>
          <w:divBdr>
            <w:top w:val="none" w:sz="0" w:space="0" w:color="auto"/>
            <w:left w:val="none" w:sz="0" w:space="0" w:color="auto"/>
            <w:bottom w:val="none" w:sz="0" w:space="0" w:color="auto"/>
            <w:right w:val="none" w:sz="0" w:space="0" w:color="auto"/>
          </w:divBdr>
          <w:divsChild>
            <w:div w:id="2111772383">
              <w:marLeft w:val="-225"/>
              <w:marRight w:val="-225"/>
              <w:marTop w:val="0"/>
              <w:marBottom w:val="0"/>
              <w:divBdr>
                <w:top w:val="none" w:sz="0" w:space="0" w:color="auto"/>
                <w:left w:val="none" w:sz="0" w:space="0" w:color="auto"/>
                <w:bottom w:val="none" w:sz="0" w:space="0" w:color="auto"/>
                <w:right w:val="none" w:sz="0" w:space="0" w:color="auto"/>
              </w:divBdr>
              <w:divsChild>
                <w:div w:id="759907576">
                  <w:marLeft w:val="0"/>
                  <w:marRight w:val="0"/>
                  <w:marTop w:val="0"/>
                  <w:marBottom w:val="0"/>
                  <w:divBdr>
                    <w:top w:val="none" w:sz="0" w:space="0" w:color="auto"/>
                    <w:left w:val="none" w:sz="0" w:space="0" w:color="auto"/>
                    <w:bottom w:val="none" w:sz="0" w:space="0" w:color="auto"/>
                    <w:right w:val="none" w:sz="0" w:space="0" w:color="auto"/>
                  </w:divBdr>
                  <w:divsChild>
                    <w:div w:id="11893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74733">
      <w:bodyDiv w:val="1"/>
      <w:marLeft w:val="0"/>
      <w:marRight w:val="0"/>
      <w:marTop w:val="0"/>
      <w:marBottom w:val="0"/>
      <w:divBdr>
        <w:top w:val="none" w:sz="0" w:space="0" w:color="auto"/>
        <w:left w:val="none" w:sz="0" w:space="0" w:color="auto"/>
        <w:bottom w:val="none" w:sz="0" w:space="0" w:color="auto"/>
        <w:right w:val="none" w:sz="0" w:space="0" w:color="auto"/>
      </w:divBdr>
    </w:div>
    <w:div w:id="2143768290">
      <w:bodyDiv w:val="1"/>
      <w:marLeft w:val="0"/>
      <w:marRight w:val="0"/>
      <w:marTop w:val="0"/>
      <w:marBottom w:val="0"/>
      <w:divBdr>
        <w:top w:val="none" w:sz="0" w:space="0" w:color="auto"/>
        <w:left w:val="none" w:sz="0" w:space="0" w:color="auto"/>
        <w:bottom w:val="none" w:sz="0" w:space="0" w:color="auto"/>
        <w:right w:val="none" w:sz="0" w:space="0" w:color="auto"/>
      </w:divBdr>
      <w:divsChild>
        <w:div w:id="574629884">
          <w:marLeft w:val="0"/>
          <w:marRight w:val="0"/>
          <w:marTop w:val="0"/>
          <w:marBottom w:val="0"/>
          <w:divBdr>
            <w:top w:val="none" w:sz="0" w:space="0" w:color="auto"/>
            <w:left w:val="none" w:sz="0" w:space="0" w:color="auto"/>
            <w:bottom w:val="none" w:sz="0" w:space="0" w:color="auto"/>
            <w:right w:val="none" w:sz="0" w:space="0" w:color="auto"/>
          </w:divBdr>
        </w:div>
        <w:div w:id="828057831">
          <w:marLeft w:val="0"/>
          <w:marRight w:val="0"/>
          <w:marTop w:val="0"/>
          <w:marBottom w:val="0"/>
          <w:divBdr>
            <w:top w:val="none" w:sz="0" w:space="0" w:color="auto"/>
            <w:left w:val="none" w:sz="0" w:space="0" w:color="auto"/>
            <w:bottom w:val="none" w:sz="0" w:space="0" w:color="auto"/>
            <w:right w:val="none" w:sz="0" w:space="0" w:color="auto"/>
          </w:divBdr>
          <w:divsChild>
            <w:div w:id="1200825461">
              <w:marLeft w:val="0"/>
              <w:marRight w:val="0"/>
              <w:marTop w:val="0"/>
              <w:marBottom w:val="0"/>
              <w:divBdr>
                <w:top w:val="none" w:sz="0" w:space="0" w:color="auto"/>
                <w:left w:val="none" w:sz="0" w:space="0" w:color="auto"/>
                <w:bottom w:val="none" w:sz="0" w:space="0" w:color="auto"/>
                <w:right w:val="none" w:sz="0" w:space="0" w:color="auto"/>
              </w:divBdr>
              <w:divsChild>
                <w:div w:id="766190202">
                  <w:marLeft w:val="0"/>
                  <w:marRight w:val="0"/>
                  <w:marTop w:val="0"/>
                  <w:marBottom w:val="0"/>
                  <w:divBdr>
                    <w:top w:val="none" w:sz="0" w:space="0" w:color="auto"/>
                    <w:left w:val="none" w:sz="0" w:space="0" w:color="auto"/>
                    <w:bottom w:val="none" w:sz="0" w:space="0" w:color="auto"/>
                    <w:right w:val="none" w:sz="0" w:space="0" w:color="auto"/>
                  </w:divBdr>
                  <w:divsChild>
                    <w:div w:id="218173449">
                      <w:marLeft w:val="0"/>
                      <w:marRight w:val="0"/>
                      <w:marTop w:val="0"/>
                      <w:marBottom w:val="0"/>
                      <w:divBdr>
                        <w:top w:val="none" w:sz="0" w:space="0" w:color="auto"/>
                        <w:left w:val="none" w:sz="0" w:space="0" w:color="auto"/>
                        <w:bottom w:val="none" w:sz="0" w:space="0" w:color="auto"/>
                        <w:right w:val="none" w:sz="0" w:space="0" w:color="auto"/>
                      </w:divBdr>
                      <w:divsChild>
                        <w:div w:id="20626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1322">
          <w:marLeft w:val="0"/>
          <w:marRight w:val="0"/>
          <w:marTop w:val="0"/>
          <w:marBottom w:val="0"/>
          <w:divBdr>
            <w:top w:val="none" w:sz="0" w:space="0" w:color="auto"/>
            <w:left w:val="none" w:sz="0" w:space="0" w:color="auto"/>
            <w:bottom w:val="none" w:sz="0" w:space="0" w:color="auto"/>
            <w:right w:val="none" w:sz="0" w:space="0" w:color="auto"/>
          </w:divBdr>
          <w:divsChild>
            <w:div w:id="162823759">
              <w:marLeft w:val="-225"/>
              <w:marRight w:val="-225"/>
              <w:marTop w:val="0"/>
              <w:marBottom w:val="0"/>
              <w:divBdr>
                <w:top w:val="none" w:sz="0" w:space="0" w:color="auto"/>
                <w:left w:val="none" w:sz="0" w:space="0" w:color="auto"/>
                <w:bottom w:val="none" w:sz="0" w:space="0" w:color="auto"/>
                <w:right w:val="none" w:sz="0" w:space="0" w:color="auto"/>
              </w:divBdr>
              <w:divsChild>
                <w:div w:id="2016034010">
                  <w:marLeft w:val="0"/>
                  <w:marRight w:val="0"/>
                  <w:marTop w:val="0"/>
                  <w:marBottom w:val="0"/>
                  <w:divBdr>
                    <w:top w:val="none" w:sz="0" w:space="0" w:color="auto"/>
                    <w:left w:val="none" w:sz="0" w:space="0" w:color="auto"/>
                    <w:bottom w:val="none" w:sz="0" w:space="0" w:color="auto"/>
                    <w:right w:val="none" w:sz="0" w:space="0" w:color="auto"/>
                  </w:divBdr>
                  <w:divsChild>
                    <w:div w:id="12038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47691">
          <w:marLeft w:val="0"/>
          <w:marRight w:val="0"/>
          <w:marTop w:val="0"/>
          <w:marBottom w:val="0"/>
          <w:divBdr>
            <w:top w:val="none" w:sz="0" w:space="0" w:color="auto"/>
            <w:left w:val="none" w:sz="0" w:space="0" w:color="auto"/>
            <w:bottom w:val="none" w:sz="0" w:space="0" w:color="auto"/>
            <w:right w:val="none" w:sz="0" w:space="0" w:color="auto"/>
          </w:divBdr>
          <w:divsChild>
            <w:div w:id="1116751932">
              <w:marLeft w:val="-225"/>
              <w:marRight w:val="-225"/>
              <w:marTop w:val="0"/>
              <w:marBottom w:val="0"/>
              <w:divBdr>
                <w:top w:val="none" w:sz="0" w:space="0" w:color="auto"/>
                <w:left w:val="none" w:sz="0" w:space="0" w:color="auto"/>
                <w:bottom w:val="none" w:sz="0" w:space="0" w:color="auto"/>
                <w:right w:val="none" w:sz="0" w:space="0" w:color="auto"/>
              </w:divBdr>
              <w:divsChild>
                <w:div w:id="85031656">
                  <w:marLeft w:val="0"/>
                  <w:marRight w:val="0"/>
                  <w:marTop w:val="0"/>
                  <w:marBottom w:val="0"/>
                  <w:divBdr>
                    <w:top w:val="none" w:sz="0" w:space="0" w:color="auto"/>
                    <w:left w:val="none" w:sz="0" w:space="0" w:color="auto"/>
                    <w:bottom w:val="none" w:sz="0" w:space="0" w:color="auto"/>
                    <w:right w:val="none" w:sz="0" w:space="0" w:color="auto"/>
                  </w:divBdr>
                  <w:divsChild>
                    <w:div w:id="86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733471">
      <w:bodyDiv w:val="1"/>
      <w:marLeft w:val="0"/>
      <w:marRight w:val="0"/>
      <w:marTop w:val="0"/>
      <w:marBottom w:val="0"/>
      <w:divBdr>
        <w:top w:val="none" w:sz="0" w:space="0" w:color="auto"/>
        <w:left w:val="none" w:sz="0" w:space="0" w:color="auto"/>
        <w:bottom w:val="none" w:sz="0" w:space="0" w:color="auto"/>
        <w:right w:val="none" w:sz="0" w:space="0" w:color="auto"/>
      </w:divBdr>
    </w:div>
    <w:div w:id="2145612113">
      <w:bodyDiv w:val="1"/>
      <w:marLeft w:val="0"/>
      <w:marRight w:val="0"/>
      <w:marTop w:val="0"/>
      <w:marBottom w:val="0"/>
      <w:divBdr>
        <w:top w:val="none" w:sz="0" w:space="0" w:color="auto"/>
        <w:left w:val="none" w:sz="0" w:space="0" w:color="auto"/>
        <w:bottom w:val="none" w:sz="0" w:space="0" w:color="auto"/>
        <w:right w:val="none" w:sz="0" w:space="0" w:color="auto"/>
      </w:divBdr>
    </w:div>
    <w:div w:id="214658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todoproductosfinancieros.com/" TargetMode="External"/><Relationship Id="rId299" Type="http://schemas.openxmlformats.org/officeDocument/2006/relationships/hyperlink" Target="file:////Portal/Inversor/Glosario.aspx%3fid=0&amp;term=Orden%2520burs&#225;til&amp;idlang=1" TargetMode="External"/><Relationship Id="rId21" Type="http://schemas.openxmlformats.org/officeDocument/2006/relationships/hyperlink" Target="file:////Portal/Inversor/Glosario.aspx%3fid=0&amp;term=Calificaci&#243;n%2520de%2520solvencia&amp;idlang=1" TargetMode="External"/><Relationship Id="rId63" Type="http://schemas.openxmlformats.org/officeDocument/2006/relationships/hyperlink" Target="http://comoahorrardinero.com/nokia-lanza-moviles-mas-baratos" TargetMode="External"/><Relationship Id="rId159" Type="http://schemas.openxmlformats.org/officeDocument/2006/relationships/hyperlink" Target="https://www.cnmv.es/Portal/Inversor/Glosario.aspx?id=0&amp;term=Consejero%20dominical&amp;idlang=1" TargetMode="External"/><Relationship Id="rId324" Type="http://schemas.openxmlformats.org/officeDocument/2006/relationships/hyperlink" Target="https://www.cnmv.es/Portal/Inversor/Glosario.aspx?id=0&amp;term=Anotaciones%20en%20cuenta&amp;idlang=1" TargetMode="External"/><Relationship Id="rId366" Type="http://schemas.openxmlformats.org/officeDocument/2006/relationships/theme" Target="theme/theme1.xml"/><Relationship Id="rId170" Type="http://schemas.openxmlformats.org/officeDocument/2006/relationships/hyperlink" Target="http://tasadeparo.com/espana-un-pais-de-5-273-600-de-parados.html" TargetMode="External"/><Relationship Id="rId226" Type="http://schemas.openxmlformats.org/officeDocument/2006/relationships/hyperlink" Target="file:////Portal/Inversor/Glosario.aspx%3fid=0&amp;term=Cl&#225;usula%2520anti%2520diluci&#243;n&amp;idlang=1" TargetMode="External"/><Relationship Id="rId268" Type="http://schemas.openxmlformats.org/officeDocument/2006/relationships/hyperlink" Target="https://www.bolsamania.com/declaracion-impuestos-renta/iva-nueva-vivienda/" TargetMode="External"/><Relationship Id="rId32" Type="http://schemas.openxmlformats.org/officeDocument/2006/relationships/hyperlink" Target="http://cambioeurodolar.com/aspectos-historicos-del-dolar-estadounidense-euro/" TargetMode="External"/><Relationship Id="rId74" Type="http://schemas.openxmlformats.org/officeDocument/2006/relationships/hyperlink" Target="https://www.finanzzas.com/pib-global" TargetMode="External"/><Relationship Id="rId128" Type="http://schemas.openxmlformats.org/officeDocument/2006/relationships/hyperlink" Target="http://hipotecashipotecas.es/category/las-mejores-hipotecas-del-mercado/las-mejores-hipotecas-a-interes-variable/" TargetMode="External"/><Relationship Id="rId335" Type="http://schemas.openxmlformats.org/officeDocument/2006/relationships/hyperlink" Target="https://www.bankinter.com/banca/hipotecas-prestamos/hipotecas" TargetMode="External"/><Relationship Id="rId5" Type="http://schemas.openxmlformats.org/officeDocument/2006/relationships/webSettings" Target="webSettings.xml"/><Relationship Id="rId181" Type="http://schemas.openxmlformats.org/officeDocument/2006/relationships/hyperlink" Target="http://nongogoahanzangoa.com/" TargetMode="External"/><Relationship Id="rId237" Type="http://schemas.openxmlformats.org/officeDocument/2006/relationships/hyperlink" Target="https://www.bankinter.com/banca/diccionario-economico/ley-hipotecaria" TargetMode="External"/><Relationship Id="rId279" Type="http://schemas.openxmlformats.org/officeDocument/2006/relationships/hyperlink" Target="file:////Portal/Inversor/Glosario.aspx%3fid=0&amp;term=Servicio%2520de%2520Interconexi&#243;n%2520Burs&#225;til%2520Espa&#241;ol,%2520SIBE&amp;idlang=1" TargetMode="External"/><Relationship Id="rId43" Type="http://schemas.openxmlformats.org/officeDocument/2006/relationships/hyperlink" Target="file:////Portal/Inversor/Glosario.aspx%3fid=0&amp;term=Diversificaci&#243;n%2520de%2520riesgos&amp;idlang=1" TargetMode="External"/><Relationship Id="rId139" Type="http://schemas.openxmlformats.org/officeDocument/2006/relationships/hyperlink" Target="http://www.bolsamania.com/mejoresprestamos/" TargetMode="External"/><Relationship Id="rId290" Type="http://schemas.openxmlformats.org/officeDocument/2006/relationships/hyperlink" Target="https://www.cnmv.es/Portal/Inversor/Opas.aspx" TargetMode="External"/><Relationship Id="rId304" Type="http://schemas.openxmlformats.org/officeDocument/2006/relationships/hyperlink" Target="https://www.cnmv.es/Portal/Inversor/Glosario.aspx?id=0&amp;term=Tasa%20de%20reparto%20de%20dividendos&amp;idlang=1" TargetMode="External"/><Relationship Id="rId346" Type="http://schemas.openxmlformats.org/officeDocument/2006/relationships/hyperlink" Target="https://www.bankinter.com/banca/recursos-financieros/sobre-hipotecas/subrogacion-hipoteca-cambiar-hipoteca-de-banco" TargetMode="External"/><Relationship Id="rId85" Type="http://schemas.openxmlformats.org/officeDocument/2006/relationships/hyperlink" Target="https://www.tasadeparo.com/?s=cobrar+el+paro" TargetMode="External"/><Relationship Id="rId150" Type="http://schemas.openxmlformats.org/officeDocument/2006/relationships/hyperlink" Target="https://www.finanzzas.com/dumping" TargetMode="External"/><Relationship Id="rId192" Type="http://schemas.openxmlformats.org/officeDocument/2006/relationships/hyperlink" Target="https://www.bankinter.com/banca/diccionario-economico/tipo-de-interes" TargetMode="External"/><Relationship Id="rId206" Type="http://schemas.openxmlformats.org/officeDocument/2006/relationships/hyperlink" Target="http://opcionis.com/" TargetMode="External"/><Relationship Id="rId248" Type="http://schemas.openxmlformats.org/officeDocument/2006/relationships/hyperlink" Target="https://www.bankinter.com/banca/preguntas-frecuentes/productos-de-inversion/que-es-un-futuro-o-derivado-financiero" TargetMode="External"/><Relationship Id="rId12" Type="http://schemas.openxmlformats.org/officeDocument/2006/relationships/hyperlink" Target="https://www.cnmv.es/Portal/Inversor/Glosario.aspx?id=0&amp;term=Pasivo&amp;idlang=1" TargetMode="External"/><Relationship Id="rId108" Type="http://schemas.openxmlformats.org/officeDocument/2006/relationships/hyperlink" Target="https://es.wikipedia.org/wiki/Luxemburgo" TargetMode="External"/><Relationship Id="rId315" Type="http://schemas.openxmlformats.org/officeDocument/2006/relationships/hyperlink" Target="https://www.bankinter.com/banca/hipotecas-prestamos/hipotecas" TargetMode="External"/><Relationship Id="rId357" Type="http://schemas.openxmlformats.org/officeDocument/2006/relationships/hyperlink" Target="https://www.cnmv.es/Portal/Inversor/Glosario.aspx?id=0&amp;term=Tasa%20de%20descuento&amp;idlang=1" TargetMode="External"/><Relationship Id="rId54" Type="http://schemas.openxmlformats.org/officeDocument/2006/relationships/hyperlink" Target="https://www.cnmv.es/Portal/Inversor/Glosario.aspx?id=0&amp;term=Pasivo&amp;idlang=1" TargetMode="External"/><Relationship Id="rId96" Type="http://schemas.openxmlformats.org/officeDocument/2006/relationships/hyperlink" Target="file:////Portal/Inversor/Glosario.aspx%3fid=0&amp;term=Ratio%2520burs&#225;til&amp;idlang=1" TargetMode="External"/><Relationship Id="rId161" Type="http://schemas.openxmlformats.org/officeDocument/2006/relationships/hyperlink" Target="http://comoahorrardinero.com/" TargetMode="External"/><Relationship Id="rId217" Type="http://schemas.openxmlformats.org/officeDocument/2006/relationships/hyperlink" Target="file:////Portal/Inversor/Glosario.aspx%3fid=0&amp;term=Riesgo%2520de%2520reinversi&#243;n&amp;idlang=1" TargetMode="External"/><Relationship Id="rId259" Type="http://schemas.openxmlformats.org/officeDocument/2006/relationships/hyperlink" Target="https://www.bankinter.com/banca/hipotecas-prestamos/hipotecas/credichalet-prestamo-hipotecario" TargetMode="External"/><Relationship Id="rId23" Type="http://schemas.openxmlformats.org/officeDocument/2006/relationships/hyperlink" Target="http://hipotecashipotecas.es/consejos-para-vender-una-vivienda/" TargetMode="External"/><Relationship Id="rId119" Type="http://schemas.openxmlformats.org/officeDocument/2006/relationships/hyperlink" Target="http://www.mejoresbrokers.es/" TargetMode="External"/><Relationship Id="rId270" Type="http://schemas.openxmlformats.org/officeDocument/2006/relationships/hyperlink" Target="https://www.boe.es/diario_boe/txt.php?id=BOE-A-2023-16728" TargetMode="External"/><Relationship Id="rId326" Type="http://schemas.openxmlformats.org/officeDocument/2006/relationships/hyperlink" Target="file:////Portal/Inversor/Glosario.aspx%3fid=0&amp;term=C&#243;digo%2520de%2520Buen%2520Gobierno&amp;idlang=1" TargetMode="External"/><Relationship Id="rId65" Type="http://schemas.openxmlformats.org/officeDocument/2006/relationships/hyperlink" Target="https://www.bankinter.com/banca/cuentas-tarjetas/cuentas/cuenta-nomina" TargetMode="External"/><Relationship Id="rId130" Type="http://schemas.openxmlformats.org/officeDocument/2006/relationships/hyperlink" Target="http://www.mejoresbancos.es/" TargetMode="External"/><Relationship Id="rId172" Type="http://schemas.openxmlformats.org/officeDocument/2006/relationships/hyperlink" Target="https://www.finanzzas.com/trabajo-a-destajo" TargetMode="External"/><Relationship Id="rId228" Type="http://schemas.openxmlformats.org/officeDocument/2006/relationships/hyperlink" Target="https://www.cnmv.es/Portal/Inversor/Glosario.aspx?id=0&amp;term=Test%20de%20conveniencia&amp;idlang=1" TargetMode="External"/><Relationship Id="rId281" Type="http://schemas.openxmlformats.org/officeDocument/2006/relationships/hyperlink" Target="https://www.cnmv.es/Portal/Inversor/Glosario.aspx?id=0&amp;term=Mercado%20dirigido%20por%20precios&amp;idlang=1" TargetMode="External"/><Relationship Id="rId337" Type="http://schemas.openxmlformats.org/officeDocument/2006/relationships/hyperlink" Target="https://bancaonline.bankinter.com/simuladorHip/simulador-hipoteca.xhtml" TargetMode="External"/><Relationship Id="rId34" Type="http://schemas.openxmlformats.org/officeDocument/2006/relationships/hyperlink" Target="http://www.bolsamania.com/mejoresprestamos/" TargetMode="External"/><Relationship Id="rId76" Type="http://schemas.openxmlformats.org/officeDocument/2006/relationships/hyperlink" Target="https://www.cnmv.es/Portal/Inversor/Glosario.aspx?id=0&amp;term=OPA&amp;idlang=1" TargetMode="External"/><Relationship Id="rId141" Type="http://schemas.openxmlformats.org/officeDocument/2006/relationships/hyperlink" Target="http://www.mejoresbancos.es/" TargetMode="External"/><Relationship Id="rId7" Type="http://schemas.openxmlformats.org/officeDocument/2006/relationships/endnotes" Target="endnotes.xml"/><Relationship Id="rId183" Type="http://schemas.openxmlformats.org/officeDocument/2006/relationships/hyperlink" Target="https://www.finanzzas.com/flotacion-sucia" TargetMode="External"/><Relationship Id="rId239" Type="http://schemas.openxmlformats.org/officeDocument/2006/relationships/hyperlink" Target="https://www.cnmv.es/Portal/Inversor/Glosario.aspx?id=0&amp;term=Apalancamiento%20financiero&amp;idlang=1" TargetMode="External"/><Relationship Id="rId250" Type="http://schemas.openxmlformats.org/officeDocument/2006/relationships/hyperlink" Target="https://www.bankinter.com/banca/hipotecas-prestamos/hipotecas" TargetMode="External"/><Relationship Id="rId292" Type="http://schemas.openxmlformats.org/officeDocument/2006/relationships/hyperlink" Target="https://www.cnmv.es/Portal/Inversor/Glosario.aspx?id=0&amp;term=Caballero%20blanco&amp;idlang=1" TargetMode="External"/><Relationship Id="rId306" Type="http://schemas.openxmlformats.org/officeDocument/2006/relationships/hyperlink" Target="file:////Portal/Inversor/Glosario.aspx%3fid=0&amp;term=Beneficio%2520por%2520acci&#243;n&amp;idlang=1" TargetMode="External"/><Relationship Id="rId45" Type="http://schemas.openxmlformats.org/officeDocument/2006/relationships/hyperlink" Target="http://www.finanzzas.com/el-bce-mantiene-los-tipos-en-el-1-5" TargetMode="External"/><Relationship Id="rId87" Type="http://schemas.openxmlformats.org/officeDocument/2006/relationships/hyperlink" Target="https://www.sepe.es/HomeSepe/Personas/distributiva-prestaciones/impresos" TargetMode="External"/><Relationship Id="rId110" Type="http://schemas.openxmlformats.org/officeDocument/2006/relationships/hyperlink" Target="http://hipotecashipotecas.es/ayudas-por-rehabilitacion-de-inmuebles/" TargetMode="External"/><Relationship Id="rId348" Type="http://schemas.openxmlformats.org/officeDocument/2006/relationships/hyperlink" Target="https://www.cnmv.es/Portal/Inversor/Glosario.aspx?id=0&amp;term=Mercado%20primario&amp;idlang=1" TargetMode="External"/><Relationship Id="rId152" Type="http://schemas.openxmlformats.org/officeDocument/2006/relationships/hyperlink" Target="https://www.bankinter.com/banca/hipotecas-prestamos/hipotecas" TargetMode="External"/><Relationship Id="rId194" Type="http://schemas.openxmlformats.org/officeDocument/2006/relationships/hyperlink" Target="http://irph.org/" TargetMode="External"/><Relationship Id="rId208" Type="http://schemas.openxmlformats.org/officeDocument/2006/relationships/hyperlink" Target="https://www.bankinter.com/banca/nav/jovenes/cuenta-infantil" TargetMode="External"/><Relationship Id="rId261" Type="http://schemas.openxmlformats.org/officeDocument/2006/relationships/hyperlink" Target="file:////Portal/Inversor/Glosario.aspx%3fid=0&amp;term=C&#243;digo%2520de%2520Buen%2520Gobierno&amp;idlang=1" TargetMode="External"/><Relationship Id="rId14" Type="http://schemas.openxmlformats.org/officeDocument/2006/relationships/hyperlink" Target="http://hipotecashipotecas.es/junta-de-propietarios-inmobiliarios/" TargetMode="External"/><Relationship Id="rId56" Type="http://schemas.openxmlformats.org/officeDocument/2006/relationships/hyperlink" Target="http://www.mejoresbancos.es/" TargetMode="External"/><Relationship Id="rId317" Type="http://schemas.openxmlformats.org/officeDocument/2006/relationships/hyperlink" Target="https://www.cnmv.es/Portal/Inversor/Glosario.aspx?id=0&amp;term=Test%20de%20conveniencia&amp;idlang=1" TargetMode="External"/><Relationship Id="rId359" Type="http://schemas.openxmlformats.org/officeDocument/2006/relationships/hyperlink" Target="https://www.bankinter.com/banca/hipotecas-prestamos/hipotecas" TargetMode="External"/><Relationship Id="rId98" Type="http://schemas.openxmlformats.org/officeDocument/2006/relationships/hyperlink" Target="http://mejorescreditos.es/" TargetMode="External"/><Relationship Id="rId121" Type="http://schemas.openxmlformats.org/officeDocument/2006/relationships/hyperlink" Target="http://todoproductosfinancieros.com/que-son-los-tipos-de-interes/" TargetMode="External"/><Relationship Id="rId163" Type="http://schemas.openxmlformats.org/officeDocument/2006/relationships/hyperlink" Target="https://www.finanzzas.com/premios-empresa-flexible" TargetMode="External"/><Relationship Id="rId219" Type="http://schemas.openxmlformats.org/officeDocument/2006/relationships/hyperlink" Target="https://www.bankinter.com/banca/cuentas-tarjetas/cuentas" TargetMode="External"/><Relationship Id="rId230" Type="http://schemas.openxmlformats.org/officeDocument/2006/relationships/hyperlink" Target="https://www.bankinter.com/banca/ahorro-inversion/jubilacion" TargetMode="External"/><Relationship Id="rId25" Type="http://schemas.openxmlformats.org/officeDocument/2006/relationships/hyperlink" Target="http://lasmateriasprimas.com/materias-primas-agricolas.html" TargetMode="External"/><Relationship Id="rId67" Type="http://schemas.openxmlformats.org/officeDocument/2006/relationships/hyperlink" Target="https://www.finanzzas.com/back-to-back-prestamos-paralelos" TargetMode="External"/><Relationship Id="rId272" Type="http://schemas.openxmlformats.org/officeDocument/2006/relationships/hyperlink" Target="file:////Portal/Inversor/Glosario.aspx%3fid=0&amp;term=Liquidaci&#243;n%2520por%2520diferencias&amp;idlang=1" TargetMode="External"/><Relationship Id="rId328" Type="http://schemas.openxmlformats.org/officeDocument/2006/relationships/hyperlink" Target="https://www.cnmv.es/Portal/Inversor/Renta-Variable.aspx" TargetMode="External"/><Relationship Id="rId132" Type="http://schemas.openxmlformats.org/officeDocument/2006/relationships/hyperlink" Target="https://www.hipotecasydepositos.com/deposito-a-plazo/" TargetMode="External"/><Relationship Id="rId174" Type="http://schemas.openxmlformats.org/officeDocument/2006/relationships/hyperlink" Target="https://www.finanzzas.com/competencia-laboral" TargetMode="External"/><Relationship Id="rId220" Type="http://schemas.openxmlformats.org/officeDocument/2006/relationships/hyperlink" Target="https://www.bankinter.com/banca/cuentas-tarjetas/cuentas" TargetMode="External"/><Relationship Id="rId241" Type="http://schemas.openxmlformats.org/officeDocument/2006/relationships/hyperlink" Target="http://gestionpyme.com/factoring-en-las-pymes/" TargetMode="External"/><Relationship Id="rId15" Type="http://schemas.openxmlformats.org/officeDocument/2006/relationships/hyperlink" Target="http://hipotecashipotecas.es/propiedad-horizontal/" TargetMode="External"/><Relationship Id="rId36" Type="http://schemas.openxmlformats.org/officeDocument/2006/relationships/hyperlink" Target="http://www.finanzzas.com/" TargetMode="External"/><Relationship Id="rId57" Type="http://schemas.openxmlformats.org/officeDocument/2006/relationships/hyperlink" Target="https://www.finanzzas.com/las-cajas-de-ahorro-con-mayor-morosidad" TargetMode="External"/><Relationship Id="rId262" Type="http://schemas.openxmlformats.org/officeDocument/2006/relationships/hyperlink" Target="https://www.bankinter.com/banca/hipotecas-prestamos/hipotecas/hipoteca-variable" TargetMode="External"/><Relationship Id="rId283" Type="http://schemas.openxmlformats.org/officeDocument/2006/relationships/hyperlink" Target="https://www.ilo.org/global/about-the-ilo/newsroom/news/WCMS_863210/lang--es/index.htm" TargetMode="External"/><Relationship Id="rId318" Type="http://schemas.openxmlformats.org/officeDocument/2006/relationships/hyperlink" Target="file:////Portal/Inversor/Glosario.aspx%3fid=0&amp;term=Oferta%2520P&#250;blica%2520de%2520Adquisici&#243;n,%2520OPA&amp;idlang=1" TargetMode="External"/><Relationship Id="rId339" Type="http://schemas.openxmlformats.org/officeDocument/2006/relationships/hyperlink" Target="https://www.mejoresbancos.es/autoridad-bancaria-europea" TargetMode="External"/><Relationship Id="rId78" Type="http://schemas.openxmlformats.org/officeDocument/2006/relationships/hyperlink" Target="https://www.cnmv.es/Portal/Inversor/Glosario.aspx?id=0&amp;term=OPA&amp;idlang=1" TargetMode="External"/><Relationship Id="rId99" Type="http://schemas.openxmlformats.org/officeDocument/2006/relationships/hyperlink" Target="http://www.bolsamania.com/mejoresprestamos/" TargetMode="External"/><Relationship Id="rId101" Type="http://schemas.openxmlformats.org/officeDocument/2006/relationships/hyperlink" Target="http://irph.org/que-es-el-irph" TargetMode="External"/><Relationship Id="rId122" Type="http://schemas.openxmlformats.org/officeDocument/2006/relationships/hyperlink" Target="http://www.bde.es/bde/es/" TargetMode="External"/><Relationship Id="rId143" Type="http://schemas.openxmlformats.org/officeDocument/2006/relationships/hyperlink" Target="https://www.finanzzas.com/tae" TargetMode="External"/><Relationship Id="rId164" Type="http://schemas.openxmlformats.org/officeDocument/2006/relationships/hyperlink" Target="https://www.finanzzas.com/tasa-de-paro-juvenil" TargetMode="External"/><Relationship Id="rId185" Type="http://schemas.openxmlformats.org/officeDocument/2006/relationships/hyperlink" Target="https://www.santander.com/es/stories/networking" TargetMode="External"/><Relationship Id="rId350" Type="http://schemas.openxmlformats.org/officeDocument/2006/relationships/hyperlink" Target="file:////Portal/Inversor/Glosario.aspx%3fid=0&amp;term=Valor%2520actual%2520neto%2520de%2520una%2520inversi&#243;n,%2520VAN&amp;idlang=1" TargetMode="External"/><Relationship Id="rId9" Type="http://schemas.openxmlformats.org/officeDocument/2006/relationships/hyperlink" Target="https://www.finanzzas.com/jubilacion-funcionarios" TargetMode="External"/><Relationship Id="rId210" Type="http://schemas.openxmlformats.org/officeDocument/2006/relationships/hyperlink" Target="https://www.bankinter.com/banca/cuentas-tarjetas/cuentas/cuenta-tu-y-yo" TargetMode="External"/><Relationship Id="rId26" Type="http://schemas.openxmlformats.org/officeDocument/2006/relationships/hyperlink" Target="http://www.fao.org/home/en/" TargetMode="External"/><Relationship Id="rId231" Type="http://schemas.openxmlformats.org/officeDocument/2006/relationships/hyperlink" Target="file:////Portal/Inversor/Glosario.aspx%3fid=0&amp;term=Fusi&#243;n&amp;idlang=1" TargetMode="External"/><Relationship Id="rId252" Type="http://schemas.openxmlformats.org/officeDocument/2006/relationships/hyperlink" Target="file:////Portal/Inversor/Glosario.aspx%3fid=0&amp;term=Gesti&#243;n%2520activa&amp;idlang=1" TargetMode="External"/><Relationship Id="rId273" Type="http://schemas.openxmlformats.org/officeDocument/2006/relationships/hyperlink" Target="https://www.cnmv.es/Portal/Inversor/Glosario.aspx?id=0&amp;term=Anotaciones%20en%20cuenta&amp;idlang=1" TargetMode="External"/><Relationship Id="rId294" Type="http://schemas.openxmlformats.org/officeDocument/2006/relationships/hyperlink" Target="https://www.cnmv.es/Portal/Inversor/Opas.aspx" TargetMode="External"/><Relationship Id="rId308" Type="http://schemas.openxmlformats.org/officeDocument/2006/relationships/hyperlink" Target="https://www.cnmv.es/Portal/Inversor/Glosario.aspx?id=0&amp;term=Swap%20(o%20permuta%20financiera)&amp;idlang=1" TargetMode="External"/><Relationship Id="rId329" Type="http://schemas.openxmlformats.org/officeDocument/2006/relationships/hyperlink" Target="https://www.bankinter.com/banca/hipotecas-prestamos/hipotecas" TargetMode="External"/><Relationship Id="rId47" Type="http://schemas.openxmlformats.org/officeDocument/2006/relationships/hyperlink" Target="https://www.bankinter.com/banca/cuentas-tarjetas/cuentas" TargetMode="External"/><Relationship Id="rId68" Type="http://schemas.openxmlformats.org/officeDocument/2006/relationships/hyperlink" Target="https://www.cnmv.es/Portal/Inversor/Glosario.aspx?id=0&amp;term=Obligaciones%20convertibles&amp;idlang=1" TargetMode="External"/><Relationship Id="rId89" Type="http://schemas.openxmlformats.org/officeDocument/2006/relationships/hyperlink" Target="file:////Portal/Inversor/Glosario.aspx%3fid=0&amp;term=Agencia%2520de%2520calificaci&#243;n%2520crediticia&amp;idlang=1" TargetMode="External"/><Relationship Id="rId112" Type="http://schemas.openxmlformats.org/officeDocument/2006/relationships/hyperlink" Target="http://contratospordiferencias.es/" TargetMode="External"/><Relationship Id="rId133" Type="http://schemas.openxmlformats.org/officeDocument/2006/relationships/hyperlink" Target="http://opcionis.com/" TargetMode="External"/><Relationship Id="rId154" Type="http://schemas.openxmlformats.org/officeDocument/2006/relationships/hyperlink" Target="http://www.mejoresbancos.es/" TargetMode="External"/><Relationship Id="rId175" Type="http://schemas.openxmlformats.org/officeDocument/2006/relationships/hyperlink" Target="https://www.finanzzas.com/mileurista" TargetMode="External"/><Relationship Id="rId340" Type="http://schemas.openxmlformats.org/officeDocument/2006/relationships/hyperlink" Target="file:////Portal/Inversor/Glosario.aspx%3fid=0&amp;term=Capitalizaci&#243;n%2520burs&#225;til&amp;idlang=1" TargetMode="External"/><Relationship Id="rId361" Type="http://schemas.openxmlformats.org/officeDocument/2006/relationships/hyperlink" Target="https://www.bankinter.com/banca/hipotecas-prestamos/hipotecas" TargetMode="External"/><Relationship Id="rId196" Type="http://schemas.openxmlformats.org/officeDocument/2006/relationships/hyperlink" Target="http://www.mejorescuentascorrientes.com/" TargetMode="External"/><Relationship Id="rId200" Type="http://schemas.openxmlformats.org/officeDocument/2006/relationships/hyperlink" Target="http://todoproductosfinancieros.com/" TargetMode="External"/><Relationship Id="rId16" Type="http://schemas.openxmlformats.org/officeDocument/2006/relationships/hyperlink" Target="http://hipotecashipotecas.es/junta-de-propietarios-inmobiliarios/" TargetMode="External"/><Relationship Id="rId221" Type="http://schemas.openxmlformats.org/officeDocument/2006/relationships/hyperlink" Target="http://www.mejorescuentascorrientes.com/cuenta-remunerada/" TargetMode="External"/><Relationship Id="rId242" Type="http://schemas.openxmlformats.org/officeDocument/2006/relationships/hyperlink" Target="https://www.cnmv.es/Portal/Inversor/Glosario.aspx?id=0&amp;term=Capital%20flotante&amp;idlang=1" TargetMode="External"/><Relationship Id="rId263" Type="http://schemas.openxmlformats.org/officeDocument/2006/relationships/hyperlink" Target="https://www.bankinter.com/banca/hipotecas-prestamos/hipotecas" TargetMode="External"/><Relationship Id="rId284" Type="http://schemas.openxmlformats.org/officeDocument/2006/relationships/hyperlink" Target="https://www.mites.gob.es/itss/ITSS/ITSS_Descargas/Atencion_ciudadano/Criterios_tecnicos/CT_69_2009.pdf" TargetMode="External"/><Relationship Id="rId319" Type="http://schemas.openxmlformats.org/officeDocument/2006/relationships/hyperlink" Target="file:////Portal/Inversor/Glosario.aspx%3fid=0&amp;term=Agencia%2520de%2520calificaci&#243;n%2520crediticia&amp;idlang=1" TargetMode="External"/><Relationship Id="rId37" Type="http://schemas.openxmlformats.org/officeDocument/2006/relationships/hyperlink" Target="http://www.mejoresbancos.es/" TargetMode="External"/><Relationship Id="rId58" Type="http://schemas.openxmlformats.org/officeDocument/2006/relationships/hyperlink" Target="https://www.forexblog.es/" TargetMode="External"/><Relationship Id="rId79" Type="http://schemas.openxmlformats.org/officeDocument/2006/relationships/hyperlink" Target="https://www.cnmv.es/Portal/Inversor/Glosario.aspx?id=0&amp;term=OPA%20hostil&amp;idlang=1" TargetMode="External"/><Relationship Id="rId102" Type="http://schemas.openxmlformats.org/officeDocument/2006/relationships/hyperlink" Target="https://www.todoproductosfinancieros.com/euribor-conceptos-basicos/" TargetMode="External"/><Relationship Id="rId123" Type="http://schemas.openxmlformats.org/officeDocument/2006/relationships/image" Target="media/image8.jpeg"/><Relationship Id="rId144" Type="http://schemas.openxmlformats.org/officeDocument/2006/relationships/hyperlink" Target="http://opcionis.com/" TargetMode="External"/><Relationship Id="rId330" Type="http://schemas.openxmlformats.org/officeDocument/2006/relationships/hyperlink" Target="https://www.cnmv.es/Portal/Inversor/Glosario.aspx?id=0&amp;term=Folleto%20informativo&amp;idlang=1" TargetMode="External"/><Relationship Id="rId90" Type="http://schemas.openxmlformats.org/officeDocument/2006/relationships/hyperlink" Target="https://www.cnmv.es/Portal/Inversor/Glosario.aspx?id=0&amp;term=Rating&amp;idlang=1" TargetMode="External"/><Relationship Id="rId165" Type="http://schemas.openxmlformats.org/officeDocument/2006/relationships/hyperlink" Target="https://www.finanzzas.com/dia-mas-productivo-de-la-semana" TargetMode="External"/><Relationship Id="rId186" Type="http://schemas.openxmlformats.org/officeDocument/2006/relationships/hyperlink" Target="http://todofondosdeinversion.com/manual-del-inversor-derivados-financieros/" TargetMode="External"/><Relationship Id="rId351" Type="http://schemas.openxmlformats.org/officeDocument/2006/relationships/hyperlink" Target="file:////Portal/Inversor/Glosario.aspx%3fid=0&amp;term=Valor%2520actual%2520neto%2520de%2520una%2520inversi&#243;n,%2520VAN&amp;idlang=1" TargetMode="External"/><Relationship Id="rId211" Type="http://schemas.openxmlformats.org/officeDocument/2006/relationships/hyperlink" Target="https://www.bankinter.com/banca/cuentas-tarjetas/cuentas/cuenta-nomina" TargetMode="External"/><Relationship Id="rId232" Type="http://schemas.openxmlformats.org/officeDocument/2006/relationships/hyperlink" Target="https://www.bankinter.com/banca/hipotecas-prestamos/hipotecas" TargetMode="External"/><Relationship Id="rId253" Type="http://schemas.openxmlformats.org/officeDocument/2006/relationships/hyperlink" Target="file:////Portal/Inversor/Glosario.aspx%3fid=0&amp;term=Fondo%2520de%2520inversi&#243;n%2520libre&amp;idlang=1" TargetMode="External"/><Relationship Id="rId274" Type="http://schemas.openxmlformats.org/officeDocument/2006/relationships/hyperlink" Target="http://noticias.juridicas.com/base_datos/Admin/lo15-1999.t4.html" TargetMode="External"/><Relationship Id="rId295" Type="http://schemas.openxmlformats.org/officeDocument/2006/relationships/hyperlink" Target="file:////Portal/Inversor/Glosario.aspx%3fid=0&amp;term=Orden%2520burs&#225;til&amp;idlang=1" TargetMode="External"/><Relationship Id="rId309" Type="http://schemas.openxmlformats.org/officeDocument/2006/relationships/hyperlink" Target="https://www.bankinter.com/banca/ahorro-inversion/jubilacion" TargetMode="External"/><Relationship Id="rId27" Type="http://schemas.openxmlformats.org/officeDocument/2006/relationships/hyperlink" Target="https://www.cnmv.es/Portal/Inversor/Glosario.aspx?id=0&amp;term=Bajista&amp;idlang=1" TargetMode="External"/><Relationship Id="rId48" Type="http://schemas.openxmlformats.org/officeDocument/2006/relationships/hyperlink" Target="file:////Portal/Inversor/Glosario.aspx%3fid=0&amp;term=Oferta%2520P&#250;blica%2520de%2520Adquisici&#243;n,%2520OPA&amp;idlang=1" TargetMode="External"/><Relationship Id="rId69" Type="http://schemas.openxmlformats.org/officeDocument/2006/relationships/hyperlink" Target="file:////Portal/Inversor/Glosario.aspx%3fid=0&amp;term=Obligaci&#243;n&amp;idlang=1" TargetMode="External"/><Relationship Id="rId113" Type="http://schemas.openxmlformats.org/officeDocument/2006/relationships/hyperlink" Target="http://contratospordiferencias.es/" TargetMode="External"/><Relationship Id="rId134" Type="http://schemas.openxmlformats.org/officeDocument/2006/relationships/hyperlink" Target="http://www.mejoresbancos.es/" TargetMode="External"/><Relationship Id="rId320" Type="http://schemas.openxmlformats.org/officeDocument/2006/relationships/hyperlink" Target="file:////Portal/Inversor/Glosario.aspx%3fid=0&amp;term=Calificaci&#243;n%2520de%2520solvencia&amp;idlang=1" TargetMode="External"/><Relationship Id="rId80" Type="http://schemas.openxmlformats.org/officeDocument/2006/relationships/hyperlink" Target="http://www.seg-social.es/" TargetMode="External"/><Relationship Id="rId155" Type="http://schemas.openxmlformats.org/officeDocument/2006/relationships/hyperlink" Target="https://www.mejoresbancos.es/" TargetMode="External"/><Relationship Id="rId176" Type="http://schemas.openxmlformats.org/officeDocument/2006/relationships/hyperlink" Target="https://www.finanzzas.com/contrato-de-insercion-para-jovenes" TargetMode="External"/><Relationship Id="rId197" Type="http://schemas.openxmlformats.org/officeDocument/2006/relationships/hyperlink" Target="http://www.bolsamania.com/declaracion-impuestos-renta/concepto-de-vivienda-habitual/" TargetMode="External"/><Relationship Id="rId341" Type="http://schemas.openxmlformats.org/officeDocument/2006/relationships/hyperlink" Target="https://www.cnmv.es/Portal/Inversor/Glosario.aspx?id=0&amp;term=Valor%20nominal&amp;idlang=1" TargetMode="External"/><Relationship Id="rId362" Type="http://schemas.openxmlformats.org/officeDocument/2006/relationships/hyperlink" Target="file:////Portal/Inversor/Glosario.aspx%3fid=0&amp;term=Pol&#237;tica%2520de%2520inversi&#243;n%2520o%2520vocaci&#243;n%2520inversora&amp;idlang=1" TargetMode="External"/><Relationship Id="rId201" Type="http://schemas.openxmlformats.org/officeDocument/2006/relationships/hyperlink" Target="http://www.mejoresbancos.es/" TargetMode="External"/><Relationship Id="rId222" Type="http://schemas.openxmlformats.org/officeDocument/2006/relationships/hyperlink" Target="https://www.hipotecasydepositos.com/comision-por-cancelacion-anticipada-del-deposito/" TargetMode="External"/><Relationship Id="rId243" Type="http://schemas.openxmlformats.org/officeDocument/2006/relationships/hyperlink" Target="http://www.mejoresbancos.es/" TargetMode="External"/><Relationship Id="rId264" Type="http://schemas.openxmlformats.org/officeDocument/2006/relationships/hyperlink" Target="https://www.boe.es/boe/dias/2018/07/04/pdfs/BOE-A-2018-9268.pdf" TargetMode="External"/><Relationship Id="rId285" Type="http://schemas.openxmlformats.org/officeDocument/2006/relationships/hyperlink" Target="https://www.iustel.com/diario_del_derecho/noticia.asp?ref_iustel=1228437" TargetMode="External"/><Relationship Id="rId17" Type="http://schemas.openxmlformats.org/officeDocument/2006/relationships/hyperlink" Target="http://www.bolsamania.com/declaracion-impuestos-renta/" TargetMode="External"/><Relationship Id="rId38" Type="http://schemas.openxmlformats.org/officeDocument/2006/relationships/hyperlink" Target="http://opcionis.com/" TargetMode="External"/><Relationship Id="rId59" Type="http://schemas.openxmlformats.org/officeDocument/2006/relationships/hyperlink" Target="http://opcionis.com/blog/que-es-una-nomina/" TargetMode="External"/><Relationship Id="rId103" Type="http://schemas.openxmlformats.org/officeDocument/2006/relationships/hyperlink" Target="https://es.wikipedia.org/wiki/Comunidad_Econ%C3%B3mica_Europea" TargetMode="External"/><Relationship Id="rId124" Type="http://schemas.openxmlformats.org/officeDocument/2006/relationships/hyperlink" Target="file:////Portal/Inversor/Glosario.aspx%3fid=0&amp;term=Colocaci&#243;n%2520asegurada&amp;idlang=1" TargetMode="External"/><Relationship Id="rId310" Type="http://schemas.openxmlformats.org/officeDocument/2006/relationships/hyperlink" Target="https://www.bankinter.com/banca/ahorro-inversion/jubilacion" TargetMode="External"/><Relationship Id="rId70" Type="http://schemas.openxmlformats.org/officeDocument/2006/relationships/hyperlink" Target="file:////Portal/Inversor/Glosario.aspx%3fid=0&amp;term=Emisi&#243;n%2520al%2520descuento&amp;idlang=1" TargetMode="External"/><Relationship Id="rId91" Type="http://schemas.openxmlformats.org/officeDocument/2006/relationships/hyperlink" Target="https://www.bankinter.com/banca/hipotecas-prestamos/hipotecas" TargetMode="External"/><Relationship Id="rId145" Type="http://schemas.openxmlformats.org/officeDocument/2006/relationships/hyperlink" Target="file:////Portal/Inversor/Glosario.aspx%3fid=0&amp;term=Consejo%2520de%2520Administraci&#243;n&amp;idlang=1" TargetMode="External"/><Relationship Id="rId166" Type="http://schemas.openxmlformats.org/officeDocument/2006/relationships/hyperlink" Target="https://www.finanzzas.com/jornada-reducida-en-alemania" TargetMode="External"/><Relationship Id="rId187" Type="http://schemas.openxmlformats.org/officeDocument/2006/relationships/hyperlink" Target="http://todoproductosfinancieros.com/" TargetMode="External"/><Relationship Id="rId331" Type="http://schemas.openxmlformats.org/officeDocument/2006/relationships/hyperlink" Target="https://www.cnmv.es/Portal/Inversor/Renta-Fija.aspx" TargetMode="External"/><Relationship Id="rId352" Type="http://schemas.openxmlformats.org/officeDocument/2006/relationships/hyperlink" Target="https://economipedia.com/definiciones/activo-financiero.html" TargetMode="External"/><Relationship Id="rId1" Type="http://schemas.openxmlformats.org/officeDocument/2006/relationships/customXml" Target="../customXml/item1.xml"/><Relationship Id="rId212" Type="http://schemas.openxmlformats.org/officeDocument/2006/relationships/hyperlink" Target="https://www.bankinter.com/banca/cuentas-tarjetas/cuentas/cuenta-nomina" TargetMode="External"/><Relationship Id="rId233" Type="http://schemas.openxmlformats.org/officeDocument/2006/relationships/hyperlink" Target="https://www.cnmv.es/Portal/Inversor/Glosario.aspx?id=0&amp;term=Fondo%20cotizado&amp;idlang=1" TargetMode="External"/><Relationship Id="rId254" Type="http://schemas.openxmlformats.org/officeDocument/2006/relationships/hyperlink" Target="file:////Portal/Inversor/Glosario.aspx%3fid=0&amp;term=Fondo%2520de%2520fondos%2520de%2520inversi&#243;n%2520libre&amp;idlang=1" TargetMode="External"/><Relationship Id="rId28" Type="http://schemas.openxmlformats.org/officeDocument/2006/relationships/hyperlink" Target="https://www.lasmateriasprimas.com/el-algodon.html" TargetMode="External"/><Relationship Id="rId49" Type="http://schemas.openxmlformats.org/officeDocument/2006/relationships/hyperlink" Target="http://hipotecashipotecas.es/hipotecas-100/" TargetMode="External"/><Relationship Id="rId114" Type="http://schemas.openxmlformats.org/officeDocument/2006/relationships/hyperlink" Target="http://mejorescreditos.es/" TargetMode="External"/><Relationship Id="rId275" Type="http://schemas.openxmlformats.org/officeDocument/2006/relationships/hyperlink" Target="https://www.cnmv.es/Portal/Inversor/Glosario.aspx?id=0&amp;term=BAII,%20Beneficio%20Antes%20de%20Intereses%20e%20Impuestos&amp;idlang=1" TargetMode="External"/><Relationship Id="rId296" Type="http://schemas.openxmlformats.org/officeDocument/2006/relationships/hyperlink" Target="file:////Portal/Inversor/Glosario.aspx%3fid=0&amp;term=Orden%2520burs&#225;til&amp;idlang=1" TargetMode="External"/><Relationship Id="rId300" Type="http://schemas.openxmlformats.org/officeDocument/2006/relationships/hyperlink" Target="file:////Portal/Inversor/Glosario.aspx%3fid=0&amp;term=Orden%2520burs&#225;til&amp;idlang=1" TargetMode="External"/><Relationship Id="rId60" Type="http://schemas.openxmlformats.org/officeDocument/2006/relationships/hyperlink" Target="http://www.seg-social.es/" TargetMode="External"/><Relationship Id="rId81" Type="http://schemas.openxmlformats.org/officeDocument/2006/relationships/hyperlink" Target="http://www.bolsamania.com/declaracion-impuestos-renta/tablas-irpf/" TargetMode="External"/><Relationship Id="rId135" Type="http://schemas.openxmlformats.org/officeDocument/2006/relationships/hyperlink" Target="http://www.bde.es/bde/es/" TargetMode="External"/><Relationship Id="rId156" Type="http://schemas.openxmlformats.org/officeDocument/2006/relationships/hyperlink" Target="http://segurosyseguros.es/" TargetMode="External"/><Relationship Id="rId177" Type="http://schemas.openxmlformats.org/officeDocument/2006/relationships/hyperlink" Target="https://www.finanzzas.com/contrato-en-practicas" TargetMode="External"/><Relationship Id="rId198" Type="http://schemas.openxmlformats.org/officeDocument/2006/relationships/hyperlink" Target="https://www.bankinter.com/banca/diccionario-economico/cuenta-corriente" TargetMode="External"/><Relationship Id="rId321" Type="http://schemas.openxmlformats.org/officeDocument/2006/relationships/hyperlink" Target="https://www.cnmv.es/Portal/Inversor/Glosario.aspx?id=0&amp;term=Activo%20circulante&amp;idlang=1" TargetMode="External"/><Relationship Id="rId342" Type="http://schemas.openxmlformats.org/officeDocument/2006/relationships/hyperlink" Target="file:////Portal/Inversor/Glosario.aspx%3fid=0&amp;term=Agrupaci&#243;n%2520de%2520acciones%2520o%2520contra-split&amp;idlang=1" TargetMode="External"/><Relationship Id="rId363" Type="http://schemas.openxmlformats.org/officeDocument/2006/relationships/hyperlink" Target="https://www.cnmv.es/Portal/Inversor/Glosario.aspx?id=0&amp;term=Riesgo&amp;idlang=1" TargetMode="External"/><Relationship Id="rId202" Type="http://schemas.openxmlformats.org/officeDocument/2006/relationships/hyperlink" Target="http://gestionpyme.com/" TargetMode="External"/><Relationship Id="rId223" Type="http://schemas.openxmlformats.org/officeDocument/2006/relationships/hyperlink" Target="file:////Portal/Inversor/Glosario.aspx%3fid=0&amp;term=Ampliaci&#243;n%2520liberada%2520o%2520ampliaci&#243;n%2520de%2520capital%2520con%2520cargo%2520a%2520reservas&amp;idlang=1" TargetMode="External"/><Relationship Id="rId244" Type="http://schemas.openxmlformats.org/officeDocument/2006/relationships/hyperlink" Target="http://www.mejoresbancos.es/" TargetMode="External"/><Relationship Id="rId18" Type="http://schemas.openxmlformats.org/officeDocument/2006/relationships/hyperlink" Target="http://www.mejorescuentascorrientes.com/" TargetMode="External"/><Relationship Id="rId39" Type="http://schemas.openxmlformats.org/officeDocument/2006/relationships/hyperlink" Target="https://www.cnmv.es/Portal/Inversor/Glosario.aspx?id=0&amp;term=Sindicato%20de%20Obligacionistas&amp;idlang=1" TargetMode="External"/><Relationship Id="rId265" Type="http://schemas.openxmlformats.org/officeDocument/2006/relationships/hyperlink" Target="https://www.bankinter.com/banca/ahorro-inversion/jubilacion" TargetMode="External"/><Relationship Id="rId286" Type="http://schemas.openxmlformats.org/officeDocument/2006/relationships/hyperlink" Target="https://www.bankinter.com/banca/cuentas-tarjetas/cuentas" TargetMode="External"/><Relationship Id="rId50" Type="http://schemas.openxmlformats.org/officeDocument/2006/relationships/hyperlink" Target="https://www.cnmv.es/Portal/Inversor/Glosario.aspx?id=0&amp;term=Riesgo&amp;idlang=1" TargetMode="External"/><Relationship Id="rId104" Type="http://schemas.openxmlformats.org/officeDocument/2006/relationships/hyperlink" Target="https://es.wikipedia.org/wiki/Francia" TargetMode="External"/><Relationship Id="rId125" Type="http://schemas.openxmlformats.org/officeDocument/2006/relationships/hyperlink" Target="file:////Portal/Inversor/Glosario.aspx%3fid=0&amp;term=Colocaci&#243;n&amp;idlang=1" TargetMode="External"/><Relationship Id="rId146" Type="http://schemas.openxmlformats.org/officeDocument/2006/relationships/hyperlink" Target="https://www.cnmv.es/Portal/Inversor/Glosario.aspx?id=0&amp;term=Consejero%20dominical&amp;idlang=1" TargetMode="External"/><Relationship Id="rId167" Type="http://schemas.openxmlformats.org/officeDocument/2006/relationships/hyperlink" Target="https://www.finanzzas.com/aumento-del-trabajo-a-tiempo-parcial" TargetMode="External"/><Relationship Id="rId188" Type="http://schemas.openxmlformats.org/officeDocument/2006/relationships/hyperlink" Target="http://www.bolsamania.com/mejorescreditos/" TargetMode="External"/><Relationship Id="rId311" Type="http://schemas.openxmlformats.org/officeDocument/2006/relationships/hyperlink" Target="https://www.bankinter.com/banca/ahorro-inversion/jubilacion" TargetMode="External"/><Relationship Id="rId332" Type="http://schemas.openxmlformats.org/officeDocument/2006/relationships/hyperlink" Target="https://www.cnmv.es/Portal/Inversor/Glosario.aspx?id=0&amp;term=Rating&amp;idlang=1" TargetMode="External"/><Relationship Id="rId353" Type="http://schemas.openxmlformats.org/officeDocument/2006/relationships/hyperlink" Target="https://www.cnmv.es/Portal/inversor/Asesoramiento.aspx" TargetMode="External"/><Relationship Id="rId71" Type="http://schemas.openxmlformats.org/officeDocument/2006/relationships/hyperlink" Target="https://es.wikipedia.org/wiki/BRIC" TargetMode="External"/><Relationship Id="rId92" Type="http://schemas.openxmlformats.org/officeDocument/2006/relationships/hyperlink" Target="https://www.bankinter.com/banca/hipotecas-prestamos/hipotecas" TargetMode="External"/><Relationship Id="rId213" Type="http://schemas.openxmlformats.org/officeDocument/2006/relationships/hyperlink" Target="https://www.bankinter.com/banca/cuentas-tarjetas/cuentas/cuenta-no-nomina" TargetMode="External"/><Relationship Id="rId234" Type="http://schemas.openxmlformats.org/officeDocument/2006/relationships/hyperlink" Target="https://www.bankinter.com/banca/cuentas-tarjetas/cuentas" TargetMode="External"/><Relationship Id="rId2" Type="http://schemas.openxmlformats.org/officeDocument/2006/relationships/numbering" Target="numbering.xml"/><Relationship Id="rId29" Type="http://schemas.openxmlformats.org/officeDocument/2006/relationships/hyperlink" Target="https://www.lasmateriasprimas.com/el-algodon.html" TargetMode="External"/><Relationship Id="rId255" Type="http://schemas.openxmlformats.org/officeDocument/2006/relationships/hyperlink" Target="https://www.bankinter.com/banca/hipotecas-prestamos/hipotecas/credichalet-prestamo-hipotecario" TargetMode="External"/><Relationship Id="rId276" Type="http://schemas.openxmlformats.org/officeDocument/2006/relationships/hyperlink" Target="https://www.cnmv.es/Portal/Inversor/Glosario.aspx?id=0&amp;term=Margen%20bruto&amp;idlang=1" TargetMode="External"/><Relationship Id="rId297" Type="http://schemas.openxmlformats.org/officeDocument/2006/relationships/hyperlink" Target="file:////Portal/Inversor/Glosario.aspx%3fid=0&amp;term=Orden%2520burs&#225;til&amp;idlang=1" TargetMode="External"/><Relationship Id="rId40" Type="http://schemas.openxmlformats.org/officeDocument/2006/relationships/hyperlink" Target="https://www.cnmv.es/Portal/Inversor/Glosario.aspx?id=0&amp;term=Prorrateo&amp;idlang=1" TargetMode="External"/><Relationship Id="rId115" Type="http://schemas.openxmlformats.org/officeDocument/2006/relationships/hyperlink" Target="http://todofondosdeinversion.com/manual-del-inversor-apalancamiento/" TargetMode="External"/><Relationship Id="rId136" Type="http://schemas.openxmlformats.org/officeDocument/2006/relationships/hyperlink" Target="http://bolsa.com/solicitar-invitacion/" TargetMode="External"/><Relationship Id="rId157" Type="http://schemas.openxmlformats.org/officeDocument/2006/relationships/hyperlink" Target="http://www.bolsamania.com/declaracion-impuestos-renta/" TargetMode="External"/><Relationship Id="rId178" Type="http://schemas.openxmlformats.org/officeDocument/2006/relationships/hyperlink" Target="https://www.finanzzas.com/el-paro-la-principal-preocupacion-de-los-espanoles" TargetMode="External"/><Relationship Id="rId301" Type="http://schemas.openxmlformats.org/officeDocument/2006/relationships/hyperlink" Target="file:////Portal/Inversor/Glosario.aspx%3fid=0&amp;term=Orden%2520burs&#225;til&amp;idlang=1" TargetMode="External"/><Relationship Id="rId322" Type="http://schemas.openxmlformats.org/officeDocument/2006/relationships/hyperlink" Target="https://www.bankinter.com/banca/cuentas-tarjetas/cuentas" TargetMode="External"/><Relationship Id="rId343" Type="http://schemas.openxmlformats.org/officeDocument/2006/relationships/hyperlink" Target="https://www.cnmv.es/Portal/Inversor/Glosario.aspx?id=0&amp;term=Bid%20price,%20Ask%20price&amp;idlang=1" TargetMode="External"/><Relationship Id="rId364" Type="http://schemas.openxmlformats.org/officeDocument/2006/relationships/hyperlink" Target="https://www.cnmv.es/Portal/Menu/Registros-Oficiales.aspx" TargetMode="External"/><Relationship Id="rId61" Type="http://schemas.openxmlformats.org/officeDocument/2006/relationships/hyperlink" Target="file:////Portal/Inversor/Glosario.aspx%3fid=0&amp;term=Ratio%2520burs&#225;til&amp;idlang=1" TargetMode="External"/><Relationship Id="rId82" Type="http://schemas.openxmlformats.org/officeDocument/2006/relationships/hyperlink" Target="http://www.bolsamania.com/declaracion-impuestos-renta/" TargetMode="External"/><Relationship Id="rId199" Type="http://schemas.openxmlformats.org/officeDocument/2006/relationships/hyperlink" Target="https://www.bankinter.com/banca/diccionario-economico/cuenta-ahorro" TargetMode="External"/><Relationship Id="rId203" Type="http://schemas.openxmlformats.org/officeDocument/2006/relationships/hyperlink" Target="http://www.mejorestarjetasdecredito.es/" TargetMode="External"/><Relationship Id="rId19" Type="http://schemas.openxmlformats.org/officeDocument/2006/relationships/header" Target="header1.xml"/><Relationship Id="rId224" Type="http://schemas.openxmlformats.org/officeDocument/2006/relationships/hyperlink" Target="https://www.cnmv.es/Portal/Inversor/Glosario.aspx?id=0&amp;term=Split&amp;idlang=1" TargetMode="External"/><Relationship Id="rId245" Type="http://schemas.openxmlformats.org/officeDocument/2006/relationships/hyperlink" Target="http://opcionis.com/" TargetMode="External"/><Relationship Id="rId266" Type="http://schemas.openxmlformats.org/officeDocument/2006/relationships/hyperlink" Target="http://todoproductosfinancieros.com/inversion-10-de-inversis-banco/" TargetMode="External"/><Relationship Id="rId287" Type="http://schemas.openxmlformats.org/officeDocument/2006/relationships/hyperlink" Target="https://www.cnmv.es/Portal/inversor/RentaFija-Publica.aspx" TargetMode="External"/><Relationship Id="rId30" Type="http://schemas.openxmlformats.org/officeDocument/2006/relationships/hyperlink" Target="https://www.lasmateriasprimas.com/?p=303" TargetMode="External"/><Relationship Id="rId105" Type="http://schemas.openxmlformats.org/officeDocument/2006/relationships/hyperlink" Target="https://es.wikipedia.org/wiki/Alemania_Occidental" TargetMode="External"/><Relationship Id="rId126" Type="http://schemas.openxmlformats.org/officeDocument/2006/relationships/hyperlink" Target="file:////Portal/Inversor/Glosario.aspx%3fid=0&amp;term=Aseguramiento%2520de%2520una%2520emisi&#243;n&amp;idlang=1" TargetMode="External"/><Relationship Id="rId147" Type="http://schemas.openxmlformats.org/officeDocument/2006/relationships/hyperlink" Target="https://www.cnmv.es/Portal/Inversor/Glosario.aspx?id=0&amp;term=Consejero%20ejecutivo&amp;idlang=1" TargetMode="External"/><Relationship Id="rId168" Type="http://schemas.openxmlformats.org/officeDocument/2006/relationships/hyperlink" Target="https://www.finanzzas.com/salario-minimo-interprofesional-2010" TargetMode="External"/><Relationship Id="rId312" Type="http://schemas.openxmlformats.org/officeDocument/2006/relationships/hyperlink" Target="file:////Portal/Inversor/Glosario.aspx%3fid=0&amp;term=Prima%2520de%2520emisi&#243;n&amp;idlang=1" TargetMode="External"/><Relationship Id="rId333" Type="http://schemas.openxmlformats.org/officeDocument/2006/relationships/hyperlink" Target="file:////Portal/Inversor/Glosario.aspx%3fid=0&amp;term=Agencia%2520de%2520calificaci&#243;n%2520crediticia&amp;idlang=1" TargetMode="External"/><Relationship Id="rId354" Type="http://schemas.openxmlformats.org/officeDocument/2006/relationships/hyperlink" Target="file:////Portal/Inversor/Glosario.aspx%3fid=0&amp;term=Gesti&#243;n%2520de%2520carteras&amp;idlang=1" TargetMode="External"/><Relationship Id="rId51" Type="http://schemas.openxmlformats.org/officeDocument/2006/relationships/hyperlink" Target="http://gestionpyme.com/enfermedades-profesionales/" TargetMode="External"/><Relationship Id="rId72" Type="http://schemas.openxmlformats.org/officeDocument/2006/relationships/hyperlink" Target="https://www.finanzzas.com/china-sufre-la-crisis-a-traves-de-las-exportaciones-e-importaciones" TargetMode="External"/><Relationship Id="rId93" Type="http://schemas.openxmlformats.org/officeDocument/2006/relationships/hyperlink" Target="http://www.bolsamania.com/mejorescreditos/" TargetMode="External"/><Relationship Id="rId189" Type="http://schemas.openxmlformats.org/officeDocument/2006/relationships/hyperlink" Target="http://www.bolsamania.com/mejoresprestamos/" TargetMode="External"/><Relationship Id="rId3" Type="http://schemas.openxmlformats.org/officeDocument/2006/relationships/styles" Target="styles.xml"/><Relationship Id="rId214" Type="http://schemas.openxmlformats.org/officeDocument/2006/relationships/hyperlink" Target="https://www.bankinter.com/banca/cuentas-tarjetas/cuentas/cuenta-nomina" TargetMode="External"/><Relationship Id="rId235" Type="http://schemas.openxmlformats.org/officeDocument/2006/relationships/hyperlink" Target="http://www.bolsamania.com/mejoresprestamos/" TargetMode="External"/><Relationship Id="rId256" Type="http://schemas.openxmlformats.org/officeDocument/2006/relationships/hyperlink" Target="https://www.bankinter.com/banca/hipotecas-prestamos/hipotecas" TargetMode="External"/><Relationship Id="rId277" Type="http://schemas.openxmlformats.org/officeDocument/2006/relationships/hyperlink" Target="https://www.cnmv.es/Portal/Inversor/Glosario.aspx?id=0&amp;term=Balance&amp;idlang=1" TargetMode="External"/><Relationship Id="rId298" Type="http://schemas.openxmlformats.org/officeDocument/2006/relationships/hyperlink" Target="file:////Portal/Inversor/Glosario.aspx%3fid=0&amp;term=Orden%2520burs&#225;til&amp;idlang=1" TargetMode="External"/><Relationship Id="rId116" Type="http://schemas.openxmlformats.org/officeDocument/2006/relationships/hyperlink" Target="https://www.mejoresbrokers.es/%c2%bfque-son-las-ordenes-condicionadas-de-bolsa/" TargetMode="External"/><Relationship Id="rId137" Type="http://schemas.openxmlformats.org/officeDocument/2006/relationships/hyperlink" Target="http://www.mejorescuentascorrientes.com/las-mejores-cuentas-remuneradas/" TargetMode="External"/><Relationship Id="rId158" Type="http://schemas.openxmlformats.org/officeDocument/2006/relationships/hyperlink" Target="http://todoproductosfinancieros.com/" TargetMode="External"/><Relationship Id="rId302" Type="http://schemas.openxmlformats.org/officeDocument/2006/relationships/hyperlink" Target="http://opcionis.com/blog/como-funcionan-las-tarjetas-de-credito/" TargetMode="External"/><Relationship Id="rId323" Type="http://schemas.openxmlformats.org/officeDocument/2006/relationships/hyperlink" Target="file:////Portal/Inversor/Glosario.aspx%3fid=0&amp;term=Fondo%2520de%2520inversi&#243;n&amp;idlang=1" TargetMode="External"/><Relationship Id="rId344" Type="http://schemas.openxmlformats.org/officeDocument/2006/relationships/hyperlink" Target="https://www.cnmv.es/Portal/Inversor/Glosario.aspx?id=0&amp;term=Subasta%20no%20competitiva&amp;idlang=1" TargetMode="External"/><Relationship Id="rId20" Type="http://schemas.openxmlformats.org/officeDocument/2006/relationships/footer" Target="footer1.xml"/><Relationship Id="rId41" Type="http://schemas.openxmlformats.org/officeDocument/2006/relationships/hyperlink" Target="http://www.bolsamania.com/mejorescreditos/listado-de-morosos/" TargetMode="External"/><Relationship Id="rId62" Type="http://schemas.openxmlformats.org/officeDocument/2006/relationships/hyperlink" Target="http://segurosyseguros.es/caser-salud-medica-seguro-de-asistencia-ambulatoria/" TargetMode="External"/><Relationship Id="rId83" Type="http://schemas.openxmlformats.org/officeDocument/2006/relationships/hyperlink" Target="http://www.seg-social.es/Internet_1/Trabajadores/CotizacionRecaudaci10777/index.htm" TargetMode="External"/><Relationship Id="rId179" Type="http://schemas.openxmlformats.org/officeDocument/2006/relationships/hyperlink" Target="file:////Portal/Inversor/Glosario.aspx%3fid=0&amp;term=Cotizaci&#243;n%2520por%2520cup&#243;n%2520corrido&amp;idlang=1" TargetMode="External"/><Relationship Id="rId365" Type="http://schemas.openxmlformats.org/officeDocument/2006/relationships/fontTable" Target="fontTable.xml"/><Relationship Id="rId190" Type="http://schemas.openxmlformats.org/officeDocument/2006/relationships/hyperlink" Target="http://www.mejoresbancos.es/" TargetMode="External"/><Relationship Id="rId204" Type="http://schemas.openxmlformats.org/officeDocument/2006/relationships/hyperlink" Target="https://www.mejorescuentascorrientes.com/category/tipos-de-cuentas/cuentas-nomina/" TargetMode="External"/><Relationship Id="rId225" Type="http://schemas.openxmlformats.org/officeDocument/2006/relationships/hyperlink" Target="https://www.bankinter.com/banca/hipotecas-prestamos/hipotecas/hipoteca-variable" TargetMode="External"/><Relationship Id="rId246" Type="http://schemas.openxmlformats.org/officeDocument/2006/relationships/hyperlink" Target="http://fondoscotizados.com/" TargetMode="External"/><Relationship Id="rId267" Type="http://schemas.openxmlformats.org/officeDocument/2006/relationships/hyperlink" Target="https://www.cnmv.es/Portal/Inversor/Glosario.aspx?id=0&amp;term=Inversor%20profesional&amp;idlang=1" TargetMode="External"/><Relationship Id="rId288" Type="http://schemas.openxmlformats.org/officeDocument/2006/relationships/hyperlink" Target="file:////Portal/Inversor/Glosario.aspx%3fid=0&amp;term=Oferta%2520P&#250;blica%2520de%2520Adquisici&#243;n,%2520OPA&amp;idlang=1" TargetMode="External"/><Relationship Id="rId106" Type="http://schemas.openxmlformats.org/officeDocument/2006/relationships/hyperlink" Target="https://es.wikipedia.org/wiki/Italia" TargetMode="External"/><Relationship Id="rId127" Type="http://schemas.openxmlformats.org/officeDocument/2006/relationships/hyperlink" Target="http://www.mejoresbancos.es/" TargetMode="External"/><Relationship Id="rId313" Type="http://schemas.openxmlformats.org/officeDocument/2006/relationships/hyperlink" Target="file:////Portal/Inversor/Glosario.aspx%3fid=0&amp;term=Acci&#243;n%2520de%2520oro&amp;idlang=1" TargetMode="External"/><Relationship Id="rId10" Type="http://schemas.openxmlformats.org/officeDocument/2006/relationships/hyperlink" Target="https://www.finanzzas.com/sanidad-privatiza-las-citas-medicas" TargetMode="External"/><Relationship Id="rId31" Type="http://schemas.openxmlformats.org/officeDocument/2006/relationships/hyperlink" Target="http://cambioeurodolar.com/el-dolar-en-el-minimo/" TargetMode="External"/><Relationship Id="rId52" Type="http://schemas.openxmlformats.org/officeDocument/2006/relationships/hyperlink" Target="https://www.cnmv.es/Portal/Inversor/Glosario.aspx?id=0&amp;term=Valor%20nominal&amp;idlang=1" TargetMode="External"/><Relationship Id="rId73" Type="http://schemas.openxmlformats.org/officeDocument/2006/relationships/hyperlink" Target="https://www.finanzzas.com/reforma-del-sistema-financiero-de-estados-unidos" TargetMode="External"/><Relationship Id="rId94" Type="http://schemas.openxmlformats.org/officeDocument/2006/relationships/hyperlink" Target="https://www.cnmv.es/Portal/Inversor/Glosario.aspx?id=0&amp;term=Benchmark&amp;idlang=1" TargetMode="External"/><Relationship Id="rId148" Type="http://schemas.openxmlformats.org/officeDocument/2006/relationships/hyperlink" Target="https://www.cnmv.es/Portal/Inversor/Glosario.aspx?id=0&amp;term=Consejero%20independiente&amp;idlang=1" TargetMode="External"/><Relationship Id="rId169" Type="http://schemas.openxmlformats.org/officeDocument/2006/relationships/hyperlink" Target="https://www.finanzzas.com/flexiguridad" TargetMode="External"/><Relationship Id="rId334" Type="http://schemas.openxmlformats.org/officeDocument/2006/relationships/hyperlink" Target="file:////Portal/Inversor/Glosario.aspx%3fid=0&amp;term=Riesgo%2520sistem&#225;tico&amp;idlang=1" TargetMode="External"/><Relationship Id="rId355" Type="http://schemas.openxmlformats.org/officeDocument/2006/relationships/hyperlink" Target="https://www.bankinter.com/banca/cuentas-tarjetas/cuentas" TargetMode="External"/><Relationship Id="rId4" Type="http://schemas.openxmlformats.org/officeDocument/2006/relationships/settings" Target="settings.xml"/><Relationship Id="rId180" Type="http://schemas.openxmlformats.org/officeDocument/2006/relationships/hyperlink" Target="https://www.couchsurfing.com/?user_language=es" TargetMode="External"/><Relationship Id="rId215" Type="http://schemas.openxmlformats.org/officeDocument/2006/relationships/hyperlink" Target="https://www.bankinter.com/banca/hipotecas-prestamos/hipotecas/hipoteca-fija" TargetMode="External"/><Relationship Id="rId236" Type="http://schemas.openxmlformats.org/officeDocument/2006/relationships/hyperlink" Target="https://www.bankinter.com/banca/hipotecas-prestamos/hipotecas" TargetMode="External"/><Relationship Id="rId257" Type="http://schemas.openxmlformats.org/officeDocument/2006/relationships/hyperlink" Target="http://hipotecashipotecas.es/hipotecas-100/" TargetMode="External"/><Relationship Id="rId278" Type="http://schemas.openxmlformats.org/officeDocument/2006/relationships/hyperlink" Target="file:////Portal/Inversor/Glosario.aspx%3fid=0&amp;term=Cuenta%2520de%2520resultados%2520/%2520de%2520p&#233;rdidas%2520y%2520ganancias&amp;idlang=1" TargetMode="External"/><Relationship Id="rId303" Type="http://schemas.openxmlformats.org/officeDocument/2006/relationships/hyperlink" Target="https://www.tasadeparo.com/la-encuesta-de-poblacion-activa-epa.html" TargetMode="External"/><Relationship Id="rId42" Type="http://schemas.openxmlformats.org/officeDocument/2006/relationships/hyperlink" Target="https://www.finanzzas.com/como-saber-si-estoy-en-la-asnef" TargetMode="External"/><Relationship Id="rId84" Type="http://schemas.openxmlformats.org/officeDocument/2006/relationships/hyperlink" Target="http://www.finanzzas.com/la-nomina" TargetMode="External"/><Relationship Id="rId138" Type="http://schemas.openxmlformats.org/officeDocument/2006/relationships/hyperlink" Target="http://www.mejorestarjetasdecredito.es/" TargetMode="External"/><Relationship Id="rId345" Type="http://schemas.openxmlformats.org/officeDocument/2006/relationships/hyperlink" Target="https://www.cnmv.es/Portal/Inversor/Glosario.aspx?id=0&amp;term=Subasta%20competitiva&amp;idlang=1" TargetMode="External"/><Relationship Id="rId191" Type="http://schemas.openxmlformats.org/officeDocument/2006/relationships/hyperlink" Target="http://www.bolsamania.com/mejorescreditos/" TargetMode="External"/><Relationship Id="rId205" Type="http://schemas.openxmlformats.org/officeDocument/2006/relationships/hyperlink" Target="http://segurosyseguros.es/" TargetMode="External"/><Relationship Id="rId247" Type="http://schemas.openxmlformats.org/officeDocument/2006/relationships/hyperlink" Target="https://www.bankinter.com/banca/diccionario-economico/derivados" TargetMode="External"/><Relationship Id="rId107" Type="http://schemas.openxmlformats.org/officeDocument/2006/relationships/hyperlink" Target="https://es.wikipedia.org/wiki/B%C3%A9lgica" TargetMode="External"/><Relationship Id="rId289" Type="http://schemas.openxmlformats.org/officeDocument/2006/relationships/hyperlink" Target="https://www.cnmv.es/Portal/Inversor/Opas.aspx" TargetMode="External"/><Relationship Id="rId11" Type="http://schemas.openxmlformats.org/officeDocument/2006/relationships/hyperlink" Target="https://www.cnmv.es/Portal/Inversor/Glosario.aspx?id=0&amp;term=Balance&amp;idlang=1" TargetMode="External"/><Relationship Id="rId53" Type="http://schemas.openxmlformats.org/officeDocument/2006/relationships/hyperlink" Target="https://www.cnmv.es/Portal/Inversor/Glosario.aspx?id=0&amp;term=Activo&amp;idlang=1" TargetMode="External"/><Relationship Id="rId149" Type="http://schemas.openxmlformats.org/officeDocument/2006/relationships/hyperlink" Target="http://gestionpyme.com/" TargetMode="External"/><Relationship Id="rId314" Type="http://schemas.openxmlformats.org/officeDocument/2006/relationships/hyperlink" Target="https://www.cnmv.es/Portal/Inversor/Glosario.aspx?id=0&amp;term=Test%20de%20conveniencia&amp;idlang=1" TargetMode="External"/><Relationship Id="rId356" Type="http://schemas.openxmlformats.org/officeDocument/2006/relationships/hyperlink" Target="file:////Portal/Inversor/Glosario.aspx%3fid=0&amp;term=Riesgo%2520de%2520reinversi&#243;n&amp;idlang=1" TargetMode="External"/><Relationship Id="rId95" Type="http://schemas.openxmlformats.org/officeDocument/2006/relationships/hyperlink" Target="https://www.cnmv.es/Portal/Inversor/Glosario.aspx?id=0&amp;term=Flujo%20de%20caja&amp;idlang=1" TargetMode="External"/><Relationship Id="rId160" Type="http://schemas.openxmlformats.org/officeDocument/2006/relationships/hyperlink" Target="https://www.cnmv.es/Portal/Inversor/Glosario.aspx?id=0&amp;term=Consejero%20independiente&amp;idlang=1" TargetMode="External"/><Relationship Id="rId216" Type="http://schemas.openxmlformats.org/officeDocument/2006/relationships/hyperlink" Target="https://www.bankinter.com/banca/hipotecas-prestamos/hipotecas/hipoteca-variable" TargetMode="External"/><Relationship Id="rId258" Type="http://schemas.openxmlformats.org/officeDocument/2006/relationships/hyperlink" Target="http://www.mejorescuentascorrientes.com/" TargetMode="External"/><Relationship Id="rId22" Type="http://schemas.openxmlformats.org/officeDocument/2006/relationships/hyperlink" Target="http://hipotecashipotecas.es/libro-del-edificio/" TargetMode="External"/><Relationship Id="rId64" Type="http://schemas.openxmlformats.org/officeDocument/2006/relationships/hyperlink" Target="https://www.cnmv.es/Portal/Inversor/Glosario.aspx?id=0&amp;term=Spread&amp;idlang=1" TargetMode="External"/><Relationship Id="rId118" Type="http://schemas.openxmlformats.org/officeDocument/2006/relationships/hyperlink" Target="file:////Portal/Inversor/Glosario.aspx%3fid=0&amp;term=Diluci&#243;n&amp;idlang=1" TargetMode="External"/><Relationship Id="rId325" Type="http://schemas.openxmlformats.org/officeDocument/2006/relationships/hyperlink" Target="file:////Portal/Inversor/Glosario.aspx%3fid=0&amp;term=Fondo%2520de%2520inversi&#243;n&amp;idlang=1" TargetMode="External"/><Relationship Id="rId171" Type="http://schemas.openxmlformats.org/officeDocument/2006/relationships/hyperlink" Target="http://tasadeparo.com/la-ue-lanza-un-nuevo-plan-de-empleo.html" TargetMode="External"/><Relationship Id="rId227" Type="http://schemas.openxmlformats.org/officeDocument/2006/relationships/hyperlink" Target="file:////Portal/Inversor/Glosario.aspx%3fid=0&amp;term=Derecho%2520de%2520suscripci&#243;n%2520preferente&amp;idlang=1" TargetMode="External"/><Relationship Id="rId269" Type="http://schemas.openxmlformats.org/officeDocument/2006/relationships/hyperlink" Target="https://www.finanzzas.com/feudalismo" TargetMode="External"/><Relationship Id="rId33" Type="http://schemas.openxmlformats.org/officeDocument/2006/relationships/hyperlink" Target="https://www.cnmv.es/Portal/Inversor/Glosario.aspx?id=0&amp;term=Referencia%20de%20registro%20(RR)&amp;idlang=1" TargetMode="External"/><Relationship Id="rId129" Type="http://schemas.openxmlformats.org/officeDocument/2006/relationships/hyperlink" Target="http://hipotecashipotecas.es/comisiones-en-hipotecas/" TargetMode="External"/><Relationship Id="rId280" Type="http://schemas.openxmlformats.org/officeDocument/2006/relationships/hyperlink" Target="https://www.cnmv.es/Portal/Inversor/Glosario.aspx?id=0&amp;term=Senaf&amp;idlang=1" TargetMode="External"/><Relationship Id="rId336" Type="http://schemas.openxmlformats.org/officeDocument/2006/relationships/hyperlink" Target="https://www.bankinter.com/banca/hipotecas-prestamos/hipotecas" TargetMode="External"/><Relationship Id="rId75" Type="http://schemas.openxmlformats.org/officeDocument/2006/relationships/hyperlink" Target="https://www.cnmv.es/Portal/Inversor/Glosario.aspx?id=0&amp;term=Dealer&amp;idlang=1" TargetMode="External"/><Relationship Id="rId140" Type="http://schemas.openxmlformats.org/officeDocument/2006/relationships/hyperlink" Target="https://www.boe.es/diario_boe/txt.php?id=BOE-A-2018-1832" TargetMode="External"/><Relationship Id="rId182" Type="http://schemas.openxmlformats.org/officeDocument/2006/relationships/hyperlink" Target="https://www.finanzzas.com/que-es-la-devaluacion-fiscal" TargetMode="External"/><Relationship Id="rId6" Type="http://schemas.openxmlformats.org/officeDocument/2006/relationships/footnotes" Target="footnotes.xml"/><Relationship Id="rId238" Type="http://schemas.openxmlformats.org/officeDocument/2006/relationships/hyperlink" Target="file:////Portal/Inversor/Glosario.aspx%3fid=0&amp;term=Fondo%2520de%2520inversi&#243;n&amp;idlang=1" TargetMode="External"/><Relationship Id="rId291" Type="http://schemas.openxmlformats.org/officeDocument/2006/relationships/hyperlink" Target="file:////Portal/Inversor/Glosario.aspx%3fid=0&amp;term=Oferta%2520P&#250;blica%2520de%2520Adquisici&#243;n,%2520OPA&amp;idlang=1" TargetMode="External"/><Relationship Id="rId305" Type="http://schemas.openxmlformats.org/officeDocument/2006/relationships/hyperlink" Target="file:////Portal/Inversor/Glosario.aspx%3fid=0&amp;term=Ratio%2520burs&#225;til&amp;idlang=1" TargetMode="External"/><Relationship Id="rId347" Type="http://schemas.openxmlformats.org/officeDocument/2006/relationships/hyperlink" Target="file:////Portal/Inversor/Glosario.aspx%3fid=0&amp;term=Per&#237;odo%2520de%2520suscripci&#243;n&amp;idlang=1" TargetMode="External"/><Relationship Id="rId44" Type="http://schemas.openxmlformats.org/officeDocument/2006/relationships/hyperlink" Target="http://www.finanzzas.com/crisis-de-estados-unidos" TargetMode="External"/><Relationship Id="rId86" Type="http://schemas.openxmlformats.org/officeDocument/2006/relationships/hyperlink" Target="https://www.sepe.es/HomeSepe/Personas/distributiva-prestaciones/impresos" TargetMode="External"/><Relationship Id="rId151" Type="http://schemas.openxmlformats.org/officeDocument/2006/relationships/hyperlink" Target="https://www.finanzzas.com/telefonica-frena-por-la-via-judicial-una-campana-de-vodafone" TargetMode="External"/><Relationship Id="rId193" Type="http://schemas.openxmlformats.org/officeDocument/2006/relationships/hyperlink" Target="https://www.todoproductosfinancieros.com/cuentas-vivienda-una-opcion-muy-conveniente/" TargetMode="External"/><Relationship Id="rId207" Type="http://schemas.openxmlformats.org/officeDocument/2006/relationships/hyperlink" Target="http://www.bolsamania.com/declaracion-impuestos-renta/" TargetMode="External"/><Relationship Id="rId249" Type="http://schemas.openxmlformats.org/officeDocument/2006/relationships/hyperlink" Target="https://www.bankinter.com/broker/productos/etfs" TargetMode="External"/><Relationship Id="rId13" Type="http://schemas.openxmlformats.org/officeDocument/2006/relationships/hyperlink" Target="http://hipotecashipotecas.es/registro-de-la-propiedad/" TargetMode="External"/><Relationship Id="rId109" Type="http://schemas.openxmlformats.org/officeDocument/2006/relationships/hyperlink" Target="https://es.wikipedia.org/wiki/Pa%C3%ADses_Bajos" TargetMode="External"/><Relationship Id="rId260" Type="http://schemas.openxmlformats.org/officeDocument/2006/relationships/hyperlink" Target="http://opcionis.com/blog/subida-del-irpf/" TargetMode="External"/><Relationship Id="rId316" Type="http://schemas.openxmlformats.org/officeDocument/2006/relationships/hyperlink" Target="https://www.bankinter.com/banca/hipotecas-prestamos/hipotecas" TargetMode="External"/><Relationship Id="rId55" Type="http://schemas.openxmlformats.org/officeDocument/2006/relationships/hyperlink" Target="http://hipotecashipotecas.es/" TargetMode="External"/><Relationship Id="rId97" Type="http://schemas.openxmlformats.org/officeDocument/2006/relationships/hyperlink" Target="http://hipotecashipotecas.es/registro-de-la-propiedad/" TargetMode="External"/><Relationship Id="rId120" Type="http://schemas.openxmlformats.org/officeDocument/2006/relationships/hyperlink" Target="http://www.mejoresbancos.es/" TargetMode="External"/><Relationship Id="rId358" Type="http://schemas.openxmlformats.org/officeDocument/2006/relationships/hyperlink" Target="https://www.cnmv.es/Portal/inversor/Fondos-Inversion.aspx" TargetMode="External"/><Relationship Id="rId162" Type="http://schemas.openxmlformats.org/officeDocument/2006/relationships/hyperlink" Target="https://www.finanzzas.com/contrato-en-practicas" TargetMode="External"/><Relationship Id="rId218" Type="http://schemas.openxmlformats.org/officeDocument/2006/relationships/hyperlink" Target="file:////Portal/Inversor/Glosario.aspx%3fid=0&amp;term=Servicio%2520de%2520atenci&#243;n%2520al%2520cliente&amp;idlang=1" TargetMode="External"/><Relationship Id="rId271" Type="http://schemas.openxmlformats.org/officeDocument/2006/relationships/hyperlink" Target="file:////Portal/Inversor/Glosario.aspx%3fid=0&amp;term=Liquidaci&#243;n%2520por%2520entrega&amp;idlang=1" TargetMode="External"/><Relationship Id="rId24" Type="http://schemas.openxmlformats.org/officeDocument/2006/relationships/hyperlink" Target="http://lasmateriasprimas.com/" TargetMode="External"/><Relationship Id="rId66" Type="http://schemas.openxmlformats.org/officeDocument/2006/relationships/hyperlink" Target="http://www.bolsamania.com/mejoresprestamos/" TargetMode="External"/><Relationship Id="rId131" Type="http://schemas.openxmlformats.org/officeDocument/2006/relationships/hyperlink" Target="http://todoproductosfinancieros.com/" TargetMode="External"/><Relationship Id="rId327" Type="http://schemas.openxmlformats.org/officeDocument/2006/relationships/hyperlink" Target="https://www.bankinter.com/banca/ahorro-inversion/fondos-de-inversion" TargetMode="External"/><Relationship Id="rId173" Type="http://schemas.openxmlformats.org/officeDocument/2006/relationships/hyperlink" Target="https://www.finanzzas.com/los-trabajos-mas-codiciados-de-2010" TargetMode="External"/><Relationship Id="rId229" Type="http://schemas.openxmlformats.org/officeDocument/2006/relationships/hyperlink" Target="http://cnmv.es/" TargetMode="External"/><Relationship Id="rId240" Type="http://schemas.openxmlformats.org/officeDocument/2006/relationships/hyperlink" Target="https://www.cnmv.es/Portal/Inversor/Glosario.aspx?id=0&amp;term=Activo%20circulante&amp;idlang=1" TargetMode="External"/><Relationship Id="rId35" Type="http://schemas.openxmlformats.org/officeDocument/2006/relationships/hyperlink" Target="http://todoproductosfinancieros.com/" TargetMode="External"/><Relationship Id="rId77" Type="http://schemas.openxmlformats.org/officeDocument/2006/relationships/hyperlink" Target="https://www.cnmv.es/Portal/Inversor/Glosario.aspx?id=0&amp;term=OPA%20hostil&amp;idlang=1" TargetMode="External"/><Relationship Id="rId100" Type="http://schemas.openxmlformats.org/officeDocument/2006/relationships/hyperlink" Target="http://hipotecashipotecas.es/" TargetMode="External"/><Relationship Id="rId282" Type="http://schemas.openxmlformats.org/officeDocument/2006/relationships/hyperlink" Target="file:////Portal/Inversor/Glosario.aspx%3fid=0&amp;term=Mercado%2520dirigido%2520por%2520&#243;rdenes&amp;idlang=1" TargetMode="External"/><Relationship Id="rId338" Type="http://schemas.openxmlformats.org/officeDocument/2006/relationships/hyperlink" Target="https://www.cnmv.es/Portal/Inversor/Glosario.aspx?id=0&amp;term=Asamblea%20de%20obligacionistas&amp;idlang=1" TargetMode="External"/><Relationship Id="rId8" Type="http://schemas.openxmlformats.org/officeDocument/2006/relationships/hyperlink" Target="https://www.cnmv.es/Portal/Inversor/Glosario.aspx?id=0&amp;term=Valor%20nominal&amp;idlang=1" TargetMode="External"/><Relationship Id="rId142" Type="http://schemas.openxmlformats.org/officeDocument/2006/relationships/hyperlink" Target="http://www.bolsamania.com/mejorescreditos/" TargetMode="External"/><Relationship Id="rId184" Type="http://schemas.openxmlformats.org/officeDocument/2006/relationships/hyperlink" Target="https://www.santander.com/es/stories/pymes" TargetMode="External"/><Relationship Id="rId251" Type="http://schemas.openxmlformats.org/officeDocument/2006/relationships/hyperlink" Target="https://www.bankinter.com/banca/hipotecas-prestamos/hipotecas" TargetMode="External"/><Relationship Id="rId46" Type="http://schemas.openxmlformats.org/officeDocument/2006/relationships/hyperlink" Target="https://www.mejoresbancos.es/Sistema-Europeo-de-Supervisores-Financieros" TargetMode="External"/><Relationship Id="rId293" Type="http://schemas.openxmlformats.org/officeDocument/2006/relationships/hyperlink" Target="https://www.cnmv.es/Portal/Inversor/Glosario.aspx?id=0&amp;term=Caballero%20negro&amp;idlang=1" TargetMode="External"/><Relationship Id="rId307" Type="http://schemas.openxmlformats.org/officeDocument/2006/relationships/hyperlink" Target="https://www.bankinter.com/banca/hipotecas-prestamos/hipotecas" TargetMode="External"/><Relationship Id="rId349" Type="http://schemas.openxmlformats.org/officeDocument/2006/relationships/hyperlink" Target="https://www.bankinter.com/banca/cuentas-tarjetas/cuentas" TargetMode="External"/><Relationship Id="rId88" Type="http://schemas.openxmlformats.org/officeDocument/2006/relationships/hyperlink" Target="https://www.cnmv.es/Portal/Inversor/Glosario.aspx?id=0&amp;term=Base%20del%20bono&amp;idlang=1" TargetMode="External"/><Relationship Id="rId111" Type="http://schemas.openxmlformats.org/officeDocument/2006/relationships/hyperlink" Target="http://www.acnspain.com/" TargetMode="External"/><Relationship Id="rId153" Type="http://schemas.openxmlformats.org/officeDocument/2006/relationships/hyperlink" Target="http://todoproductosfinancieros.com/" TargetMode="External"/><Relationship Id="rId195" Type="http://schemas.openxmlformats.org/officeDocument/2006/relationships/hyperlink" Target="http://comoahorrardinero.com/" TargetMode="External"/><Relationship Id="rId209" Type="http://schemas.openxmlformats.org/officeDocument/2006/relationships/hyperlink" Target="https://www.bankinter.com/banca/nav/jovenes" TargetMode="External"/><Relationship Id="rId360" Type="http://schemas.openxmlformats.org/officeDocument/2006/relationships/hyperlink" Target="https://www.tasadeparo.com/solicitar-vida-laboral.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gif"/><Relationship Id="rId1" Type="http://schemas.openxmlformats.org/officeDocument/2006/relationships/image" Target="media/image5.gi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465493-12D7-5647-A170-6D1FC0BDE45F}">
  <we:reference id="wa104381909" version="3.14.0.0" store="es-ES" storeType="OMEX"/>
  <we:alternateReferences>
    <we:reference id="wa104381909" version="3.14.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80E5-FE74-FE4E-9F3F-0CA1D608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7412</TotalTime>
  <Pages>369</Pages>
  <Words>159268</Words>
  <Characters>875980</Characters>
  <Application>Microsoft Office Word</Application>
  <DocSecurity>0</DocSecurity>
  <Lines>7299</Lines>
  <Paragraphs>2066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2024-07-24T20:38:00Z</dcterms:created>
  <dcterms:modified xsi:type="dcterms:W3CDTF">2024-09-04T08:27:00Z</dcterms:modified>
</cp:coreProperties>
</file>