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Compara os mapas das cidade españolas en 1900 e 1970. Sinala cales medraron máis e por que. Relaciónao cos factores que influíron na urbanización durante a época industrial.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762000</wp:posOffset>
            </wp:positionV>
            <wp:extent cx="3400425" cy="2990850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9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-552449</wp:posOffset>
            </wp:positionH>
            <wp:positionV relativeFrom="paragraph">
              <wp:posOffset>762000</wp:posOffset>
            </wp:positionV>
            <wp:extent cx="3557588" cy="2993281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9932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g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