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3D" w:rsidRPr="0021181D" w:rsidRDefault="0066093D" w:rsidP="0066093D">
      <w:pPr>
        <w:spacing w:before="120" w:after="240" w:line="240" w:lineRule="auto"/>
        <w:jc w:val="center"/>
        <w:rPr>
          <w:sz w:val="28"/>
          <w:szCs w:val="28"/>
        </w:rPr>
      </w:pPr>
      <w:r w:rsidRPr="0021181D">
        <w:rPr>
          <w:b/>
          <w:spacing w:val="6"/>
          <w:sz w:val="28"/>
          <w:szCs w:val="28"/>
        </w:rPr>
        <w:t xml:space="preserve">ACTIVIDADES </w:t>
      </w:r>
      <w:r>
        <w:rPr>
          <w:b/>
          <w:spacing w:val="6"/>
          <w:sz w:val="28"/>
          <w:szCs w:val="28"/>
        </w:rPr>
        <w:t>TABA</w:t>
      </w:r>
      <w:r w:rsidRPr="0021181D">
        <w:rPr>
          <w:b/>
          <w:spacing w:val="6"/>
          <w:sz w:val="28"/>
          <w:szCs w:val="28"/>
        </w:rPr>
        <w:t xml:space="preserve"> UNIDAD </w:t>
      </w:r>
      <w:r>
        <w:rPr>
          <w:b/>
          <w:spacing w:val="6"/>
          <w:sz w:val="28"/>
          <w:szCs w:val="28"/>
        </w:rPr>
        <w:t>2</w:t>
      </w:r>
    </w:p>
    <w:p w:rsidR="0066093D" w:rsidRDefault="0066093D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¿Qué es un área funcional?</w:t>
      </w:r>
    </w:p>
    <w:p w:rsidR="0066093D" w:rsidRPr="0066093D" w:rsidRDefault="0066093D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Indica las diferentes áreas funcionales que pueden darse en la empresa.</w:t>
      </w:r>
    </w:p>
    <w:p w:rsidR="0066093D" w:rsidRDefault="0066093D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Explica qué tipo de actividades se desarrolla</w:t>
      </w:r>
      <w:r w:rsidR="00D06FD6">
        <w:rPr>
          <w:rFonts w:cs="Calibri-Bold"/>
          <w:bCs/>
          <w:sz w:val="24"/>
          <w:szCs w:val="24"/>
        </w:rPr>
        <w:t>n</w:t>
      </w:r>
      <w:r w:rsidRPr="0066093D">
        <w:rPr>
          <w:rFonts w:cs="Calibri-Bold"/>
          <w:bCs/>
          <w:sz w:val="24"/>
          <w:szCs w:val="24"/>
        </w:rPr>
        <w:t xml:space="preserve"> en el Área de Recursos Humanos de una empresa.</w:t>
      </w:r>
    </w:p>
    <w:p w:rsidR="0066093D" w:rsidRPr="0066093D" w:rsidRDefault="0066093D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Indica qué diferencias encuentras entre un organigrama vertical y otro horizontal.</w:t>
      </w:r>
    </w:p>
    <w:p w:rsidR="0066093D" w:rsidRPr="0066093D" w:rsidRDefault="0066093D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 xml:space="preserve">¿Qué área de la empresa es la encargada en el proceso de </w:t>
      </w:r>
      <w:r w:rsidR="00D06FD6">
        <w:rPr>
          <w:rFonts w:cs="Calibri-Bold"/>
          <w:bCs/>
          <w:sz w:val="24"/>
          <w:szCs w:val="24"/>
        </w:rPr>
        <w:t>selec</w:t>
      </w:r>
      <w:r w:rsidRPr="0066093D">
        <w:rPr>
          <w:rFonts w:cs="Calibri-Bold"/>
          <w:bCs/>
          <w:sz w:val="24"/>
          <w:szCs w:val="24"/>
        </w:rPr>
        <w:t>ción de candidatos?</w:t>
      </w:r>
    </w:p>
    <w:p w:rsidR="0066093D" w:rsidRDefault="0066093D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¿En qué consiste la departamentalización?</w:t>
      </w:r>
    </w:p>
    <w:p w:rsidR="0066093D" w:rsidRPr="0066093D" w:rsidRDefault="0066093D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¿Por qué crees que en algunas empresas es necesario la creación de departamentos?</w:t>
      </w:r>
    </w:p>
    <w:p w:rsidR="0066093D" w:rsidRPr="0066093D" w:rsidRDefault="0066093D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Asigna a cada una de las siguientes actividades el área funcional a la que corresponden:</w:t>
      </w:r>
    </w:p>
    <w:p w:rsidR="0066093D" w:rsidRPr="0066093D" w:rsidRDefault="0066093D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Obtención de un préstamo</w:t>
      </w:r>
      <w:r>
        <w:rPr>
          <w:rFonts w:cs="Calibri-Bold"/>
          <w:bCs/>
          <w:sz w:val="24"/>
          <w:szCs w:val="24"/>
        </w:rPr>
        <w:t xml:space="preserve"> bancario.</w:t>
      </w:r>
    </w:p>
    <w:p w:rsidR="0066093D" w:rsidRPr="0066093D" w:rsidRDefault="0066093D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 xml:space="preserve">Diseño de un anuncio publicitario. </w:t>
      </w:r>
    </w:p>
    <w:p w:rsidR="0066093D" w:rsidRPr="0066093D" w:rsidRDefault="0066093D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 xml:space="preserve">Entrevista a un candidato para un puesto de trabajo. </w:t>
      </w:r>
    </w:p>
    <w:p w:rsidR="0066093D" w:rsidRPr="0066093D" w:rsidRDefault="0066093D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 xml:space="preserve">Atención al cliente. </w:t>
      </w:r>
    </w:p>
    <w:p w:rsidR="0066093D" w:rsidRPr="0066093D" w:rsidRDefault="0066093D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 xml:space="preserve">Establecer los beneficios o pérdidas al finalizar el ejercicio económico. </w:t>
      </w:r>
    </w:p>
    <w:p w:rsidR="0066093D" w:rsidRPr="0066093D" w:rsidRDefault="0066093D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 xml:space="preserve">Control de almacén. </w:t>
      </w:r>
    </w:p>
    <w:p w:rsidR="0066093D" w:rsidRDefault="0066093D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Elaboración de los artículos a los que la empresa dedica su actividad.</w:t>
      </w:r>
    </w:p>
    <w:p w:rsidR="0066093D" w:rsidRPr="0066093D" w:rsidRDefault="0066093D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66093D">
        <w:rPr>
          <w:rFonts w:cs="Calibri-Bold"/>
          <w:bCs/>
          <w:sz w:val="24"/>
          <w:szCs w:val="24"/>
        </w:rPr>
        <w:t>¿Qué es un organigrama? ¿Cuál es su finalidad?</w:t>
      </w:r>
    </w:p>
    <w:p w:rsidR="002335BA" w:rsidRPr="002335BA" w:rsidRDefault="002335BA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>Un empresario ha de decidir el tipo de departamentalización que más le conviene. La empresa está dedicada a la producción textil, confeccionando ropa de caballero, señora y juvenil. ¿Qué tipo de departamentalización le aconsejas utilizar?</w:t>
      </w:r>
    </w:p>
    <w:p w:rsidR="002335BA" w:rsidRDefault="002335BA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>El empresario de la actividad anterior ha ampliado la actividad a otras zonas geográficas con características muy específicas cada una de ellas. ¿Qué tipo de departamentalización sería</w:t>
      </w:r>
      <w:r>
        <w:rPr>
          <w:rFonts w:cs="Calibri-Bold"/>
          <w:bCs/>
          <w:sz w:val="24"/>
          <w:szCs w:val="24"/>
        </w:rPr>
        <w:t xml:space="preserve"> </w:t>
      </w:r>
      <w:r w:rsidRPr="002335BA">
        <w:rPr>
          <w:rFonts w:cs="Calibri-Bold"/>
          <w:bCs/>
          <w:sz w:val="24"/>
          <w:szCs w:val="24"/>
        </w:rPr>
        <w:t>aconsejable en este caso?</w:t>
      </w:r>
    </w:p>
    <w:p w:rsidR="002335BA" w:rsidRPr="002335BA" w:rsidRDefault="002335BA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>¿En qué se basan los siguientes tipos de departamentalización?</w:t>
      </w:r>
    </w:p>
    <w:p w:rsidR="002335BA" w:rsidRPr="002335BA" w:rsidRDefault="002335BA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>Departamentalización por clientes.</w:t>
      </w:r>
    </w:p>
    <w:p w:rsidR="002335BA" w:rsidRPr="002335BA" w:rsidRDefault="002335BA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>Departamentalización por funciones.</w:t>
      </w:r>
    </w:p>
    <w:p w:rsidR="002335BA" w:rsidRDefault="002335BA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>Departamentalización geográfica.</w:t>
      </w:r>
    </w:p>
    <w:p w:rsidR="002335BA" w:rsidRDefault="002335BA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 xml:space="preserve">Anota las actividades </w:t>
      </w:r>
      <w:r w:rsidR="00D06FD6">
        <w:rPr>
          <w:rFonts w:cs="Calibri-Bold"/>
          <w:bCs/>
          <w:sz w:val="24"/>
          <w:szCs w:val="24"/>
        </w:rPr>
        <w:t xml:space="preserve">o funciones </w:t>
      </w:r>
      <w:r w:rsidRPr="002335BA">
        <w:rPr>
          <w:rFonts w:cs="Calibri-Bold"/>
          <w:bCs/>
          <w:sz w:val="24"/>
          <w:szCs w:val="24"/>
        </w:rPr>
        <w:t>de las</w:t>
      </w:r>
      <w:r>
        <w:rPr>
          <w:rFonts w:cs="Calibri-Bold"/>
          <w:bCs/>
          <w:sz w:val="24"/>
          <w:szCs w:val="24"/>
        </w:rPr>
        <w:t xml:space="preserve"> </w:t>
      </w:r>
      <w:r w:rsidRPr="002335BA">
        <w:rPr>
          <w:rFonts w:cs="Calibri-Bold"/>
          <w:bCs/>
          <w:sz w:val="24"/>
          <w:szCs w:val="24"/>
        </w:rPr>
        <w:t>áreas funcionales que se señalan:</w:t>
      </w:r>
    </w:p>
    <w:p w:rsidR="00D06FD6" w:rsidRDefault="00D06FD6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  <w:sectPr w:rsidR="00D06FD6" w:rsidSect="0066093D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335BA" w:rsidRDefault="002335BA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lastRenderedPageBreak/>
        <w:t>Finanzas</w:t>
      </w:r>
    </w:p>
    <w:p w:rsidR="002335BA" w:rsidRDefault="002335BA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>Producción</w:t>
      </w:r>
    </w:p>
    <w:p w:rsidR="002335BA" w:rsidRDefault="002335BA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lastRenderedPageBreak/>
        <w:t>Recursos Humanos</w:t>
      </w:r>
    </w:p>
    <w:p w:rsidR="002335BA" w:rsidRDefault="002335BA" w:rsidP="002335B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60" w:after="60" w:line="240" w:lineRule="auto"/>
        <w:ind w:left="851" w:hanging="425"/>
        <w:contextualSpacing w:val="0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>Comercial</w:t>
      </w:r>
    </w:p>
    <w:p w:rsidR="00D06FD6" w:rsidRDefault="00D06FD6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  <w:sectPr w:rsidR="00D06FD6" w:rsidSect="00D06FD6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2335BA" w:rsidRPr="002335BA" w:rsidRDefault="002335BA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lastRenderedPageBreak/>
        <w:t>¿Qué significa que un organigrama tiene cuatro niveles?</w:t>
      </w:r>
    </w:p>
    <w:p w:rsidR="002335BA" w:rsidRPr="002335BA" w:rsidRDefault="002335BA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>Diferencia en la siguiente relación cuáles son consideradas ventajas y cuáles</w:t>
      </w:r>
      <w:r>
        <w:rPr>
          <w:rFonts w:cs="Calibri-Bold"/>
          <w:bCs/>
          <w:sz w:val="24"/>
          <w:szCs w:val="24"/>
        </w:rPr>
        <w:t xml:space="preserve"> </w:t>
      </w:r>
      <w:r w:rsidRPr="002335BA">
        <w:rPr>
          <w:rFonts w:cs="Calibri-Bold"/>
          <w:bCs/>
          <w:sz w:val="24"/>
          <w:szCs w:val="24"/>
        </w:rPr>
        <w:t>inconvenientes en la utilización de los organigramas:</w:t>
      </w:r>
    </w:p>
    <w:p w:rsidR="002335BA" w:rsidRPr="002335BA" w:rsidRDefault="002335BA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 xml:space="preserve">Muestran de forma sencilla y con fácil visualización las líneas jerárquicas: </w:t>
      </w:r>
    </w:p>
    <w:p w:rsidR="002335BA" w:rsidRPr="002335BA" w:rsidRDefault="002335BA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 xml:space="preserve">Suponen un coste. </w:t>
      </w:r>
    </w:p>
    <w:p w:rsidR="002335BA" w:rsidRPr="002335BA" w:rsidRDefault="002335BA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 xml:space="preserve">Reflejan cambios organizativos. </w:t>
      </w:r>
    </w:p>
    <w:p w:rsidR="002335BA" w:rsidRPr="002335BA" w:rsidRDefault="002335BA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 xml:space="preserve">Reproducen la estructura en el momento de su creación y por lo tanto no corresponden al tiempo presente. </w:t>
      </w:r>
    </w:p>
    <w:p w:rsidR="002335BA" w:rsidRPr="002335BA" w:rsidRDefault="002335BA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 xml:space="preserve">Indican al nuevo personal la forma de integrarse en la organización. </w:t>
      </w:r>
    </w:p>
    <w:p w:rsidR="002335BA" w:rsidRDefault="002335BA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t>Muestran relaciones formales de autoridad y obvian las informales.</w:t>
      </w:r>
    </w:p>
    <w:p w:rsidR="002335BA" w:rsidRDefault="002335BA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2335BA">
        <w:rPr>
          <w:rFonts w:cs="Calibri-Bold"/>
          <w:bCs/>
          <w:sz w:val="24"/>
          <w:szCs w:val="24"/>
        </w:rPr>
        <w:lastRenderedPageBreak/>
        <w:t xml:space="preserve">María Asunción García es la directora General de </w:t>
      </w:r>
      <w:r w:rsidR="005804D2">
        <w:rPr>
          <w:rFonts w:cs="Calibri-Bold"/>
          <w:bCs/>
          <w:sz w:val="24"/>
          <w:szCs w:val="24"/>
        </w:rPr>
        <w:t>Refrescos</w:t>
      </w:r>
      <w:r w:rsidRPr="002335BA">
        <w:rPr>
          <w:rFonts w:cs="Calibri-Bold"/>
          <w:bCs/>
          <w:sz w:val="24"/>
          <w:szCs w:val="24"/>
        </w:rPr>
        <w:t>, S. A., empresa dedicada a la venta de bebidas refrescantes. Existen cuatro áreas en la empresa: Comercialización, Recursos Humanos, Administración y Almacén. Del primer departamento dependen Compras y Ventas. Del segundo, Selección y Contratación, Nóminas y Formación. Elabora el organigrama de tipo vertical y el de tipo horizontal para esta empresa.</w:t>
      </w:r>
    </w:p>
    <w:p w:rsidR="005804D2" w:rsidRDefault="005804D2" w:rsidP="002335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>¿Qué tipo de departamentalización han seguido las siguientes empresas, a</w:t>
      </w:r>
      <w:r>
        <w:rPr>
          <w:rFonts w:cs="Calibri-Bold"/>
          <w:bCs/>
          <w:sz w:val="24"/>
          <w:szCs w:val="24"/>
        </w:rPr>
        <w:t xml:space="preserve"> </w:t>
      </w:r>
      <w:r w:rsidRPr="005804D2">
        <w:rPr>
          <w:rFonts w:cs="Calibri-Bold"/>
          <w:bCs/>
          <w:sz w:val="24"/>
          <w:szCs w:val="24"/>
        </w:rPr>
        <w:t>la vista de sus organigramas?</w:t>
      </w:r>
    </w:p>
    <w:p w:rsidR="005804D2" w:rsidRDefault="005804D2" w:rsidP="005804D2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noProof/>
          <w:sz w:val="24"/>
          <w:szCs w:val="24"/>
          <w:lang w:eastAsia="es-ES"/>
        </w:rPr>
        <w:drawing>
          <wp:inline distT="0" distB="0" distL="0" distR="0">
            <wp:extent cx="5800725" cy="1974368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515" cy="197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4D2" w:rsidRDefault="005804D2" w:rsidP="005804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>Investiga en internet y haz un organigrama con los nombres del presidente del Gobierno, vicepresidente y cada uno de los ministros del Gobierno con su ministerio correspondiente.</w:t>
      </w:r>
    </w:p>
    <w:p w:rsidR="005804D2" w:rsidRPr="005804D2" w:rsidRDefault="005804D2" w:rsidP="005804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>Observa el siguiente organigrama y responde:</w:t>
      </w:r>
    </w:p>
    <w:p w:rsidR="005804D2" w:rsidRDefault="005804D2" w:rsidP="005804D2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noProof/>
          <w:sz w:val="24"/>
          <w:szCs w:val="24"/>
          <w:lang w:eastAsia="es-ES"/>
        </w:rPr>
        <w:drawing>
          <wp:inline distT="0" distB="0" distL="0" distR="0">
            <wp:extent cx="5740956" cy="15525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27" cy="155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4D2" w:rsidRPr="005804D2" w:rsidRDefault="005804D2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 xml:space="preserve">¿Quién es el órgano de mayor autoridad? </w:t>
      </w:r>
    </w:p>
    <w:p w:rsidR="005804D2" w:rsidRPr="005804D2" w:rsidRDefault="005804D2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 xml:space="preserve">¿De quién depende el Departamento de Ventas? ¿Y el de Compras? </w:t>
      </w:r>
    </w:p>
    <w:p w:rsidR="005804D2" w:rsidRPr="005804D2" w:rsidRDefault="005804D2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 xml:space="preserve">¿Qué departamentos tienen la misma línea jerárquica que Almacén? </w:t>
      </w:r>
    </w:p>
    <w:p w:rsidR="005804D2" w:rsidRPr="005804D2" w:rsidRDefault="005804D2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 xml:space="preserve">¿Qué departamentos tiene subordinados la Subdirección Financiera? </w:t>
      </w:r>
    </w:p>
    <w:p w:rsidR="005804D2" w:rsidRPr="005804D2" w:rsidRDefault="005804D2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 xml:space="preserve">¿Depende indirectamente el Departamento de Formación de la dirección general? </w:t>
      </w:r>
    </w:p>
    <w:p w:rsidR="005804D2" w:rsidRPr="005804D2" w:rsidRDefault="005804D2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 xml:space="preserve">¿Depende alguien del Departamento de Selección y Contratación? </w:t>
      </w:r>
    </w:p>
    <w:p w:rsidR="005804D2" w:rsidRPr="005804D2" w:rsidRDefault="005804D2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 xml:space="preserve">¿Qué subdirección tiene más autoridad y responsabilidad? </w:t>
      </w:r>
    </w:p>
    <w:p w:rsidR="005804D2" w:rsidRDefault="005804D2" w:rsidP="005804D2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>¿Es cierto que Contabilidad tiene menos responsabilidad que la Subdirección Financiera y esta menos que la Dirección general?</w:t>
      </w:r>
    </w:p>
    <w:p w:rsidR="005804D2" w:rsidRPr="005804D2" w:rsidRDefault="005804D2" w:rsidP="005804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 xml:space="preserve">Confecciona el organigrama de la empresa COMERCIAL ARIAS atendiendo a las indicaciones que a continuación se detallan: </w:t>
      </w:r>
    </w:p>
    <w:p w:rsidR="005804D2" w:rsidRDefault="005804D2" w:rsidP="005804D2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  <w:r w:rsidRPr="005804D2">
        <w:rPr>
          <w:rFonts w:cs="Calibri-Bold"/>
          <w:bCs/>
          <w:sz w:val="24"/>
          <w:szCs w:val="24"/>
        </w:rPr>
        <w:t>El Departamento de Producción y el de Mantenimiento dependen de la Subdirección Técnica; el Departamento de Finanzas y Contabilidad de la Subdirección Administrativa; el Departamento de Selección y Formación y el Departamento de Contratación de la Subdirección de Personal, y de la Subdirección Comercial depende el Departamento de Ventas, Compras y el Departamento de Almacén, que se divide en Almacén de Productos Terminados y Almacén de Herramientas. Todo está controlado por el director gerente.</w:t>
      </w:r>
    </w:p>
    <w:p w:rsidR="00D06FD6" w:rsidRDefault="00D06FD6" w:rsidP="005804D2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</w:p>
    <w:p w:rsidR="00431ECC" w:rsidRDefault="00431ECC" w:rsidP="00431ECC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</w:p>
    <w:p w:rsidR="00CA36CD" w:rsidRPr="00CA36CD" w:rsidRDefault="00CA36CD" w:rsidP="00CA36C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Indica qué departamento realiza las siguientes actividades: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Formación de personal.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Ventas.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Pagos.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Pedidos.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Seguridad e higiene en el trabajo.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Archivo.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Inventarios de existencias. </w:t>
      </w:r>
    </w:p>
    <w:p w:rsid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>Facturas de ventas.</w:t>
      </w:r>
    </w:p>
    <w:p w:rsidR="00CA36CD" w:rsidRDefault="00CA36CD" w:rsidP="00CA36C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>Indica en qué tipo de empresas funciona el Departamento de Producción. ¿A qué sector de Producción pertenecen?</w:t>
      </w:r>
    </w:p>
    <w:p w:rsidR="00CA36CD" w:rsidRPr="00CA36CD" w:rsidRDefault="00CA36CD" w:rsidP="00CA36C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Indica el tipo de organización que más le conviene a cada una de estas empresas según los criterios de departamentalización: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Una editorial que publica novelas infantiles, juveniles y para adultos.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Una empresa de mermeladas que fabrica, envasa y distribuye su producto. </w:t>
      </w:r>
    </w:p>
    <w:p w:rsidR="00CA36CD" w:rsidRP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 xml:space="preserve">Una pequeña empresa dedicada a la compraventa de lámparas. </w:t>
      </w:r>
    </w:p>
    <w:p w:rsidR="00CA36CD" w:rsidRDefault="00CA36CD" w:rsidP="00CA36C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0" w:hanging="425"/>
        <w:contextualSpacing w:val="0"/>
        <w:jc w:val="both"/>
        <w:rPr>
          <w:rFonts w:cs="Calibri-Bold"/>
          <w:bCs/>
          <w:sz w:val="24"/>
          <w:szCs w:val="24"/>
        </w:rPr>
      </w:pPr>
      <w:r w:rsidRPr="00CA36CD">
        <w:rPr>
          <w:rFonts w:cs="Calibri-Bold"/>
          <w:bCs/>
          <w:sz w:val="24"/>
          <w:szCs w:val="24"/>
        </w:rPr>
        <w:t>Una empresa de mensajeros, dirigida por un director general, que tiene sucursales en tres comunidades autónomas.</w:t>
      </w:r>
    </w:p>
    <w:p w:rsidR="00CA36CD" w:rsidRDefault="0012795F" w:rsidP="0012795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>Indica a qué área funcional y a qué departamento corresponde cada una de las siguientes tareas: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Ensayos de cuestiones técnicas.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Diseño de productos. </w:t>
      </w:r>
    </w:p>
    <w:p w:rsid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>Dinero en cuentas bancarias.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>Correspondencia.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Control de absentismo laboral.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Bajas médicas.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Archivo.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Análisis de ofertas.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Actualización de bases de datos de proveedores y artículos.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Valoración de existencias.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Selección, contratación y formación del personal.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Selección de proveedores.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Selección de artículos.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Seguridad e higiene en el trabajo.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Registro y control de las entradas y salidas de mercancías.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Realizar informes sobre el estado de las cuentas.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Publicidad.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Prestación de servicios.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Pedidos.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Nóminas y seguros sociales. </w:t>
      </w:r>
    </w:p>
    <w:p w:rsidR="0012795F" w:rsidRPr="0012795F" w:rsidRDefault="0012795F" w:rsidP="001279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6" w:hanging="357"/>
        <w:contextualSpacing w:val="0"/>
        <w:jc w:val="both"/>
        <w:rPr>
          <w:rFonts w:cs="Calibri-Bold"/>
          <w:bCs/>
          <w:sz w:val="24"/>
          <w:szCs w:val="24"/>
        </w:rPr>
      </w:pPr>
      <w:r w:rsidRPr="0012795F">
        <w:rPr>
          <w:rFonts w:cs="Calibri-Bold"/>
          <w:bCs/>
          <w:sz w:val="24"/>
          <w:szCs w:val="24"/>
        </w:rPr>
        <w:t xml:space="preserve">Llevar la contabilidad. </w:t>
      </w:r>
    </w:p>
    <w:p w:rsidR="0012795F" w:rsidRDefault="0012795F" w:rsidP="0012795F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</w:p>
    <w:p w:rsidR="00324C37" w:rsidRDefault="00324C37" w:rsidP="0012795F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</w:p>
    <w:p w:rsidR="00324C37" w:rsidRDefault="00324C37" w:rsidP="0012795F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</w:p>
    <w:p w:rsidR="00324C37" w:rsidRDefault="00324C37" w:rsidP="0012795F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</w:p>
    <w:p w:rsidR="00324C37" w:rsidRPr="00036858" w:rsidRDefault="00324C37" w:rsidP="00324C37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center"/>
        <w:rPr>
          <w:rFonts w:cs="Calibri-Bold"/>
          <w:b/>
          <w:bCs/>
          <w:sz w:val="24"/>
          <w:szCs w:val="24"/>
        </w:rPr>
      </w:pPr>
      <w:r w:rsidRPr="00036858">
        <w:rPr>
          <w:rFonts w:cs="Calibri-Bold"/>
          <w:b/>
          <w:bCs/>
          <w:sz w:val="24"/>
          <w:szCs w:val="24"/>
        </w:rPr>
        <w:lastRenderedPageBreak/>
        <w:t>TEST</w:t>
      </w:r>
    </w:p>
    <w:p w:rsidR="00324C37" w:rsidRPr="00036858" w:rsidRDefault="00324C37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right="20"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En los organigramas horizontales las unidades de mayor jerarquía se sitúan: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A la derecha.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A la izquierda.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En el centro, al tratarse de organigramas circulares.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Debajo del director general.</w:t>
      </w:r>
    </w:p>
    <w:p w:rsidR="00324C37" w:rsidRPr="00036858" w:rsidRDefault="00324C37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 xml:space="preserve">El órgano </w:t>
      </w:r>
      <w:proofErr w:type="spellStart"/>
      <w:r w:rsidRPr="00036858">
        <w:rPr>
          <w:rFonts w:asciiTheme="minorHAnsi" w:hAnsiTheme="minorHAnsi"/>
          <w:sz w:val="24"/>
          <w:szCs w:val="24"/>
        </w:rPr>
        <w:t>staff</w:t>
      </w:r>
      <w:proofErr w:type="spellEnd"/>
      <w:r w:rsidRPr="00036858">
        <w:rPr>
          <w:rFonts w:asciiTheme="minorHAnsi" w:hAnsiTheme="minorHAnsi"/>
          <w:sz w:val="24"/>
          <w:szCs w:val="24"/>
        </w:rPr>
        <w:t>: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Es uno de los órganos de mayor autoridad.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Es un órgano asesor.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Va unido a la dirección general de la empresa.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right="20"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Es un órgano imprescindible en la organización de la empresa.</w:t>
      </w:r>
    </w:p>
    <w:p w:rsidR="00324C37" w:rsidRPr="00036858" w:rsidRDefault="00324C37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right="20"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La elaboración de las cuentas anuales es una actividad propia del área:</w:t>
      </w:r>
    </w:p>
    <w:p w:rsidR="00A70720" w:rsidRPr="00036858" w:rsidRDefault="00A70720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  <w:sectPr w:rsidR="00A70720" w:rsidRPr="00036858" w:rsidSect="00D06FD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lastRenderedPageBreak/>
        <w:t>De Finanzas.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De Recursos Humanos.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lastRenderedPageBreak/>
        <w:t>De Dirección.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De Producción.</w:t>
      </w:r>
    </w:p>
    <w:p w:rsidR="00A70720" w:rsidRPr="00036858" w:rsidRDefault="00A70720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  <w:sectPr w:rsidR="00A70720" w:rsidRPr="00036858" w:rsidSect="00A7072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324C37" w:rsidRPr="00036858" w:rsidRDefault="00324C37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lastRenderedPageBreak/>
        <w:t>Un departamento es: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Un área funcional en pequeño.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Una parte del área de producción.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Un conjunto de actividades realizadas por una sucursal.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b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 xml:space="preserve">La división o área encargada de </w:t>
      </w:r>
      <w:r w:rsidR="00A70720" w:rsidRPr="00036858">
        <w:rPr>
          <w:rFonts w:asciiTheme="minorHAnsi" w:hAnsiTheme="minorHAnsi"/>
          <w:sz w:val="24"/>
          <w:szCs w:val="24"/>
        </w:rPr>
        <w:t>una actividad concreta</w:t>
      </w:r>
      <w:r w:rsidR="00A70720" w:rsidRPr="00036858">
        <w:rPr>
          <w:rFonts w:asciiTheme="minorHAnsi" w:hAnsiTheme="minorHAnsi"/>
          <w:b/>
          <w:sz w:val="24"/>
          <w:szCs w:val="24"/>
        </w:rPr>
        <w:t>.</w:t>
      </w:r>
    </w:p>
    <w:p w:rsidR="00324C37" w:rsidRPr="00036858" w:rsidRDefault="00324C37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right="20"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¿Cuál de las siguientes actividades corresponde al Departamento de Compras?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Relación con los proveedores.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Relación con los clientes.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Relación con los empleados.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Relación con los comerciales.</w:t>
      </w:r>
    </w:p>
    <w:p w:rsidR="00324C37" w:rsidRPr="00036858" w:rsidRDefault="00324C37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Las embajadas son órganos:</w:t>
      </w:r>
    </w:p>
    <w:p w:rsidR="00A70720" w:rsidRPr="00036858" w:rsidRDefault="00A70720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  <w:sectPr w:rsidR="00A70720" w:rsidRPr="00036858" w:rsidSect="00D06FD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lastRenderedPageBreak/>
        <w:t>Periféricos.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Centrales.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lastRenderedPageBreak/>
        <w:t>Locales.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Autonómicos.</w:t>
      </w:r>
    </w:p>
    <w:p w:rsidR="00A70720" w:rsidRPr="00036858" w:rsidRDefault="00A70720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  <w:sectPr w:rsidR="00A70720" w:rsidRPr="00036858" w:rsidSect="00A7072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324C37" w:rsidRPr="00036858" w:rsidRDefault="00324C37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lastRenderedPageBreak/>
        <w:t>Un organigrama es una representación gráfica: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De la estructura interna de un departamento.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 xml:space="preserve">De la estructura </w:t>
      </w:r>
      <w:r w:rsidR="00A70720" w:rsidRPr="00036858">
        <w:rPr>
          <w:rFonts w:asciiTheme="minorHAnsi" w:hAnsiTheme="minorHAnsi"/>
          <w:sz w:val="24"/>
          <w:szCs w:val="24"/>
        </w:rPr>
        <w:t>organizativa de una empresa</w:t>
      </w:r>
      <w:r w:rsidRPr="00036858">
        <w:rPr>
          <w:rFonts w:asciiTheme="minorHAnsi" w:hAnsiTheme="minorHAnsi"/>
          <w:sz w:val="24"/>
          <w:szCs w:val="24"/>
        </w:rPr>
        <w:t>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De los jefes y empleados que existen en la empresa.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right="20"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De la estructura de las áreas funcionales que forman la empresa.</w:t>
      </w:r>
    </w:p>
    <w:p w:rsidR="00324C37" w:rsidRPr="00036858" w:rsidRDefault="00324C37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right="20"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Las figuras geométricas que forman parte del organigrama suelen ser: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Rectángulos con dimensiones semejantes.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Elipses con diferentes tamaños.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Rectángulos de diferentes dimensiones.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Círculos y rombos usados indistintamente.</w:t>
      </w:r>
    </w:p>
    <w:p w:rsidR="00324C37" w:rsidRPr="00036858" w:rsidRDefault="00324C37" w:rsidP="00A70720">
      <w:pPr>
        <w:pStyle w:val="Cuerpodeltexto20"/>
        <w:numPr>
          <w:ilvl w:val="0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En la confección de los organigramas se usan:</w:t>
      </w:r>
    </w:p>
    <w:p w:rsidR="00A70720" w:rsidRPr="00036858" w:rsidRDefault="00A70720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  <w:sectPr w:rsidR="00A70720" w:rsidRPr="00036858" w:rsidSect="00D06FD6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lastRenderedPageBreak/>
        <w:t>Líneas curvas.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Líneas rectas.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lastRenderedPageBreak/>
        <w:t>Líneas curvas y rectas.</w:t>
      </w:r>
    </w:p>
    <w:p w:rsidR="00324C37" w:rsidRPr="00036858" w:rsidRDefault="00324C37" w:rsidP="00A70720">
      <w:pPr>
        <w:pStyle w:val="Cuerpodeltexto0"/>
        <w:numPr>
          <w:ilvl w:val="1"/>
          <w:numId w:val="20"/>
        </w:numPr>
        <w:shd w:val="clear" w:color="auto" w:fill="auto"/>
        <w:spacing w:before="60" w:after="60" w:line="240" w:lineRule="auto"/>
        <w:ind w:hanging="357"/>
        <w:rPr>
          <w:rFonts w:asciiTheme="minorHAnsi" w:hAnsiTheme="minorHAnsi"/>
          <w:sz w:val="24"/>
          <w:szCs w:val="24"/>
        </w:rPr>
      </w:pPr>
      <w:r w:rsidRPr="00036858">
        <w:rPr>
          <w:rFonts w:asciiTheme="minorHAnsi" w:hAnsiTheme="minorHAnsi"/>
          <w:sz w:val="24"/>
          <w:szCs w:val="24"/>
        </w:rPr>
        <w:t>Líneas dobles.</w:t>
      </w:r>
    </w:p>
    <w:p w:rsidR="00A70720" w:rsidRPr="00036858" w:rsidRDefault="00A70720" w:rsidP="0012795F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  <w:sectPr w:rsidR="00A70720" w:rsidRPr="00036858" w:rsidSect="00A7072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A70720" w:rsidRPr="00036858" w:rsidRDefault="00A70720" w:rsidP="0012795F">
      <w:pPr>
        <w:pStyle w:val="Prrafodelista"/>
        <w:autoSpaceDE w:val="0"/>
        <w:autoSpaceDN w:val="0"/>
        <w:adjustRightInd w:val="0"/>
        <w:spacing w:before="60" w:after="60" w:line="240" w:lineRule="auto"/>
        <w:ind w:left="426"/>
        <w:contextualSpacing w:val="0"/>
        <w:jc w:val="both"/>
        <w:rPr>
          <w:rFonts w:cs="Calibri-Bold"/>
          <w:bCs/>
          <w:sz w:val="24"/>
          <w:szCs w:val="24"/>
        </w:rPr>
      </w:pPr>
    </w:p>
    <w:sectPr w:rsidR="00A70720" w:rsidRPr="00036858" w:rsidSect="00D06FD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FD6" w:rsidRDefault="00D06FD6" w:rsidP="00D06FD6">
      <w:pPr>
        <w:spacing w:after="0" w:line="240" w:lineRule="auto"/>
      </w:pPr>
      <w:r>
        <w:separator/>
      </w:r>
    </w:p>
  </w:endnote>
  <w:endnote w:type="continuationSeparator" w:id="1">
    <w:p w:rsidR="00D06FD6" w:rsidRDefault="00D06FD6" w:rsidP="00D0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80237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06FD6" w:rsidRPr="00D06FD6" w:rsidRDefault="00D06FD6" w:rsidP="00D06FD6">
        <w:pPr>
          <w:pStyle w:val="Piedepgina"/>
          <w:jc w:val="center"/>
          <w:rPr>
            <w:rFonts w:asciiTheme="majorHAnsi" w:hAnsiTheme="majorHAnsi"/>
            <w:sz w:val="28"/>
            <w:szCs w:val="28"/>
          </w:rPr>
        </w:pPr>
        <w:r w:rsidRPr="00D06FD6">
          <w:rPr>
            <w:rFonts w:ascii="Comic Sans MS" w:hAnsi="Comic Sans MS"/>
            <w:sz w:val="20"/>
            <w:szCs w:val="20"/>
          </w:rPr>
          <w:t xml:space="preserve">Pág. </w:t>
        </w:r>
        <w:r w:rsidR="00884AA9" w:rsidRPr="00D06FD6">
          <w:rPr>
            <w:rFonts w:ascii="Comic Sans MS" w:hAnsi="Comic Sans MS"/>
            <w:sz w:val="20"/>
            <w:szCs w:val="20"/>
          </w:rPr>
          <w:fldChar w:fldCharType="begin"/>
        </w:r>
        <w:r w:rsidRPr="00D06FD6">
          <w:rPr>
            <w:rFonts w:ascii="Comic Sans MS" w:hAnsi="Comic Sans MS"/>
            <w:sz w:val="20"/>
            <w:szCs w:val="20"/>
          </w:rPr>
          <w:instrText xml:space="preserve"> PAGE    \* MERGEFORMAT </w:instrText>
        </w:r>
        <w:r w:rsidR="00884AA9" w:rsidRPr="00D06FD6">
          <w:rPr>
            <w:rFonts w:ascii="Comic Sans MS" w:hAnsi="Comic Sans MS"/>
            <w:sz w:val="20"/>
            <w:szCs w:val="20"/>
          </w:rPr>
          <w:fldChar w:fldCharType="separate"/>
        </w:r>
        <w:r w:rsidR="00036858">
          <w:rPr>
            <w:rFonts w:ascii="Comic Sans MS" w:hAnsi="Comic Sans MS"/>
            <w:noProof/>
            <w:sz w:val="20"/>
            <w:szCs w:val="20"/>
          </w:rPr>
          <w:t>4</w:t>
        </w:r>
        <w:r w:rsidR="00884AA9" w:rsidRPr="00D06FD6">
          <w:rPr>
            <w:rFonts w:ascii="Comic Sans MS" w:hAnsi="Comic Sans MS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FD6" w:rsidRDefault="00D06FD6" w:rsidP="00D06FD6">
      <w:pPr>
        <w:spacing w:after="0" w:line="240" w:lineRule="auto"/>
      </w:pPr>
      <w:r>
        <w:separator/>
      </w:r>
    </w:p>
  </w:footnote>
  <w:footnote w:type="continuationSeparator" w:id="1">
    <w:p w:rsidR="00D06FD6" w:rsidRDefault="00D06FD6" w:rsidP="00D0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880"/>
    <w:multiLevelType w:val="multilevel"/>
    <w:tmpl w:val="13308EA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83D69"/>
    <w:multiLevelType w:val="multilevel"/>
    <w:tmpl w:val="370EA63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D93EE7"/>
    <w:multiLevelType w:val="multilevel"/>
    <w:tmpl w:val="AD367B3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E7529"/>
    <w:multiLevelType w:val="multilevel"/>
    <w:tmpl w:val="D660993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>
    <w:nsid w:val="1EBC4FB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417379"/>
    <w:multiLevelType w:val="multilevel"/>
    <w:tmpl w:val="70F01B3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200A7"/>
    <w:multiLevelType w:val="multilevel"/>
    <w:tmpl w:val="E5C8C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220347"/>
    <w:multiLevelType w:val="multilevel"/>
    <w:tmpl w:val="CE1C86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EA42DA"/>
    <w:multiLevelType w:val="multilevel"/>
    <w:tmpl w:val="DA9E69F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E913C3"/>
    <w:multiLevelType w:val="multilevel"/>
    <w:tmpl w:val="A51EDC4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C40EB3"/>
    <w:multiLevelType w:val="multilevel"/>
    <w:tmpl w:val="1CC4CC7A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E656B2"/>
    <w:multiLevelType w:val="multilevel"/>
    <w:tmpl w:val="5522778E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0D261B"/>
    <w:multiLevelType w:val="multilevel"/>
    <w:tmpl w:val="452AC9C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6F5514"/>
    <w:multiLevelType w:val="multilevel"/>
    <w:tmpl w:val="6CEAD88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4F1FD0"/>
    <w:multiLevelType w:val="multilevel"/>
    <w:tmpl w:val="E39EDE4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AA48EF"/>
    <w:multiLevelType w:val="multilevel"/>
    <w:tmpl w:val="80F83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8162D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7024CD0"/>
    <w:multiLevelType w:val="multilevel"/>
    <w:tmpl w:val="0CB6FA4A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7C636A"/>
    <w:multiLevelType w:val="multilevel"/>
    <w:tmpl w:val="67F4611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7D3037"/>
    <w:multiLevelType w:val="multilevel"/>
    <w:tmpl w:val="CABAC92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3"/>
  </w:num>
  <w:num w:numId="5">
    <w:abstractNumId w:val="14"/>
  </w:num>
  <w:num w:numId="6">
    <w:abstractNumId w:val="9"/>
  </w:num>
  <w:num w:numId="7">
    <w:abstractNumId w:val="1"/>
  </w:num>
  <w:num w:numId="8">
    <w:abstractNumId w:val="18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19"/>
  </w:num>
  <w:num w:numId="17">
    <w:abstractNumId w:val="2"/>
  </w:num>
  <w:num w:numId="18">
    <w:abstractNumId w:val="12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93D"/>
    <w:rsid w:val="00036858"/>
    <w:rsid w:val="000A1C5D"/>
    <w:rsid w:val="000A7D11"/>
    <w:rsid w:val="0012795F"/>
    <w:rsid w:val="002335BA"/>
    <w:rsid w:val="00324C37"/>
    <w:rsid w:val="00431ECC"/>
    <w:rsid w:val="005804D2"/>
    <w:rsid w:val="0066093D"/>
    <w:rsid w:val="006E1B79"/>
    <w:rsid w:val="00857DC0"/>
    <w:rsid w:val="00884AA9"/>
    <w:rsid w:val="008A0C52"/>
    <w:rsid w:val="00955143"/>
    <w:rsid w:val="00A70720"/>
    <w:rsid w:val="00CA36CD"/>
    <w:rsid w:val="00D0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93D"/>
    <w:pPr>
      <w:ind w:left="720"/>
      <w:contextualSpacing/>
    </w:pPr>
  </w:style>
  <w:style w:type="paragraph" w:customStyle="1" w:styleId="Default">
    <w:name w:val="Default"/>
    <w:rsid w:val="00660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4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0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6FD6"/>
  </w:style>
  <w:style w:type="paragraph" w:styleId="Piedepgina">
    <w:name w:val="footer"/>
    <w:basedOn w:val="Normal"/>
    <w:link w:val="PiedepginaCar"/>
    <w:uiPriority w:val="99"/>
    <w:unhideWhenUsed/>
    <w:rsid w:val="00D0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FD6"/>
  </w:style>
  <w:style w:type="character" w:customStyle="1" w:styleId="Cuerpodeltexto2">
    <w:name w:val="Cuerpo del texto (2)_"/>
    <w:basedOn w:val="Fuentedeprrafopredeter"/>
    <w:link w:val="Cuerpodeltexto20"/>
    <w:rsid w:val="00324C37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Cuerpodeltexto">
    <w:name w:val="Cuerpo del texto_"/>
    <w:basedOn w:val="Fuentedeprrafopredeter"/>
    <w:link w:val="Cuerpodeltexto0"/>
    <w:rsid w:val="00324C3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24C37"/>
    <w:pPr>
      <w:widowControl w:val="0"/>
      <w:shd w:val="clear" w:color="auto" w:fill="FFFFFF"/>
      <w:spacing w:after="0" w:line="238" w:lineRule="exact"/>
      <w:ind w:hanging="300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Cuerpodeltexto0">
    <w:name w:val="Cuerpo del texto"/>
    <w:basedOn w:val="Normal"/>
    <w:link w:val="Cuerpodeltexto"/>
    <w:rsid w:val="00324C37"/>
    <w:pPr>
      <w:widowControl w:val="0"/>
      <w:shd w:val="clear" w:color="auto" w:fill="FFFFFF"/>
      <w:spacing w:after="0" w:line="310" w:lineRule="exact"/>
      <w:ind w:hanging="200"/>
    </w:pPr>
    <w:rPr>
      <w:rFonts w:ascii="Trebuchet MS" w:eastAsia="Trebuchet MS" w:hAnsi="Trebuchet MS" w:cs="Trebuchet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2018-10-15T19:05:00Z</dcterms:created>
  <dcterms:modified xsi:type="dcterms:W3CDTF">2018-10-15T19:05:00Z</dcterms:modified>
</cp:coreProperties>
</file>