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0D8" w:rsidRPr="00F460D8" w:rsidRDefault="00F460D8" w:rsidP="00F460D8">
      <w:pPr>
        <w:spacing w:after="0" w:line="360" w:lineRule="auto"/>
        <w:rPr>
          <w:rFonts w:ascii="Comic Sans MS" w:hAnsi="Comic Sans MS"/>
          <w:b/>
          <w:sz w:val="40"/>
          <w:szCs w:val="40"/>
        </w:rPr>
      </w:pPr>
      <w:r w:rsidRPr="00F460D8">
        <w:rPr>
          <w:rFonts w:ascii="Comic Sans MS" w:hAnsi="Comic Sans MS"/>
          <w:b/>
          <w:sz w:val="40"/>
          <w:szCs w:val="40"/>
        </w:rPr>
        <w:t>ODS 2: “Hambre cero”.</w:t>
      </w:r>
    </w:p>
    <w:p w:rsidR="00F460D8" w:rsidRDefault="00F460D8" w:rsidP="00F460D8">
      <w:pPr>
        <w:spacing w:after="0" w:line="360" w:lineRule="auto"/>
        <w:rPr>
          <w:rFonts w:ascii="Comic Sans MS" w:hAnsi="Comic Sans MS"/>
          <w:sz w:val="24"/>
          <w:szCs w:val="24"/>
        </w:rPr>
      </w:pPr>
      <w:r w:rsidRPr="00F460D8">
        <w:rPr>
          <w:rFonts w:ascii="Comic Sans MS" w:hAnsi="Comic Sans MS"/>
          <w:sz w:val="24"/>
          <w:szCs w:val="24"/>
        </w:rPr>
        <w:t>El problema global del hambre y la inseguridad alimentaria ha mostrado un aumento alarmante desde 2015, una tendencia exacerbada por una combinación de factores que incluyen la pandemia, los conflictos, el cambio climático y la profundización de las desigualdades.</w:t>
      </w:r>
      <w:r w:rsidRPr="00F460D8">
        <w:rPr>
          <w:rFonts w:ascii="Comic Sans MS" w:hAnsi="Comic Sans MS"/>
          <w:sz w:val="24"/>
          <w:szCs w:val="24"/>
        </w:rPr>
        <w:br/>
        <w:t>En 2022, aproximadamente 735 millones de personas (o el 9,2 % de la población mundial) se encontraban en estado de hambre crónica, un aumento vertiginoso en comparación con 2019. Estos datos subrayan la gravedad de la situación y revelan una crisis creciente.</w:t>
      </w:r>
      <w:r w:rsidRPr="00F460D8">
        <w:rPr>
          <w:rFonts w:ascii="Comic Sans MS" w:hAnsi="Comic Sans MS"/>
          <w:sz w:val="24"/>
          <w:szCs w:val="24"/>
        </w:rPr>
        <w:br/>
        <w:t>Además, se estima que 2400 millones de personas se enfrentaron a inseguridad alimentaria de moderada a grave en 2022; lo que significa que carecen de acceso a una alimentación suficiente. Este número aumentó en unos alarmantes 391 millones de personas en comparación con 2019.</w:t>
      </w:r>
      <w:r w:rsidRPr="00F460D8">
        <w:rPr>
          <w:rFonts w:ascii="Comic Sans MS" w:hAnsi="Comic Sans MS"/>
          <w:sz w:val="24"/>
          <w:szCs w:val="24"/>
        </w:rPr>
        <w:br/>
        <w:t>El persistente aumento del hambre y la inseguridad alimentaria, impulsado por una compleja interacción de factores, exige atención inmediata y esfuerzos globales coordinados para aliviar este desafío humanitario crítico.</w:t>
      </w:r>
      <w:r w:rsidRPr="00F460D8">
        <w:rPr>
          <w:rFonts w:ascii="Comic Sans MS" w:hAnsi="Comic Sans MS"/>
          <w:sz w:val="24"/>
          <w:szCs w:val="24"/>
        </w:rPr>
        <w:br/>
        <w:t>El hambre y la malnutrición extremas siguen siendo un obstáculo para el desarrollo sostenible y crean una trampa de la que las personas no pueden escapar fácilmente. El hambre y la malnutrición se traducen en individuos menos productivos, más propensos a las enfermedades y, por tanto, a menudo imposibilitados para ganar más y mejorar sus medios de subsistencia. 2000 millones de personas en el mundo no tienen acceso habitual a alimentos seguros, nutritivos y suficientes. En 2022, 148 millones de niños sufrieron retraso en el crecimiento y 45 millones de niños menores de 5 años sufrieron emaciación.</w:t>
      </w:r>
    </w:p>
    <w:p w:rsidR="00F460D8" w:rsidRPr="00F460D8" w:rsidRDefault="00F460D8" w:rsidP="00F460D8">
      <w:pPr>
        <w:spacing w:after="0" w:line="360" w:lineRule="auto"/>
        <w:rPr>
          <w:rFonts w:ascii="Comic Sans MS" w:hAnsi="Comic Sans MS"/>
          <w:sz w:val="24"/>
          <w:szCs w:val="24"/>
        </w:rPr>
      </w:pPr>
    </w:p>
    <w:p w:rsidR="00F460D8" w:rsidRPr="00F460D8" w:rsidRDefault="00F460D8" w:rsidP="00F460D8">
      <w:pPr>
        <w:spacing w:after="0" w:line="360" w:lineRule="auto"/>
        <w:rPr>
          <w:rFonts w:ascii="Comic Sans MS" w:hAnsi="Comic Sans MS"/>
          <w:b/>
          <w:bCs/>
          <w:sz w:val="24"/>
          <w:szCs w:val="24"/>
        </w:rPr>
      </w:pPr>
      <w:r w:rsidRPr="00F460D8">
        <w:rPr>
          <w:rFonts w:ascii="Comic Sans MS" w:hAnsi="Comic Sans MS"/>
          <w:b/>
          <w:bCs/>
          <w:sz w:val="24"/>
          <w:szCs w:val="24"/>
        </w:rPr>
        <w:lastRenderedPageBreak/>
        <w:t>¿Cuántas personas pasan hambre?</w:t>
      </w:r>
    </w:p>
    <w:p w:rsidR="00F460D8" w:rsidRPr="00F460D8" w:rsidRDefault="00F460D8" w:rsidP="00F460D8">
      <w:pPr>
        <w:spacing w:after="0" w:line="360" w:lineRule="auto"/>
        <w:rPr>
          <w:rFonts w:ascii="Comic Sans MS" w:hAnsi="Comic Sans MS"/>
          <w:sz w:val="24"/>
          <w:szCs w:val="24"/>
        </w:rPr>
      </w:pPr>
      <w:r w:rsidRPr="00F460D8">
        <w:rPr>
          <w:rFonts w:ascii="Comic Sans MS" w:hAnsi="Comic Sans MS"/>
          <w:sz w:val="24"/>
          <w:szCs w:val="24"/>
        </w:rPr>
        <w:t>Se prevé que más de 600 millones de personas en todo el mundo se enfrentarán al hambre en 2030, lo que pone de relieve el inmenso desafío de alcanzar el objetivo de hambre cero.</w:t>
      </w:r>
      <w:r w:rsidRPr="00F460D8">
        <w:rPr>
          <w:rFonts w:ascii="Comic Sans MS" w:hAnsi="Comic Sans MS"/>
          <w:sz w:val="24"/>
          <w:szCs w:val="24"/>
        </w:rPr>
        <w:br/>
        <w:t>Las personas que experimentan inseguridad alimentaria y moderada normalmente no pueden llevar una dieta sana y equilibrada de forma habitual debido a limitaciones de ingresos u otros recursos.</w:t>
      </w:r>
    </w:p>
    <w:p w:rsidR="00F460D8" w:rsidRPr="00F460D8" w:rsidRDefault="00F460D8" w:rsidP="00F460D8">
      <w:pPr>
        <w:spacing w:after="0" w:line="360" w:lineRule="auto"/>
        <w:rPr>
          <w:rFonts w:ascii="Comic Sans MS" w:hAnsi="Comic Sans MS"/>
          <w:b/>
          <w:bCs/>
          <w:sz w:val="24"/>
          <w:szCs w:val="24"/>
        </w:rPr>
      </w:pPr>
      <w:r w:rsidRPr="00F460D8">
        <w:rPr>
          <w:rFonts w:ascii="Comic Sans MS" w:hAnsi="Comic Sans MS"/>
          <w:b/>
          <w:bCs/>
          <w:sz w:val="24"/>
          <w:szCs w:val="24"/>
        </w:rPr>
        <w:t>¿Por qué hay tantas personas que pasan hambre?</w:t>
      </w:r>
    </w:p>
    <w:p w:rsidR="00F460D8" w:rsidRPr="00F460D8" w:rsidRDefault="00F460D8" w:rsidP="00F460D8">
      <w:pPr>
        <w:spacing w:after="0" w:line="360" w:lineRule="auto"/>
        <w:rPr>
          <w:rFonts w:ascii="Comic Sans MS" w:hAnsi="Comic Sans MS"/>
          <w:sz w:val="24"/>
          <w:szCs w:val="24"/>
        </w:rPr>
      </w:pPr>
      <w:r w:rsidRPr="00F460D8">
        <w:rPr>
          <w:rFonts w:ascii="Comic Sans MS" w:hAnsi="Comic Sans MS"/>
          <w:sz w:val="24"/>
          <w:szCs w:val="24"/>
        </w:rPr>
        <w:t>Sorprendentemente, el mundo ha vuelto a niveles de hambre no vistos desde 2005, y los precios de los alimentos siguen siendo más altos en más países que en el período 2015-2019. Junto con los conflictos, la crisis climática y el aumento del coste de la vida, la inseguridad civil y la disminución de la producción de alimentos han contribuido a la escasez y los altos precios de los alimentos.</w:t>
      </w:r>
      <w:r w:rsidRPr="00F460D8">
        <w:rPr>
          <w:rFonts w:ascii="Comic Sans MS" w:hAnsi="Comic Sans MS"/>
          <w:sz w:val="24"/>
          <w:szCs w:val="24"/>
        </w:rPr>
        <w:br/>
        <w:t>La inversión en el sector agrícola es fundamental para reducir el hambre y la pobreza, mejorar la seguridad alimentaria, crear empleo y aumentar la resiliencia ante desastres y crisis.</w:t>
      </w:r>
    </w:p>
    <w:p w:rsidR="00F460D8" w:rsidRPr="00F460D8" w:rsidRDefault="00F460D8" w:rsidP="00F460D8">
      <w:pPr>
        <w:spacing w:after="0" w:line="360" w:lineRule="auto"/>
        <w:rPr>
          <w:rFonts w:ascii="Comic Sans MS" w:hAnsi="Comic Sans MS"/>
          <w:b/>
          <w:bCs/>
          <w:sz w:val="24"/>
          <w:szCs w:val="24"/>
        </w:rPr>
      </w:pPr>
      <w:r w:rsidRPr="00F460D8">
        <w:rPr>
          <w:rFonts w:ascii="Comic Sans MS" w:hAnsi="Comic Sans MS"/>
          <w:b/>
          <w:bCs/>
          <w:sz w:val="24"/>
          <w:szCs w:val="24"/>
        </w:rPr>
        <w:t>¿Por qué debería importarme?</w:t>
      </w:r>
    </w:p>
    <w:p w:rsidR="00F460D8" w:rsidRDefault="00F460D8" w:rsidP="00F460D8">
      <w:pPr>
        <w:spacing w:after="0" w:line="360" w:lineRule="auto"/>
        <w:rPr>
          <w:rFonts w:ascii="Comic Sans MS" w:hAnsi="Comic Sans MS"/>
          <w:sz w:val="24"/>
          <w:szCs w:val="24"/>
        </w:rPr>
      </w:pPr>
      <w:r w:rsidRPr="00F460D8">
        <w:rPr>
          <w:rFonts w:ascii="Comic Sans MS" w:hAnsi="Comic Sans MS"/>
          <w:sz w:val="24"/>
          <w:szCs w:val="24"/>
        </w:rPr>
        <w:t>Todos queremos que nuestras familias tengan suficientes alimentos para consumir productos seguros y nutritivos.</w:t>
      </w:r>
      <w:r>
        <w:rPr>
          <w:rFonts w:ascii="Comic Sans MS" w:hAnsi="Comic Sans MS"/>
          <w:sz w:val="24"/>
          <w:szCs w:val="24"/>
        </w:rPr>
        <w:t xml:space="preserve"> </w:t>
      </w:r>
      <w:r w:rsidRPr="00F460D8">
        <w:rPr>
          <w:rFonts w:ascii="Comic Sans MS" w:hAnsi="Comic Sans MS"/>
          <w:sz w:val="24"/>
          <w:szCs w:val="24"/>
        </w:rPr>
        <w:t>Un mundo sin hambre puede tener un impacto positivo en nuestras economías, salud, educación, igualdad y desarrollo social.</w:t>
      </w:r>
      <w:r w:rsidRPr="00F460D8">
        <w:rPr>
          <w:rFonts w:ascii="Comic Sans MS" w:hAnsi="Comic Sans MS"/>
          <w:sz w:val="24"/>
          <w:szCs w:val="24"/>
        </w:rPr>
        <w:br/>
        <w:t>Es una pieza clave para construir un futuro mejor para todos. Además, dado que el hambre limita el desarrollo humano, no podremos alcanzar otros objetivos de desarrollo sostenible, como la educación, la salud y la igualdad de género.</w:t>
      </w:r>
    </w:p>
    <w:p w:rsidR="00F460D8" w:rsidRDefault="00F460D8" w:rsidP="00F460D8">
      <w:pPr>
        <w:spacing w:after="0" w:line="360" w:lineRule="auto"/>
        <w:rPr>
          <w:rFonts w:ascii="Comic Sans MS" w:hAnsi="Comic Sans MS"/>
          <w:sz w:val="24"/>
          <w:szCs w:val="24"/>
        </w:rPr>
      </w:pPr>
    </w:p>
    <w:p w:rsidR="00F460D8" w:rsidRPr="00F460D8" w:rsidRDefault="00F460D8" w:rsidP="00F460D8">
      <w:pPr>
        <w:spacing w:after="0" w:line="360" w:lineRule="auto"/>
        <w:rPr>
          <w:rFonts w:ascii="Comic Sans MS" w:hAnsi="Comic Sans MS"/>
          <w:sz w:val="24"/>
          <w:szCs w:val="24"/>
        </w:rPr>
      </w:pPr>
      <w:bookmarkStart w:id="0" w:name="_GoBack"/>
      <w:bookmarkEnd w:id="0"/>
    </w:p>
    <w:p w:rsidR="00F460D8" w:rsidRPr="00F460D8" w:rsidRDefault="00F460D8" w:rsidP="00F460D8">
      <w:pPr>
        <w:spacing w:after="0" w:line="360" w:lineRule="auto"/>
        <w:rPr>
          <w:rFonts w:ascii="Comic Sans MS" w:hAnsi="Comic Sans MS"/>
          <w:b/>
          <w:bCs/>
          <w:sz w:val="24"/>
          <w:szCs w:val="24"/>
        </w:rPr>
      </w:pPr>
      <w:r w:rsidRPr="00F460D8">
        <w:rPr>
          <w:rFonts w:ascii="Comic Sans MS" w:hAnsi="Comic Sans MS"/>
          <w:b/>
          <w:bCs/>
          <w:sz w:val="24"/>
          <w:szCs w:val="24"/>
        </w:rPr>
        <w:lastRenderedPageBreak/>
        <w:t>¿Cómo podemos lograr el hambre cero?</w:t>
      </w:r>
    </w:p>
    <w:p w:rsidR="00F460D8" w:rsidRPr="00F460D8" w:rsidRDefault="00F460D8" w:rsidP="00F460D8">
      <w:pPr>
        <w:spacing w:after="0" w:line="360" w:lineRule="auto"/>
        <w:rPr>
          <w:rFonts w:ascii="Comic Sans MS" w:hAnsi="Comic Sans MS"/>
          <w:sz w:val="24"/>
          <w:szCs w:val="24"/>
        </w:rPr>
      </w:pPr>
      <w:r w:rsidRPr="00F460D8">
        <w:rPr>
          <w:rFonts w:ascii="Comic Sans MS" w:hAnsi="Comic Sans MS"/>
          <w:sz w:val="24"/>
          <w:szCs w:val="24"/>
        </w:rPr>
        <w:t>La seguridad alimentaria requiere un enfoque pluridimensional: desde la protección social para salvaguardar alimentos inocuos y nutritivos, especialmente para los niños, hasta la transformación de los sistemas alimentarios para lograr un mundo más inclusivo y sostenible. Será necesario realizar inversiones en zonas rurales y urbanas y en protección social para que las personas más pobres tengan acceso a los alimentos y puedan mejorar sus medios de subsistencia.</w:t>
      </w:r>
    </w:p>
    <w:p w:rsidR="00F460D8" w:rsidRPr="00F460D8" w:rsidRDefault="00F460D8" w:rsidP="00F460D8">
      <w:pPr>
        <w:spacing w:after="0" w:line="360" w:lineRule="auto"/>
        <w:rPr>
          <w:rFonts w:ascii="Comic Sans MS" w:hAnsi="Comic Sans MS"/>
          <w:b/>
          <w:bCs/>
          <w:sz w:val="24"/>
          <w:szCs w:val="24"/>
        </w:rPr>
      </w:pPr>
      <w:r w:rsidRPr="00F460D8">
        <w:rPr>
          <w:rFonts w:ascii="Comic Sans MS" w:hAnsi="Comic Sans MS"/>
          <w:b/>
          <w:bCs/>
          <w:sz w:val="24"/>
          <w:szCs w:val="24"/>
        </w:rPr>
        <w:t>¿Qué podemos hacer para ayudar?</w:t>
      </w:r>
    </w:p>
    <w:p w:rsidR="00F460D8" w:rsidRDefault="00F460D8" w:rsidP="00F460D8">
      <w:pPr>
        <w:pStyle w:val="Prrafodelista"/>
        <w:numPr>
          <w:ilvl w:val="0"/>
          <w:numId w:val="6"/>
        </w:numPr>
        <w:spacing w:after="0" w:line="360" w:lineRule="auto"/>
        <w:rPr>
          <w:rFonts w:ascii="Comic Sans MS" w:hAnsi="Comic Sans MS"/>
          <w:sz w:val="24"/>
          <w:szCs w:val="24"/>
        </w:rPr>
      </w:pPr>
      <w:r w:rsidRPr="00F460D8">
        <w:rPr>
          <w:rFonts w:ascii="Comic Sans MS" w:hAnsi="Comic Sans MS"/>
          <w:sz w:val="24"/>
          <w:szCs w:val="24"/>
        </w:rPr>
        <w:t>Puedes contribuir con cambios en tu propia vida (en casa, en el trabajo y en tu comunidad) apoyando a los agricultores o mercados locales y eligiendo alimentos sostenibles, defendiendo una buena nutrición para todos y luchando cont</w:t>
      </w:r>
      <w:r>
        <w:rPr>
          <w:rFonts w:ascii="Comic Sans MS" w:hAnsi="Comic Sans MS"/>
          <w:sz w:val="24"/>
          <w:szCs w:val="24"/>
        </w:rPr>
        <w:t>ra el desperdicio de alimentos.</w:t>
      </w:r>
    </w:p>
    <w:p w:rsidR="00F460D8" w:rsidRPr="00F460D8" w:rsidRDefault="00F460D8" w:rsidP="00F460D8">
      <w:pPr>
        <w:pStyle w:val="Prrafodelista"/>
        <w:numPr>
          <w:ilvl w:val="0"/>
          <w:numId w:val="6"/>
        </w:numPr>
        <w:spacing w:after="0" w:line="360" w:lineRule="auto"/>
        <w:rPr>
          <w:rFonts w:ascii="Comic Sans MS" w:hAnsi="Comic Sans MS"/>
          <w:sz w:val="24"/>
          <w:szCs w:val="24"/>
        </w:rPr>
      </w:pPr>
      <w:r w:rsidRPr="00F460D8">
        <w:rPr>
          <w:rFonts w:ascii="Comic Sans MS" w:hAnsi="Comic Sans MS"/>
          <w:sz w:val="24"/>
          <w:szCs w:val="24"/>
        </w:rPr>
        <w:t>También puedes usar tu poder como consumidor y votante, exigiendo a las empresas y a los gobiernos que tomen las decisiones y los cambios que harán realidad el hambre cero. Participa y únete a la conversación, ya sea en plataformas de redes sociales o en tus comunidades locales.</w:t>
      </w:r>
    </w:p>
    <w:p w:rsidR="00F460D8" w:rsidRPr="00F460D8" w:rsidRDefault="00F460D8" w:rsidP="00F460D8">
      <w:pPr>
        <w:numPr>
          <w:ilvl w:val="0"/>
          <w:numId w:val="5"/>
        </w:numPr>
        <w:spacing w:after="0" w:line="360" w:lineRule="auto"/>
        <w:rPr>
          <w:rFonts w:ascii="Comic Sans MS" w:hAnsi="Comic Sans MS"/>
          <w:sz w:val="24"/>
          <w:szCs w:val="24"/>
        </w:rPr>
      </w:pPr>
      <w:r w:rsidRPr="00F460D8">
        <w:rPr>
          <w:rFonts w:ascii="Comic Sans MS" w:hAnsi="Comic Sans MS"/>
          <w:sz w:val="24"/>
          <w:szCs w:val="24"/>
        </w:rPr>
        <w:t xml:space="preserve">A pesar de los esfuerzos globales, se calcula que, en 2022, 45 millones de niños menores de 5 años sufrían desnutrición aguda, 148 millones tenían retrasos en el crecimiento y 37 millones, sobrepeso. </w:t>
      </w:r>
    </w:p>
    <w:p w:rsidR="00F460D8" w:rsidRPr="00F460D8" w:rsidRDefault="00F460D8" w:rsidP="00F460D8">
      <w:pPr>
        <w:numPr>
          <w:ilvl w:val="0"/>
          <w:numId w:val="5"/>
        </w:numPr>
        <w:spacing w:after="0" w:line="360" w:lineRule="auto"/>
        <w:rPr>
          <w:rFonts w:ascii="Comic Sans MS" w:hAnsi="Comic Sans MS"/>
          <w:sz w:val="24"/>
          <w:szCs w:val="24"/>
        </w:rPr>
      </w:pPr>
      <w:r w:rsidRPr="00F460D8">
        <w:rPr>
          <w:rFonts w:ascii="Comic Sans MS" w:hAnsi="Comic Sans MS"/>
          <w:sz w:val="24"/>
          <w:szCs w:val="24"/>
        </w:rPr>
        <w:t>Para lograr el hambre cero en 2030, es imprescindible una acción coordinada urgente y unas soluciones políticas que aborden las desigualdades arraigadas, transformen los sistemas alimentarios, inviertan en prácticas agrícolas sostenibles y reduzcan y mitiguen el impacto de los conflictos y de la pandemia en la nutrición y en la seguridad alimentaria mundiales.</w:t>
      </w:r>
    </w:p>
    <w:p w:rsidR="00F460D8" w:rsidRPr="00F460D8" w:rsidRDefault="00F460D8" w:rsidP="00F460D8">
      <w:pPr>
        <w:spacing w:after="0" w:line="360" w:lineRule="auto"/>
        <w:rPr>
          <w:rFonts w:ascii="Comic Sans MS" w:hAnsi="Comic Sans MS"/>
          <w:sz w:val="24"/>
          <w:szCs w:val="24"/>
        </w:rPr>
      </w:pPr>
    </w:p>
    <w:sectPr w:rsidR="00F460D8" w:rsidRPr="00F460D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0D8" w:rsidRDefault="00F460D8" w:rsidP="00F460D8">
      <w:pPr>
        <w:spacing w:after="0" w:line="240" w:lineRule="auto"/>
      </w:pPr>
      <w:r>
        <w:separator/>
      </w:r>
    </w:p>
  </w:endnote>
  <w:endnote w:type="continuationSeparator" w:id="0">
    <w:p w:rsidR="00F460D8" w:rsidRDefault="00F460D8" w:rsidP="00F4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0590"/>
      <w:docPartObj>
        <w:docPartGallery w:val="Page Numbers (Bottom of Page)"/>
        <w:docPartUnique/>
      </w:docPartObj>
    </w:sdtPr>
    <w:sdtContent>
      <w:p w:rsidR="00F460D8" w:rsidRDefault="00F460D8">
        <w:pPr>
          <w:pStyle w:val="Piedepgina"/>
          <w:jc w:val="center"/>
        </w:pPr>
        <w:r>
          <w:fldChar w:fldCharType="begin"/>
        </w:r>
        <w:r>
          <w:instrText>PAGE   \* MERGEFORMAT</w:instrText>
        </w:r>
        <w:r>
          <w:fldChar w:fldCharType="separate"/>
        </w:r>
        <w:r>
          <w:rPr>
            <w:noProof/>
          </w:rPr>
          <w:t>1</w:t>
        </w:r>
        <w:r>
          <w:fldChar w:fldCharType="end"/>
        </w:r>
      </w:p>
    </w:sdtContent>
  </w:sdt>
  <w:p w:rsidR="00F460D8" w:rsidRDefault="00F460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0D8" w:rsidRDefault="00F460D8" w:rsidP="00F460D8">
      <w:pPr>
        <w:spacing w:after="0" w:line="240" w:lineRule="auto"/>
      </w:pPr>
      <w:r>
        <w:separator/>
      </w:r>
    </w:p>
  </w:footnote>
  <w:footnote w:type="continuationSeparator" w:id="0">
    <w:p w:rsidR="00F460D8" w:rsidRDefault="00F460D8" w:rsidP="00F46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3E9F"/>
    <w:multiLevelType w:val="hybridMultilevel"/>
    <w:tmpl w:val="20C6CC1A"/>
    <w:lvl w:ilvl="0" w:tplc="77AEAB3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150732"/>
    <w:multiLevelType w:val="hybridMultilevel"/>
    <w:tmpl w:val="97FE59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A57E1"/>
    <w:multiLevelType w:val="multilevel"/>
    <w:tmpl w:val="1280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20707"/>
    <w:multiLevelType w:val="hybridMultilevel"/>
    <w:tmpl w:val="B44EB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3B17027"/>
    <w:multiLevelType w:val="multilevel"/>
    <w:tmpl w:val="B5F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643E4"/>
    <w:multiLevelType w:val="hybridMultilevel"/>
    <w:tmpl w:val="7F345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EC"/>
    <w:rsid w:val="00092312"/>
    <w:rsid w:val="002E5498"/>
    <w:rsid w:val="0031356A"/>
    <w:rsid w:val="004B224C"/>
    <w:rsid w:val="00540158"/>
    <w:rsid w:val="005701E5"/>
    <w:rsid w:val="00A8369C"/>
    <w:rsid w:val="00BB56CA"/>
    <w:rsid w:val="00BF10EC"/>
    <w:rsid w:val="00E4550A"/>
    <w:rsid w:val="00F460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E261"/>
  <w15:chartTrackingRefBased/>
  <w15:docId w15:val="{0C367EB0-2EBE-495F-8931-BBFEAC49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2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2312"/>
    <w:pPr>
      <w:ind w:left="720"/>
      <w:contextualSpacing/>
    </w:pPr>
  </w:style>
  <w:style w:type="paragraph" w:customStyle="1" w:styleId="Pa12">
    <w:name w:val="Pa12"/>
    <w:basedOn w:val="Normal"/>
    <w:next w:val="Normal"/>
    <w:uiPriority w:val="99"/>
    <w:rsid w:val="00A8369C"/>
    <w:pPr>
      <w:autoSpaceDE w:val="0"/>
      <w:autoSpaceDN w:val="0"/>
      <w:adjustRightInd w:val="0"/>
      <w:spacing w:after="0" w:line="181" w:lineRule="atLeast"/>
    </w:pPr>
    <w:rPr>
      <w:rFonts w:ascii="Arial" w:hAnsi="Arial" w:cs="Arial"/>
      <w:sz w:val="24"/>
      <w:szCs w:val="24"/>
    </w:rPr>
  </w:style>
  <w:style w:type="character" w:styleId="Hipervnculo">
    <w:name w:val="Hyperlink"/>
    <w:basedOn w:val="Fuentedeprrafopredeter"/>
    <w:uiPriority w:val="99"/>
    <w:unhideWhenUsed/>
    <w:rsid w:val="00F460D8"/>
    <w:rPr>
      <w:color w:val="0563C1" w:themeColor="hyperlink"/>
      <w:u w:val="single"/>
    </w:rPr>
  </w:style>
  <w:style w:type="paragraph" w:styleId="Encabezado">
    <w:name w:val="header"/>
    <w:basedOn w:val="Normal"/>
    <w:link w:val="EncabezadoCar"/>
    <w:uiPriority w:val="99"/>
    <w:unhideWhenUsed/>
    <w:rsid w:val="00F460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60D8"/>
  </w:style>
  <w:style w:type="paragraph" w:styleId="Piedepgina">
    <w:name w:val="footer"/>
    <w:basedOn w:val="Normal"/>
    <w:link w:val="PiedepginaCar"/>
    <w:uiPriority w:val="99"/>
    <w:unhideWhenUsed/>
    <w:rsid w:val="00F460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8243">
      <w:bodyDiv w:val="1"/>
      <w:marLeft w:val="0"/>
      <w:marRight w:val="0"/>
      <w:marTop w:val="0"/>
      <w:marBottom w:val="0"/>
      <w:divBdr>
        <w:top w:val="none" w:sz="0" w:space="0" w:color="auto"/>
        <w:left w:val="none" w:sz="0" w:space="0" w:color="auto"/>
        <w:bottom w:val="none" w:sz="0" w:space="0" w:color="auto"/>
        <w:right w:val="none" w:sz="0" w:space="0" w:color="auto"/>
      </w:divBdr>
      <w:divsChild>
        <w:div w:id="1951163650">
          <w:marLeft w:val="0"/>
          <w:marRight w:val="0"/>
          <w:marTop w:val="0"/>
          <w:marBottom w:val="0"/>
          <w:divBdr>
            <w:top w:val="none" w:sz="0" w:space="0" w:color="auto"/>
            <w:left w:val="none" w:sz="0" w:space="0" w:color="auto"/>
            <w:bottom w:val="none" w:sz="0" w:space="0" w:color="auto"/>
            <w:right w:val="none" w:sz="0" w:space="0" w:color="auto"/>
          </w:divBdr>
          <w:divsChild>
            <w:div w:id="1101409673">
              <w:marLeft w:val="0"/>
              <w:marRight w:val="0"/>
              <w:marTop w:val="0"/>
              <w:marBottom w:val="0"/>
              <w:divBdr>
                <w:top w:val="none" w:sz="0" w:space="0" w:color="auto"/>
                <w:left w:val="none" w:sz="0" w:space="0" w:color="auto"/>
                <w:bottom w:val="none" w:sz="0" w:space="0" w:color="auto"/>
                <w:right w:val="none" w:sz="0" w:space="0" w:color="auto"/>
              </w:divBdr>
              <w:divsChild>
                <w:div w:id="1880966798">
                  <w:marLeft w:val="0"/>
                  <w:marRight w:val="0"/>
                  <w:marTop w:val="0"/>
                  <w:marBottom w:val="0"/>
                  <w:divBdr>
                    <w:top w:val="none" w:sz="0" w:space="0" w:color="auto"/>
                    <w:left w:val="none" w:sz="0" w:space="0" w:color="auto"/>
                    <w:bottom w:val="none" w:sz="0" w:space="0" w:color="auto"/>
                    <w:right w:val="none" w:sz="0" w:space="0" w:color="auto"/>
                  </w:divBdr>
                  <w:divsChild>
                    <w:div w:id="1905989076">
                      <w:marLeft w:val="0"/>
                      <w:marRight w:val="0"/>
                      <w:marTop w:val="0"/>
                      <w:marBottom w:val="0"/>
                      <w:divBdr>
                        <w:top w:val="none" w:sz="0" w:space="0" w:color="auto"/>
                        <w:left w:val="none" w:sz="0" w:space="0" w:color="auto"/>
                        <w:bottom w:val="none" w:sz="0" w:space="0" w:color="auto"/>
                        <w:right w:val="none" w:sz="0" w:space="0" w:color="auto"/>
                      </w:divBdr>
                      <w:divsChild>
                        <w:div w:id="2246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97757">
          <w:marLeft w:val="0"/>
          <w:marRight w:val="0"/>
          <w:marTop w:val="0"/>
          <w:marBottom w:val="0"/>
          <w:divBdr>
            <w:top w:val="none" w:sz="0" w:space="0" w:color="auto"/>
            <w:left w:val="none" w:sz="0" w:space="0" w:color="auto"/>
            <w:bottom w:val="none" w:sz="0" w:space="0" w:color="auto"/>
            <w:right w:val="none" w:sz="0" w:space="0" w:color="auto"/>
          </w:divBdr>
          <w:divsChild>
            <w:div w:id="1806000189">
              <w:marLeft w:val="0"/>
              <w:marRight w:val="0"/>
              <w:marTop w:val="0"/>
              <w:marBottom w:val="0"/>
              <w:divBdr>
                <w:top w:val="none" w:sz="0" w:space="0" w:color="auto"/>
                <w:left w:val="none" w:sz="0" w:space="0" w:color="auto"/>
                <w:bottom w:val="none" w:sz="0" w:space="0" w:color="auto"/>
                <w:right w:val="none" w:sz="0" w:space="0" w:color="auto"/>
              </w:divBdr>
              <w:divsChild>
                <w:div w:id="1304043070">
                  <w:marLeft w:val="0"/>
                  <w:marRight w:val="0"/>
                  <w:marTop w:val="0"/>
                  <w:marBottom w:val="0"/>
                  <w:divBdr>
                    <w:top w:val="none" w:sz="0" w:space="0" w:color="auto"/>
                    <w:left w:val="none" w:sz="0" w:space="0" w:color="auto"/>
                    <w:bottom w:val="none" w:sz="0" w:space="0" w:color="auto"/>
                    <w:right w:val="none" w:sz="0" w:space="0" w:color="auto"/>
                  </w:divBdr>
                  <w:divsChild>
                    <w:div w:id="1386368134">
                      <w:marLeft w:val="0"/>
                      <w:marRight w:val="0"/>
                      <w:marTop w:val="0"/>
                      <w:marBottom w:val="0"/>
                      <w:divBdr>
                        <w:top w:val="none" w:sz="0" w:space="0" w:color="auto"/>
                        <w:left w:val="none" w:sz="0" w:space="0" w:color="auto"/>
                        <w:bottom w:val="none" w:sz="0" w:space="0" w:color="auto"/>
                        <w:right w:val="none" w:sz="0" w:space="0" w:color="auto"/>
                      </w:divBdr>
                      <w:divsChild>
                        <w:div w:id="5088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0888">
                  <w:marLeft w:val="0"/>
                  <w:marRight w:val="0"/>
                  <w:marTop w:val="0"/>
                  <w:marBottom w:val="0"/>
                  <w:divBdr>
                    <w:top w:val="none" w:sz="0" w:space="0" w:color="auto"/>
                    <w:left w:val="none" w:sz="0" w:space="0" w:color="auto"/>
                    <w:bottom w:val="none" w:sz="0" w:space="0" w:color="auto"/>
                    <w:right w:val="none" w:sz="0" w:space="0" w:color="auto"/>
                  </w:divBdr>
                  <w:divsChild>
                    <w:div w:id="1357583519">
                      <w:marLeft w:val="0"/>
                      <w:marRight w:val="0"/>
                      <w:marTop w:val="0"/>
                      <w:marBottom w:val="0"/>
                      <w:divBdr>
                        <w:top w:val="none" w:sz="0" w:space="0" w:color="auto"/>
                        <w:left w:val="none" w:sz="0" w:space="0" w:color="auto"/>
                        <w:bottom w:val="none" w:sz="0" w:space="0" w:color="auto"/>
                        <w:right w:val="none" w:sz="0" w:space="0" w:color="auto"/>
                      </w:divBdr>
                      <w:divsChild>
                        <w:div w:id="854880052">
                          <w:marLeft w:val="0"/>
                          <w:marRight w:val="0"/>
                          <w:marTop w:val="0"/>
                          <w:marBottom w:val="0"/>
                          <w:divBdr>
                            <w:top w:val="none" w:sz="0" w:space="0" w:color="auto"/>
                            <w:left w:val="none" w:sz="0" w:space="0" w:color="auto"/>
                            <w:bottom w:val="none" w:sz="0" w:space="0" w:color="auto"/>
                            <w:right w:val="none" w:sz="0" w:space="0" w:color="auto"/>
                          </w:divBdr>
                          <w:divsChild>
                            <w:div w:id="1314407399">
                              <w:marLeft w:val="0"/>
                              <w:marRight w:val="0"/>
                              <w:marTop w:val="0"/>
                              <w:marBottom w:val="0"/>
                              <w:divBdr>
                                <w:top w:val="none" w:sz="0" w:space="0" w:color="auto"/>
                                <w:left w:val="none" w:sz="0" w:space="0" w:color="auto"/>
                                <w:bottom w:val="none" w:sz="0" w:space="0" w:color="auto"/>
                                <w:right w:val="none" w:sz="0" w:space="0" w:color="auto"/>
                              </w:divBdr>
                            </w:div>
                            <w:div w:id="79063072">
                              <w:marLeft w:val="0"/>
                              <w:marRight w:val="0"/>
                              <w:marTop w:val="0"/>
                              <w:marBottom w:val="0"/>
                              <w:divBdr>
                                <w:top w:val="none" w:sz="0" w:space="0" w:color="auto"/>
                                <w:left w:val="none" w:sz="0" w:space="0" w:color="auto"/>
                                <w:bottom w:val="none" w:sz="0" w:space="0" w:color="auto"/>
                                <w:right w:val="none" w:sz="0" w:space="0" w:color="auto"/>
                              </w:divBdr>
                              <w:divsChild>
                                <w:div w:id="403600879">
                                  <w:marLeft w:val="0"/>
                                  <w:marRight w:val="0"/>
                                  <w:marTop w:val="0"/>
                                  <w:marBottom w:val="0"/>
                                  <w:divBdr>
                                    <w:top w:val="none" w:sz="0" w:space="0" w:color="auto"/>
                                    <w:left w:val="single" w:sz="6" w:space="0" w:color="auto"/>
                                    <w:bottom w:val="single" w:sz="6" w:space="0" w:color="auto"/>
                                    <w:right w:val="single" w:sz="6"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4081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 ALBORJA</dc:creator>
  <cp:keywords/>
  <dc:description/>
  <cp:lastModifiedBy>SATUR ALBORJA</cp:lastModifiedBy>
  <cp:revision>2</cp:revision>
  <dcterms:created xsi:type="dcterms:W3CDTF">2025-04-01T16:58:00Z</dcterms:created>
  <dcterms:modified xsi:type="dcterms:W3CDTF">2025-04-01T16:58:00Z</dcterms:modified>
</cp:coreProperties>
</file>