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CB" w:rsidRDefault="005C5FCB">
      <w:pPr>
        <w:jc w:val="left"/>
        <w:rPr>
          <w:rFonts w:ascii="Arial" w:hAnsi="Arial"/>
          <w:color w:val="000000"/>
          <w:sz w:val="24"/>
          <w:szCs w:val="24"/>
        </w:rPr>
      </w:pPr>
    </w:p>
    <w:p w:rsidR="005C5FCB" w:rsidRDefault="00615BF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FORMULACION MAGISTRAL 16/10</w:t>
      </w:r>
      <w:r>
        <w:rPr>
          <w:rFonts w:ascii="Arial" w:hAnsi="Arial" w:cs="Arial"/>
          <w:sz w:val="22"/>
          <w:szCs w:val="22"/>
        </w:rPr>
        <w:t>/2024</w:t>
      </w:r>
      <w:bookmarkStart w:id="0" w:name="_GoBack"/>
      <w:bookmarkEnd w:id="0"/>
    </w:p>
    <w:p w:rsidR="005C5FCB" w:rsidRDefault="00615BF5">
      <w:pPr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PRÁCTICA Nº</w:t>
      </w:r>
      <w:proofErr w:type="gramEnd"/>
      <w:r>
        <w:rPr>
          <w:rFonts w:ascii="Arial" w:hAnsi="Arial" w:cs="Arial"/>
          <w:sz w:val="22"/>
          <w:szCs w:val="22"/>
        </w:rPr>
        <w:t xml:space="preserve"> 1</w:t>
      </w:r>
    </w:p>
    <w:p w:rsidR="005C5FCB" w:rsidRDefault="005C5FCB">
      <w:pPr>
        <w:jc w:val="left"/>
        <w:rPr>
          <w:sz w:val="24"/>
          <w:szCs w:val="24"/>
        </w:rPr>
      </w:pPr>
    </w:p>
    <w:p w:rsidR="005C5FCB" w:rsidRDefault="00615B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Preparado Oficinal descrito en el Formulario Nacional.</w:t>
      </w:r>
    </w:p>
    <w:p w:rsidR="005C5FCB" w:rsidRDefault="00615BF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Vaselina salicílica</w:t>
      </w:r>
    </w:p>
    <w:p w:rsidR="005C5FCB" w:rsidRDefault="00615BF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¿Para qué se utiliza?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principal indicación es como </w:t>
      </w:r>
      <w:proofErr w:type="spellStart"/>
      <w:r>
        <w:rPr>
          <w:rFonts w:ascii="Arial" w:hAnsi="Arial" w:cs="Arial"/>
          <w:sz w:val="22"/>
          <w:szCs w:val="22"/>
        </w:rPr>
        <w:t>queratolítico</w:t>
      </w:r>
      <w:proofErr w:type="spellEnd"/>
      <w:r>
        <w:rPr>
          <w:rFonts w:ascii="Arial" w:hAnsi="Arial" w:cs="Arial"/>
          <w:sz w:val="22"/>
          <w:szCs w:val="22"/>
        </w:rPr>
        <w:t xml:space="preserve"> (1)</w:t>
      </w:r>
      <w:r>
        <w:rPr>
          <w:rFonts w:ascii="Arial" w:hAnsi="Arial" w:cs="Arial"/>
          <w:sz w:val="22"/>
          <w:szCs w:val="22"/>
        </w:rPr>
        <w:t>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preparado oficinal que </w:t>
      </w:r>
      <w:r>
        <w:rPr>
          <w:rFonts w:ascii="Arial" w:hAnsi="Arial" w:cs="Arial"/>
          <w:sz w:val="22"/>
          <w:szCs w:val="22"/>
        </w:rPr>
        <w:t>describe el Formulario Nacional es Vaselina salicílica al 5% (fórmula patrón). Sin embargo, es común que los facultativos prescriban esta fórmula en otras concentraciones, según la indicación.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dermatitis y psoriasis: concentraciones entre 2%-6%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</w:t>
      </w:r>
      <w:r>
        <w:rPr>
          <w:rFonts w:ascii="Arial" w:hAnsi="Arial" w:cs="Arial"/>
          <w:sz w:val="22"/>
          <w:szCs w:val="22"/>
        </w:rPr>
        <w:t>tratamiento de la ictiosis: Concentraciones entre 0.5%- 6%.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tratar verrugas comunes y plantares: concentraciones entre 5%- 17%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hiperqueratosis cutáneas y otras hiperplasias: concentraciones hasta el 40%.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del preparado: Vaselina salicílica 5%</w:t>
      </w:r>
      <w:r>
        <w:rPr>
          <w:rFonts w:ascii="Arial" w:hAnsi="Arial" w:cs="Arial"/>
          <w:sz w:val="22"/>
          <w:szCs w:val="22"/>
        </w:rPr>
        <w:t>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farmacéutica: pomada.</w:t>
      </w: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615BF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¿Cómo se elabora?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Composición: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Principio activo: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Ácido salicílico: 5%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Excipientes: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Parafina/vaselina líquida 3%</w:t>
      </w:r>
      <w:r>
        <w:rPr>
          <w:rFonts w:ascii="Arial" w:hAnsi="Arial" w:cs="Arial"/>
          <w:sz w:val="22"/>
          <w:szCs w:val="22"/>
        </w:rPr>
        <w:t xml:space="preserve"> (opcional); </w:t>
      </w:r>
      <w:r>
        <w:rPr>
          <w:rFonts w:ascii="Arial" w:hAnsi="Arial" w:cs="Arial"/>
          <w:sz w:val="22"/>
          <w:szCs w:val="22"/>
        </w:rPr>
        <w:t xml:space="preserve">Parafina/vaselina </w:t>
      </w:r>
      <w:proofErr w:type="spellStart"/>
      <w:r>
        <w:rPr>
          <w:rFonts w:ascii="Arial" w:hAnsi="Arial" w:cs="Arial"/>
          <w:sz w:val="22"/>
          <w:szCs w:val="22"/>
        </w:rPr>
        <w:t>filante</w:t>
      </w:r>
      <w:proofErr w:type="spellEnd"/>
      <w:r>
        <w:rPr>
          <w:rFonts w:ascii="Arial" w:hAnsi="Arial" w:cs="Arial"/>
          <w:sz w:val="22"/>
          <w:szCs w:val="22"/>
        </w:rPr>
        <w:t xml:space="preserve"> cantidad suficiente para (</w:t>
      </w:r>
      <w:proofErr w:type="spellStart"/>
      <w:r>
        <w:rPr>
          <w:rFonts w:ascii="Arial" w:hAnsi="Arial" w:cs="Arial"/>
          <w:sz w:val="22"/>
          <w:szCs w:val="22"/>
        </w:rPr>
        <w:t>c.s.p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970EE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gramos</w:t>
      </w: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Material y equipo: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Mortero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Balanza 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Material necesario para realizar las pesadas y mediciones.</w:t>
      </w: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Metodología: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Pesar por separado el principio activo y los excipientes.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Pulverizar en un mortero el ácido salicílico.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Añadir la parafina líquida </w:t>
      </w:r>
      <w:r w:rsidR="00970EE6">
        <w:rPr>
          <w:rFonts w:ascii="Arial" w:hAnsi="Arial" w:cs="Arial"/>
          <w:sz w:val="22"/>
          <w:szCs w:val="22"/>
        </w:rPr>
        <w:t xml:space="preserve">(opcional) </w:t>
      </w:r>
      <w:r>
        <w:rPr>
          <w:rFonts w:ascii="Arial" w:hAnsi="Arial" w:cs="Arial"/>
          <w:sz w:val="22"/>
          <w:szCs w:val="22"/>
        </w:rPr>
        <w:t xml:space="preserve">y mezclar hasta conseguir una pasta </w:t>
      </w:r>
      <w:r>
        <w:rPr>
          <w:rFonts w:ascii="Arial" w:hAnsi="Arial" w:cs="Arial"/>
          <w:sz w:val="22"/>
          <w:szCs w:val="22"/>
        </w:rPr>
        <w:t>homogénea.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Añadir poco a poco la parafina </w:t>
      </w:r>
      <w:proofErr w:type="spellStart"/>
      <w:r>
        <w:rPr>
          <w:rFonts w:ascii="Arial" w:hAnsi="Arial" w:cs="Arial"/>
          <w:sz w:val="22"/>
          <w:szCs w:val="22"/>
        </w:rPr>
        <w:t>filante</w:t>
      </w:r>
      <w:proofErr w:type="spellEnd"/>
      <w:r>
        <w:rPr>
          <w:rFonts w:ascii="Arial" w:hAnsi="Arial" w:cs="Arial"/>
          <w:sz w:val="22"/>
          <w:szCs w:val="22"/>
        </w:rPr>
        <w:t xml:space="preserve"> hasta obtener de nuevo una mezcla homogénea.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Envasar en envase bien cerrado y protegido de la luz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Conservación del preparado: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Protegido de la luz y temperatura inferior a 30º.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Periodo de validez: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meses en</w:t>
      </w:r>
      <w:r>
        <w:rPr>
          <w:rFonts w:ascii="Arial" w:hAnsi="Arial" w:cs="Arial"/>
          <w:sz w:val="22"/>
          <w:szCs w:val="22"/>
        </w:rPr>
        <w:t xml:space="preserve"> las condiciones óptimas de conservación.</w:t>
      </w: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615BF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características debe tener el producto terminado?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trata de una pomada blanquecina, muy untuosa.</w:t>
      </w: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615BF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debes tener en cuenta durante la elaboración?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 ácido salicílico es irritante, por lo que cualquier co</w:t>
      </w:r>
      <w:r>
        <w:rPr>
          <w:rFonts w:ascii="Arial" w:hAnsi="Arial" w:cs="Arial"/>
          <w:sz w:val="22"/>
          <w:szCs w:val="22"/>
        </w:rPr>
        <w:t>ntacto accidental con el propio principio activo o el preparado ya terminado con tu piel, puede producir una reacción. Si esto ocurre lava lo antes posible la zona.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 pomada es una elaboración muy sencilla, el único inconveniente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 la limpieza del mate</w:t>
      </w:r>
      <w:r>
        <w:rPr>
          <w:rFonts w:ascii="Arial" w:hAnsi="Arial" w:cs="Arial"/>
          <w:sz w:val="22"/>
          <w:szCs w:val="22"/>
        </w:rPr>
        <w:t>rial. Las parafinas dejan mucho residuo en los materiales debido a que son muy oleosas. </w:t>
      </w:r>
    </w:p>
    <w:p w:rsidR="005C5FCB" w:rsidRDefault="00615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 mejor es retirar la mayor parte con un papel absorbente y lavar los materiales utilizados con agua </w:t>
      </w:r>
      <w:r>
        <w:rPr>
          <w:rFonts w:ascii="Arial" w:hAnsi="Arial" w:cs="Arial"/>
          <w:sz w:val="22"/>
          <w:szCs w:val="22"/>
        </w:rPr>
        <w:t xml:space="preserve">caliente </w:t>
      </w:r>
      <w:r>
        <w:rPr>
          <w:rFonts w:ascii="Arial" w:hAnsi="Arial" w:cs="Arial"/>
          <w:sz w:val="22"/>
          <w:szCs w:val="22"/>
        </w:rPr>
        <w:t>y jabón</w:t>
      </w:r>
      <w:r>
        <w:rPr>
          <w:rFonts w:ascii="Arial" w:hAnsi="Arial" w:cs="Arial"/>
          <w:sz w:val="22"/>
          <w:szCs w:val="22"/>
        </w:rPr>
        <w:t>.</w:t>
      </w: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5C5FCB">
      <w:pPr>
        <w:spacing w:line="360" w:lineRule="auto"/>
        <w:rPr>
          <w:rFonts w:ascii="Arial" w:hAnsi="Arial" w:cs="Arial"/>
          <w:sz w:val="22"/>
          <w:szCs w:val="22"/>
        </w:rPr>
      </w:pPr>
    </w:p>
    <w:p w:rsidR="005C5FCB" w:rsidRDefault="00615BF5">
      <w:pPr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Fármacos </w:t>
      </w:r>
      <w:proofErr w:type="spellStart"/>
      <w:r>
        <w:rPr>
          <w:rFonts w:ascii="Calibri" w:hAnsi="Calibri" w:cs="Calibri"/>
          <w:sz w:val="18"/>
          <w:szCs w:val="18"/>
        </w:rPr>
        <w:t>queratolíticos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Los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queratolíticos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s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on un grupo de fármacos que se caracterizan por disolver, total o parcialmente, la capa córnea de la </w:t>
      </w:r>
      <w:proofErr w:type="spellStart"/>
      <w:proofErr w:type="gram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piel.Se</w:t>
      </w:r>
      <w:proofErr w:type="spellEnd"/>
      <w:proofErr w:type="gram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utilizan en los trastornos de la queratinización que cursan con hiperqueratosis así como en otras dermatosis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hiperqueratósicas.Se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pueden usar para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favorecer la penetración de otros principios activos al disminuir el espesor de la capa córnea.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Los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queratolíticos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más usados son los siguientes:</w:t>
      </w:r>
    </w:p>
    <w:p w:rsidR="005C5FCB" w:rsidRDefault="00615BF5">
      <w:pPr>
        <w:pStyle w:val="Ttulo2"/>
        <w:shd w:val="clear" w:color="auto" w:fill="FFFFFF"/>
        <w:spacing w:beforeAutospacing="0" w:afterAutospacing="0"/>
        <w:jc w:val="both"/>
        <w:textAlignment w:val="baseline"/>
        <w:rPr>
          <w:rFonts w:ascii="Calibri" w:eastAsia="Segoe UI" w:hAnsi="Calibri" w:cs="Calibri" w:hint="default"/>
          <w:i w:val="0"/>
          <w:iCs w:val="0"/>
          <w:sz w:val="18"/>
          <w:szCs w:val="18"/>
        </w:rPr>
      </w:pPr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 xml:space="preserve">2. </w:t>
      </w:r>
      <w:proofErr w:type="spellStart"/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>Ácido</w:t>
      </w:r>
      <w:proofErr w:type="spellEnd"/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>salicílico</w:t>
      </w:r>
      <w:proofErr w:type="spellEnd"/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Favorece la degradación de a queratina adelgazando el estrato córneo. Se usa a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concentraciones variables entre el 0,5 y el 60%, en casi cualquier vehículo. Se suele usar asociado a otros principios activos. Sus usos clínicos más importantes son en psoriasis de cuero cabelludo, en la que representa el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queratolítico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más potente, formul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ándose en forma de champú o lociones, se puede usar en monoterapia con concentraciones 2-10%. Por otra </w:t>
      </w:r>
      <w:proofErr w:type="gram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parte</w:t>
      </w:r>
      <w:proofErr w:type="gram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es un fármaco de primera línea en el tratamiento de las verrugas, cuyo mecanismo de acción es desconocido pero se cree que el desbridamiento químic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o de la hiperqueratosis de la verruga produce una irritación que estimula la respuesta inmune del paciente.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Las concentraciones más utilizadas varían entre el 5 y el 40 %, siendo ésta última usada en las verrugas plantares. El tratamiento debe continuarse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al menos una semana o hasta que el paciente observe cambios en las lesiones clínicas.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El principal problema del tratamiento tópico con ácido salicílico es la posibilidad de absorción percutánea produciendo intoxicación salicílica con síntomas de quemazón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en mucosa bucal, cefalea frontal, acidosis metabólica, síntomas del SNC,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tinnitus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, náuseas y vómitos. El riesgo es mayor en el tratamiento de grandes áreas de superficie corporal como en la psoriasis y en los niños. Por ello no debe usarse en más de un 20%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de la superficie corporal ni en más de un 10% en niños.</w:t>
      </w:r>
    </w:p>
    <w:p w:rsidR="005C5FCB" w:rsidRDefault="00615BF5">
      <w:pPr>
        <w:pStyle w:val="Ttulo2"/>
        <w:shd w:val="clear" w:color="auto" w:fill="FFFFFF"/>
        <w:spacing w:beforeAutospacing="0" w:afterAutospacing="0"/>
        <w:jc w:val="both"/>
        <w:textAlignment w:val="baseline"/>
        <w:rPr>
          <w:rFonts w:ascii="Calibri" w:eastAsia="Segoe UI" w:hAnsi="Calibri" w:cs="Calibri" w:hint="default"/>
          <w:i w:val="0"/>
          <w:iCs w:val="0"/>
          <w:sz w:val="18"/>
          <w:szCs w:val="18"/>
        </w:rPr>
      </w:pPr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>3. Urea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Favorece el recambio de queratinocitos y es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queratinolítica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a altas concentraciones. Posee efectos proteolíticos,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queratolíticos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, hidratantes, de aumento del grosor de la epidermis, en favore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cer la penetración de principios y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antipruriginoso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. Se usa en concentraciones variables entre el 10 y el 50%. Se usa en muy variadas situaciones clínicas como las ictiosis en las que la urea al 10% ha demostrado ser igual o levemente superior a otros trata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mientos tópicos como la hidrocortisona al 1% y el ácido salicílico al 2%.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Por otra </w:t>
      </w:r>
      <w:proofErr w:type="gram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parte</w:t>
      </w:r>
      <w:proofErr w:type="gram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se usa en la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xerosis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, en concentraciones iguales o menores al 10%, en la que se demuestra en diferentes experimentos una disminución de la pérdida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transepidérmica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de a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gua. Otras situaciones clínicas en las que se utiliza la urea son el eccema y la dermatitis atópica en la que ha demostrado eficacia clínica; como loción de urea 3%,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polidocanol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y ácido hialurónico en la profilaxis de dermatitis radio-inducida en el cáncer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de mama; en la psoriasis se puede usar urea 10% en monoterapia, con mejoría de los parámetros histológicos y escasos efectos secundarios, o en combinación con otros tratamientos, como la urea al 40% con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bifonazol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al 1% en el tratamiento de la psoriasis y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la dermatitis seborreica del cuero cabelludo.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proofErr w:type="gram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Además</w:t>
      </w:r>
      <w:proofErr w:type="gram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el tratamiento combinado con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antifúngicos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tópicos ha demostrado ser superior a la monoterapia en la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onicomicosis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y la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tinea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pedís en diversos estudios. El efecto secundario más frecuente del tratamiento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con urea es la irritación leve local, siendo un fármaco tópico bien tolerado sin toxicidad sistémica, que se puede usar de manera segura en niños.</w:t>
      </w:r>
    </w:p>
    <w:p w:rsidR="005C5FCB" w:rsidRDefault="00615BF5">
      <w:pPr>
        <w:pStyle w:val="Ttulo2"/>
        <w:shd w:val="clear" w:color="auto" w:fill="FFFFFF"/>
        <w:spacing w:beforeAutospacing="0" w:afterAutospacing="0"/>
        <w:jc w:val="both"/>
        <w:textAlignment w:val="baseline"/>
        <w:rPr>
          <w:rFonts w:ascii="Calibri" w:eastAsia="Segoe UI" w:hAnsi="Calibri" w:cs="Calibri" w:hint="default"/>
          <w:i w:val="0"/>
          <w:iCs w:val="0"/>
          <w:sz w:val="18"/>
          <w:szCs w:val="18"/>
        </w:rPr>
      </w:pPr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>4. Alfa-</w:t>
      </w:r>
      <w:proofErr w:type="spellStart"/>
      <w:r>
        <w:rPr>
          <w:rFonts w:ascii="Calibri" w:eastAsia="Segoe UI" w:hAnsi="Calibri" w:cs="Calibri" w:hint="default"/>
          <w:i w:val="0"/>
          <w:iCs w:val="0"/>
          <w:sz w:val="18"/>
          <w:szCs w:val="18"/>
          <w:shd w:val="clear" w:color="auto" w:fill="FFFFFF"/>
        </w:rPr>
        <w:t>hidroxiácidos</w:t>
      </w:r>
      <w:proofErr w:type="spellEnd"/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Estos compuestos son ácidos orgánicos presentes en fuentes naturales como las frutas, e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l vino y la leche, que disminuyen la cohesión entre los queratinocitos interfiriendo en la formación de los puentes de azufre entre las células. Penetran en la epidermis y producen un aumento del recambio del estrato córneo.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eastAsia="Source Sans Pro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Los más usados son el ácido lác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tico,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glicólico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y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mandélico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. El ácido láctico produce descamación de la capa córnea produciendo adelgazamiento de la misma. Se utiliza como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queratolítico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asociado a otros principios activos. El ácido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glicólico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es exfoliante, </w:t>
      </w:r>
      <w:proofErr w:type="spell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queratolítico</w:t>
      </w:r>
      <w:proofErr w:type="spell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e hidratante, por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ello favorece el recambio de los queratinocitos, mejora la hidratación celular y estimula la formación de colágeno. Se emplea en cosmética en concentraciones entre el 8 y el 5% y en forma de peeling superficiales en concentraciones del 75%.</w:t>
      </w:r>
    </w:p>
    <w:p w:rsidR="005C5FCB" w:rsidRDefault="00615B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Existe un efec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to sinérgico entre los alfa-hidroxiácidos y los glucocorticoides es evidente y ha sido demostrado en la psoriasis del cuero </w:t>
      </w:r>
      <w:proofErr w:type="gramStart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cabelludo</w:t>
      </w:r>
      <w:proofErr w:type="gramEnd"/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 xml:space="preserve"> así como de otras localizaciones. Estos fármacos tópicos no producen efectos secundarios locales ni sistémicos y no se ha </w:t>
      </w:r>
      <w:r>
        <w:rPr>
          <w:rFonts w:ascii="Calibri" w:eastAsia="Source Sans Pro" w:hAnsi="Calibri" w:cs="Calibri"/>
          <w:sz w:val="18"/>
          <w:szCs w:val="18"/>
          <w:shd w:val="clear" w:color="auto" w:fill="FFFFFF"/>
        </w:rPr>
        <w:t>observado irritación con dicho tratamiento.</w:t>
      </w:r>
    </w:p>
    <w:sectPr w:rsidR="005C5FCB">
      <w:pgSz w:w="11918" w:h="16857"/>
      <w:pgMar w:top="140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auto"/>
    <w:pitch w:val="default"/>
    <w:sig w:usb0="600002F7" w:usb1="02000001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3FE74B"/>
    <w:multiLevelType w:val="singleLevel"/>
    <w:tmpl w:val="D63FE74B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5FE6B73"/>
    <w:multiLevelType w:val="singleLevel"/>
    <w:tmpl w:val="55FE6B73"/>
    <w:lvl w:ilvl="0">
      <w:start w:val="1"/>
      <w:numFmt w:val="decimal"/>
      <w:suff w:val="space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C5FCB"/>
    <w:rsid w:val="00615BF5"/>
    <w:rsid w:val="00970EE6"/>
    <w:rsid w:val="50C963FC"/>
    <w:rsid w:val="57D34E40"/>
    <w:rsid w:val="7F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5A307"/>
  <w15:docId w15:val="{4F64E958-C740-42E7-B760-D5B66EDB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kern w:val="2"/>
      <w:sz w:val="21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Profes Profes.</cp:lastModifiedBy>
  <cp:revision>3</cp:revision>
  <dcterms:created xsi:type="dcterms:W3CDTF">2023-11-08T17:36:00Z</dcterms:created>
  <dcterms:modified xsi:type="dcterms:W3CDTF">2024-10-15T19:17:00Z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B592B9C960AA4CFEAE995D14248EAB24_11</vt:lpwstr>
  </property>
</Properties>
</file>