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/>
          <w:color w:val="004DBB"/>
          <w:sz w:val="22"/>
          <w:lang w:val="es-ES"/>
        </w:rPr>
      </w:pPr>
      <w:r>
        <w:rPr>
          <w:rFonts w:ascii="Arial" w:hAnsi="Arial"/>
          <w:b/>
          <w:color w:val="004DBB"/>
          <w:sz w:val="22"/>
          <w:szCs w:val="22"/>
          <w:lang w:val="es-ES"/>
        </w:rPr>
        <w:t>-------------- Versión curta</w:t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/>
          <w:color w:val="004DBB"/>
          <w:sz w:val="22"/>
          <w:lang w:val="es-ES"/>
        </w:rPr>
      </w:pPr>
      <w:r>
        <w:rPr>
          <w:rFonts w:ascii="Arial" w:hAnsi="Arial"/>
          <w:b/>
          <w:color w:val="004DBB"/>
          <w:sz w:val="22"/>
          <w:szCs w:val="22"/>
          <w:lang w:val="es-ES"/>
        </w:rPr>
        <w:t>MEDICIÓN DOS NIVEIS DE RADÓN NO IES RAFAEL DIESTE CON ALUMNADO DE 1º BACHARELATO.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>Durante o mes de marzo, realizáronse medicións de radón no IES Rafael Dieste, levados a cabo por alumnado de 1º Bacharelato que imparte a materia de Física e Química.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As medicións realizáronse cun equipo MiniPix, diseñado polo CERN (Organización Europea para a Investigación Nuclear) e cedido polo IGFAE (Instituto Galego de Física de Altas Enerxías), a través do </w:t>
      </w:r>
      <w:hyperlink r:id="rId2">
        <w:r>
          <w:rPr>
            <w:rStyle w:val="Hyperlink"/>
            <w:b w:val="false"/>
            <w:bCs w:val="false"/>
          </w:rPr>
          <w:t>proxecto MEDRA</w:t>
        </w:r>
      </w:hyperlink>
      <w:r>
        <w:rPr>
          <w:b w:val="false"/>
          <w:bCs w:val="false"/>
        </w:rPr>
        <w:t xml:space="preserve">. 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72"/>
        <w:gridCol w:w="6866"/>
      </w:tblGrid>
      <w:tr>
        <w:trPr>
          <w:trHeight w:val="2955" w:hRule="atLeast"/>
        </w:trPr>
        <w:tc>
          <w:tcPr>
            <w:tcW w:w="2772" w:type="dxa"/>
            <w:tcBorders/>
          </w:tcPr>
          <w:p>
            <w:pPr>
              <w:pStyle w:val="Contenidodelatabla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57150</wp:posOffset>
                  </wp:positionV>
                  <wp:extent cx="1524000" cy="1743075"/>
                  <wp:effectExtent l="0" t="0" r="0" b="0"/>
                  <wp:wrapSquare wrapText="largest"/>
                  <wp:docPr id="1" name="Imagen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6" w:type="dxa"/>
            <w:tcBorders/>
          </w:tcPr>
          <w:p>
            <w:pPr>
              <w:pStyle w:val="Contenidodelatabla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57150</wp:posOffset>
                  </wp:positionV>
                  <wp:extent cx="1790700" cy="1762125"/>
                  <wp:effectExtent l="0" t="0" r="0" b="0"/>
                  <wp:wrapSquare wrapText="largest"/>
                  <wp:docPr id="2" name="Imagen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>Con esta unidade didáctica, pretendeuse abordar de maneira transversal, a emisión de partículas por parte dos diferentes corpos, o empleo deste medidor, a análise estadística dos resultados e a emisións de conclusións a través da elaboración dun artículo científico.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79950" cy="3086100"/>
            <wp:effectExtent l="0" t="0" r="0" b="0"/>
            <wp:wrapSquare wrapText="largest"/>
            <wp:docPr id="3" name="Imagen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850265</wp:posOffset>
            </wp:positionH>
            <wp:positionV relativeFrom="paragraph">
              <wp:posOffset>-165100</wp:posOffset>
            </wp:positionV>
            <wp:extent cx="4420235" cy="2181225"/>
            <wp:effectExtent l="0" t="0" r="0" b="0"/>
            <wp:wrapSquare wrapText="largest"/>
            <wp:docPr id="4" name="Imagen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/>
          <w:color w:val="004DBB"/>
          <w:sz w:val="22"/>
          <w:lang w:val="es-ES"/>
        </w:rPr>
      </w:pPr>
      <w:r>
        <w:rPr>
          <w:rFonts w:ascii="Arial" w:hAnsi="Arial"/>
          <w:b/>
          <w:color w:val="004DBB"/>
          <w:sz w:val="22"/>
          <w:szCs w:val="22"/>
          <w:lang w:val="es-ES"/>
        </w:rPr>
        <w:t xml:space="preserve">-------------- Versión </w:t>
      </w:r>
      <w:r>
        <w:rPr>
          <w:rFonts w:ascii="Arial" w:hAnsi="Arial"/>
          <w:b/>
          <w:color w:val="004DBB"/>
          <w:sz w:val="22"/>
          <w:szCs w:val="22"/>
          <w:lang w:val="es-ES"/>
        </w:rPr>
        <w:t>longa</w:t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/>
          <w:color w:val="004DBB"/>
          <w:sz w:val="22"/>
          <w:lang w:val="es-ES"/>
        </w:rPr>
      </w:pPr>
      <w:r>
        <w:rPr>
          <w:rFonts w:ascii="Arial" w:hAnsi="Arial"/>
          <w:b/>
          <w:color w:val="004DBB"/>
          <w:sz w:val="22"/>
          <w:szCs w:val="22"/>
          <w:lang w:val="es-ES"/>
        </w:rPr>
        <w:t>MEDICIÓN DOS NIVEIS DE RADÓN NO IES RAFAEL DIESTE CON ALUMNADO DE 1º BACHARELATO.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>Durante o mes de marzo, realizáronse medicións de radón no IES Rafael Dieste, levados a cabo por alumnado de 1º Bacharelato que imparte a materia de Física e Química.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As medicións realizáronse cun equipo MiniPix, diseñado polo CERN (Organización Europea para a Investigación Nuclear) e cedido polo IGFAE (Instituto Galego de Física de Altas Enerxías), a través do </w:t>
      </w:r>
      <w:hyperlink r:id="rId7">
        <w:r>
          <w:rPr>
            <w:rStyle w:val="Hyperlink"/>
            <w:b w:val="false"/>
            <w:bCs w:val="false"/>
          </w:rPr>
          <w:t>proxecto MEDRA</w:t>
        </w:r>
      </w:hyperlink>
      <w:r>
        <w:rPr>
          <w:b w:val="false"/>
          <w:bCs w:val="false"/>
        </w:rPr>
        <w:t xml:space="preserve">. 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72"/>
        <w:gridCol w:w="6866"/>
      </w:tblGrid>
      <w:tr>
        <w:trPr>
          <w:trHeight w:val="2955" w:hRule="atLeast"/>
        </w:trPr>
        <w:tc>
          <w:tcPr>
            <w:tcW w:w="2772" w:type="dxa"/>
            <w:tcBorders/>
          </w:tcPr>
          <w:p>
            <w:pPr>
              <w:pStyle w:val="Contenidodelatabla"/>
              <w:rPr/>
            </w:pPr>
            <w:r>
              <w:rPr/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57150</wp:posOffset>
                  </wp:positionV>
                  <wp:extent cx="1524000" cy="1743075"/>
                  <wp:effectExtent l="0" t="0" r="0" b="0"/>
                  <wp:wrapSquare wrapText="largest"/>
                  <wp:docPr id="5" name="Imagen1 Copia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 Copia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6" w:type="dxa"/>
            <w:tcBorders/>
          </w:tcPr>
          <w:p>
            <w:pPr>
              <w:pStyle w:val="Contenidodelatabla"/>
              <w:rPr/>
            </w:pPr>
            <w:r>
              <w:rPr/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57150</wp:posOffset>
                  </wp:positionV>
                  <wp:extent cx="1790700" cy="1762125"/>
                  <wp:effectExtent l="0" t="0" r="0" b="0"/>
                  <wp:wrapSquare wrapText="largest"/>
                  <wp:docPr id="6" name="Imagen2 Copia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2 Copia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t>Con esta unidade didáctica, pretendeuse abordar de maneira transversal, a emisión de partículas por parte dos diferentes corpos, o empleo deste medidor, a análise estadística dos resultados e a emisións de conclusións a través da elaboración dun artículo científico.</w:t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1056640</wp:posOffset>
            </wp:positionH>
            <wp:positionV relativeFrom="paragraph">
              <wp:posOffset>-266700</wp:posOffset>
            </wp:positionV>
            <wp:extent cx="3950335" cy="2604770"/>
            <wp:effectExtent l="0" t="0" r="0" b="0"/>
            <wp:wrapSquare wrapText="largest"/>
            <wp:docPr id="7" name="Imagen4 C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4 C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60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b w:val="false"/>
          <w:color w:val="auto"/>
          <w:sz w:val="22"/>
          <w:szCs w:val="22"/>
          <w:lang w:val="es-ES"/>
        </w:rPr>
        <w:t>Tras a realización da medición levada a cabo en diferentes puntos do centro educativo, realizáronse tres artigos científicos onde as principais conclusións son as seguintes:</w:t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2"/>
          <w:lang w:val="es-ES"/>
        </w:rPr>
        <w:t>"En conclusión, os niveis de radón no instituto Rafael Dieste non son prexudiciais para a saúde; pola contra, a ventilación nas aulas é crucial para que os devanditos niveis se manteñan controlados. Proba disto é o aumento porcentual de radón no ambiente, que pode resultar de até seis veces superior cando non se ventila o espazo respecto a cando si se fai. Segundo a OMS[6], o radón comeza a ser alarmante a partires dos 100 Bq/m³, aínda que permite até uns 300 Bq/m³. É importante recalcar que as medicións presentaron niveis baixos incluso nos andares subterráneos, a aula de tecnoloxía e o ximnasio, que se supoñe que son os que máis partículas alfa deberían ter por estar máis preto do solo. A estancia cun maior número de partículas é o laboratorio de física que, sorprendentemente, atópase no terceiro andar do edificio. Non hai unha clara explicación do aumento do gas radón nesta aula; porén os datos seguen sen ser alarmantes. O salón de actos presenta dificultades para a súa ventilación e, aínda así, pode manterse en niveis non prexudiciais para a saúde humana. Por último, remarcar que nalgunhas medicións o número de partículas foi 0, baixando drasticamente a media de radón".</w:t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b w:val="false"/>
          <w:color w:val="auto"/>
          <w:sz w:val="22"/>
          <w:szCs w:val="22"/>
          <w:lang w:val="es-ES"/>
        </w:rPr>
        <w:br/>
        <w:t>Un tabla resumen das medidas móstrase a continuación:</w:t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27550" cy="2377440"/>
            <wp:effectExtent l="0" t="0" r="0" b="0"/>
            <wp:wrapSquare wrapText="largest"/>
            <wp:docPr id="8" name="Imagen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5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both"/>
        <w:rPr>
          <w:rFonts w:ascii="Arial" w:hAnsi="Arial"/>
          <w:b w:val="false"/>
          <w:color w:val="auto"/>
          <w:sz w:val="22"/>
          <w:lang w:val="es-ES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gfae.usc.es/labs/proxecto-medra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igfae.usc.es/labs/proxecto-medra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LibreOffice/24.8.7.2$Windows_X86_64 LibreOffice_project/e07d0a63a46349d29051da79b1fde8160bab2a89</Application>
  <AppVersion>15.0000</AppVersion>
  <Pages>3</Pages>
  <Words>470</Words>
  <Characters>2471</Characters>
  <CharactersWithSpaces>2927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2025-06-23T10:26:07Z</dcterms:created>
  <dc:creator/>
  <dc:description/>
  <dc:language>es-ES</dc:language>
  <cp:lastModifiedBy/>
  <dcterms:modified xsi:type="dcterms:W3CDTF">2025-06-23T12:12:37Z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