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A5042" w:rsidRDefault="00000000">
      <w:pPr>
        <w:widowControl w:val="0"/>
        <w:tabs>
          <w:tab w:val="left" w:pos="1843"/>
        </w:tabs>
        <w:spacing w:after="0" w:line="240" w:lineRule="auto"/>
        <w:jc w:val="both"/>
        <w:rPr>
          <w:rFonts w:ascii="Geo" w:eastAsia="Geo" w:hAnsi="Geo" w:cs="Geo"/>
          <w:b/>
          <w:sz w:val="24"/>
          <w:szCs w:val="24"/>
        </w:rPr>
      </w:pPr>
      <w:r>
        <w:rPr>
          <w:rFonts w:ascii="Geo" w:eastAsia="Geo" w:hAnsi="Geo" w:cs="Geo"/>
          <w:b/>
          <w:sz w:val="24"/>
          <w:szCs w:val="24"/>
        </w:rPr>
        <w:t xml:space="preserve"> CASO PRÁCTICO:</w:t>
      </w:r>
      <w:r>
        <w:rPr>
          <w:rFonts w:ascii="Geo" w:eastAsia="Geo" w:hAnsi="Geo" w:cs="Geo"/>
          <w:b/>
          <w:sz w:val="24"/>
          <w:szCs w:val="24"/>
        </w:rPr>
        <w:tab/>
        <w:t>PRESELECCIÓN DE MERCADOS EXTERIORES</w:t>
      </w:r>
    </w:p>
    <w:p w14:paraId="00000002" w14:textId="77777777" w:rsidR="006A5042" w:rsidRDefault="006A5042">
      <w:pPr>
        <w:widowControl w:val="0"/>
        <w:spacing w:after="0" w:line="240" w:lineRule="auto"/>
        <w:jc w:val="both"/>
        <w:rPr>
          <w:rFonts w:ascii="Geo" w:eastAsia="Geo" w:hAnsi="Geo" w:cs="Geo"/>
          <w:sz w:val="24"/>
          <w:szCs w:val="24"/>
        </w:rPr>
      </w:pPr>
    </w:p>
    <w:p w14:paraId="00000003" w14:textId="77777777" w:rsidR="006A5042" w:rsidRDefault="006A5042">
      <w:pPr>
        <w:widowControl w:val="0"/>
        <w:spacing w:after="0" w:line="240" w:lineRule="auto"/>
        <w:jc w:val="both"/>
        <w:rPr>
          <w:rFonts w:ascii="Geo" w:eastAsia="Geo" w:hAnsi="Geo" w:cs="Geo"/>
          <w:sz w:val="24"/>
          <w:szCs w:val="24"/>
        </w:rPr>
      </w:pPr>
    </w:p>
    <w:p w14:paraId="00000004" w14:textId="77777777" w:rsidR="006A5042" w:rsidRDefault="00000000">
      <w:pPr>
        <w:widowControl w:val="0"/>
        <w:spacing w:after="0" w:line="240" w:lineRule="auto"/>
        <w:jc w:val="both"/>
        <w:rPr>
          <w:rFonts w:ascii="Geo" w:eastAsia="Geo" w:hAnsi="Geo" w:cs="Geo"/>
          <w:sz w:val="24"/>
          <w:szCs w:val="24"/>
        </w:rPr>
      </w:pPr>
      <w:r>
        <w:rPr>
          <w:rFonts w:ascii="Geo" w:eastAsia="Geo" w:hAnsi="Geo" w:cs="Geo"/>
          <w:sz w:val="24"/>
          <w:szCs w:val="24"/>
        </w:rPr>
        <w:t>AD MODA es una empresa familiar con sede en la provincia de La Coruña cuya actividad es la fabricación y comercialización de prendas de vestir de abrigo. En concreto, la empresa fabrica chaquetones, anoraks, abrigos y prendas similares para mujeres y niñas, con dos líneas perfectamente diferenciadas: una clásica de fibras sintéticas y otra informal de lana.</w:t>
      </w:r>
    </w:p>
    <w:p w14:paraId="00000005" w14:textId="77777777" w:rsidR="006A5042" w:rsidRDefault="006A5042">
      <w:pPr>
        <w:widowControl w:val="0"/>
        <w:spacing w:after="0" w:line="240" w:lineRule="auto"/>
        <w:jc w:val="both"/>
        <w:rPr>
          <w:rFonts w:ascii="Geo" w:eastAsia="Geo" w:hAnsi="Geo" w:cs="Geo"/>
          <w:sz w:val="24"/>
          <w:szCs w:val="24"/>
        </w:rPr>
      </w:pPr>
    </w:p>
    <w:p w14:paraId="00000006" w14:textId="77777777" w:rsidR="006A5042" w:rsidRDefault="00000000">
      <w:pPr>
        <w:widowControl w:val="0"/>
        <w:spacing w:after="0" w:line="240" w:lineRule="auto"/>
        <w:jc w:val="both"/>
        <w:rPr>
          <w:rFonts w:ascii="Geo" w:eastAsia="Geo" w:hAnsi="Geo" w:cs="Geo"/>
          <w:sz w:val="24"/>
          <w:szCs w:val="24"/>
        </w:rPr>
      </w:pPr>
      <w:r>
        <w:rPr>
          <w:rFonts w:ascii="Geo" w:eastAsia="Geo" w:hAnsi="Geo" w:cs="Geo"/>
          <w:sz w:val="24"/>
          <w:szCs w:val="24"/>
        </w:rPr>
        <w:t>La empresa se posiciona en el segmento medio-alto del mercado, en base a un producto de calidad en cuanto a los materiales utilizados y un acabado muy cuidado, todo ello unido a un diseño que incorpora las nuevas tendencias de la moda. Anualmente se realizan dos colecciones, primavera e invierno, si bien esta última es la que representa un 80% del volumen de ventas, dadas las características del producto.</w:t>
      </w:r>
    </w:p>
    <w:p w14:paraId="00000007" w14:textId="77777777" w:rsidR="006A5042" w:rsidRDefault="006A5042">
      <w:pPr>
        <w:widowControl w:val="0"/>
        <w:spacing w:after="0" w:line="240" w:lineRule="auto"/>
        <w:jc w:val="both"/>
        <w:rPr>
          <w:rFonts w:ascii="Geo" w:eastAsia="Geo" w:hAnsi="Geo" w:cs="Geo"/>
          <w:sz w:val="24"/>
          <w:szCs w:val="24"/>
        </w:rPr>
      </w:pPr>
    </w:p>
    <w:p w14:paraId="00000008" w14:textId="77777777" w:rsidR="006A5042" w:rsidRDefault="00000000">
      <w:pPr>
        <w:widowControl w:val="0"/>
        <w:spacing w:after="0" w:line="240" w:lineRule="auto"/>
        <w:jc w:val="both"/>
        <w:rPr>
          <w:rFonts w:ascii="Geo" w:eastAsia="Geo" w:hAnsi="Geo" w:cs="Geo"/>
          <w:sz w:val="24"/>
          <w:szCs w:val="24"/>
        </w:rPr>
      </w:pPr>
      <w:r>
        <w:rPr>
          <w:rFonts w:ascii="Geo" w:eastAsia="Geo" w:hAnsi="Geo" w:cs="Geo"/>
          <w:sz w:val="24"/>
          <w:szCs w:val="24"/>
        </w:rPr>
        <w:t>En sus quince años de existencia AD MODA ha conseguido consolidar su posición en el mercado español. La empresa cuenta con una moderna infraestructura, tanto en lo referente a maquinaria textil como en ordenadores para el diseño. El número de trabajadores es de 55, si bien para la preparación de la campaña de invierno se suele contratar a veinticinco trabajadores más. El volumen de facturación se sitúa en 5,2 millones de euros de los que el 75% se concentra en la parte noroeste de España –Cataluña, Aragón, País Vasco– y en Madrid.</w:t>
      </w:r>
    </w:p>
    <w:p w14:paraId="00000009" w14:textId="77777777" w:rsidR="006A5042" w:rsidRDefault="006A5042">
      <w:pPr>
        <w:widowControl w:val="0"/>
        <w:spacing w:after="0" w:line="240" w:lineRule="auto"/>
        <w:jc w:val="both"/>
        <w:rPr>
          <w:rFonts w:ascii="Geo" w:eastAsia="Geo" w:hAnsi="Geo" w:cs="Geo"/>
          <w:sz w:val="24"/>
          <w:szCs w:val="24"/>
        </w:rPr>
      </w:pPr>
    </w:p>
    <w:p w14:paraId="0000000A" w14:textId="77777777" w:rsidR="006A5042" w:rsidRDefault="00000000">
      <w:pPr>
        <w:widowControl w:val="0"/>
        <w:spacing w:after="0" w:line="240" w:lineRule="auto"/>
        <w:jc w:val="both"/>
        <w:rPr>
          <w:rFonts w:ascii="Geo" w:eastAsia="Geo" w:hAnsi="Geo" w:cs="Geo"/>
          <w:sz w:val="24"/>
          <w:szCs w:val="24"/>
        </w:rPr>
      </w:pPr>
      <w:r>
        <w:rPr>
          <w:rFonts w:ascii="Geo" w:eastAsia="Geo" w:hAnsi="Geo" w:cs="Geo"/>
          <w:sz w:val="24"/>
          <w:szCs w:val="24"/>
        </w:rPr>
        <w:t>Por el momento sólo se ha expedido al mercado francés. Hace cuatro años un agente comercial francés que había visto las prendas en una tienda de Madrid se dirigió a la empresa para solicitar la representación comercial, que se concedió después de las oportunas comprobaciones. En el último año las ventas a Francia alcanzaron 300.000 euros. Se cuenta ya con 180 puntos de venta que realizan pedidos regulares. El agente realiza únicamente la captación del pedido; la empresa envía la mercancía, realiza las reposiciones y factura directamente a las tiendas.</w:t>
      </w:r>
    </w:p>
    <w:p w14:paraId="0000000B" w14:textId="77777777" w:rsidR="006A5042" w:rsidRDefault="006A5042">
      <w:pPr>
        <w:widowControl w:val="0"/>
        <w:spacing w:after="0" w:line="240" w:lineRule="auto"/>
        <w:jc w:val="both"/>
        <w:rPr>
          <w:rFonts w:ascii="Geo" w:eastAsia="Geo" w:hAnsi="Geo" w:cs="Geo"/>
          <w:sz w:val="24"/>
          <w:szCs w:val="24"/>
        </w:rPr>
      </w:pPr>
    </w:p>
    <w:p w14:paraId="0000000C" w14:textId="77777777" w:rsidR="006A5042" w:rsidRDefault="00000000">
      <w:pPr>
        <w:widowControl w:val="0"/>
        <w:spacing w:after="0" w:line="240" w:lineRule="auto"/>
        <w:jc w:val="both"/>
        <w:rPr>
          <w:rFonts w:ascii="Geo" w:eastAsia="Geo" w:hAnsi="Geo" w:cs="Geo"/>
          <w:sz w:val="24"/>
          <w:szCs w:val="24"/>
        </w:rPr>
      </w:pPr>
      <w:r>
        <w:rPr>
          <w:rFonts w:ascii="Geo" w:eastAsia="Geo" w:hAnsi="Geo" w:cs="Geo"/>
          <w:sz w:val="24"/>
          <w:szCs w:val="24"/>
        </w:rPr>
        <w:t>Animados por esta positiva experiencia la empresa ha decidido crear un departamento de exportación. Para ello ha contratado a Cristina López, licenciada en Ciencias Económicas con cinco años de experiencia profesional, los dos últimos como comercial de exportación para los países asiáticos de una empresa de calzado. Como primer trabajo se le pide que realice un informe seleccionando aquellos países más favorables que deberían visitarse en los próximos meses. Como la empresa ha decidido apostar fuerte por la internacionalización no se le pone límite en cuanto al coste de los viajes (número y situación geográfica de los países a visitar). Para realizar el informe Cristina obtiene algunos datos sobre el comercio exterior de prendas de vestir en los tres últimos años.</w:t>
      </w:r>
    </w:p>
    <w:p w14:paraId="0000000D" w14:textId="77777777" w:rsidR="006A5042" w:rsidRDefault="006A5042">
      <w:pPr>
        <w:widowControl w:val="0"/>
        <w:spacing w:after="0" w:line="240" w:lineRule="auto"/>
        <w:jc w:val="both"/>
        <w:rPr>
          <w:rFonts w:ascii="Geo" w:eastAsia="Geo" w:hAnsi="Geo" w:cs="Geo"/>
          <w:sz w:val="24"/>
          <w:szCs w:val="24"/>
        </w:rPr>
      </w:pPr>
    </w:p>
    <w:p w14:paraId="0000000E" w14:textId="77777777" w:rsidR="006A5042" w:rsidRDefault="00000000">
      <w:pPr>
        <w:widowControl w:val="0"/>
        <w:spacing w:after="0" w:line="240" w:lineRule="auto"/>
        <w:jc w:val="both"/>
        <w:rPr>
          <w:rFonts w:ascii="Geo" w:eastAsia="Geo" w:hAnsi="Geo" w:cs="Geo"/>
          <w:sz w:val="24"/>
          <w:szCs w:val="24"/>
        </w:rPr>
      </w:pPr>
      <w:r>
        <w:rPr>
          <w:rFonts w:ascii="Geo" w:eastAsia="Geo" w:hAnsi="Geo" w:cs="Geo"/>
          <w:sz w:val="24"/>
          <w:szCs w:val="24"/>
        </w:rPr>
        <w:t>Ejemplos de páginas web a utilizar:</w:t>
      </w:r>
    </w:p>
    <w:p w14:paraId="0000000F" w14:textId="77777777" w:rsidR="006A5042" w:rsidRDefault="006A5042">
      <w:pPr>
        <w:widowControl w:val="0"/>
        <w:spacing w:after="0" w:line="240" w:lineRule="auto"/>
        <w:jc w:val="both"/>
        <w:rPr>
          <w:rFonts w:ascii="Geo" w:eastAsia="Geo" w:hAnsi="Geo" w:cs="Geo"/>
          <w:sz w:val="24"/>
          <w:szCs w:val="24"/>
        </w:rPr>
      </w:pPr>
    </w:p>
    <w:p w14:paraId="00000010" w14:textId="77777777" w:rsidR="006A5042" w:rsidRDefault="00000000">
      <w:pPr>
        <w:widowControl w:val="0"/>
        <w:numPr>
          <w:ilvl w:val="0"/>
          <w:numId w:val="1"/>
        </w:numPr>
        <w:pBdr>
          <w:top w:val="nil"/>
          <w:left w:val="nil"/>
          <w:bottom w:val="nil"/>
          <w:right w:val="nil"/>
          <w:between w:val="nil"/>
        </w:pBdr>
        <w:spacing w:after="0" w:line="240" w:lineRule="auto"/>
        <w:jc w:val="both"/>
        <w:rPr>
          <w:rFonts w:ascii="Geo" w:eastAsia="Geo" w:hAnsi="Geo" w:cs="Geo"/>
          <w:color w:val="000000"/>
          <w:sz w:val="24"/>
          <w:szCs w:val="24"/>
        </w:rPr>
      </w:pPr>
      <w:proofErr w:type="spellStart"/>
      <w:r>
        <w:rPr>
          <w:rFonts w:ascii="Geo" w:eastAsia="Geo" w:hAnsi="Geo" w:cs="Geo"/>
          <w:color w:val="000000"/>
          <w:sz w:val="24"/>
          <w:szCs w:val="24"/>
        </w:rPr>
        <w:t>Trade</w:t>
      </w:r>
      <w:proofErr w:type="spellEnd"/>
      <w:r>
        <w:rPr>
          <w:rFonts w:ascii="Geo" w:eastAsia="Geo" w:hAnsi="Geo" w:cs="Geo"/>
          <w:color w:val="000000"/>
          <w:sz w:val="24"/>
          <w:szCs w:val="24"/>
        </w:rPr>
        <w:t xml:space="preserve"> </w:t>
      </w:r>
      <w:proofErr w:type="spellStart"/>
      <w:r>
        <w:rPr>
          <w:rFonts w:ascii="Geo" w:eastAsia="Geo" w:hAnsi="Geo" w:cs="Geo"/>
          <w:color w:val="000000"/>
          <w:sz w:val="24"/>
          <w:szCs w:val="24"/>
        </w:rPr>
        <w:t>map</w:t>
      </w:r>
      <w:proofErr w:type="spellEnd"/>
    </w:p>
    <w:p w14:paraId="00000011" w14:textId="77777777" w:rsidR="006A5042" w:rsidRDefault="00000000">
      <w:pPr>
        <w:widowControl w:val="0"/>
        <w:numPr>
          <w:ilvl w:val="0"/>
          <w:numId w:val="1"/>
        </w:numPr>
        <w:pBdr>
          <w:top w:val="nil"/>
          <w:left w:val="nil"/>
          <w:bottom w:val="nil"/>
          <w:right w:val="nil"/>
          <w:between w:val="nil"/>
        </w:pBdr>
        <w:spacing w:after="0" w:line="240" w:lineRule="auto"/>
        <w:jc w:val="both"/>
        <w:rPr>
          <w:rFonts w:ascii="Geo" w:eastAsia="Geo" w:hAnsi="Geo" w:cs="Geo"/>
          <w:color w:val="000000"/>
          <w:sz w:val="24"/>
          <w:szCs w:val="24"/>
        </w:rPr>
      </w:pPr>
      <w:r>
        <w:rPr>
          <w:rFonts w:ascii="Geo" w:eastAsia="Geo" w:hAnsi="Geo" w:cs="Geo"/>
          <w:color w:val="000000"/>
          <w:sz w:val="24"/>
          <w:szCs w:val="24"/>
        </w:rPr>
        <w:t>Datacomex.comercio.es</w:t>
      </w:r>
    </w:p>
    <w:p w14:paraId="00000012" w14:textId="77777777" w:rsidR="006A5042" w:rsidRDefault="00000000">
      <w:pPr>
        <w:widowControl w:val="0"/>
        <w:numPr>
          <w:ilvl w:val="0"/>
          <w:numId w:val="1"/>
        </w:numPr>
        <w:pBdr>
          <w:top w:val="nil"/>
          <w:left w:val="nil"/>
          <w:bottom w:val="nil"/>
          <w:right w:val="nil"/>
          <w:between w:val="nil"/>
        </w:pBdr>
        <w:spacing w:after="0" w:line="240" w:lineRule="auto"/>
        <w:jc w:val="both"/>
        <w:rPr>
          <w:rFonts w:ascii="Geo" w:eastAsia="Geo" w:hAnsi="Geo" w:cs="Geo"/>
          <w:color w:val="000000"/>
          <w:sz w:val="24"/>
          <w:szCs w:val="24"/>
        </w:rPr>
      </w:pPr>
      <w:r>
        <w:rPr>
          <w:rFonts w:ascii="Geo" w:eastAsia="Geo" w:hAnsi="Geo" w:cs="Geo"/>
          <w:color w:val="000000"/>
          <w:sz w:val="24"/>
          <w:szCs w:val="24"/>
        </w:rPr>
        <w:lastRenderedPageBreak/>
        <w:t>Plancameral.org (Base de datos de estadísticas)</w:t>
      </w:r>
    </w:p>
    <w:p w14:paraId="00000013" w14:textId="77777777" w:rsidR="006A5042" w:rsidRDefault="00000000">
      <w:pPr>
        <w:widowControl w:val="0"/>
        <w:numPr>
          <w:ilvl w:val="0"/>
          <w:numId w:val="1"/>
        </w:numPr>
        <w:pBdr>
          <w:top w:val="nil"/>
          <w:left w:val="nil"/>
          <w:bottom w:val="nil"/>
          <w:right w:val="nil"/>
          <w:between w:val="nil"/>
        </w:pBdr>
        <w:spacing w:after="0" w:line="240" w:lineRule="auto"/>
        <w:jc w:val="both"/>
        <w:rPr>
          <w:rFonts w:ascii="Geo" w:eastAsia="Geo" w:hAnsi="Geo" w:cs="Geo"/>
          <w:color w:val="000000"/>
          <w:sz w:val="24"/>
          <w:szCs w:val="24"/>
        </w:rPr>
      </w:pPr>
      <w:proofErr w:type="spellStart"/>
      <w:r>
        <w:rPr>
          <w:rFonts w:ascii="Geo" w:eastAsia="Geo" w:hAnsi="Geo" w:cs="Geo"/>
          <w:color w:val="000000"/>
          <w:sz w:val="24"/>
          <w:szCs w:val="24"/>
        </w:rPr>
        <w:t>Coface</w:t>
      </w:r>
      <w:proofErr w:type="spellEnd"/>
      <w:r>
        <w:rPr>
          <w:rFonts w:ascii="Geo" w:eastAsia="Geo" w:hAnsi="Geo" w:cs="Geo"/>
          <w:color w:val="000000"/>
          <w:sz w:val="24"/>
          <w:szCs w:val="24"/>
        </w:rPr>
        <w:t xml:space="preserve"> (estudios económicos- country </w:t>
      </w:r>
      <w:proofErr w:type="spellStart"/>
      <w:r>
        <w:rPr>
          <w:rFonts w:ascii="Geo" w:eastAsia="Geo" w:hAnsi="Geo" w:cs="Geo"/>
          <w:color w:val="000000"/>
          <w:sz w:val="24"/>
          <w:szCs w:val="24"/>
        </w:rPr>
        <w:t>risk</w:t>
      </w:r>
      <w:proofErr w:type="spellEnd"/>
      <w:r>
        <w:rPr>
          <w:rFonts w:ascii="Geo" w:eastAsia="Geo" w:hAnsi="Geo" w:cs="Geo"/>
          <w:color w:val="000000"/>
          <w:sz w:val="24"/>
          <w:szCs w:val="24"/>
        </w:rPr>
        <w:t xml:space="preserve"> </w:t>
      </w:r>
      <w:proofErr w:type="spellStart"/>
      <w:r>
        <w:rPr>
          <w:rFonts w:ascii="Geo" w:eastAsia="Geo" w:hAnsi="Geo" w:cs="Geo"/>
          <w:color w:val="000000"/>
          <w:sz w:val="24"/>
          <w:szCs w:val="24"/>
        </w:rPr>
        <w:t>assessment</w:t>
      </w:r>
      <w:proofErr w:type="spellEnd"/>
      <w:r>
        <w:rPr>
          <w:rFonts w:ascii="Geo" w:eastAsia="Geo" w:hAnsi="Geo" w:cs="Geo"/>
          <w:color w:val="000000"/>
          <w:sz w:val="24"/>
          <w:szCs w:val="24"/>
        </w:rPr>
        <w:t>)</w:t>
      </w:r>
    </w:p>
    <w:p w14:paraId="00000014" w14:textId="77777777" w:rsidR="006A5042" w:rsidRDefault="00000000">
      <w:pPr>
        <w:widowControl w:val="0"/>
        <w:numPr>
          <w:ilvl w:val="0"/>
          <w:numId w:val="1"/>
        </w:numPr>
        <w:pBdr>
          <w:top w:val="nil"/>
          <w:left w:val="nil"/>
          <w:bottom w:val="nil"/>
          <w:right w:val="nil"/>
          <w:between w:val="nil"/>
        </w:pBdr>
        <w:spacing w:after="0" w:line="240" w:lineRule="auto"/>
        <w:jc w:val="both"/>
        <w:rPr>
          <w:rFonts w:ascii="Geo" w:eastAsia="Geo" w:hAnsi="Geo" w:cs="Geo"/>
          <w:color w:val="000000"/>
          <w:sz w:val="24"/>
          <w:szCs w:val="24"/>
        </w:rPr>
      </w:pPr>
      <w:r>
        <w:rPr>
          <w:rFonts w:ascii="Geo" w:eastAsia="Geo" w:hAnsi="Geo" w:cs="Geo"/>
          <w:color w:val="000000"/>
          <w:sz w:val="24"/>
          <w:szCs w:val="24"/>
        </w:rPr>
        <w:t>Madb.europa.eu (</w:t>
      </w:r>
      <w:proofErr w:type="spellStart"/>
      <w:r>
        <w:rPr>
          <w:rFonts w:ascii="Geo" w:eastAsia="Geo" w:hAnsi="Geo" w:cs="Geo"/>
          <w:color w:val="000000"/>
          <w:sz w:val="24"/>
          <w:szCs w:val="24"/>
        </w:rPr>
        <w:t>statistics</w:t>
      </w:r>
      <w:proofErr w:type="spellEnd"/>
      <w:r>
        <w:rPr>
          <w:rFonts w:ascii="Geo" w:eastAsia="Geo" w:hAnsi="Geo" w:cs="Geo"/>
          <w:color w:val="000000"/>
          <w:sz w:val="24"/>
          <w:szCs w:val="24"/>
        </w:rPr>
        <w:t>)</w:t>
      </w:r>
    </w:p>
    <w:p w14:paraId="00000015" w14:textId="77777777" w:rsidR="006A5042" w:rsidRDefault="00000000">
      <w:pPr>
        <w:widowControl w:val="0"/>
        <w:numPr>
          <w:ilvl w:val="0"/>
          <w:numId w:val="1"/>
        </w:numPr>
        <w:pBdr>
          <w:top w:val="nil"/>
          <w:left w:val="nil"/>
          <w:bottom w:val="nil"/>
          <w:right w:val="nil"/>
          <w:between w:val="nil"/>
        </w:pBdr>
        <w:spacing w:after="0" w:line="240" w:lineRule="auto"/>
        <w:jc w:val="both"/>
        <w:rPr>
          <w:rFonts w:ascii="Geo" w:eastAsia="Geo" w:hAnsi="Geo" w:cs="Geo"/>
          <w:color w:val="000000"/>
          <w:sz w:val="24"/>
          <w:szCs w:val="24"/>
        </w:rPr>
      </w:pPr>
      <w:hyperlink r:id="rId6">
        <w:r>
          <w:rPr>
            <w:rFonts w:ascii="Geo" w:eastAsia="Geo" w:hAnsi="Geo" w:cs="Geo"/>
            <w:color w:val="0000FF"/>
            <w:sz w:val="24"/>
            <w:szCs w:val="24"/>
            <w:u w:val="single"/>
          </w:rPr>
          <w:t>www.icex.es</w:t>
        </w:r>
      </w:hyperlink>
    </w:p>
    <w:p w14:paraId="00000016" w14:textId="77777777" w:rsidR="006A5042" w:rsidRDefault="00000000">
      <w:pPr>
        <w:widowControl w:val="0"/>
        <w:numPr>
          <w:ilvl w:val="0"/>
          <w:numId w:val="1"/>
        </w:numPr>
        <w:pBdr>
          <w:top w:val="nil"/>
          <w:left w:val="nil"/>
          <w:bottom w:val="nil"/>
          <w:right w:val="nil"/>
          <w:between w:val="nil"/>
        </w:pBdr>
        <w:spacing w:after="0" w:line="240" w:lineRule="auto"/>
        <w:jc w:val="both"/>
        <w:rPr>
          <w:rFonts w:ascii="Geo" w:eastAsia="Geo" w:hAnsi="Geo" w:cs="Geo"/>
          <w:color w:val="000000"/>
          <w:sz w:val="24"/>
          <w:szCs w:val="24"/>
        </w:rPr>
      </w:pPr>
      <w:r>
        <w:rPr>
          <w:rFonts w:ascii="Geo" w:eastAsia="Geo" w:hAnsi="Geo" w:cs="Geo"/>
          <w:color w:val="000000"/>
          <w:sz w:val="24"/>
          <w:szCs w:val="24"/>
        </w:rPr>
        <w:t>Instituto gallego de estadística: IGE</w:t>
      </w:r>
    </w:p>
    <w:p w14:paraId="00000017" w14:textId="77777777" w:rsidR="006A5042" w:rsidRDefault="006A5042">
      <w:pPr>
        <w:widowControl w:val="0"/>
        <w:pBdr>
          <w:top w:val="nil"/>
          <w:left w:val="nil"/>
          <w:bottom w:val="nil"/>
          <w:right w:val="nil"/>
          <w:between w:val="nil"/>
        </w:pBdr>
        <w:spacing w:after="0" w:line="240" w:lineRule="auto"/>
        <w:ind w:left="720"/>
        <w:jc w:val="both"/>
        <w:rPr>
          <w:rFonts w:ascii="Geo" w:eastAsia="Geo" w:hAnsi="Geo" w:cs="Geo"/>
          <w:color w:val="000000"/>
          <w:sz w:val="24"/>
          <w:szCs w:val="24"/>
        </w:rPr>
      </w:pPr>
    </w:p>
    <w:p w14:paraId="00000018" w14:textId="77777777" w:rsidR="006A5042" w:rsidRDefault="006A5042">
      <w:pPr>
        <w:widowControl w:val="0"/>
        <w:spacing w:after="0" w:line="240" w:lineRule="auto"/>
        <w:jc w:val="both"/>
        <w:rPr>
          <w:rFonts w:ascii="Geo" w:eastAsia="Geo" w:hAnsi="Geo" w:cs="Geo"/>
          <w:sz w:val="24"/>
          <w:szCs w:val="24"/>
        </w:rPr>
      </w:pPr>
    </w:p>
    <w:p w14:paraId="00000019" w14:textId="77777777" w:rsidR="006A5042" w:rsidRDefault="006A5042">
      <w:pPr>
        <w:widowControl w:val="0"/>
        <w:spacing w:after="0" w:line="240" w:lineRule="auto"/>
        <w:jc w:val="both"/>
        <w:rPr>
          <w:rFonts w:ascii="Geo" w:eastAsia="Geo" w:hAnsi="Geo" w:cs="Geo"/>
          <w:sz w:val="24"/>
          <w:szCs w:val="24"/>
          <w:highlight w:val="white"/>
        </w:rPr>
      </w:pPr>
    </w:p>
    <w:p w14:paraId="0000001A" w14:textId="77777777" w:rsidR="006A5042" w:rsidRDefault="00000000">
      <w:pPr>
        <w:widowControl w:val="0"/>
        <w:spacing w:after="0" w:line="240" w:lineRule="auto"/>
        <w:jc w:val="both"/>
        <w:rPr>
          <w:rFonts w:ascii="Geo" w:eastAsia="Geo" w:hAnsi="Geo" w:cs="Geo"/>
          <w:b/>
          <w:sz w:val="24"/>
          <w:szCs w:val="24"/>
        </w:rPr>
      </w:pPr>
      <w:r>
        <w:rPr>
          <w:rFonts w:ascii="Geo" w:eastAsia="Geo" w:hAnsi="Geo" w:cs="Geo"/>
          <w:b/>
          <w:sz w:val="24"/>
          <w:szCs w:val="24"/>
        </w:rPr>
        <w:t>CUESTIONES</w:t>
      </w:r>
    </w:p>
    <w:p w14:paraId="0000001B" w14:textId="77777777" w:rsidR="006A5042" w:rsidRDefault="006A5042">
      <w:pPr>
        <w:widowControl w:val="0"/>
        <w:spacing w:after="0" w:line="240" w:lineRule="auto"/>
        <w:jc w:val="both"/>
        <w:rPr>
          <w:rFonts w:ascii="Geo" w:eastAsia="Geo" w:hAnsi="Geo" w:cs="Geo"/>
          <w:sz w:val="24"/>
          <w:szCs w:val="24"/>
        </w:rPr>
      </w:pPr>
    </w:p>
    <w:p w14:paraId="0000001C" w14:textId="77777777" w:rsidR="006A5042" w:rsidRDefault="00000000">
      <w:pPr>
        <w:widowControl w:val="0"/>
        <w:spacing w:after="0" w:line="240" w:lineRule="auto"/>
        <w:jc w:val="both"/>
        <w:rPr>
          <w:rFonts w:ascii="Geo" w:eastAsia="Geo" w:hAnsi="Geo" w:cs="Geo"/>
          <w:sz w:val="24"/>
          <w:szCs w:val="24"/>
        </w:rPr>
      </w:pPr>
      <w:r>
        <w:rPr>
          <w:rFonts w:ascii="Geo" w:eastAsia="Geo" w:hAnsi="Geo" w:cs="Geo"/>
          <w:sz w:val="24"/>
          <w:szCs w:val="24"/>
        </w:rPr>
        <w:t>1. Buscar la partida arancelaria del producto.</w:t>
      </w:r>
    </w:p>
    <w:p w14:paraId="0000001D" w14:textId="77777777" w:rsidR="006A5042" w:rsidRDefault="006A5042">
      <w:pPr>
        <w:widowControl w:val="0"/>
        <w:spacing w:after="0" w:line="240" w:lineRule="auto"/>
        <w:jc w:val="both"/>
        <w:rPr>
          <w:rFonts w:ascii="Geo" w:eastAsia="Geo" w:hAnsi="Geo" w:cs="Geo"/>
          <w:sz w:val="24"/>
          <w:szCs w:val="24"/>
        </w:rPr>
      </w:pPr>
    </w:p>
    <w:p w14:paraId="0000001E" w14:textId="77777777" w:rsidR="006A5042" w:rsidRDefault="00000000">
      <w:pPr>
        <w:widowControl w:val="0"/>
        <w:spacing w:after="0" w:line="240" w:lineRule="auto"/>
        <w:jc w:val="both"/>
        <w:rPr>
          <w:rFonts w:ascii="Geo" w:eastAsia="Geo" w:hAnsi="Geo" w:cs="Geo"/>
          <w:sz w:val="24"/>
          <w:szCs w:val="24"/>
        </w:rPr>
      </w:pPr>
      <w:r>
        <w:rPr>
          <w:rFonts w:ascii="Geo" w:eastAsia="Geo" w:hAnsi="Geo" w:cs="Geo"/>
          <w:sz w:val="24"/>
          <w:szCs w:val="24"/>
        </w:rPr>
        <w:t>2. ¿Cuáles serían los criterios para preseleccionar los mercados exteriores más favorables?</w:t>
      </w:r>
    </w:p>
    <w:p w14:paraId="0000001F" w14:textId="77777777" w:rsidR="006A5042" w:rsidRDefault="006A5042">
      <w:pPr>
        <w:widowControl w:val="0"/>
        <w:spacing w:after="0" w:line="240" w:lineRule="auto"/>
        <w:jc w:val="both"/>
        <w:rPr>
          <w:rFonts w:ascii="Geo" w:eastAsia="Geo" w:hAnsi="Geo" w:cs="Geo"/>
          <w:sz w:val="24"/>
          <w:szCs w:val="24"/>
        </w:rPr>
      </w:pPr>
    </w:p>
    <w:p w14:paraId="00000020" w14:textId="77777777" w:rsidR="006A5042" w:rsidRDefault="00000000">
      <w:pPr>
        <w:widowControl w:val="0"/>
        <w:spacing w:after="0" w:line="240" w:lineRule="auto"/>
        <w:jc w:val="both"/>
        <w:rPr>
          <w:rFonts w:ascii="Geo" w:eastAsia="Geo" w:hAnsi="Geo" w:cs="Geo"/>
          <w:sz w:val="24"/>
          <w:szCs w:val="24"/>
        </w:rPr>
      </w:pPr>
      <w:r>
        <w:rPr>
          <w:rFonts w:ascii="Geo" w:eastAsia="Geo" w:hAnsi="Geo" w:cs="Geo"/>
          <w:sz w:val="24"/>
          <w:szCs w:val="24"/>
        </w:rPr>
        <w:t>3. ¿Qué países deberían visitarse en los próximos meses?</w:t>
      </w:r>
    </w:p>
    <w:p w14:paraId="00000021" w14:textId="77777777" w:rsidR="006A5042" w:rsidRDefault="006A5042">
      <w:pPr>
        <w:widowControl w:val="0"/>
        <w:spacing w:after="120" w:line="240" w:lineRule="auto"/>
        <w:rPr>
          <w:rFonts w:ascii="Geo" w:eastAsia="Geo" w:hAnsi="Geo" w:cs="Geo"/>
          <w:sz w:val="24"/>
          <w:szCs w:val="24"/>
        </w:rPr>
      </w:pPr>
    </w:p>
    <w:p w14:paraId="00000022" w14:textId="77777777" w:rsidR="006A5042" w:rsidRDefault="006A5042"/>
    <w:sectPr w:rsidR="006A5042">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
    <w:charset w:val="00"/>
    <w:family w:val="auto"/>
    <w:pitch w:val="default"/>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1E10AB"/>
    <w:multiLevelType w:val="multilevel"/>
    <w:tmpl w:val="56CA0908"/>
    <w:lvl w:ilvl="0">
      <w:start w:val="3"/>
      <w:numFmt w:val="bullet"/>
      <w:lvlText w:val="-"/>
      <w:lvlJc w:val="left"/>
      <w:pPr>
        <w:ind w:left="720" w:hanging="360"/>
      </w:pPr>
      <w:rPr>
        <w:rFonts w:ascii="Geo" w:eastAsia="Geo" w:hAnsi="Geo" w:cs="Ge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91657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042"/>
    <w:rsid w:val="00006E1C"/>
    <w:rsid w:val="006A50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D08F0D-208A-403D-91CE-216A609E0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1FF"/>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rrafodelista">
    <w:name w:val="List Paragraph"/>
    <w:basedOn w:val="Normal"/>
    <w:uiPriority w:val="34"/>
    <w:qFormat/>
    <w:rsid w:val="007D71FF"/>
    <w:pPr>
      <w:ind w:left="720"/>
      <w:contextualSpacing/>
    </w:pPr>
  </w:style>
  <w:style w:type="character" w:styleId="Hipervnculo">
    <w:name w:val="Hyperlink"/>
    <w:basedOn w:val="Fuentedeprrafopredeter"/>
    <w:uiPriority w:val="99"/>
    <w:unhideWhenUsed/>
    <w:rsid w:val="007D71FF"/>
    <w:rPr>
      <w:color w:val="0000FF" w:themeColor="hyperlink"/>
      <w:u w:val="singl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icex.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o50G+W0rbJ389qoMG8XRzY5aPw==">AMUW2mXk7gNUvOTcTbAauCuomiuhur9fAn0DaEBkDv2T1I7UAl7106F7KVZGMp8jkaTgUkyqOgP9z0YEXBSMIolbJ7fmbmBcA8GzuTVSWwMgqvueALjTjNk=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2707</Characters>
  <Application>Microsoft Office Word</Application>
  <DocSecurity>0</DocSecurity>
  <Lines>22</Lines>
  <Paragraphs>6</Paragraphs>
  <ScaleCrop>false</ScaleCrop>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ANA DÍAZ- BECERRA MARTÍNEZ</cp:lastModifiedBy>
  <cp:revision>2</cp:revision>
  <dcterms:created xsi:type="dcterms:W3CDTF">2023-11-30T08:28:00Z</dcterms:created>
  <dcterms:modified xsi:type="dcterms:W3CDTF">2023-11-30T08:28:00Z</dcterms:modified>
</cp:coreProperties>
</file>