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8BAC5" w14:textId="77777777" w:rsidR="00505A20" w:rsidRPr="00505A20" w:rsidRDefault="00505A20" w:rsidP="00505A20">
      <w:pPr>
        <w:spacing w:after="0" w:line="240" w:lineRule="auto"/>
        <w:jc w:val="both"/>
        <w:outlineLvl w:val="0"/>
        <w:rPr>
          <w:rFonts w:ascii="Calibri" w:eastAsia="Times New Roman" w:hAnsi="Calibri" w:cs="Calibri"/>
          <w:b/>
          <w:bCs/>
          <w:kern w:val="36"/>
          <w:sz w:val="22"/>
          <w:szCs w:val="22"/>
          <w:lang w:eastAsia="es-ES"/>
          <w14:ligatures w14:val="none"/>
        </w:rPr>
      </w:pPr>
      <w:r w:rsidRPr="00505A20">
        <w:rPr>
          <w:rFonts w:ascii="Calibri" w:eastAsia="Times New Roman" w:hAnsi="Calibri" w:cs="Calibri"/>
          <w:b/>
          <w:bCs/>
          <w:kern w:val="36"/>
          <w:sz w:val="22"/>
          <w:szCs w:val="22"/>
          <w:lang w:eastAsia="es-ES"/>
          <w14:ligatures w14:val="none"/>
        </w:rPr>
        <w:t>Los nuevos aranceles de Trump amenazan con frenar las exportaciones y la inversión en España</w:t>
      </w:r>
    </w:p>
    <w:p w14:paraId="2A81E592" w14:textId="446C6387" w:rsidR="00505A20" w:rsidRPr="00505A20" w:rsidRDefault="00505A20" w:rsidP="00505A20">
      <w:pPr>
        <w:spacing w:before="100" w:beforeAutospacing="1" w:after="100" w:afterAutospacing="1" w:line="240" w:lineRule="auto"/>
        <w:jc w:val="both"/>
        <w:outlineLvl w:val="1"/>
        <w:rPr>
          <w:rFonts w:ascii="Calibri" w:eastAsia="Times New Roman" w:hAnsi="Calibri" w:cs="Calibri"/>
          <w:color w:val="666666"/>
          <w:kern w:val="0"/>
          <w:sz w:val="22"/>
          <w:szCs w:val="22"/>
          <w:lang w:eastAsia="es-ES"/>
          <w14:ligatures w14:val="none"/>
        </w:rPr>
      </w:pPr>
      <w:r w:rsidRPr="00505A20">
        <w:rPr>
          <w:rFonts w:ascii="Calibri" w:eastAsia="Times New Roman" w:hAnsi="Calibri" w:cs="Calibri"/>
          <w:color w:val="000000"/>
          <w:kern w:val="0"/>
          <w:sz w:val="22"/>
          <w:szCs w:val="22"/>
          <w:lang w:eastAsia="es-ES"/>
          <w14:ligatures w14:val="none"/>
        </w:rPr>
        <w:t>La tarifa del 10% amenaza unas exportaciones españolas de 18.100 millones, mientras Funcas calcula que una escalada al 20% podría restar hasta tres décimas al PIB</w:t>
      </w:r>
      <w:r>
        <w:rPr>
          <w:rFonts w:ascii="Calibri" w:eastAsia="Times New Roman" w:hAnsi="Calibri" w:cs="Calibri"/>
          <w:color w:val="000000"/>
          <w:kern w:val="0"/>
          <w:sz w:val="22"/>
          <w:szCs w:val="22"/>
          <w:lang w:eastAsia="es-ES"/>
          <w14:ligatures w14:val="none"/>
        </w:rPr>
        <w:t>.</w:t>
      </w:r>
    </w:p>
    <w:p w14:paraId="5450C8E3" w14:textId="77777777" w:rsidR="00505A20" w:rsidRPr="00505A20" w:rsidRDefault="00505A20" w:rsidP="00505A20">
      <w:pPr>
        <w:shd w:val="clear" w:color="auto" w:fill="FFFFFF"/>
        <w:spacing w:after="0" w:line="240" w:lineRule="auto"/>
        <w:jc w:val="both"/>
        <w:rPr>
          <w:rFonts w:ascii="Calibri" w:eastAsia="Times New Roman" w:hAnsi="Calibri" w:cs="Calibri"/>
          <w:color w:val="111111"/>
          <w:kern w:val="0"/>
          <w:sz w:val="22"/>
          <w:szCs w:val="22"/>
          <w:lang w:eastAsia="es-ES"/>
          <w14:ligatures w14:val="none"/>
        </w:rPr>
      </w:pPr>
      <w:r w:rsidRPr="00505A20">
        <w:rPr>
          <w:rFonts w:ascii="Calibri" w:eastAsia="Times New Roman" w:hAnsi="Calibri" w:cs="Calibri"/>
          <w:noProof/>
          <w:color w:val="111111"/>
          <w:kern w:val="0"/>
          <w:sz w:val="22"/>
          <w:szCs w:val="22"/>
          <w:lang w:eastAsia="es-ES"/>
          <w14:ligatures w14:val="none"/>
        </w:rPr>
        <w:drawing>
          <wp:inline distT="0" distB="0" distL="0" distR="0" wp14:anchorId="34DBF765" wp14:editId="2839826C">
            <wp:extent cx="5791200" cy="3257550"/>
            <wp:effectExtent l="0" t="0" r="0" b="0"/>
            <wp:docPr id="1" name="Imagen 2" descr="El presidente de Estados Unidos, Donald Trump, durante un encuentro oficial en la Casa Blanca el 21 de julio de 2026 (arch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presidente de Estados Unidos, Donald Trump, durante un encuentro oficial en la Casa Blanca el 21 de julio de 2026 (archiv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3547" cy="3270120"/>
                    </a:xfrm>
                    <a:prstGeom prst="rect">
                      <a:avLst/>
                    </a:prstGeom>
                    <a:noFill/>
                    <a:ln>
                      <a:noFill/>
                    </a:ln>
                  </pic:spPr>
                </pic:pic>
              </a:graphicData>
            </a:graphic>
          </wp:inline>
        </w:drawing>
      </w:r>
    </w:p>
    <w:p w14:paraId="474D588A" w14:textId="77777777" w:rsidR="00505A20" w:rsidRDefault="00505A20" w:rsidP="00505A20">
      <w:pPr>
        <w:shd w:val="clear" w:color="auto" w:fill="FFFFFF"/>
        <w:spacing w:after="0" w:line="240" w:lineRule="auto"/>
        <w:jc w:val="both"/>
        <w:rPr>
          <w:rFonts w:ascii="Calibri" w:eastAsia="Times New Roman" w:hAnsi="Calibri" w:cs="Calibri"/>
          <w:color w:val="666666"/>
          <w:kern w:val="0"/>
          <w:sz w:val="22"/>
          <w:szCs w:val="22"/>
          <w:lang w:eastAsia="es-ES"/>
          <w14:ligatures w14:val="none"/>
        </w:rPr>
      </w:pPr>
    </w:p>
    <w:p w14:paraId="3A3784CE" w14:textId="414D233B" w:rsidR="00505A20" w:rsidRPr="00505A20" w:rsidRDefault="00505A20" w:rsidP="00505A20">
      <w:pPr>
        <w:shd w:val="clear" w:color="auto" w:fill="FFFFFF"/>
        <w:spacing w:after="0" w:line="240" w:lineRule="auto"/>
        <w:jc w:val="both"/>
        <w:rPr>
          <w:rFonts w:ascii="Calibri" w:eastAsia="Times New Roman" w:hAnsi="Calibri" w:cs="Calibri"/>
          <w:color w:val="666666"/>
          <w:kern w:val="0"/>
          <w:sz w:val="22"/>
          <w:szCs w:val="22"/>
          <w:lang w:eastAsia="es-ES"/>
          <w14:ligatures w14:val="none"/>
        </w:rPr>
      </w:pPr>
      <w:r w:rsidRPr="00505A20">
        <w:rPr>
          <w:rFonts w:ascii="Calibri" w:eastAsia="Times New Roman" w:hAnsi="Calibri" w:cs="Calibri"/>
          <w:color w:val="666666"/>
          <w:kern w:val="0"/>
          <w:sz w:val="22"/>
          <w:szCs w:val="22"/>
          <w:lang w:eastAsia="es-ES"/>
          <w14:ligatures w14:val="none"/>
        </w:rPr>
        <w:t xml:space="preserve">El presidente de Estados Unidos, Donald Trump, durante un encuentro oficial en la Casa Blanca el 21 de julio de 2026 (archivo) </w:t>
      </w:r>
      <w:r w:rsidRPr="00505A20">
        <w:rPr>
          <w:rFonts w:ascii="Calibri" w:eastAsia="Times New Roman" w:hAnsi="Calibri" w:cs="Calibri"/>
          <w:b/>
          <w:bCs/>
          <w:caps/>
          <w:color w:val="666666"/>
          <w:kern w:val="0"/>
          <w:sz w:val="22"/>
          <w:szCs w:val="22"/>
          <w:lang w:eastAsia="es-ES"/>
          <w14:ligatures w14:val="none"/>
        </w:rPr>
        <w:t>/ Europa Press/Contacto/Aaron Schwartz - Pool via CN</w:t>
      </w:r>
    </w:p>
    <w:p w14:paraId="4C91D2FA" w14:textId="2C0E3CCC" w:rsidR="00505A20" w:rsidRPr="00505A20" w:rsidRDefault="00505A20" w:rsidP="00505A20">
      <w:pPr>
        <w:shd w:val="clear" w:color="auto" w:fill="FFFFFF"/>
        <w:spacing w:after="0" w:line="240" w:lineRule="auto"/>
        <w:jc w:val="both"/>
        <w:rPr>
          <w:rFonts w:ascii="Calibri" w:eastAsia="Times New Roman" w:hAnsi="Calibri" w:cs="Calibri"/>
          <w:color w:val="666666"/>
          <w:kern w:val="0"/>
          <w:sz w:val="22"/>
          <w:szCs w:val="22"/>
          <w:lang w:eastAsia="es-ES"/>
          <w14:ligatures w14:val="none"/>
        </w:rPr>
      </w:pPr>
      <w:r w:rsidRPr="00505A20">
        <w:rPr>
          <w:rFonts w:ascii="Calibri" w:eastAsia="Times New Roman" w:hAnsi="Calibri" w:cs="Calibri"/>
          <w:noProof/>
          <w:color w:val="666666"/>
          <w:kern w:val="0"/>
          <w:sz w:val="22"/>
          <w:szCs w:val="22"/>
          <w:lang w:eastAsia="es-ES"/>
          <w14:ligatures w14:val="none"/>
        </w:rPr>
        <mc:AlternateContent>
          <mc:Choice Requires="wps">
            <w:drawing>
              <wp:inline distT="0" distB="0" distL="0" distR="0" wp14:anchorId="1B968675" wp14:editId="78B0F152">
                <wp:extent cx="123825" cy="123825"/>
                <wp:effectExtent l="0" t="0" r="0" b="0"/>
                <wp:docPr id="316657828" name="AutoShape 3" descr="Por qué confiar en El Periódic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3825" cy="12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7C0F02" id="AutoShape 3" o:spid="_x0000_s1026" alt="Por qué confiar en El Periódico" style="width:9.75pt;height:9.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" filled="f" stroked="f">
                <o:lock v:ext="edit" aspectratio="t"/>
                <w10:anchorlock/>
              </v:rect>
            </w:pict>
          </mc:Fallback>
        </mc:AlternateContent>
      </w:r>
      <w:r w:rsidRPr="00505A20">
        <w:rPr>
          <w:rFonts w:ascii="Calibri" w:eastAsia="Times New Roman" w:hAnsi="Calibri" w:cs="Calibri"/>
          <w:color w:val="666666"/>
          <w:kern w:val="0"/>
          <w:sz w:val="22"/>
          <w:szCs w:val="22"/>
          <w:lang w:eastAsia="es-ES"/>
          <w14:ligatures w14:val="none"/>
        </w:rPr>
        <w:t xml:space="preserve"> </w:t>
      </w:r>
    </w:p>
    <w:p w14:paraId="115798B7" w14:textId="77777777" w:rsidR="00505A20" w:rsidRPr="00505A20" w:rsidRDefault="00505A20" w:rsidP="00505A20">
      <w:pPr>
        <w:shd w:val="clear" w:color="auto" w:fill="FFFFFF"/>
        <w:spacing w:after="100" w:afterAutospacing="1" w:line="240" w:lineRule="auto"/>
        <w:jc w:val="both"/>
        <w:rPr>
          <w:rFonts w:ascii="Calibri" w:eastAsia="Times New Roman" w:hAnsi="Calibri" w:cs="Calibri"/>
          <w:color w:val="111111"/>
          <w:kern w:val="0"/>
          <w:sz w:val="22"/>
          <w:szCs w:val="22"/>
          <w:lang w:eastAsia="es-ES"/>
          <w14:ligatures w14:val="none"/>
        </w:rPr>
      </w:pPr>
      <w:hyperlink r:id="rId6" w:tgtFrame="_blank" w:history="1">
        <w:r w:rsidRPr="00505A20">
          <w:rPr>
            <w:rFonts w:ascii="Calibri" w:eastAsia="Times New Roman" w:hAnsi="Calibri" w:cs="Calibri"/>
            <w:color w:val="F53036"/>
            <w:kern w:val="0"/>
            <w:sz w:val="22"/>
            <w:szCs w:val="22"/>
            <w:bdr w:val="none" w:sz="0" w:space="0" w:color="auto" w:frame="1"/>
            <w:lang w:eastAsia="es-ES"/>
            <w14:ligatures w14:val="none"/>
          </w:rPr>
          <w:t>Donald Trump ha activado un nuevo “Día de la Liberación”</w:t>
        </w:r>
      </w:hyperlink>
      <w:r w:rsidRPr="00505A20">
        <w:rPr>
          <w:rFonts w:ascii="Calibri" w:eastAsia="Times New Roman" w:hAnsi="Calibri" w:cs="Calibri"/>
          <w:color w:val="111111"/>
          <w:kern w:val="0"/>
          <w:sz w:val="22"/>
          <w:szCs w:val="22"/>
          <w:lang w:eastAsia="es-ES"/>
          <w14:ligatures w14:val="none"/>
        </w:rPr>
        <w:t xml:space="preserve">. El presidente de Estados Unidos impuso este jueves gravámenes de entre el 10% y el 12,5% a las importaciones procedentes de 60 socios comerciales, después de que el Tribunal Supremo anulase en febrero buena parte de los aranceles aplicados mediante poderes de emergencia. La Casa Blanca recompone ahora su estrategia amparándose en una ley de 1974 para delimitar las importaciones de bienes producidos bajo "trabajo forzoso": </w:t>
      </w:r>
      <w:r w:rsidRPr="00505A20">
        <w:rPr>
          <w:rFonts w:ascii="Calibri" w:eastAsia="Times New Roman" w:hAnsi="Calibri" w:cs="Calibri"/>
          <w:b/>
          <w:bCs/>
          <w:color w:val="111111"/>
          <w:kern w:val="0"/>
          <w:sz w:val="22"/>
          <w:szCs w:val="22"/>
          <w:lang w:eastAsia="es-ES"/>
          <w14:ligatures w14:val="none"/>
        </w:rPr>
        <w:t>la Unión Europea, y por tanto España, queda sometida a una tasa adicional del 10%, que ha entrado en vigor este viernes</w:t>
      </w:r>
      <w:r w:rsidRPr="00505A20">
        <w:rPr>
          <w:rFonts w:ascii="Calibri" w:eastAsia="Times New Roman" w:hAnsi="Calibri" w:cs="Calibri"/>
          <w:color w:val="111111"/>
          <w:kern w:val="0"/>
          <w:sz w:val="22"/>
          <w:szCs w:val="22"/>
          <w:lang w:eastAsia="es-ES"/>
          <w14:ligatures w14:val="none"/>
        </w:rPr>
        <w:t>. Quedan fuera combustibles, fertilizantes y productos ya gravados.</w:t>
      </w:r>
    </w:p>
    <w:p w14:paraId="688A5A6D" w14:textId="77777777" w:rsidR="00505A20" w:rsidRPr="00505A20" w:rsidRDefault="00505A20" w:rsidP="00505A20">
      <w:pPr>
        <w:shd w:val="clear" w:color="auto" w:fill="FFFFFF"/>
        <w:spacing w:before="100" w:beforeAutospacing="1" w:after="100" w:afterAutospacing="1" w:line="240" w:lineRule="auto"/>
        <w:jc w:val="both"/>
        <w:rPr>
          <w:rFonts w:ascii="Calibri" w:eastAsia="Times New Roman" w:hAnsi="Calibri" w:cs="Calibri"/>
          <w:color w:val="111111"/>
          <w:kern w:val="0"/>
          <w:sz w:val="22"/>
          <w:szCs w:val="22"/>
          <w:lang w:eastAsia="es-ES"/>
          <w14:ligatures w14:val="none"/>
        </w:rPr>
      </w:pPr>
      <w:r w:rsidRPr="00505A20">
        <w:rPr>
          <w:rFonts w:ascii="Calibri" w:eastAsia="Times New Roman" w:hAnsi="Calibri" w:cs="Calibri"/>
          <w:color w:val="111111"/>
          <w:kern w:val="0"/>
          <w:sz w:val="22"/>
          <w:szCs w:val="22"/>
          <w:lang w:eastAsia="es-ES"/>
          <w14:ligatures w14:val="none"/>
        </w:rPr>
        <w:t xml:space="preserve">El golpe para España apunta a ser menor que el calculado tras el primer 'Liberation Day' de abril de 2025, cuando la UE afrontaba una tarifa del 20%, pero no será inocuo. </w:t>
      </w:r>
      <w:r w:rsidRPr="00505A20">
        <w:rPr>
          <w:rFonts w:ascii="Calibri" w:eastAsia="Times New Roman" w:hAnsi="Calibri" w:cs="Calibri"/>
          <w:b/>
          <w:bCs/>
          <w:color w:val="111111"/>
          <w:kern w:val="0"/>
          <w:sz w:val="22"/>
          <w:szCs w:val="22"/>
          <w:lang w:eastAsia="es-ES"/>
          <w14:ligatures w14:val="none"/>
        </w:rPr>
        <w:t>Funcas estimó entonces que aquel escenario podía restar entre dos y tres décimas al PIB español</w:t>
      </w:r>
      <w:r w:rsidRPr="00505A20">
        <w:rPr>
          <w:rFonts w:ascii="Calibri" w:eastAsia="Times New Roman" w:hAnsi="Calibri" w:cs="Calibri"/>
          <w:color w:val="111111"/>
          <w:kern w:val="0"/>
          <w:sz w:val="22"/>
          <w:szCs w:val="22"/>
          <w:lang w:eastAsia="es-ES"/>
          <w14:ligatures w14:val="none"/>
        </w:rPr>
        <w:t>. Las ventas españolas de bienes a Estados Unidos ascendían a 18.100 millones de euros, el 1,1% del PIB, y otros 9.000 millones se incorporaban a exportaciones de socios europeos. Con un arancel del 10% no cabe dividir aquella factura por la mitad: el resultado dependerá del tipo de cambio, la respuesta europea, la capacidad para absorber el coste y la duración del conflicto. ¿Los productos españoles más afectados? Productos farmacéuticos, alimentación y maquinaria.</w:t>
      </w:r>
    </w:p>
    <w:p w14:paraId="1EBBFF69" w14:textId="77777777" w:rsidR="00505A20" w:rsidRPr="00505A20" w:rsidRDefault="00505A20" w:rsidP="00505A20">
      <w:pPr>
        <w:shd w:val="clear" w:color="auto" w:fill="FFFFFF"/>
        <w:spacing w:before="100" w:beforeAutospacing="1" w:after="100" w:afterAutospacing="1" w:line="240" w:lineRule="auto"/>
        <w:jc w:val="both"/>
        <w:rPr>
          <w:rFonts w:ascii="Calibri" w:eastAsia="Times New Roman" w:hAnsi="Calibri" w:cs="Calibri"/>
          <w:color w:val="111111"/>
          <w:kern w:val="0"/>
          <w:sz w:val="22"/>
          <w:szCs w:val="22"/>
          <w:lang w:eastAsia="es-ES"/>
          <w14:ligatures w14:val="none"/>
        </w:rPr>
      </w:pPr>
      <w:r w:rsidRPr="00505A20">
        <w:rPr>
          <w:rFonts w:ascii="Calibri" w:eastAsia="Times New Roman" w:hAnsi="Calibri" w:cs="Calibri"/>
          <w:color w:val="111111"/>
          <w:kern w:val="0"/>
          <w:sz w:val="22"/>
          <w:szCs w:val="22"/>
          <w:lang w:eastAsia="es-ES"/>
          <w14:ligatures w14:val="none"/>
        </w:rPr>
        <w:t xml:space="preserve">"Es importante mantener las relaciones con Estados Unidos y eliminar las barreras y no incrementarlas. </w:t>
      </w:r>
      <w:r w:rsidRPr="00505A20">
        <w:rPr>
          <w:rFonts w:ascii="Calibri" w:eastAsia="Times New Roman" w:hAnsi="Calibri" w:cs="Calibri"/>
          <w:b/>
          <w:bCs/>
          <w:color w:val="111111"/>
          <w:kern w:val="0"/>
          <w:sz w:val="22"/>
          <w:szCs w:val="22"/>
          <w:lang w:eastAsia="es-ES"/>
          <w14:ligatures w14:val="none"/>
        </w:rPr>
        <w:t>La Unión Europea ya ha dado todos los pasos necesarios para cumplir con su parte</w:t>
      </w:r>
      <w:r w:rsidRPr="00505A20">
        <w:rPr>
          <w:rFonts w:ascii="Calibri" w:eastAsia="Times New Roman" w:hAnsi="Calibri" w:cs="Calibri"/>
          <w:color w:val="111111"/>
          <w:kern w:val="0"/>
          <w:sz w:val="22"/>
          <w:szCs w:val="22"/>
          <w:lang w:eastAsia="es-ES"/>
          <w14:ligatures w14:val="none"/>
        </w:rPr>
        <w:t xml:space="preserve"> y esto es lo que esperamos también por parte de Estados Unidos. Eliminar esas barreras </w:t>
      </w:r>
      <w:r w:rsidRPr="00505A20">
        <w:rPr>
          <w:rFonts w:ascii="Calibri" w:eastAsia="Times New Roman" w:hAnsi="Calibri" w:cs="Calibri"/>
          <w:color w:val="111111"/>
          <w:kern w:val="0"/>
          <w:sz w:val="22"/>
          <w:szCs w:val="22"/>
          <w:lang w:eastAsia="es-ES"/>
          <w14:ligatures w14:val="none"/>
        </w:rPr>
        <w:lastRenderedPageBreak/>
        <w:t>ayudaría a la estabilidad de las empresas. Tenemos que volver a esa estabilidad en la que se estaba trabajando con el acuerdo cerrado en agosto y así poder cumplir el acuerdo", ha apuntado este mismo viernes el vicepresidente primero y ministro Economía, Comercio y Empresa, Carlos Cuerpo.</w:t>
      </w:r>
    </w:p>
    <w:p w14:paraId="2D4223A1" w14:textId="77777777" w:rsidR="00505A20" w:rsidRPr="00505A20" w:rsidRDefault="00505A20" w:rsidP="00505A20">
      <w:pPr>
        <w:shd w:val="clear" w:color="auto" w:fill="FFFFFF"/>
        <w:spacing w:before="100" w:beforeAutospacing="1" w:after="100" w:afterAutospacing="1" w:line="240" w:lineRule="auto"/>
        <w:jc w:val="both"/>
        <w:rPr>
          <w:rFonts w:ascii="Calibri" w:eastAsia="Times New Roman" w:hAnsi="Calibri" w:cs="Calibri"/>
          <w:color w:val="111111"/>
          <w:kern w:val="0"/>
          <w:sz w:val="22"/>
          <w:szCs w:val="22"/>
          <w:lang w:eastAsia="es-ES"/>
          <w14:ligatures w14:val="none"/>
        </w:rPr>
      </w:pPr>
      <w:r w:rsidRPr="00505A20">
        <w:rPr>
          <w:rFonts w:ascii="Calibri" w:eastAsia="Times New Roman" w:hAnsi="Calibri" w:cs="Calibri"/>
          <w:color w:val="111111"/>
          <w:kern w:val="0"/>
          <w:sz w:val="22"/>
          <w:szCs w:val="22"/>
          <w:lang w:eastAsia="es-ES"/>
          <w14:ligatures w14:val="none"/>
        </w:rPr>
        <w:t xml:space="preserve">La exposición es desigual. </w:t>
      </w:r>
      <w:r w:rsidRPr="00505A20">
        <w:rPr>
          <w:rFonts w:ascii="Calibri" w:eastAsia="Times New Roman" w:hAnsi="Calibri" w:cs="Calibri"/>
          <w:b/>
          <w:bCs/>
          <w:color w:val="111111"/>
          <w:kern w:val="0"/>
          <w:sz w:val="22"/>
          <w:szCs w:val="22"/>
          <w:lang w:eastAsia="es-ES"/>
          <w14:ligatures w14:val="none"/>
        </w:rPr>
        <w:t>Estados Unidos absorbe más del 10% de las exportaciones españolas de generadores eléctricos, aceites, barcos, vino</w:t>
      </w:r>
      <w:r w:rsidRPr="00505A20">
        <w:rPr>
          <w:rFonts w:ascii="Calibri" w:eastAsia="Times New Roman" w:hAnsi="Calibri" w:cs="Calibri"/>
          <w:color w:val="111111"/>
          <w:kern w:val="0"/>
          <w:sz w:val="22"/>
          <w:szCs w:val="22"/>
          <w:lang w:eastAsia="es-ES"/>
          <w14:ligatures w14:val="none"/>
        </w:rPr>
        <w:t xml:space="preserve"> y determinados productos químicos. La primera presidencia de Trump ofrece una advertencia: el arancel del 35% aplicado en 2018 a la aceituna española provocó una reducción de volumen similar, según Funcas. Las empresas vuelven a una disyuntiva conocida: rebajar precios y sacrificar margen o trasladar el gravamen al cliente y arriesgarse a perder ventas.</w:t>
      </w:r>
    </w:p>
    <w:p w14:paraId="5D5DB213" w14:textId="77777777" w:rsidR="00505A20" w:rsidRPr="00505A20" w:rsidRDefault="00505A20" w:rsidP="00505A20">
      <w:pPr>
        <w:shd w:val="clear" w:color="auto" w:fill="FFFFFF"/>
        <w:spacing w:before="100" w:beforeAutospacing="1" w:after="100" w:afterAutospacing="1" w:line="240" w:lineRule="auto"/>
        <w:jc w:val="both"/>
        <w:rPr>
          <w:rFonts w:ascii="Calibri" w:eastAsia="Times New Roman" w:hAnsi="Calibri" w:cs="Calibri"/>
          <w:color w:val="111111"/>
          <w:kern w:val="0"/>
          <w:sz w:val="22"/>
          <w:szCs w:val="22"/>
          <w:lang w:eastAsia="es-ES"/>
          <w14:ligatures w14:val="none"/>
        </w:rPr>
      </w:pPr>
      <w:r w:rsidRPr="00505A20">
        <w:rPr>
          <w:rFonts w:ascii="Calibri" w:eastAsia="Times New Roman" w:hAnsi="Calibri" w:cs="Calibri"/>
          <w:color w:val="111111"/>
          <w:kern w:val="0"/>
          <w:sz w:val="22"/>
          <w:szCs w:val="22"/>
          <w:lang w:eastAsia="es-ES"/>
          <w14:ligatures w14:val="none"/>
        </w:rPr>
        <w:t xml:space="preserve">Los efectos indirectos pueden ser más importantes que el impacto bilateral. Una menor actividad en Estados Unidos y Europa debilitaría la demanda de componentes españoles, especialmente en </w:t>
      </w:r>
      <w:hyperlink r:id="rId7" w:tgtFrame="_blank" w:history="1">
        <w:r w:rsidRPr="00505A20">
          <w:rPr>
            <w:rFonts w:ascii="Calibri" w:eastAsia="Times New Roman" w:hAnsi="Calibri" w:cs="Calibri"/>
            <w:color w:val="F53036"/>
            <w:kern w:val="0"/>
            <w:sz w:val="22"/>
            <w:szCs w:val="22"/>
            <w:bdr w:val="none" w:sz="0" w:space="0" w:color="auto" w:frame="1"/>
            <w:lang w:eastAsia="es-ES"/>
            <w14:ligatures w14:val="none"/>
          </w:rPr>
          <w:t>la automoción, un sector que no vive ya de por sí su mejor momento</w:t>
        </w:r>
      </w:hyperlink>
      <w:r w:rsidRPr="00505A20">
        <w:rPr>
          <w:rFonts w:ascii="Calibri" w:eastAsia="Times New Roman" w:hAnsi="Calibri" w:cs="Calibri"/>
          <w:color w:val="111111"/>
          <w:kern w:val="0"/>
          <w:sz w:val="22"/>
          <w:szCs w:val="22"/>
          <w:lang w:eastAsia="es-ES"/>
          <w14:ligatures w14:val="none"/>
        </w:rPr>
        <w:t>. A ello se suma el desvío de comercio: los productores expulsados del mercado estadounidense buscarán compradores en Europa, aumentando la competencia y presionando márgenes. Funcas alerta además de que la incertidumbre regulatoria enfría la inversión, ligada a las exportaciones.</w:t>
      </w:r>
    </w:p>
    <w:p w14:paraId="6E8573E4" w14:textId="77777777" w:rsidR="00505A20" w:rsidRPr="00505A20" w:rsidRDefault="00505A20" w:rsidP="00505A20">
      <w:pPr>
        <w:shd w:val="clear" w:color="auto" w:fill="FFFFFF"/>
        <w:spacing w:after="0" w:line="240" w:lineRule="auto"/>
        <w:jc w:val="both"/>
        <w:outlineLvl w:val="2"/>
        <w:rPr>
          <w:rFonts w:ascii="Calibri" w:eastAsia="Times New Roman" w:hAnsi="Calibri" w:cs="Calibri"/>
          <w:b/>
          <w:bCs/>
          <w:color w:val="111111"/>
          <w:kern w:val="0"/>
          <w:sz w:val="22"/>
          <w:szCs w:val="22"/>
          <w:lang w:eastAsia="es-ES"/>
          <w14:ligatures w14:val="none"/>
        </w:rPr>
      </w:pPr>
      <w:r w:rsidRPr="00505A20">
        <w:rPr>
          <w:rFonts w:ascii="Calibri" w:eastAsia="Times New Roman" w:hAnsi="Calibri" w:cs="Calibri"/>
          <w:b/>
          <w:bCs/>
          <w:color w:val="111111"/>
          <w:kern w:val="0"/>
          <w:sz w:val="22"/>
          <w:szCs w:val="22"/>
          <w:lang w:eastAsia="es-ES"/>
          <w14:ligatures w14:val="none"/>
        </w:rPr>
        <w:t>Países que se benefician</w:t>
      </w:r>
    </w:p>
    <w:p w14:paraId="10BBEEBD" w14:textId="77777777" w:rsidR="00505A20" w:rsidRPr="00505A20" w:rsidRDefault="00505A20" w:rsidP="00505A20">
      <w:pPr>
        <w:shd w:val="clear" w:color="auto" w:fill="FFFFFF"/>
        <w:spacing w:before="100" w:beforeAutospacing="1" w:after="100" w:afterAutospacing="1" w:line="240" w:lineRule="auto"/>
        <w:jc w:val="both"/>
        <w:rPr>
          <w:rFonts w:ascii="Calibri" w:eastAsia="Times New Roman" w:hAnsi="Calibri" w:cs="Calibri"/>
          <w:color w:val="111111"/>
          <w:kern w:val="0"/>
          <w:sz w:val="22"/>
          <w:szCs w:val="22"/>
          <w:lang w:eastAsia="es-ES"/>
          <w14:ligatures w14:val="none"/>
        </w:rPr>
      </w:pPr>
      <w:r w:rsidRPr="00505A20">
        <w:rPr>
          <w:rFonts w:ascii="Calibri" w:eastAsia="Times New Roman" w:hAnsi="Calibri" w:cs="Calibri"/>
          <w:color w:val="111111"/>
          <w:kern w:val="0"/>
          <w:sz w:val="22"/>
          <w:szCs w:val="22"/>
          <w:lang w:eastAsia="es-ES"/>
          <w14:ligatures w14:val="none"/>
        </w:rPr>
        <w:t xml:space="preserve">La ronda de 2025 demuestra que los aranceles reducen el comercio afectado, aunque no necesariamente el comercio mundial. BBVA </w:t>
      </w:r>
      <w:proofErr w:type="spellStart"/>
      <w:r w:rsidRPr="00505A20">
        <w:rPr>
          <w:rFonts w:ascii="Calibri" w:eastAsia="Times New Roman" w:hAnsi="Calibri" w:cs="Calibri"/>
          <w:color w:val="111111"/>
          <w:kern w:val="0"/>
          <w:sz w:val="22"/>
          <w:szCs w:val="22"/>
          <w:lang w:eastAsia="es-ES"/>
          <w14:ligatures w14:val="none"/>
        </w:rPr>
        <w:t>Research</w:t>
      </w:r>
      <w:proofErr w:type="spellEnd"/>
      <w:r w:rsidRPr="00505A20">
        <w:rPr>
          <w:rFonts w:ascii="Calibri" w:eastAsia="Times New Roman" w:hAnsi="Calibri" w:cs="Calibri"/>
          <w:color w:val="111111"/>
          <w:kern w:val="0"/>
          <w:sz w:val="22"/>
          <w:szCs w:val="22"/>
          <w:lang w:eastAsia="es-ES"/>
          <w14:ligatures w14:val="none"/>
        </w:rPr>
        <w:t xml:space="preserve"> calcula que cada punto porcentual de incremento tarifario recortó alrededor de un 2% las exportaciones del país y sector afectado hacia Estados Unidos. Un aumento medio de siete puntos habría supuesto una caída cercana al 14%. Sin embargo, la fortaleza de la economía estadounidense y la demanda de bienes vinculados a la inteligencia artificial compensaron parte del descenso. México, Taiwán y varias economías asiáticas ganaron terreno, mientras China perdió cuota.</w:t>
      </w:r>
    </w:p>
    <w:p w14:paraId="14C27459" w14:textId="77777777" w:rsidR="00505A20" w:rsidRPr="00505A20" w:rsidRDefault="00505A20" w:rsidP="00505A20">
      <w:pPr>
        <w:shd w:val="clear" w:color="auto" w:fill="FFFFFF"/>
        <w:spacing w:before="100" w:beforeAutospacing="1" w:after="100" w:afterAutospacing="1" w:line="240" w:lineRule="auto"/>
        <w:jc w:val="both"/>
        <w:rPr>
          <w:rFonts w:ascii="Calibri" w:eastAsia="Times New Roman" w:hAnsi="Calibri" w:cs="Calibri"/>
          <w:color w:val="111111"/>
          <w:kern w:val="0"/>
          <w:sz w:val="22"/>
          <w:szCs w:val="22"/>
          <w:lang w:eastAsia="es-ES"/>
          <w14:ligatures w14:val="none"/>
        </w:rPr>
      </w:pPr>
      <w:r w:rsidRPr="00505A20">
        <w:rPr>
          <w:rFonts w:ascii="Calibri" w:eastAsia="Times New Roman" w:hAnsi="Calibri" w:cs="Calibri"/>
          <w:color w:val="111111"/>
          <w:kern w:val="0"/>
          <w:sz w:val="22"/>
          <w:szCs w:val="22"/>
          <w:lang w:eastAsia="es-ES"/>
          <w14:ligatures w14:val="none"/>
        </w:rPr>
        <w:t xml:space="preserve">CaixaBank </w:t>
      </w:r>
      <w:proofErr w:type="spellStart"/>
      <w:r w:rsidRPr="00505A20">
        <w:rPr>
          <w:rFonts w:ascii="Calibri" w:eastAsia="Times New Roman" w:hAnsi="Calibri" w:cs="Calibri"/>
          <w:color w:val="111111"/>
          <w:kern w:val="0"/>
          <w:sz w:val="22"/>
          <w:szCs w:val="22"/>
          <w:lang w:eastAsia="es-ES"/>
          <w14:ligatures w14:val="none"/>
        </w:rPr>
        <w:t>Research</w:t>
      </w:r>
      <w:proofErr w:type="spellEnd"/>
      <w:r w:rsidRPr="00505A20">
        <w:rPr>
          <w:rFonts w:ascii="Calibri" w:eastAsia="Times New Roman" w:hAnsi="Calibri" w:cs="Calibri"/>
          <w:color w:val="111111"/>
          <w:kern w:val="0"/>
          <w:sz w:val="22"/>
          <w:szCs w:val="22"/>
          <w:lang w:eastAsia="es-ES"/>
          <w14:ligatures w14:val="none"/>
        </w:rPr>
        <w:t xml:space="preserve"> ya había constatado esa recomposición. </w:t>
      </w:r>
      <w:r w:rsidRPr="00505A20">
        <w:rPr>
          <w:rFonts w:ascii="Calibri" w:eastAsia="Times New Roman" w:hAnsi="Calibri" w:cs="Calibri"/>
          <w:b/>
          <w:bCs/>
          <w:color w:val="111111"/>
          <w:kern w:val="0"/>
          <w:sz w:val="22"/>
          <w:szCs w:val="22"/>
          <w:lang w:eastAsia="es-ES"/>
          <w14:ligatures w14:val="none"/>
        </w:rPr>
        <w:t>En junio de 2025 estimaba que el arancel medio estadounidense rondaba el 15%</w:t>
      </w:r>
      <w:r w:rsidRPr="00505A20">
        <w:rPr>
          <w:rFonts w:ascii="Calibri" w:eastAsia="Times New Roman" w:hAnsi="Calibri" w:cs="Calibri"/>
          <w:color w:val="111111"/>
          <w:kern w:val="0"/>
          <w:sz w:val="22"/>
          <w:szCs w:val="22"/>
          <w:lang w:eastAsia="es-ES"/>
          <w14:ligatures w14:val="none"/>
        </w:rPr>
        <w:t>, cinco veces más que al inicio de la escalada de 2018 y en niveles no vistos desde los años cuarenta. Las ventas chinas se redirigieron hacia Asia, América Latina y África, y parte de las mercancías alcanzaron Estados Unidos a través de terceros países. El proteccionismo no eliminó las cadenas globales: las hizo más largas y costosas. Tampoco garantizó reducir el déficit exterior, porque los mayores costes y las represalias dañan las exportaciones estadounidenses.</w:t>
      </w:r>
    </w:p>
    <w:p w14:paraId="02F629D7" w14:textId="77777777" w:rsidR="00505A20" w:rsidRPr="00505A20" w:rsidRDefault="00505A20" w:rsidP="00505A20">
      <w:pPr>
        <w:shd w:val="clear" w:color="auto" w:fill="FFFFFF"/>
        <w:spacing w:before="100" w:beforeAutospacing="1" w:after="100" w:afterAutospacing="1" w:line="240" w:lineRule="auto"/>
        <w:jc w:val="both"/>
        <w:rPr>
          <w:rFonts w:ascii="Calibri" w:eastAsia="Times New Roman" w:hAnsi="Calibri" w:cs="Calibri"/>
          <w:color w:val="111111"/>
          <w:kern w:val="0"/>
          <w:sz w:val="22"/>
          <w:szCs w:val="22"/>
          <w:lang w:eastAsia="es-ES"/>
          <w14:ligatures w14:val="none"/>
        </w:rPr>
      </w:pPr>
      <w:r w:rsidRPr="00505A20">
        <w:rPr>
          <w:rFonts w:ascii="Calibri" w:eastAsia="Times New Roman" w:hAnsi="Calibri" w:cs="Calibri"/>
          <w:color w:val="111111"/>
          <w:kern w:val="0"/>
          <w:sz w:val="22"/>
          <w:szCs w:val="22"/>
          <w:lang w:eastAsia="es-ES"/>
          <w14:ligatures w14:val="none"/>
        </w:rPr>
        <w:t xml:space="preserve">Para las empresas españolas, la amenaza no se limita a la aduana. Luis Cañal, socio de Auditoría de EY, advierte de “revisiones a la baja de previsiones de ventas y flujos de caja, deterioros de activos y dificultades para valorar existencias y cuentas a cobrar. También pueden multiplicarse las renegociaciones, la búsqueda de proveedores alternativos y las necesidades de financiación”. En los casos más expuestos, </w:t>
      </w:r>
      <w:r w:rsidRPr="00505A20">
        <w:rPr>
          <w:rFonts w:ascii="Calibri" w:eastAsia="Times New Roman" w:hAnsi="Calibri" w:cs="Calibri"/>
          <w:b/>
          <w:bCs/>
          <w:color w:val="111111"/>
          <w:kern w:val="0"/>
          <w:sz w:val="22"/>
          <w:szCs w:val="22"/>
          <w:lang w:eastAsia="es-ES"/>
          <w14:ligatures w14:val="none"/>
        </w:rPr>
        <w:t>las empresas deberán evaluar su continuidad en el mercado estadounidense</w:t>
      </w:r>
      <w:r w:rsidRPr="00505A20">
        <w:rPr>
          <w:rFonts w:ascii="Calibri" w:eastAsia="Times New Roman" w:hAnsi="Calibri" w:cs="Calibri"/>
          <w:color w:val="111111"/>
          <w:kern w:val="0"/>
          <w:sz w:val="22"/>
          <w:szCs w:val="22"/>
          <w:lang w:eastAsia="es-ES"/>
          <w14:ligatures w14:val="none"/>
        </w:rPr>
        <w:t>.</w:t>
      </w:r>
    </w:p>
    <w:p w14:paraId="38AFD6BA" w14:textId="77777777" w:rsidR="00505A20" w:rsidRPr="00505A20" w:rsidRDefault="00505A20" w:rsidP="00505A20">
      <w:pPr>
        <w:shd w:val="clear" w:color="auto" w:fill="FFFFFF"/>
        <w:spacing w:after="100" w:afterAutospacing="1" w:line="240" w:lineRule="auto"/>
        <w:jc w:val="both"/>
        <w:rPr>
          <w:rFonts w:ascii="Calibri" w:eastAsia="Times New Roman" w:hAnsi="Calibri" w:cs="Calibri"/>
          <w:color w:val="666666"/>
          <w:kern w:val="0"/>
          <w:sz w:val="22"/>
          <w:szCs w:val="22"/>
          <w:lang w:eastAsia="es-ES"/>
          <w14:ligatures w14:val="none"/>
        </w:rPr>
      </w:pPr>
      <w:r w:rsidRPr="00505A20">
        <w:rPr>
          <w:rFonts w:ascii="Calibri" w:eastAsia="Times New Roman" w:hAnsi="Calibri" w:cs="Calibri"/>
          <w:color w:val="666666"/>
          <w:kern w:val="0"/>
          <w:sz w:val="22"/>
          <w:szCs w:val="22"/>
          <w:lang w:eastAsia="es-ES"/>
          <w14:ligatures w14:val="none"/>
        </w:rPr>
        <w:t>Te puede interesar</w:t>
      </w:r>
    </w:p>
    <w:p w14:paraId="4CCD6B33" w14:textId="77777777" w:rsidR="00505A20" w:rsidRPr="00505A20" w:rsidRDefault="00505A20" w:rsidP="00505A20">
      <w:pPr>
        <w:numPr>
          <w:ilvl w:val="0"/>
          <w:numId w:val="1"/>
        </w:numPr>
        <w:shd w:val="clear" w:color="auto" w:fill="FFFFFF"/>
        <w:spacing w:after="0" w:line="240" w:lineRule="auto"/>
        <w:jc w:val="both"/>
        <w:rPr>
          <w:rFonts w:ascii="Calibri" w:eastAsia="Times New Roman" w:hAnsi="Calibri" w:cs="Calibri"/>
          <w:color w:val="111111"/>
          <w:kern w:val="0"/>
          <w:sz w:val="22"/>
          <w:szCs w:val="22"/>
          <w:lang w:eastAsia="es-ES"/>
          <w14:ligatures w14:val="none"/>
        </w:rPr>
      </w:pPr>
      <w:hyperlink r:id="rId8" w:tgtFrame="_self" w:tooltip="Àngels Barceló (63 años), sobre la vivienda: 'Nos fuimos de Barcelona porque buscábamos un piso asequible, pero ahora está todo igual'" w:history="1">
        <w:r w:rsidRPr="00505A20">
          <w:rPr>
            <w:rFonts w:ascii="Calibri" w:eastAsia="Times New Roman" w:hAnsi="Calibri" w:cs="Calibri"/>
            <w:b/>
            <w:bCs/>
            <w:color w:val="111111"/>
            <w:kern w:val="0"/>
            <w:sz w:val="22"/>
            <w:szCs w:val="22"/>
            <w:bdr w:val="none" w:sz="0" w:space="0" w:color="auto" w:frame="1"/>
            <w:lang w:eastAsia="es-ES"/>
            <w14:ligatures w14:val="none"/>
          </w:rPr>
          <w:t>Àngels Barceló (63 años), sobre la vivienda: 'Nos fuimos de Barcelona...</w:t>
        </w:r>
      </w:hyperlink>
    </w:p>
    <w:p w14:paraId="7F9654E5" w14:textId="77777777" w:rsidR="00505A20" w:rsidRPr="00505A20" w:rsidRDefault="00505A20" w:rsidP="00505A20">
      <w:pPr>
        <w:numPr>
          <w:ilvl w:val="0"/>
          <w:numId w:val="1"/>
        </w:numPr>
        <w:shd w:val="clear" w:color="auto" w:fill="FFFFFF"/>
        <w:spacing w:after="0" w:line="240" w:lineRule="auto"/>
        <w:jc w:val="both"/>
        <w:rPr>
          <w:rFonts w:ascii="Calibri" w:eastAsia="Times New Roman" w:hAnsi="Calibri" w:cs="Calibri"/>
          <w:color w:val="111111"/>
          <w:kern w:val="0"/>
          <w:sz w:val="22"/>
          <w:szCs w:val="22"/>
          <w:lang w:eastAsia="es-ES"/>
          <w14:ligatures w14:val="none"/>
        </w:rPr>
      </w:pPr>
      <w:hyperlink r:id="rId9" w:tgtFrame="_self" w:tooltip="Maricarmen y el IPC al 4,9%" w:history="1">
        <w:r w:rsidRPr="00505A20">
          <w:rPr>
            <w:rFonts w:ascii="Calibri" w:eastAsia="Times New Roman" w:hAnsi="Calibri" w:cs="Calibri"/>
            <w:b/>
            <w:bCs/>
            <w:color w:val="111111"/>
            <w:kern w:val="0"/>
            <w:sz w:val="22"/>
            <w:szCs w:val="22"/>
            <w:bdr w:val="none" w:sz="0" w:space="0" w:color="auto" w:frame="1"/>
            <w:lang w:eastAsia="es-ES"/>
            <w14:ligatures w14:val="none"/>
          </w:rPr>
          <w:t>Maricarmen y el IPC al 4,9%</w:t>
        </w:r>
      </w:hyperlink>
    </w:p>
    <w:p w14:paraId="4543DF6F" w14:textId="77777777" w:rsidR="00505A20" w:rsidRPr="00505A20" w:rsidRDefault="00505A20" w:rsidP="00505A20">
      <w:pPr>
        <w:numPr>
          <w:ilvl w:val="0"/>
          <w:numId w:val="1"/>
        </w:numPr>
        <w:pBdr>
          <w:bottom w:val="single" w:sz="2" w:space="0" w:color="CCCCCC"/>
        </w:pBdr>
        <w:shd w:val="clear" w:color="auto" w:fill="FFFFFF"/>
        <w:spacing w:after="0" w:line="240" w:lineRule="auto"/>
        <w:jc w:val="both"/>
        <w:rPr>
          <w:rFonts w:ascii="Calibri" w:eastAsia="Times New Roman" w:hAnsi="Calibri" w:cs="Calibri"/>
          <w:color w:val="111111"/>
          <w:kern w:val="0"/>
          <w:sz w:val="22"/>
          <w:szCs w:val="22"/>
          <w:lang w:eastAsia="es-ES"/>
          <w14:ligatures w14:val="none"/>
        </w:rPr>
      </w:pPr>
      <w:hyperlink r:id="rId10" w:tgtFrame="_self" w:tooltip="Unos carburantes aún más desbocados impulsan la inflación hasta cerca del 5%, la más alta desde febrero de 2023" w:history="1">
        <w:r w:rsidRPr="00505A20">
          <w:rPr>
            <w:rFonts w:ascii="Calibri" w:eastAsia="Times New Roman" w:hAnsi="Calibri" w:cs="Calibri"/>
            <w:b/>
            <w:bCs/>
            <w:color w:val="111111"/>
            <w:kern w:val="0"/>
            <w:sz w:val="22"/>
            <w:szCs w:val="22"/>
            <w:bdr w:val="none" w:sz="0" w:space="0" w:color="auto" w:frame="1"/>
            <w:lang w:eastAsia="es-ES"/>
            <w14:ligatures w14:val="none"/>
          </w:rPr>
          <w:t>Unos carburantes aún más desbocados impulsan la inflación hasta...</w:t>
        </w:r>
      </w:hyperlink>
    </w:p>
    <w:p w14:paraId="57DF841B" w14:textId="77777777" w:rsidR="00505A20" w:rsidRPr="00505A20" w:rsidRDefault="00505A20" w:rsidP="00505A20">
      <w:pPr>
        <w:shd w:val="clear" w:color="auto" w:fill="FFFFFF"/>
        <w:spacing w:before="100" w:beforeAutospacing="1" w:after="100" w:afterAutospacing="1" w:line="240" w:lineRule="auto"/>
        <w:jc w:val="both"/>
        <w:rPr>
          <w:rFonts w:ascii="Calibri" w:eastAsia="Times New Roman" w:hAnsi="Calibri" w:cs="Calibri"/>
          <w:color w:val="111111"/>
          <w:kern w:val="0"/>
          <w:sz w:val="22"/>
          <w:szCs w:val="22"/>
          <w:lang w:eastAsia="es-ES"/>
          <w14:ligatures w14:val="none"/>
        </w:rPr>
      </w:pPr>
      <w:hyperlink r:id="rId11" w:tgtFrame="_blank" w:history="1">
        <w:r w:rsidRPr="00505A20">
          <w:rPr>
            <w:rFonts w:ascii="Calibri" w:eastAsia="Times New Roman" w:hAnsi="Calibri" w:cs="Calibri"/>
            <w:color w:val="F53036"/>
            <w:kern w:val="0"/>
            <w:sz w:val="22"/>
            <w:szCs w:val="22"/>
            <w:bdr w:val="none" w:sz="0" w:space="0" w:color="auto" w:frame="1"/>
            <w:lang w:eastAsia="es-ES"/>
            <w14:ligatures w14:val="none"/>
          </w:rPr>
          <w:t>La ofensiva llega con el petróleo en torno a los 100 dólares por la escalada con Irán</w:t>
        </w:r>
      </w:hyperlink>
      <w:r w:rsidRPr="00505A20">
        <w:rPr>
          <w:rFonts w:ascii="Calibri" w:eastAsia="Times New Roman" w:hAnsi="Calibri" w:cs="Calibri"/>
          <w:color w:val="111111"/>
          <w:kern w:val="0"/>
          <w:sz w:val="22"/>
          <w:szCs w:val="22"/>
          <w:lang w:eastAsia="es-ES"/>
          <w14:ligatures w14:val="none"/>
        </w:rPr>
        <w:t>, lo que añade otro foco de costes e inflación. Para España, la clave será cuánto dure el arancel, si Bruselas responde y hasta qué punto las compañías diversifican mercados. La lección de las rondas anteriores es clara: el comercio se adapta, pero la adaptación tiene precio, concentra daños en sectores concretos y convierte la incertidumbre en un impuesto sobre la inversión.</w:t>
      </w:r>
    </w:p>
    <w:p w14:paraId="51095603" w14:textId="77777777" w:rsidR="00505A20" w:rsidRDefault="00505A20"/>
    <w:sectPr w:rsidR="00505A2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2A5"/>
    <w:multiLevelType w:val="multilevel"/>
    <w:tmpl w:val="B9CC5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773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A20"/>
    <w:rsid w:val="00093CCC"/>
    <w:rsid w:val="00505A2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41BC1"/>
  <w15:chartTrackingRefBased/>
  <w15:docId w15:val="{6DACA401-F063-41B4-B421-A6EB3FA5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05A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05A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05A2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05A2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05A2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05A2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05A2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05A2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05A2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5A2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05A2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05A2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05A2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05A2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05A2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05A2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05A2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05A20"/>
    <w:rPr>
      <w:rFonts w:eastAsiaTheme="majorEastAsia" w:cstheme="majorBidi"/>
      <w:color w:val="272727" w:themeColor="text1" w:themeTint="D8"/>
    </w:rPr>
  </w:style>
  <w:style w:type="paragraph" w:styleId="Ttulo">
    <w:name w:val="Title"/>
    <w:basedOn w:val="Normal"/>
    <w:next w:val="Normal"/>
    <w:link w:val="TtuloCar"/>
    <w:uiPriority w:val="10"/>
    <w:qFormat/>
    <w:rsid w:val="00505A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05A2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05A2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05A2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05A20"/>
    <w:pPr>
      <w:spacing w:before="160"/>
      <w:jc w:val="center"/>
    </w:pPr>
    <w:rPr>
      <w:i/>
      <w:iCs/>
      <w:color w:val="404040" w:themeColor="text1" w:themeTint="BF"/>
    </w:rPr>
  </w:style>
  <w:style w:type="character" w:customStyle="1" w:styleId="CitaCar">
    <w:name w:val="Cita Car"/>
    <w:basedOn w:val="Fuentedeprrafopredeter"/>
    <w:link w:val="Cita"/>
    <w:uiPriority w:val="29"/>
    <w:rsid w:val="00505A20"/>
    <w:rPr>
      <w:i/>
      <w:iCs/>
      <w:color w:val="404040" w:themeColor="text1" w:themeTint="BF"/>
    </w:rPr>
  </w:style>
  <w:style w:type="paragraph" w:styleId="Prrafodelista">
    <w:name w:val="List Paragraph"/>
    <w:basedOn w:val="Normal"/>
    <w:uiPriority w:val="34"/>
    <w:qFormat/>
    <w:rsid w:val="00505A20"/>
    <w:pPr>
      <w:ind w:left="720"/>
      <w:contextualSpacing/>
    </w:pPr>
  </w:style>
  <w:style w:type="character" w:styleId="nfasisintenso">
    <w:name w:val="Intense Emphasis"/>
    <w:basedOn w:val="Fuentedeprrafopredeter"/>
    <w:uiPriority w:val="21"/>
    <w:qFormat/>
    <w:rsid w:val="00505A20"/>
    <w:rPr>
      <w:i/>
      <w:iCs/>
      <w:color w:val="0F4761" w:themeColor="accent1" w:themeShade="BF"/>
    </w:rPr>
  </w:style>
  <w:style w:type="paragraph" w:styleId="Citadestacada">
    <w:name w:val="Intense Quote"/>
    <w:basedOn w:val="Normal"/>
    <w:next w:val="Normal"/>
    <w:link w:val="CitadestacadaCar"/>
    <w:uiPriority w:val="30"/>
    <w:qFormat/>
    <w:rsid w:val="00505A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05A20"/>
    <w:rPr>
      <w:i/>
      <w:iCs/>
      <w:color w:val="0F4761" w:themeColor="accent1" w:themeShade="BF"/>
    </w:rPr>
  </w:style>
  <w:style w:type="character" w:styleId="Referenciaintensa">
    <w:name w:val="Intense Reference"/>
    <w:basedOn w:val="Fuentedeprrafopredeter"/>
    <w:uiPriority w:val="32"/>
    <w:qFormat/>
    <w:rsid w:val="00505A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periodico.com/es/vivienda/20261001/angels-barcelo-vivienda-desahucio-maricarmen-dv-loc-et-134805834?pimec-source=www.elperiodico.com&amp;pimec-widget=55&amp;pimec-config=551&amp;pimec-mod=0&amp;pimec-pos=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lperiodico.com/es/economia/20260612/programada-epc-ere-fusiones-refinanciaciones-13124617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periodico.com/es/internacional/20260723/trump-impone-aranceles-12-5-132753818" TargetMode="External"/><Relationship Id="rId11" Type="http://schemas.openxmlformats.org/officeDocument/2006/relationships/hyperlink" Target="https://www.elperiodico.com/es/economia/20260724/ibex-35-desafia-vendaval-trump-132760868" TargetMode="External"/><Relationship Id="rId5" Type="http://schemas.openxmlformats.org/officeDocument/2006/relationships/image" Target="media/image1.jpeg"/><Relationship Id="rId10" Type="http://schemas.openxmlformats.org/officeDocument/2006/relationships/hyperlink" Target="https://www.elperiodico.com/es/economia/20260929/inflacion-ipc-adelantado-septiembre-2026-carburantes-desbocados-134785712?pimec-source=www.elperiodico.com&amp;pimec-widget=55&amp;pimec-config=551&amp;pimec-mod=0&amp;pimec-pos=2" TargetMode="External"/><Relationship Id="rId4" Type="http://schemas.openxmlformats.org/officeDocument/2006/relationships/webSettings" Target="webSettings.xml"/><Relationship Id="rId9" Type="http://schemas.openxmlformats.org/officeDocument/2006/relationships/hyperlink" Target="https://www.elperiodico.com/es/opinion/20260930/maricarmen-ipc-articulo-de-joan-tapia-134858986?pimec-source=www.elperiodico.com&amp;pimec-widget=55&amp;pimec-config=551&amp;pimec-mod=0&amp;pimec-pos=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1101</Words>
  <Characters>6059</Characters>
  <Application>Microsoft Office Word</Application>
  <DocSecurity>0</DocSecurity>
  <Lines>50</Lines>
  <Paragraphs>14</Paragraphs>
  <ScaleCrop>false</ScaleCrop>
  <Company/>
  <LinksUpToDate>false</LinksUpToDate>
  <CharactersWithSpaces>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DÍAZ- BECERRA MARTÍNEZ</dc:creator>
  <cp:keywords/>
  <dc:description/>
  <cp:lastModifiedBy>ANA DÍAZ- BECERRA MARTÍNEZ</cp:lastModifiedBy>
  <cp:revision>1</cp:revision>
  <dcterms:created xsi:type="dcterms:W3CDTF">2026-10-01T12:00:00Z</dcterms:created>
  <dcterms:modified xsi:type="dcterms:W3CDTF">2026-10-01T12:02:00Z</dcterms:modified>
</cp:coreProperties>
</file>