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953760" cy="2921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4200" y="377046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760" cy="2921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76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100" w:before="0" w:line="276" w:lineRule="auto"/>
        <w:ind w:left="0" w:right="0" w:firstLine="0"/>
        <w:jc w:val="both"/>
        <w:rPr>
          <w:i w:val="0"/>
          <w:iCs w:val="0"/>
          <w:smallCaps w:val="0"/>
          <w:strike w:val="0"/>
          <w:color w:val="4434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4d4000"/>
          <w:sz w:val="24"/>
          <w:szCs w:val="24"/>
          <w:rtl w:val="0"/>
        </w:rPr>
        <w:t xml:space="preserve">-</w:t>
      </w:r>
      <w:r w:rsidDel="00000000" w:rsidR="00000000" w:rsidRPr="00000000">
        <w:rPr>
          <w:i w:val="0"/>
          <w:iCs w:val="0"/>
          <w:smallCaps w:val="0"/>
          <w:strike w:val="0"/>
          <w:color w:val="4d4000"/>
          <w:sz w:val="24"/>
          <w:szCs w:val="24"/>
          <w:u w:val="none"/>
          <w:shd w:fill="auto" w:val="clear"/>
          <w:vertAlign w:val="baseline"/>
          <w:rtl w:val="0"/>
        </w:rPr>
        <w:t xml:space="preserve">1.- O emisor é Cibrán, o acusado de va</w:t>
      </w:r>
      <w:r w:rsidDel="00000000" w:rsidR="00000000" w:rsidRPr="00000000">
        <w:rPr>
          <w:i w:val="0"/>
          <w:iCs w:val="0"/>
          <w:smallCaps w:val="0"/>
          <w:strike w:val="0"/>
          <w:color w:val="443400"/>
          <w:sz w:val="24"/>
          <w:szCs w:val="24"/>
          <w:u w:val="none"/>
          <w:shd w:fill="auto" w:val="clear"/>
          <w:vertAlign w:val="baseline"/>
          <w:rtl w:val="0"/>
        </w:rPr>
        <w:t xml:space="preserve">rios delitos. O receptor é o xuíz ante o cal está declarando para dar a súa versión dos feitos.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100" w:before="0" w:line="276" w:lineRule="auto"/>
        <w:ind w:left="0" w:right="0" w:firstLine="0"/>
        <w:jc w:val="both"/>
        <w:rPr>
          <w:i w:val="0"/>
          <w:iCs w:val="0"/>
          <w:smallCaps w:val="0"/>
          <w:strike w:val="0"/>
          <w:color w:val="2125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212500"/>
          <w:sz w:val="24"/>
          <w:szCs w:val="24"/>
          <w:rtl w:val="0"/>
        </w:rPr>
        <w:t xml:space="preserve">-</w:t>
      </w:r>
      <w:r w:rsidDel="00000000" w:rsidR="00000000" w:rsidRPr="00000000">
        <w:rPr>
          <w:i w:val="0"/>
          <w:iCs w:val="0"/>
          <w:smallCaps w:val="0"/>
          <w:strike w:val="0"/>
          <w:color w:val="212500"/>
          <w:sz w:val="24"/>
          <w:szCs w:val="24"/>
          <w:u w:val="none"/>
          <w:shd w:fill="auto" w:val="clear"/>
          <w:vertAlign w:val="baseline"/>
          <w:rtl w:val="0"/>
        </w:rPr>
        <w:t xml:space="preserve">2 Teñen tres denominacións: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100" w:before="0" w:line="276" w:lineRule="auto"/>
        <w:ind w:left="0" w:right="0" w:firstLine="0"/>
        <w:jc w:val="both"/>
        <w:rPr>
          <w:i w:val="0"/>
          <w:iCs w:val="0"/>
          <w:smallCaps w:val="0"/>
          <w:strike w:val="0"/>
          <w:color w:val="2125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212500"/>
          <w:sz w:val="24"/>
          <w:szCs w:val="24"/>
          <w:u w:val="none"/>
          <w:shd w:fill="auto" w:val="clear"/>
          <w:vertAlign w:val="baseline"/>
          <w:rtl w:val="0"/>
        </w:rPr>
        <w:t xml:space="preserve">• O nome oficial: Juan Fariña, Eladio Vilarchao e Cipriano Canedo; conteñen o nome e apelido en castelán.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100" w:before="0" w:line="276" w:lineRule="auto"/>
        <w:ind w:left="0" w:right="0" w:firstLine="0"/>
        <w:jc w:val="both"/>
        <w:rPr>
          <w:i w:val="0"/>
          <w:iCs w:val="0"/>
          <w:smallCaps w:val="0"/>
          <w:strike w:val="0"/>
          <w:color w:val="2027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212500"/>
          <w:sz w:val="24"/>
          <w:szCs w:val="24"/>
          <w:u w:val="none"/>
          <w:shd w:fill="auto" w:val="clear"/>
          <w:vertAlign w:val="baseline"/>
          <w:rtl w:val="0"/>
        </w:rPr>
        <w:t xml:space="preserve">. O nome familiar: Xan, Aladio e Cibrán son denominacións en galego. Aladio é un vulgarismo que caracteriza a condición humilde do personaxe. Este contraste entre o nome oficial en castelán e o nome familiar en galego indica a imposición do castelán, nos</w:t>
      </w:r>
      <w:r w:rsidDel="00000000" w:rsidR="00000000" w:rsidRPr="00000000">
        <w:rPr>
          <w:color w:val="212500"/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202700"/>
          <w:sz w:val="24"/>
          <w:szCs w:val="24"/>
          <w:u w:val="none"/>
          <w:shd w:fill="auto" w:val="clear"/>
          <w:vertAlign w:val="baseline"/>
          <w:rtl w:val="0"/>
        </w:rPr>
        <w:t xml:space="preserve">medios oficiais. O galego é unicamente a lingua familiar ou coloquial.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before="0" w:line="240" w:lineRule="auto"/>
        <w:jc w:val="both"/>
        <w:rPr>
          <w:color w:val="4c4100"/>
          <w:sz w:val="24"/>
          <w:szCs w:val="24"/>
        </w:rPr>
      </w:pPr>
      <w:r w:rsidDel="00000000" w:rsidR="00000000" w:rsidRPr="00000000">
        <w:rPr>
          <w:color w:val="4c4100"/>
          <w:sz w:val="24"/>
          <w:szCs w:val="24"/>
          <w:rtl w:val="0"/>
        </w:rPr>
        <w:t xml:space="preserve">• Os alcumes. Cibrán explica a importancia dos alcumes de cada un e indica que é unha característica das xentes do seu contorno. Estes alcumes proporcionan moita información sobre os personaxes: a extracción social, o carácter... E tamén acerca das persoas que llelos poñen (falta de caridade co neno Cibrán, enfermo de tiña).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4c4100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bCs w:val="1"/>
          <w:color w:val="4c4100"/>
          <w:sz w:val="24"/>
          <w:szCs w:val="24"/>
          <w:rtl w:val="0"/>
        </w:rPr>
        <w:t xml:space="preserve">Cibrán</w:t>
      </w:r>
      <w:r w:rsidDel="00000000" w:rsidR="00000000" w:rsidRPr="00000000">
        <w:rPr>
          <w:color w:val="4c4100"/>
          <w:sz w:val="24"/>
          <w:szCs w:val="24"/>
          <w:rtl w:val="0"/>
        </w:rPr>
        <w:t xml:space="preserve"> reúne os alcumes de </w:t>
      </w:r>
      <w:r w:rsidDel="00000000" w:rsidR="00000000" w:rsidRPr="00000000">
        <w:rPr>
          <w:b w:val="1"/>
          <w:bCs w:val="1"/>
          <w:color w:val="4c4100"/>
          <w:sz w:val="24"/>
          <w:szCs w:val="24"/>
          <w:rtl w:val="0"/>
        </w:rPr>
        <w:t xml:space="preserve">Castizo, Tiñica e Puchapodre.</w:t>
      </w:r>
      <w:r w:rsidDel="00000000" w:rsidR="00000000" w:rsidRPr="00000000">
        <w:rPr>
          <w:color w:val="4c4100"/>
          <w:sz w:val="24"/>
          <w:szCs w:val="24"/>
          <w:rtl w:val="0"/>
        </w:rPr>
        <w:t xml:space="preserve"> O primeiro salienta a condición humilde do personaxe: o seu pai tiña un porco semental. Os outros dous aluden á posición socioenómica: a tiña é unha enfermida de dermatolóxica producida por diversos parasitos na pel do cranio e</w:t>
      </w:r>
      <w:r w:rsidDel="00000000" w:rsidR="00000000" w:rsidRPr="00000000">
        <w:rPr>
          <w:sz w:val="24"/>
          <w:szCs w:val="24"/>
          <w:rtl w:val="0"/>
        </w:rPr>
        <w:t xml:space="preserve"> maniféstase en carpolas, chagas ou raidas do cabelo. Esta enfermidade asóciase a ambientes de miseria e de pita de hixiene: Tiñica = persoa que padece a tiña. Puchapodre porque Cibran, nun intento de ocultar os signos da enfermidade, andaba sempre coa pucha posta e sucia.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before="0" w:line="240" w:lineRule="auto"/>
        <w:jc w:val="both"/>
        <w:rPr>
          <w:color w:val="a89c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Bocas, Alifante e Peito de macho</w:t>
      </w:r>
      <w:r w:rsidDel="00000000" w:rsidR="00000000" w:rsidRPr="00000000">
        <w:rPr>
          <w:sz w:val="24"/>
          <w:szCs w:val="24"/>
          <w:rtl w:val="0"/>
        </w:rPr>
        <w:t xml:space="preserve"> definen o carácter e a complex</w:t>
      </w:r>
      <w:r w:rsidDel="00000000" w:rsidR="00000000" w:rsidRPr="00000000">
        <w:rPr>
          <w:color w:val="232b00"/>
          <w:sz w:val="24"/>
          <w:szCs w:val="24"/>
          <w:rtl w:val="0"/>
        </w:rPr>
        <w:t xml:space="preserve">ión física do personaxe. Trátase dun home forte cun carácter irascible e violento. Sempre fachendea da súa forza e virilidade. E o líder do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before="0" w:line="240" w:lineRule="auto"/>
        <w:jc w:val="both"/>
        <w:rPr>
          <w:color w:val="a89c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before="0" w:line="240" w:lineRule="auto"/>
        <w:rPr>
          <w:color w:val="322900"/>
          <w:sz w:val="24"/>
          <w:szCs w:val="24"/>
        </w:rPr>
      </w:pPr>
      <w:r w:rsidDel="00000000" w:rsidR="00000000" w:rsidRPr="00000000">
        <w:rPr>
          <w:color w:val="322900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bCs w:val="1"/>
          <w:color w:val="322900"/>
          <w:sz w:val="24"/>
          <w:szCs w:val="24"/>
          <w:rtl w:val="0"/>
        </w:rPr>
        <w:t xml:space="preserve">Milhomes, Papaganduxos, Maricallas e Setesaias</w:t>
      </w:r>
      <w:r w:rsidDel="00000000" w:rsidR="00000000" w:rsidRPr="00000000">
        <w:rPr>
          <w:color w:val="322900"/>
          <w:sz w:val="24"/>
          <w:szCs w:val="24"/>
          <w:rtl w:val="0"/>
        </w:rPr>
        <w:t xml:space="preserve">. Mediante eles faise alusión a dúas circunstancias do personaxe: a súa homosexualidade e a súa profesión de xastre. A homosexualidade do Milhomes é un tema reiterado na novela, pois cando está bébedo desinhibise e mostra as súas inclinacións sexuais. De aí as súas bromas procaces, a súa afección a asumir o papel da muller... Cibrán amosa o desprezo que el mesmo e a sociedade en conxunto manifesta polos homosexuais. Blanco Amor denuncia mediante este personaxe os prexuízos da sociedade e a marxinación que padecen os homosexuais. En canto ao oficio de xastre (Papaganduxos), na tradición popular galega (pero non só galega) a figura do xastre asóciase á debilidade física ou mesmo á pouca virilidade. Mediante estes alcumes decatámonos de que os tres personaxes comparten similares situacións de marxinalidade e forman parte dos estratos máis humildes da sociedade de Auria.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before="0" w:line="240" w:lineRule="auto"/>
        <w:jc w:val="both"/>
        <w:rPr>
          <w:color w:val="2d2700"/>
          <w:sz w:val="24"/>
          <w:szCs w:val="24"/>
        </w:rPr>
      </w:pPr>
      <w:r w:rsidDel="00000000" w:rsidR="00000000" w:rsidRPr="00000000">
        <w:rPr>
          <w:color w:val="3e3100"/>
          <w:sz w:val="24"/>
          <w:szCs w:val="24"/>
          <w:rtl w:val="0"/>
        </w:rPr>
        <w:t xml:space="preserve">-3 O texto sitúase case no principio do </w:t>
      </w:r>
      <w:r w:rsidDel="00000000" w:rsidR="00000000" w:rsidRPr="00000000">
        <w:rPr>
          <w:color w:val="1e1300"/>
          <w:sz w:val="24"/>
          <w:szCs w:val="24"/>
          <w:rtl w:val="0"/>
        </w:rPr>
        <w:t xml:space="preserve">capítulo I, no momento en que se reúnen os tres personaxes e comeza a esmorga (segundo Cibrán, inicio da esmorga para el e continuación para os outros dous). A idea principal é a presentación e caracterización dos personaxes: xuíz / acusado e Cibrán / Bocas / Milhomes. Nun primeiro momento Cibrán esforza se en diferenciarse dos seus compañeiros de esmorga, acusándoos de borrachos e perdidos. Porén, o xuíz obrígao a recoñecer que el tamén é coma eles, aínda que Cibrán insiste en que estaba decidido a cambiar de </w:t>
      </w:r>
      <w:r w:rsidDel="00000000" w:rsidR="00000000" w:rsidRPr="00000000">
        <w:rPr>
          <w:color w:val="2d2700"/>
          <w:sz w:val="24"/>
          <w:szCs w:val="24"/>
          <w:rtl w:val="0"/>
        </w:rPr>
        <w:t xml:space="preserve">vida, quería ser un home novo.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before="0" w:line="240" w:lineRule="auto"/>
        <w:jc w:val="both"/>
        <w:rPr>
          <w:color w:val="3d3400"/>
          <w:sz w:val="24"/>
          <w:szCs w:val="24"/>
        </w:rPr>
      </w:pPr>
      <w:r w:rsidDel="00000000" w:rsidR="00000000" w:rsidRPr="00000000">
        <w:rPr>
          <w:color w:val="2d2700"/>
          <w:sz w:val="24"/>
          <w:szCs w:val="24"/>
          <w:rtl w:val="0"/>
        </w:rPr>
        <w:t xml:space="preserve">4 Ao longo dos cinco capítulos nos que </w:t>
      </w:r>
      <w:r w:rsidDel="00000000" w:rsidR="00000000" w:rsidRPr="00000000">
        <w:rPr>
          <w:color w:val="3d3400"/>
          <w:sz w:val="24"/>
          <w:szCs w:val="24"/>
          <w:rtl w:val="0"/>
        </w:rPr>
        <w:t xml:space="preserve">se desenvolve o interrogatorio de Cibrán, as intervencións do xuíz sempre se silencian. Porén, o seu contido é facilmente deducible polas respostas e comentarios do acusado.</w:t>
      </w:r>
    </w:p>
    <w:p w:rsidR="00000000" w:rsidDel="00000000" w:rsidP="00000000" w:rsidRDefault="00000000" w:rsidRPr="00000000" w14:paraId="0000000D">
      <w:pPr>
        <w:pageBreakBefore w:val="0"/>
        <w:widowControl w:val="0"/>
        <w:jc w:val="both"/>
        <w:rPr>
          <w:color w:val="423200"/>
          <w:sz w:val="24"/>
          <w:szCs w:val="24"/>
        </w:rPr>
      </w:pPr>
      <w:r w:rsidDel="00000000" w:rsidR="00000000" w:rsidRPr="00000000">
        <w:rPr>
          <w:color w:val="423200"/>
          <w:sz w:val="24"/>
          <w:szCs w:val="24"/>
          <w:rtl w:val="0"/>
        </w:rPr>
        <w:t xml:space="preserve">Sabemos que o xuíz non é galego («xa me vou deprocatando que vostede non é deiquí») e que se expresa en castelán. Na primeira intervención, Cibrán sinala que o xuíz se expresa en castelán mentres que el o fai en galego. As palabras do xuíz son silenciadas para evitar o bilingüismo, pois se a novela pretende ser crónica duns feitos reais, debería reproducir as palabras do xuíz na lingua na que foron pronunciadas. Esta alternancia de linguas entre xuíz e acusado é motivo de conflito, pois Cibrán non entende o que di o xuíz (nin os cargos que lle imputan, pois fóronlle lidos en castelán e a gran velocidade), e o xuíz, dada a súa orixe foránea, tamén terá dificultades para entender as longas intervencións de Cibrán. Tendo en conta que non se trata dunha conversación intranscendente, senón que un deles está sendo xulgado, a gravidade da situación é evidente: Cibrán está nunha situación de indefensión, xa que o xuíz non será capaz de captar plenamente as razóns e os argumentos cos que o acusado quere demostrar a súa inocencia. En realidade, o xuíz tampouco ten interese en coñecelos.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Blanco Amor denuncia así a ausencia do galego na xustiza. Mediante o recurso de silenciar as palabras do xuíz denuncia tamén o silencio cómplice da xustiza: a xustiza está só para condenar, non está interesada na verdade, o seu papel é só represor e castigador.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before="0" w:lin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5.- Dado o nivel sociocultural do personaxe que fala, da voz narrativa, o Cibrán a súa variedade de lingua debe corresponderse co nivel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vulgar. </w:t>
      </w:r>
      <w:r w:rsidDel="00000000" w:rsidR="00000000" w:rsidRPr="00000000">
        <w:rPr>
          <w:i w:val="0"/>
          <w:iCs w:val="0"/>
          <w:sz w:val="24"/>
          <w:szCs w:val="24"/>
          <w:rtl w:val="0"/>
        </w:rPr>
        <w:t xml:space="preserve">Emprega vulgarismos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deprocatando, Aladio</w:t>
      </w:r>
      <w:r w:rsidDel="00000000" w:rsidR="00000000" w:rsidRPr="00000000">
        <w:rPr>
          <w:i w:val="0"/>
          <w:iCs w:val="0"/>
          <w:sz w:val="24"/>
          <w:szCs w:val="24"/>
          <w:rtl w:val="0"/>
        </w:rPr>
        <w:t xml:space="preserve">...) e dialectalismos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irmaos, coiles</w:t>
      </w:r>
      <w:r w:rsidDel="00000000" w:rsidR="00000000" w:rsidRPr="00000000">
        <w:rPr>
          <w:i w:val="0"/>
          <w:iCs w:val="0"/>
          <w:sz w:val="24"/>
          <w:szCs w:val="24"/>
          <w:rtl w:val="0"/>
        </w:rPr>
        <w:t xml:space="preserve">...)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-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