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714" w:rsidRPr="000A2CB6" w:rsidRDefault="00FB3624" w:rsidP="005642E3">
      <w:pPr>
        <w:jc w:val="center"/>
        <w:rPr>
          <w:rFonts w:ascii="Trebuchet MS" w:hAnsi="Trebuchet MS"/>
          <w:b/>
          <w:i/>
          <w:sz w:val="44"/>
          <w:szCs w:val="44"/>
          <w:u w:val="single"/>
        </w:rPr>
      </w:pPr>
      <w:r w:rsidRPr="000A2CB6">
        <w:rPr>
          <w:rFonts w:ascii="Trebuchet MS" w:hAnsi="Trebuchet MS"/>
          <w:b/>
          <w:i/>
          <w:sz w:val="44"/>
          <w:szCs w:val="44"/>
          <w:u w:val="single"/>
        </w:rPr>
        <w:t>LA PSICOLOGÍA COMO CIENCIA</w:t>
      </w:r>
    </w:p>
    <w:p w:rsidR="00F22ACD" w:rsidRPr="00F22ACD" w:rsidRDefault="00F22ACD">
      <w:pPr>
        <w:rPr>
          <w:rFonts w:ascii="Trebuchet MS" w:hAnsi="Trebuchet MS"/>
          <w:b/>
          <w:sz w:val="44"/>
          <w:szCs w:val="44"/>
        </w:rPr>
      </w:pPr>
    </w:p>
    <w:p w:rsidR="00FB3624" w:rsidRPr="005642E3" w:rsidRDefault="005642E3" w:rsidP="00F22ACD">
      <w:pPr>
        <w:pStyle w:val="Prrafodelista"/>
        <w:numPr>
          <w:ilvl w:val="0"/>
          <w:numId w:val="1"/>
        </w:numPr>
        <w:jc w:val="both"/>
        <w:rPr>
          <w:rFonts w:ascii="Trebuchet MS" w:hAnsi="Trebuchet MS"/>
          <w:sz w:val="28"/>
          <w:szCs w:val="28"/>
        </w:rPr>
      </w:pPr>
      <w:r w:rsidRPr="005642E3">
        <w:rPr>
          <w:rFonts w:ascii="Trebuchet MS" w:hAnsi="Trebuchet MS"/>
          <w:sz w:val="28"/>
          <w:szCs w:val="28"/>
        </w:rPr>
        <w:t xml:space="preserve">RAÍCES HISTÓRICAS DE LA PSICOLOGÍA: </w:t>
      </w:r>
    </w:p>
    <w:p w:rsidR="00FB3624" w:rsidRPr="005642E3" w:rsidRDefault="00FB3624" w:rsidP="00F22ACD">
      <w:pPr>
        <w:pStyle w:val="Prrafodelista"/>
        <w:jc w:val="both"/>
        <w:rPr>
          <w:rFonts w:ascii="Trebuchet MS" w:hAnsi="Trebuchet MS"/>
          <w:sz w:val="28"/>
          <w:szCs w:val="28"/>
        </w:rPr>
      </w:pPr>
    </w:p>
    <w:p w:rsidR="00FB3624" w:rsidRPr="005642E3" w:rsidRDefault="00FB3624" w:rsidP="005642E3">
      <w:pPr>
        <w:pStyle w:val="Prrafodelista"/>
        <w:ind w:left="993"/>
        <w:jc w:val="both"/>
        <w:rPr>
          <w:rFonts w:ascii="Trebuchet MS" w:hAnsi="Trebuchet MS"/>
          <w:sz w:val="28"/>
          <w:szCs w:val="28"/>
        </w:rPr>
      </w:pPr>
      <w:r w:rsidRPr="005642E3">
        <w:rPr>
          <w:rFonts w:ascii="Trebuchet MS" w:hAnsi="Trebuchet MS"/>
          <w:sz w:val="28"/>
          <w:szCs w:val="28"/>
        </w:rPr>
        <w:t>-</w:t>
      </w:r>
      <w:r w:rsidR="000A2CB6">
        <w:rPr>
          <w:rFonts w:ascii="Trebuchet MS" w:hAnsi="Trebuchet MS"/>
          <w:sz w:val="28"/>
          <w:szCs w:val="28"/>
        </w:rPr>
        <w:t>L</w:t>
      </w:r>
      <w:r w:rsidRPr="005642E3">
        <w:rPr>
          <w:rFonts w:ascii="Trebuchet MS" w:hAnsi="Trebuchet MS"/>
          <w:sz w:val="28"/>
          <w:szCs w:val="28"/>
        </w:rPr>
        <w:t xml:space="preserve">a psicología como estudio del alma en Platón y Aristóteles. </w:t>
      </w:r>
    </w:p>
    <w:p w:rsidR="00FB3624" w:rsidRPr="005642E3" w:rsidRDefault="00FB3624" w:rsidP="005642E3">
      <w:pPr>
        <w:pStyle w:val="Prrafodelista"/>
        <w:ind w:left="993"/>
        <w:jc w:val="both"/>
        <w:rPr>
          <w:rFonts w:ascii="Trebuchet MS" w:hAnsi="Trebuchet MS"/>
          <w:sz w:val="28"/>
          <w:szCs w:val="28"/>
        </w:rPr>
      </w:pPr>
      <w:r w:rsidRPr="005642E3">
        <w:rPr>
          <w:rFonts w:ascii="Trebuchet MS" w:hAnsi="Trebuchet MS"/>
          <w:sz w:val="28"/>
          <w:szCs w:val="28"/>
        </w:rPr>
        <w:t>-</w:t>
      </w:r>
      <w:r w:rsidR="000A2CB6">
        <w:rPr>
          <w:rFonts w:ascii="Trebuchet MS" w:hAnsi="Trebuchet MS"/>
          <w:sz w:val="28"/>
          <w:szCs w:val="28"/>
        </w:rPr>
        <w:t>L</w:t>
      </w:r>
      <w:r w:rsidRPr="005642E3">
        <w:rPr>
          <w:rFonts w:ascii="Trebuchet MS" w:hAnsi="Trebuchet MS"/>
          <w:sz w:val="28"/>
          <w:szCs w:val="28"/>
        </w:rPr>
        <w:t xml:space="preserve">a psicología como estudio de la conciencia a partir de Descartes. </w:t>
      </w:r>
    </w:p>
    <w:p w:rsidR="00FB3624" w:rsidRPr="005642E3" w:rsidRDefault="00F22ACD" w:rsidP="005642E3">
      <w:pPr>
        <w:pStyle w:val="Prrafodelista"/>
        <w:ind w:left="993"/>
        <w:jc w:val="both"/>
        <w:rPr>
          <w:rFonts w:ascii="Trebuchet MS" w:hAnsi="Trebuchet MS"/>
          <w:sz w:val="28"/>
          <w:szCs w:val="28"/>
        </w:rPr>
      </w:pPr>
      <w:r w:rsidRPr="005642E3">
        <w:rPr>
          <w:rFonts w:ascii="Trebuchet MS" w:hAnsi="Trebuchet MS"/>
          <w:sz w:val="28"/>
          <w:szCs w:val="28"/>
        </w:rPr>
        <w:t>-</w:t>
      </w:r>
      <w:r w:rsidR="000A2CB6">
        <w:rPr>
          <w:rFonts w:ascii="Trebuchet MS" w:hAnsi="Trebuchet MS"/>
          <w:sz w:val="28"/>
          <w:szCs w:val="28"/>
        </w:rPr>
        <w:t>E</w:t>
      </w:r>
      <w:r w:rsidRPr="005642E3">
        <w:rPr>
          <w:rFonts w:ascii="Trebuchet MS" w:hAnsi="Trebuchet MS"/>
          <w:sz w:val="28"/>
          <w:szCs w:val="28"/>
        </w:rPr>
        <w:t xml:space="preserve">l concepto de lo mental a partir del empirismo y Kant. </w:t>
      </w:r>
      <w:r w:rsidR="00FB3624" w:rsidRPr="005642E3">
        <w:rPr>
          <w:rFonts w:ascii="Trebuchet MS" w:hAnsi="Trebuchet MS"/>
          <w:sz w:val="28"/>
          <w:szCs w:val="28"/>
        </w:rPr>
        <w:t xml:space="preserve"> </w:t>
      </w:r>
    </w:p>
    <w:p w:rsidR="00FB3624" w:rsidRPr="005642E3" w:rsidRDefault="00FB3624" w:rsidP="00F22ACD">
      <w:pPr>
        <w:pStyle w:val="Prrafodelista"/>
        <w:jc w:val="both"/>
        <w:rPr>
          <w:rFonts w:ascii="Trebuchet MS" w:hAnsi="Trebuchet MS"/>
          <w:sz w:val="28"/>
          <w:szCs w:val="28"/>
        </w:rPr>
      </w:pPr>
    </w:p>
    <w:p w:rsidR="00F22ACD" w:rsidRPr="005642E3" w:rsidRDefault="00F22ACD" w:rsidP="00F22ACD">
      <w:pPr>
        <w:pStyle w:val="Prrafodelista"/>
        <w:jc w:val="both"/>
        <w:rPr>
          <w:rFonts w:ascii="Trebuchet MS" w:hAnsi="Trebuchet MS"/>
          <w:sz w:val="28"/>
          <w:szCs w:val="28"/>
        </w:rPr>
      </w:pPr>
    </w:p>
    <w:p w:rsidR="00FB3624" w:rsidRPr="005642E3" w:rsidRDefault="005642E3" w:rsidP="00F22ACD">
      <w:pPr>
        <w:pStyle w:val="Prrafodelista"/>
        <w:numPr>
          <w:ilvl w:val="0"/>
          <w:numId w:val="1"/>
        </w:numPr>
        <w:jc w:val="both"/>
        <w:rPr>
          <w:rFonts w:ascii="Trebuchet MS" w:hAnsi="Trebuchet MS"/>
          <w:sz w:val="28"/>
          <w:szCs w:val="28"/>
        </w:rPr>
      </w:pPr>
      <w:r w:rsidRPr="005642E3">
        <w:rPr>
          <w:rFonts w:ascii="Trebuchet MS" w:hAnsi="Trebuchet MS"/>
          <w:sz w:val="28"/>
          <w:szCs w:val="28"/>
        </w:rPr>
        <w:t>LA PSICOLOGÍA SE HACE CIENCIA (</w:t>
      </w:r>
      <w:r>
        <w:rPr>
          <w:rFonts w:ascii="Trebuchet MS" w:hAnsi="Trebuchet MS"/>
          <w:sz w:val="28"/>
          <w:szCs w:val="28"/>
        </w:rPr>
        <w:t>finales del siglo XIX</w:t>
      </w:r>
      <w:r w:rsidRPr="005642E3">
        <w:rPr>
          <w:rFonts w:ascii="Trebuchet MS" w:hAnsi="Trebuchet MS"/>
          <w:sz w:val="28"/>
          <w:szCs w:val="28"/>
        </w:rPr>
        <w:t xml:space="preserve">): </w:t>
      </w:r>
    </w:p>
    <w:p w:rsidR="00FB3624" w:rsidRPr="005642E3" w:rsidRDefault="00FB3624" w:rsidP="00F22ACD">
      <w:pPr>
        <w:pStyle w:val="Prrafodelista"/>
        <w:jc w:val="both"/>
        <w:rPr>
          <w:rFonts w:ascii="Trebuchet MS" w:hAnsi="Trebuchet MS"/>
          <w:sz w:val="28"/>
          <w:szCs w:val="28"/>
        </w:rPr>
      </w:pPr>
    </w:p>
    <w:p w:rsidR="00FB3624" w:rsidRPr="005642E3" w:rsidRDefault="00FB3624" w:rsidP="005642E3">
      <w:pPr>
        <w:pStyle w:val="Prrafodelista"/>
        <w:ind w:left="993"/>
        <w:jc w:val="both"/>
        <w:rPr>
          <w:rFonts w:ascii="Trebuchet MS" w:hAnsi="Trebuchet MS"/>
          <w:sz w:val="28"/>
          <w:szCs w:val="28"/>
        </w:rPr>
      </w:pPr>
      <w:r w:rsidRPr="005642E3">
        <w:rPr>
          <w:rFonts w:ascii="Trebuchet MS" w:hAnsi="Trebuchet MS"/>
          <w:sz w:val="28"/>
          <w:szCs w:val="28"/>
        </w:rPr>
        <w:t xml:space="preserve">-Wundt (psicofísica, asociacionismo, introspección. Estructuralismo). </w:t>
      </w:r>
    </w:p>
    <w:p w:rsidR="00F22ACD" w:rsidRPr="005642E3" w:rsidRDefault="00F22ACD" w:rsidP="005642E3">
      <w:pPr>
        <w:pStyle w:val="Prrafodelista"/>
        <w:ind w:left="993"/>
        <w:jc w:val="both"/>
        <w:rPr>
          <w:rFonts w:ascii="Trebuchet MS" w:hAnsi="Trebuchet MS"/>
          <w:sz w:val="28"/>
          <w:szCs w:val="28"/>
        </w:rPr>
      </w:pPr>
      <w:r w:rsidRPr="005642E3">
        <w:rPr>
          <w:rFonts w:ascii="Trebuchet MS" w:hAnsi="Trebuchet MS"/>
          <w:sz w:val="28"/>
          <w:szCs w:val="28"/>
        </w:rPr>
        <w:t>-Frenología (</w:t>
      </w:r>
      <w:proofErr w:type="spellStart"/>
      <w:r w:rsidRPr="005642E3">
        <w:rPr>
          <w:rFonts w:ascii="Trebuchet MS" w:hAnsi="Trebuchet MS"/>
          <w:sz w:val="28"/>
          <w:szCs w:val="28"/>
        </w:rPr>
        <w:t>Gall</w:t>
      </w:r>
      <w:proofErr w:type="spellEnd"/>
      <w:r w:rsidRPr="005642E3">
        <w:rPr>
          <w:rFonts w:ascii="Trebuchet MS" w:hAnsi="Trebuchet MS"/>
          <w:sz w:val="28"/>
          <w:szCs w:val="28"/>
        </w:rPr>
        <w:t>), trabajos sobre la herencia (Galton).</w:t>
      </w:r>
    </w:p>
    <w:p w:rsidR="00FB3624" w:rsidRPr="005642E3" w:rsidRDefault="00FB3624" w:rsidP="00F22ACD">
      <w:pPr>
        <w:pStyle w:val="Prrafodelista"/>
        <w:jc w:val="both"/>
        <w:rPr>
          <w:rFonts w:ascii="Trebuchet MS" w:hAnsi="Trebuchet MS"/>
          <w:sz w:val="28"/>
          <w:szCs w:val="28"/>
        </w:rPr>
      </w:pPr>
    </w:p>
    <w:p w:rsidR="00F22ACD" w:rsidRPr="005642E3" w:rsidRDefault="00F22ACD" w:rsidP="00F22ACD">
      <w:pPr>
        <w:pStyle w:val="Prrafodelista"/>
        <w:jc w:val="both"/>
        <w:rPr>
          <w:rFonts w:ascii="Trebuchet MS" w:hAnsi="Trebuchet MS"/>
          <w:sz w:val="28"/>
          <w:szCs w:val="28"/>
        </w:rPr>
      </w:pPr>
    </w:p>
    <w:p w:rsidR="00FB3624" w:rsidRPr="005642E3" w:rsidRDefault="005642E3" w:rsidP="00F22ACD">
      <w:pPr>
        <w:pStyle w:val="Prrafodelista"/>
        <w:numPr>
          <w:ilvl w:val="0"/>
          <w:numId w:val="1"/>
        </w:numPr>
        <w:jc w:val="both"/>
        <w:rPr>
          <w:rFonts w:ascii="Trebuchet MS" w:hAnsi="Trebuchet MS"/>
          <w:sz w:val="28"/>
          <w:szCs w:val="28"/>
        </w:rPr>
      </w:pPr>
      <w:r w:rsidRPr="005642E3">
        <w:rPr>
          <w:rFonts w:ascii="Trebuchet MS" w:hAnsi="Trebuchet MS"/>
          <w:sz w:val="28"/>
          <w:szCs w:val="28"/>
        </w:rPr>
        <w:t xml:space="preserve">PRINCIPALES ESCUELAS PSICOLÓGICAS EN EL SIGLO XX (reacciones anti-estructuralistas): </w:t>
      </w:r>
    </w:p>
    <w:p w:rsidR="00F22ACD" w:rsidRPr="005642E3" w:rsidRDefault="00F22ACD" w:rsidP="00F22ACD">
      <w:pPr>
        <w:pStyle w:val="Prrafodelista"/>
        <w:jc w:val="both"/>
        <w:rPr>
          <w:rFonts w:ascii="Trebuchet MS" w:hAnsi="Trebuchet MS"/>
          <w:sz w:val="28"/>
          <w:szCs w:val="28"/>
        </w:rPr>
      </w:pPr>
    </w:p>
    <w:p w:rsidR="00FB3624" w:rsidRPr="005642E3" w:rsidRDefault="00FB3624" w:rsidP="00DA3F4E">
      <w:pPr>
        <w:pStyle w:val="Prrafodelista"/>
        <w:pBdr>
          <w:left w:val="single" w:sz="4" w:space="4" w:color="auto"/>
        </w:pBdr>
        <w:ind w:left="993"/>
        <w:jc w:val="both"/>
        <w:rPr>
          <w:rFonts w:ascii="Trebuchet MS" w:hAnsi="Trebuchet MS"/>
          <w:sz w:val="28"/>
          <w:szCs w:val="28"/>
        </w:rPr>
      </w:pPr>
      <w:r w:rsidRPr="005642E3">
        <w:rPr>
          <w:rFonts w:ascii="Trebuchet MS" w:hAnsi="Trebuchet MS"/>
          <w:sz w:val="28"/>
          <w:szCs w:val="28"/>
        </w:rPr>
        <w:t>-Funcionalismo (W. James)</w:t>
      </w:r>
      <w:r w:rsidR="00F22ACD" w:rsidRPr="005642E3">
        <w:rPr>
          <w:rFonts w:ascii="Trebuchet MS" w:hAnsi="Trebuchet MS"/>
          <w:sz w:val="28"/>
          <w:szCs w:val="28"/>
        </w:rPr>
        <w:t xml:space="preserve">. Psicología evolucionista (animal). </w:t>
      </w:r>
    </w:p>
    <w:p w:rsidR="00FB3624" w:rsidRPr="005642E3" w:rsidRDefault="00FB3624" w:rsidP="00DA3F4E">
      <w:pPr>
        <w:pStyle w:val="Prrafodelista"/>
        <w:pBdr>
          <w:left w:val="single" w:sz="4" w:space="4" w:color="auto"/>
        </w:pBdr>
        <w:ind w:left="993"/>
        <w:jc w:val="both"/>
        <w:rPr>
          <w:rFonts w:ascii="Trebuchet MS" w:hAnsi="Trebuchet MS"/>
          <w:sz w:val="28"/>
          <w:szCs w:val="28"/>
        </w:rPr>
      </w:pPr>
      <w:r w:rsidRPr="005642E3">
        <w:rPr>
          <w:rFonts w:ascii="Trebuchet MS" w:hAnsi="Trebuchet MS"/>
          <w:sz w:val="28"/>
          <w:szCs w:val="28"/>
        </w:rPr>
        <w:t>-Gestalt</w:t>
      </w:r>
      <w:r w:rsidR="00F22ACD" w:rsidRPr="005642E3">
        <w:rPr>
          <w:rFonts w:ascii="Trebuchet MS" w:hAnsi="Trebuchet MS"/>
          <w:sz w:val="28"/>
          <w:szCs w:val="28"/>
        </w:rPr>
        <w:t>. P</w:t>
      </w:r>
      <w:r w:rsidRPr="005642E3">
        <w:rPr>
          <w:rFonts w:ascii="Trebuchet MS" w:hAnsi="Trebuchet MS"/>
          <w:sz w:val="28"/>
          <w:szCs w:val="28"/>
        </w:rPr>
        <w:t xml:space="preserve">sicología de la percepción. </w:t>
      </w:r>
    </w:p>
    <w:p w:rsidR="00FB3624" w:rsidRPr="005642E3" w:rsidRDefault="00FB3624" w:rsidP="00DA3F4E">
      <w:pPr>
        <w:pStyle w:val="Prrafodelista"/>
        <w:pBdr>
          <w:left w:val="single" w:sz="4" w:space="4" w:color="auto"/>
        </w:pBdr>
        <w:ind w:left="993"/>
        <w:jc w:val="both"/>
        <w:rPr>
          <w:rFonts w:ascii="Trebuchet MS" w:hAnsi="Trebuchet MS"/>
          <w:sz w:val="28"/>
          <w:szCs w:val="28"/>
        </w:rPr>
      </w:pPr>
      <w:r w:rsidRPr="005642E3">
        <w:rPr>
          <w:rFonts w:ascii="Trebuchet MS" w:hAnsi="Trebuchet MS"/>
          <w:sz w:val="28"/>
          <w:szCs w:val="28"/>
        </w:rPr>
        <w:t>-Conductismo (</w:t>
      </w:r>
      <w:proofErr w:type="spellStart"/>
      <w:r w:rsidRPr="005642E3">
        <w:rPr>
          <w:rFonts w:ascii="Trebuchet MS" w:hAnsi="Trebuchet MS"/>
          <w:sz w:val="28"/>
          <w:szCs w:val="28"/>
        </w:rPr>
        <w:t>Pavlov</w:t>
      </w:r>
      <w:proofErr w:type="spellEnd"/>
      <w:r w:rsidRPr="005642E3">
        <w:rPr>
          <w:rFonts w:ascii="Trebuchet MS" w:hAnsi="Trebuchet MS"/>
          <w:sz w:val="28"/>
          <w:szCs w:val="28"/>
        </w:rPr>
        <w:t xml:space="preserve">. Watson y </w:t>
      </w:r>
      <w:proofErr w:type="spellStart"/>
      <w:r w:rsidRPr="005642E3">
        <w:rPr>
          <w:rFonts w:ascii="Trebuchet MS" w:hAnsi="Trebuchet MS"/>
          <w:sz w:val="28"/>
          <w:szCs w:val="28"/>
        </w:rPr>
        <w:t>Skinner</w:t>
      </w:r>
      <w:proofErr w:type="spellEnd"/>
      <w:r w:rsidRPr="005642E3">
        <w:rPr>
          <w:rFonts w:ascii="Trebuchet MS" w:hAnsi="Trebuchet MS"/>
          <w:sz w:val="28"/>
          <w:szCs w:val="28"/>
        </w:rPr>
        <w:t>)</w:t>
      </w:r>
      <w:r w:rsidR="00F22ACD" w:rsidRPr="005642E3">
        <w:rPr>
          <w:rFonts w:ascii="Trebuchet MS" w:hAnsi="Trebuchet MS"/>
          <w:sz w:val="28"/>
          <w:szCs w:val="28"/>
        </w:rPr>
        <w:t xml:space="preserve">. Psicología del aprendizaje. </w:t>
      </w:r>
    </w:p>
    <w:p w:rsidR="00FB3624" w:rsidRPr="005642E3" w:rsidRDefault="00FB3624" w:rsidP="00DA3F4E">
      <w:pPr>
        <w:pStyle w:val="Prrafodelista"/>
        <w:pBdr>
          <w:left w:val="single" w:sz="4" w:space="4" w:color="auto"/>
        </w:pBdr>
        <w:ind w:left="993"/>
        <w:jc w:val="both"/>
        <w:rPr>
          <w:rFonts w:ascii="Trebuchet MS" w:hAnsi="Trebuchet MS"/>
          <w:sz w:val="28"/>
          <w:szCs w:val="28"/>
        </w:rPr>
      </w:pPr>
      <w:r w:rsidRPr="005642E3">
        <w:rPr>
          <w:rFonts w:ascii="Trebuchet MS" w:hAnsi="Trebuchet MS"/>
          <w:sz w:val="28"/>
          <w:szCs w:val="28"/>
        </w:rPr>
        <w:t xml:space="preserve">-Psicoanálisis (S. Freud. Adler y Jung). </w:t>
      </w:r>
      <w:bookmarkStart w:id="0" w:name="_GoBack"/>
      <w:bookmarkEnd w:id="0"/>
    </w:p>
    <w:p w:rsidR="00F22ACD" w:rsidRPr="005642E3" w:rsidRDefault="00F22ACD" w:rsidP="005642E3">
      <w:pPr>
        <w:pStyle w:val="Prrafodelista"/>
        <w:ind w:left="993"/>
        <w:jc w:val="both"/>
        <w:rPr>
          <w:rFonts w:ascii="Trebuchet MS" w:hAnsi="Trebuchet MS"/>
          <w:sz w:val="28"/>
          <w:szCs w:val="28"/>
        </w:rPr>
      </w:pPr>
    </w:p>
    <w:p w:rsidR="00F22ACD" w:rsidRPr="005642E3" w:rsidRDefault="00F22ACD" w:rsidP="005642E3">
      <w:pPr>
        <w:pStyle w:val="Prrafodelista"/>
        <w:ind w:left="993"/>
        <w:jc w:val="both"/>
        <w:rPr>
          <w:rFonts w:ascii="Trebuchet MS" w:hAnsi="Trebuchet MS"/>
          <w:sz w:val="28"/>
          <w:szCs w:val="28"/>
        </w:rPr>
      </w:pPr>
      <w:r w:rsidRPr="005642E3">
        <w:rPr>
          <w:rFonts w:ascii="Trebuchet MS" w:hAnsi="Trebuchet MS"/>
          <w:sz w:val="28"/>
          <w:szCs w:val="28"/>
        </w:rPr>
        <w:t xml:space="preserve">-Psicología de la inteligencia (J. Piaget). </w:t>
      </w:r>
    </w:p>
    <w:p w:rsidR="00F22ACD" w:rsidRPr="005642E3" w:rsidRDefault="00F22ACD" w:rsidP="005642E3">
      <w:pPr>
        <w:pStyle w:val="Prrafodelista"/>
        <w:ind w:left="993"/>
        <w:jc w:val="both"/>
        <w:rPr>
          <w:rFonts w:ascii="Trebuchet MS" w:hAnsi="Trebuchet MS"/>
          <w:sz w:val="28"/>
          <w:szCs w:val="28"/>
        </w:rPr>
      </w:pPr>
      <w:r w:rsidRPr="005642E3">
        <w:rPr>
          <w:rFonts w:ascii="Trebuchet MS" w:hAnsi="Trebuchet MS"/>
          <w:sz w:val="28"/>
          <w:szCs w:val="28"/>
        </w:rPr>
        <w:t xml:space="preserve">-Psicología humanista, de las motivaciones (R. </w:t>
      </w:r>
      <w:proofErr w:type="spellStart"/>
      <w:r w:rsidRPr="005642E3">
        <w:rPr>
          <w:rFonts w:ascii="Trebuchet MS" w:hAnsi="Trebuchet MS"/>
          <w:sz w:val="28"/>
          <w:szCs w:val="28"/>
        </w:rPr>
        <w:t>Maslow</w:t>
      </w:r>
      <w:proofErr w:type="spellEnd"/>
      <w:r w:rsidRPr="005642E3">
        <w:rPr>
          <w:rFonts w:ascii="Trebuchet MS" w:hAnsi="Trebuchet MS"/>
          <w:sz w:val="28"/>
          <w:szCs w:val="28"/>
        </w:rPr>
        <w:t xml:space="preserve">). </w:t>
      </w:r>
    </w:p>
    <w:p w:rsidR="005642E3" w:rsidRPr="005642E3" w:rsidRDefault="005642E3" w:rsidP="005642E3">
      <w:pPr>
        <w:pStyle w:val="Prrafodelista"/>
        <w:ind w:left="993"/>
        <w:jc w:val="both"/>
        <w:rPr>
          <w:rFonts w:ascii="Trebuchet MS" w:hAnsi="Trebuchet MS"/>
          <w:sz w:val="28"/>
          <w:szCs w:val="28"/>
        </w:rPr>
      </w:pPr>
    </w:p>
    <w:p w:rsidR="005642E3" w:rsidRPr="005642E3" w:rsidRDefault="005642E3" w:rsidP="005642E3">
      <w:pPr>
        <w:pStyle w:val="Prrafodelista"/>
        <w:ind w:left="993"/>
        <w:jc w:val="both"/>
        <w:rPr>
          <w:rFonts w:ascii="Trebuchet MS" w:hAnsi="Trebuchet MS"/>
          <w:sz w:val="28"/>
          <w:szCs w:val="28"/>
        </w:rPr>
      </w:pPr>
      <w:r w:rsidRPr="005642E3">
        <w:rPr>
          <w:rFonts w:ascii="Trebuchet MS" w:hAnsi="Trebuchet MS"/>
          <w:sz w:val="28"/>
          <w:szCs w:val="28"/>
        </w:rPr>
        <w:t xml:space="preserve">-Inteligencia emocional (D. Goleman). </w:t>
      </w:r>
    </w:p>
    <w:p w:rsidR="005642E3" w:rsidRPr="005642E3" w:rsidRDefault="005642E3" w:rsidP="00F22ACD">
      <w:pPr>
        <w:pStyle w:val="Prrafodelista"/>
        <w:jc w:val="both"/>
        <w:rPr>
          <w:rFonts w:ascii="Trebuchet MS" w:hAnsi="Trebuchet MS"/>
          <w:sz w:val="28"/>
          <w:szCs w:val="28"/>
        </w:rPr>
      </w:pPr>
    </w:p>
    <w:p w:rsidR="005D4F3A" w:rsidRDefault="005D4F3A">
      <w:pPr>
        <w:rPr>
          <w:rFonts w:ascii="Trebuchet MS" w:hAnsi="Trebuchet MS"/>
          <w:i/>
          <w:sz w:val="24"/>
          <w:szCs w:val="24"/>
        </w:rPr>
      </w:pPr>
      <w:r>
        <w:rPr>
          <w:rFonts w:ascii="Trebuchet MS" w:hAnsi="Trebuchet MS"/>
          <w:i/>
          <w:noProof/>
          <w:sz w:val="24"/>
          <w:szCs w:val="24"/>
          <w:lang w:eastAsia="es-ES"/>
        </w:rPr>
        <w:lastRenderedPageBreak/>
        <w:drawing>
          <wp:inline distT="0" distB="0" distL="0" distR="0">
            <wp:extent cx="5400040" cy="8215733"/>
            <wp:effectExtent l="0" t="0" r="0" b="0"/>
            <wp:docPr id="1" name="Imagen 1" descr="C:\Users\usuario\Desktop\Corrient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Corrientes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8215733"/>
                    </a:xfrm>
                    <a:prstGeom prst="rect">
                      <a:avLst/>
                    </a:prstGeom>
                    <a:noFill/>
                    <a:ln>
                      <a:noFill/>
                    </a:ln>
                  </pic:spPr>
                </pic:pic>
              </a:graphicData>
            </a:graphic>
          </wp:inline>
        </w:drawing>
      </w:r>
      <w:r>
        <w:rPr>
          <w:rFonts w:ascii="Trebuchet MS" w:hAnsi="Trebuchet MS"/>
          <w:i/>
          <w:sz w:val="24"/>
          <w:szCs w:val="24"/>
        </w:rPr>
        <w:br w:type="page"/>
      </w:r>
    </w:p>
    <w:p w:rsidR="00F22ACD" w:rsidRDefault="005D4F3A" w:rsidP="005D4F3A">
      <w:pPr>
        <w:pStyle w:val="Prrafodelista"/>
        <w:jc w:val="both"/>
        <w:rPr>
          <w:rFonts w:ascii="Trebuchet MS" w:hAnsi="Trebuchet MS"/>
          <w:sz w:val="28"/>
          <w:szCs w:val="28"/>
        </w:rPr>
      </w:pPr>
      <w:r>
        <w:rPr>
          <w:rFonts w:ascii="Trebuchet MS" w:hAnsi="Trebuchet MS"/>
          <w:noProof/>
          <w:sz w:val="28"/>
          <w:szCs w:val="28"/>
          <w:lang w:eastAsia="es-ES"/>
        </w:rPr>
        <w:lastRenderedPageBreak/>
        <w:drawing>
          <wp:inline distT="0" distB="0" distL="0" distR="0">
            <wp:extent cx="5400040" cy="7737317"/>
            <wp:effectExtent l="0" t="0" r="0" b="0"/>
            <wp:docPr id="2" name="Imagen 2" descr="C:\Users\usuario\Desktop\Corrien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orrientes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7737317"/>
                    </a:xfrm>
                    <a:prstGeom prst="rect">
                      <a:avLst/>
                    </a:prstGeom>
                    <a:noFill/>
                    <a:ln>
                      <a:noFill/>
                    </a:ln>
                  </pic:spPr>
                </pic:pic>
              </a:graphicData>
            </a:graphic>
          </wp:inline>
        </w:drawing>
      </w:r>
    </w:p>
    <w:p w:rsidR="005D4F3A" w:rsidRDefault="005D4F3A">
      <w:pPr>
        <w:rPr>
          <w:rFonts w:ascii="Trebuchet MS" w:hAnsi="Trebuchet MS"/>
          <w:sz w:val="28"/>
          <w:szCs w:val="28"/>
        </w:rPr>
      </w:pPr>
      <w:r>
        <w:rPr>
          <w:rFonts w:ascii="Trebuchet MS" w:hAnsi="Trebuchet MS"/>
          <w:sz w:val="28"/>
          <w:szCs w:val="28"/>
        </w:rPr>
        <w:br w:type="page"/>
      </w:r>
    </w:p>
    <w:p w:rsidR="005D4F3A" w:rsidRPr="005D4F3A" w:rsidRDefault="005D4F3A" w:rsidP="005D4F3A">
      <w:pPr>
        <w:pStyle w:val="Prrafodelista"/>
        <w:jc w:val="both"/>
        <w:rPr>
          <w:rFonts w:ascii="Trebuchet MS" w:hAnsi="Trebuchet MS"/>
          <w:i/>
          <w:sz w:val="32"/>
          <w:szCs w:val="32"/>
        </w:rPr>
      </w:pPr>
      <w:r w:rsidRPr="005D4F3A">
        <w:rPr>
          <w:rFonts w:ascii="Trebuchet MS" w:hAnsi="Trebuchet MS"/>
          <w:i/>
          <w:sz w:val="32"/>
          <w:szCs w:val="32"/>
        </w:rPr>
        <w:lastRenderedPageBreak/>
        <w:t>--¿A qué se dedican los psicólogos?</w:t>
      </w:r>
    </w:p>
    <w:p w:rsidR="005D4F3A" w:rsidRDefault="005D4F3A" w:rsidP="005D4F3A">
      <w:pPr>
        <w:pStyle w:val="Prrafodelista"/>
        <w:jc w:val="both"/>
        <w:rPr>
          <w:rFonts w:ascii="Trebuchet MS" w:hAnsi="Trebuchet MS"/>
          <w:sz w:val="28"/>
          <w:szCs w:val="28"/>
        </w:rPr>
      </w:pPr>
    </w:p>
    <w:p w:rsidR="005D4F3A" w:rsidRDefault="005D4F3A" w:rsidP="005D4F3A">
      <w:pPr>
        <w:pStyle w:val="Prrafodelista"/>
        <w:ind w:left="0"/>
        <w:jc w:val="both"/>
        <w:rPr>
          <w:rFonts w:ascii="Trebuchet MS" w:hAnsi="Trebuchet MS"/>
          <w:sz w:val="28"/>
          <w:szCs w:val="28"/>
        </w:rPr>
      </w:pPr>
      <w:r>
        <w:rPr>
          <w:rFonts w:ascii="Trebuchet MS" w:hAnsi="Trebuchet MS"/>
          <w:noProof/>
          <w:sz w:val="28"/>
          <w:szCs w:val="28"/>
          <w:lang w:eastAsia="es-ES"/>
        </w:rPr>
        <w:drawing>
          <wp:inline distT="0" distB="0" distL="0" distR="0">
            <wp:extent cx="5400040" cy="6077510"/>
            <wp:effectExtent l="0" t="0" r="0" b="0"/>
            <wp:docPr id="3" name="Imagen 3" descr="C:\Users\usuario\Desktop\A qué se ded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 qué se dedic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6077510"/>
                    </a:xfrm>
                    <a:prstGeom prst="rect">
                      <a:avLst/>
                    </a:prstGeom>
                    <a:noFill/>
                    <a:ln>
                      <a:noFill/>
                    </a:ln>
                  </pic:spPr>
                </pic:pic>
              </a:graphicData>
            </a:graphic>
          </wp:inline>
        </w:drawing>
      </w:r>
    </w:p>
    <w:p w:rsidR="005D4F3A" w:rsidRDefault="005D4F3A" w:rsidP="005D4F3A">
      <w:pPr>
        <w:pStyle w:val="Prrafodelista"/>
        <w:ind w:left="0"/>
        <w:jc w:val="both"/>
        <w:rPr>
          <w:rFonts w:ascii="Trebuchet MS" w:hAnsi="Trebuchet MS"/>
          <w:sz w:val="28"/>
          <w:szCs w:val="28"/>
        </w:rPr>
      </w:pPr>
    </w:p>
    <w:p w:rsidR="005D4F3A" w:rsidRPr="005D4F3A" w:rsidRDefault="005D4F3A" w:rsidP="005D4F3A">
      <w:pPr>
        <w:rPr>
          <w:rFonts w:ascii="Trebuchet MS" w:hAnsi="Trebuchet MS"/>
          <w:sz w:val="28"/>
          <w:szCs w:val="28"/>
        </w:rPr>
      </w:pPr>
      <w:r>
        <w:rPr>
          <w:rFonts w:ascii="Trebuchet MS" w:hAnsi="Trebuchet MS"/>
          <w:sz w:val="28"/>
          <w:szCs w:val="28"/>
        </w:rPr>
        <w:br w:type="page"/>
      </w:r>
      <w:r>
        <w:rPr>
          <w:rFonts w:ascii="Trebuchet MS" w:hAnsi="Trebuchet MS"/>
          <w:sz w:val="28"/>
          <w:szCs w:val="28"/>
        </w:rPr>
        <w:lastRenderedPageBreak/>
        <w:tab/>
      </w:r>
      <w:r w:rsidRPr="005D4F3A">
        <w:rPr>
          <w:rFonts w:ascii="Arial" w:hAnsi="Arial" w:cs="Arial"/>
          <w:b/>
          <w:color w:val="444444"/>
          <w:sz w:val="20"/>
          <w:szCs w:val="20"/>
        </w:rPr>
        <w:t>PSICOLOGÍA DE LOS CENTROS COMERCIALES (NEUROMARKETING)</w:t>
      </w:r>
    </w:p>
    <w:p w:rsidR="005D4F3A" w:rsidRDefault="00DA3F4E" w:rsidP="005D4F3A">
      <w:pPr>
        <w:pStyle w:val="NormalWeb"/>
        <w:shd w:val="clear" w:color="auto" w:fill="FFFFFF" w:themeFill="background1"/>
        <w:spacing w:before="0" w:beforeAutospacing="0" w:after="270" w:afterAutospacing="0"/>
        <w:jc w:val="both"/>
        <w:rPr>
          <w:rFonts w:ascii="Arial" w:hAnsi="Arial" w:cs="Arial"/>
          <w:color w:val="444444"/>
          <w:sz w:val="20"/>
          <w:szCs w:val="20"/>
        </w:rPr>
      </w:pPr>
      <w:hyperlink r:id="rId9" w:anchor="_ftnref2" w:history="1">
        <w:r w:rsidR="005D4F3A" w:rsidRPr="00F228F4">
          <w:rPr>
            <w:rStyle w:val="Hipervnculo"/>
            <w:rFonts w:ascii="Arial" w:hAnsi="Arial" w:cs="Arial"/>
            <w:sz w:val="20"/>
            <w:szCs w:val="20"/>
          </w:rPr>
          <w:t>https://neuromarketingattraction.blog/2013/10/17/la-influencia-de-los-centros-comerciales-en-el-consumidor-a-traves-del-neuromarketing/#_ftnref2</w:t>
        </w:r>
      </w:hyperlink>
    </w:p>
    <w:p w:rsidR="005D4F3A" w:rsidRPr="00050605" w:rsidRDefault="005D4F3A" w:rsidP="005D4F3A">
      <w:pPr>
        <w:pStyle w:val="NormalWeb"/>
        <w:shd w:val="clear" w:color="auto" w:fill="FFFFFF" w:themeFill="background1"/>
        <w:spacing w:before="0" w:beforeAutospacing="0" w:after="270" w:afterAutospacing="0"/>
        <w:jc w:val="both"/>
        <w:rPr>
          <w:rFonts w:ascii="Trebuchet MS" w:hAnsi="Trebuchet MS" w:cs="Arial"/>
          <w:color w:val="444444"/>
          <w:sz w:val="18"/>
          <w:szCs w:val="18"/>
        </w:rPr>
      </w:pPr>
      <w:r w:rsidRPr="00050605">
        <w:rPr>
          <w:rFonts w:ascii="Trebuchet MS" w:hAnsi="Trebuchet MS" w:cs="Arial"/>
          <w:color w:val="444444"/>
          <w:sz w:val="18"/>
          <w:szCs w:val="18"/>
        </w:rPr>
        <w:t>Los patrones de conducta inconscientes que se producen en los consumidores cuando se encuentran en circuitos comerciales han sido medidos y dados a conocer a través de diversos estudios y herramientas de </w:t>
      </w:r>
      <w:proofErr w:type="spellStart"/>
      <w:r w:rsidRPr="00050605">
        <w:rPr>
          <w:rFonts w:ascii="Trebuchet MS" w:hAnsi="Trebuchet MS" w:cs="Arial"/>
          <w:i/>
          <w:iCs/>
          <w:color w:val="444444"/>
          <w:sz w:val="18"/>
          <w:szCs w:val="18"/>
        </w:rPr>
        <w:t>neuromarketing</w:t>
      </w:r>
      <w:proofErr w:type="spellEnd"/>
      <w:r w:rsidRPr="00050605">
        <w:rPr>
          <w:rFonts w:ascii="Trebuchet MS" w:hAnsi="Trebuchet MS" w:cs="Arial"/>
          <w:color w:val="444444"/>
          <w:sz w:val="18"/>
          <w:szCs w:val="18"/>
        </w:rPr>
        <w:t>.</w:t>
      </w:r>
    </w:p>
    <w:p w:rsidR="005D4F3A" w:rsidRPr="00050605" w:rsidRDefault="005D4F3A" w:rsidP="005D4F3A">
      <w:pPr>
        <w:pStyle w:val="NormalWeb"/>
        <w:shd w:val="clear" w:color="auto" w:fill="FFFFFF" w:themeFill="background1"/>
        <w:spacing w:before="0" w:beforeAutospacing="0" w:after="270" w:afterAutospacing="0"/>
        <w:jc w:val="both"/>
        <w:rPr>
          <w:rFonts w:ascii="Trebuchet MS" w:hAnsi="Trebuchet MS" w:cs="Arial"/>
          <w:color w:val="444444"/>
          <w:sz w:val="18"/>
          <w:szCs w:val="18"/>
        </w:rPr>
      </w:pPr>
      <w:r w:rsidRPr="00050605">
        <w:rPr>
          <w:rFonts w:ascii="Trebuchet MS" w:hAnsi="Trebuchet MS" w:cs="Arial"/>
          <w:color w:val="444444"/>
          <w:sz w:val="18"/>
          <w:szCs w:val="18"/>
        </w:rPr>
        <w:t xml:space="preserve"> El poder de los centros comerciales en la influencia de compra impulsiva genera debates, como resultado de la influencia, donde el lugar de compra se convierte en algo crucial para el éxito o fracaso del anunciante. Lo que viene a demostrar que los centros comerciales ubicados en zonas de gran accesibilidad y las marcas de valor para los consumidores tienen más posibilidad de obtener mayores beneficios y un mayor tráfico y rotación de productos.</w:t>
      </w:r>
    </w:p>
    <w:p w:rsidR="005D4F3A" w:rsidRPr="00050605" w:rsidRDefault="005D4F3A" w:rsidP="005D4F3A">
      <w:pPr>
        <w:pStyle w:val="NormalWeb"/>
        <w:shd w:val="clear" w:color="auto" w:fill="FFFFFF" w:themeFill="background1"/>
        <w:spacing w:before="0" w:beforeAutospacing="0" w:after="270" w:afterAutospacing="0"/>
        <w:jc w:val="both"/>
        <w:rPr>
          <w:rFonts w:ascii="Trebuchet MS" w:hAnsi="Trebuchet MS" w:cs="Arial"/>
          <w:color w:val="444444"/>
          <w:sz w:val="18"/>
          <w:szCs w:val="18"/>
        </w:rPr>
      </w:pPr>
      <w:r w:rsidRPr="00050605">
        <w:rPr>
          <w:rFonts w:ascii="Trebuchet MS" w:hAnsi="Trebuchet MS" w:cs="Arial"/>
          <w:color w:val="444444"/>
          <w:sz w:val="18"/>
          <w:szCs w:val="18"/>
        </w:rPr>
        <w:t xml:space="preserve">En España la cultura de los centros comerciales llegó hace más de 50 años y hoy se ha convertido en un hábito de vida para una parte de la población. Existen un gran número familias que llevan a los niños a pasar la tarde a un centro comercial donde se entremezclan las compras y el ocio. Una experiencia comunitaria denominada por los expertos R. Stahl y John </w:t>
      </w:r>
      <w:proofErr w:type="spellStart"/>
      <w:r w:rsidRPr="00050605">
        <w:rPr>
          <w:rFonts w:ascii="Trebuchet MS" w:hAnsi="Trebuchet MS" w:cs="Arial"/>
          <w:color w:val="444444"/>
          <w:sz w:val="18"/>
          <w:szCs w:val="18"/>
        </w:rPr>
        <w:t>Jerde</w:t>
      </w:r>
      <w:proofErr w:type="spellEnd"/>
      <w:r w:rsidRPr="00050605">
        <w:rPr>
          <w:rFonts w:ascii="Trebuchet MS" w:hAnsi="Trebuchet MS" w:cs="Arial"/>
          <w:color w:val="444444"/>
          <w:sz w:val="18"/>
          <w:szCs w:val="18"/>
        </w:rPr>
        <w:t> </w:t>
      </w:r>
      <w:r w:rsidRPr="00050605">
        <w:rPr>
          <w:rFonts w:ascii="Trebuchet MS" w:hAnsi="Trebuchet MS" w:cs="Arial"/>
          <w:i/>
          <w:iCs/>
          <w:color w:val="444444"/>
          <w:sz w:val="18"/>
          <w:szCs w:val="18"/>
        </w:rPr>
        <w:t>“la generación de fieles”,</w:t>
      </w:r>
      <w:r w:rsidRPr="00050605">
        <w:rPr>
          <w:rFonts w:ascii="Trebuchet MS" w:hAnsi="Trebuchet MS" w:cs="Arial"/>
          <w:color w:val="444444"/>
          <w:sz w:val="18"/>
          <w:szCs w:val="18"/>
        </w:rPr>
        <w:t> quienes afirman que el ser humano le gusta estar rodeado de los suyos y de ahí deriva el éxito de las grandes superficies. Un hecho social que también se produce en los estadios de fútbol de acuerdo a los mismos autores.</w:t>
      </w:r>
    </w:p>
    <w:p w:rsidR="005D4F3A" w:rsidRPr="00050605" w:rsidRDefault="005D4F3A" w:rsidP="005D4F3A">
      <w:pPr>
        <w:pStyle w:val="NormalWeb"/>
        <w:shd w:val="clear" w:color="auto" w:fill="FFFFFF" w:themeFill="background1"/>
        <w:spacing w:before="0" w:beforeAutospacing="0" w:after="270" w:afterAutospacing="0"/>
        <w:jc w:val="both"/>
        <w:rPr>
          <w:rFonts w:ascii="Trebuchet MS" w:hAnsi="Trebuchet MS" w:cs="Arial"/>
          <w:color w:val="444444"/>
          <w:sz w:val="18"/>
          <w:szCs w:val="18"/>
        </w:rPr>
      </w:pPr>
      <w:r w:rsidRPr="00050605">
        <w:rPr>
          <w:rFonts w:ascii="Trebuchet MS" w:hAnsi="Trebuchet MS" w:cs="Arial"/>
          <w:color w:val="444444"/>
          <w:sz w:val="18"/>
          <w:szCs w:val="18"/>
        </w:rPr>
        <w:t>Según la consultora Aguirre-Newman coexisten tres tipos de centros comerciales donde estaría la denominación oro, plata y bronce. Es decir, la tipología Oro se trataría de un centro comercial consolidado, líder entre su competencia, con representación de los principales operadores y con amplia área de influencia, convertido en un lugar referencia y de recuerdo espontáneo por parte de los ciudadanos.</w:t>
      </w:r>
    </w:p>
    <w:p w:rsidR="005D4F3A" w:rsidRPr="00050605" w:rsidRDefault="005D4F3A" w:rsidP="005D4F3A">
      <w:pPr>
        <w:pStyle w:val="NormalWeb"/>
        <w:shd w:val="clear" w:color="auto" w:fill="FFFFFF" w:themeFill="background1"/>
        <w:spacing w:before="0" w:beforeAutospacing="0" w:after="270" w:afterAutospacing="0"/>
        <w:jc w:val="both"/>
        <w:rPr>
          <w:rFonts w:ascii="Trebuchet MS" w:hAnsi="Trebuchet MS" w:cs="Arial"/>
          <w:color w:val="444444"/>
          <w:sz w:val="18"/>
          <w:szCs w:val="18"/>
        </w:rPr>
      </w:pPr>
      <w:r w:rsidRPr="00050605">
        <w:rPr>
          <w:rFonts w:ascii="Trebuchet MS" w:hAnsi="Trebuchet MS" w:cs="Arial"/>
          <w:color w:val="444444"/>
          <w:sz w:val="18"/>
          <w:szCs w:val="18"/>
        </w:rPr>
        <w:t>En esta línea para que se produzca la influencia de los centros comerciales en el consumidor es esencial la estimulación a través del </w:t>
      </w:r>
      <w:r w:rsidRPr="00050605">
        <w:rPr>
          <w:rFonts w:ascii="Trebuchet MS" w:hAnsi="Trebuchet MS" w:cs="Arial"/>
          <w:i/>
          <w:iCs/>
          <w:color w:val="444444"/>
          <w:sz w:val="18"/>
          <w:szCs w:val="18"/>
        </w:rPr>
        <w:t>marketing</w:t>
      </w:r>
      <w:r w:rsidRPr="00050605">
        <w:rPr>
          <w:rFonts w:ascii="Trebuchet MS" w:hAnsi="Trebuchet MS" w:cs="Arial"/>
          <w:color w:val="444444"/>
          <w:sz w:val="18"/>
          <w:szCs w:val="18"/>
        </w:rPr>
        <w:t> </w:t>
      </w:r>
      <w:proofErr w:type="spellStart"/>
      <w:r w:rsidRPr="00050605">
        <w:rPr>
          <w:rFonts w:ascii="Trebuchet MS" w:hAnsi="Trebuchet MS" w:cs="Arial"/>
          <w:color w:val="444444"/>
          <w:sz w:val="18"/>
          <w:szCs w:val="18"/>
        </w:rPr>
        <w:t>multisensorial</w:t>
      </w:r>
      <w:proofErr w:type="spellEnd"/>
      <w:r w:rsidRPr="00050605">
        <w:rPr>
          <w:rFonts w:ascii="Trebuchet MS" w:hAnsi="Trebuchet MS" w:cs="Arial"/>
          <w:color w:val="444444"/>
          <w:sz w:val="18"/>
          <w:szCs w:val="18"/>
        </w:rPr>
        <w:t xml:space="preserve"> con los 5 sentidos. Como por ejemplo la implantación de </w:t>
      </w:r>
      <w:proofErr w:type="spellStart"/>
      <w:r w:rsidRPr="00050605">
        <w:rPr>
          <w:rFonts w:ascii="Trebuchet MS" w:hAnsi="Trebuchet MS" w:cs="Arial"/>
          <w:color w:val="444444"/>
          <w:sz w:val="18"/>
          <w:szCs w:val="18"/>
        </w:rPr>
        <w:t>odotipos</w:t>
      </w:r>
      <w:proofErr w:type="spellEnd"/>
      <w:r w:rsidRPr="00050605">
        <w:rPr>
          <w:rFonts w:ascii="Trebuchet MS" w:hAnsi="Trebuchet MS" w:cs="Arial"/>
          <w:color w:val="444444"/>
          <w:sz w:val="18"/>
          <w:szCs w:val="18"/>
        </w:rPr>
        <w:t xml:space="preserve"> –perfumes identidad de una marca en tienda- para aumentar el tiempo de estancia, el número de visitas y la frecuencia de retorno al producir generalmente una emoción positiva.</w:t>
      </w:r>
    </w:p>
    <w:p w:rsidR="005D4F3A" w:rsidRPr="00050605" w:rsidRDefault="005D4F3A" w:rsidP="005D4F3A">
      <w:pPr>
        <w:pStyle w:val="NormalWeb"/>
        <w:shd w:val="clear" w:color="auto" w:fill="FFFFFF" w:themeFill="background1"/>
        <w:spacing w:before="0" w:beforeAutospacing="0" w:after="270" w:afterAutospacing="0"/>
        <w:jc w:val="both"/>
        <w:rPr>
          <w:rFonts w:ascii="Trebuchet MS" w:hAnsi="Trebuchet MS" w:cs="Arial"/>
          <w:color w:val="444444"/>
          <w:sz w:val="18"/>
          <w:szCs w:val="18"/>
        </w:rPr>
      </w:pPr>
      <w:r w:rsidRPr="00050605">
        <w:rPr>
          <w:rFonts w:ascii="Trebuchet MS" w:hAnsi="Trebuchet MS" w:cs="Arial"/>
          <w:color w:val="444444"/>
          <w:sz w:val="18"/>
          <w:szCs w:val="18"/>
        </w:rPr>
        <w:t>En la actualidad, gracias a los estudios de la neurociencia se sabe que el consumidor  decide, en un 75% de ocasiones, su elección de compra dentro del establecimiento. Un dato que hace que las marcas más importantes realicen promociones en el Punto de Venta (POS) estratégica y periódicamente con el objetivo de conquistar al cliente y fidelizarle en la medida de lo posible.</w:t>
      </w:r>
    </w:p>
    <w:p w:rsidR="005D4F3A" w:rsidRPr="00050605" w:rsidRDefault="005D4F3A" w:rsidP="005D4F3A">
      <w:pPr>
        <w:pStyle w:val="NormalWeb"/>
        <w:shd w:val="clear" w:color="auto" w:fill="FFFFFF" w:themeFill="background1"/>
        <w:spacing w:before="0" w:beforeAutospacing="0" w:after="270" w:afterAutospacing="0"/>
        <w:jc w:val="both"/>
        <w:rPr>
          <w:rFonts w:ascii="Trebuchet MS" w:hAnsi="Trebuchet MS" w:cs="Arial"/>
          <w:color w:val="444444"/>
          <w:sz w:val="18"/>
          <w:szCs w:val="18"/>
        </w:rPr>
      </w:pPr>
      <w:r w:rsidRPr="00050605">
        <w:rPr>
          <w:rFonts w:ascii="Trebuchet MS" w:hAnsi="Trebuchet MS" w:cs="Arial"/>
          <w:color w:val="444444"/>
          <w:sz w:val="18"/>
          <w:szCs w:val="18"/>
        </w:rPr>
        <w:t>A continuación se muestra un video donde se emplea el marketing sensorial como el marketing olfativo, fragancias para mejorar la experiencia de compra y vender más, el papel de la música en el punto de venta en acciones promocionales dentro del establecimiento y además se puede observar el seguimiento de los consumidores en el comportamiento de compra.</w:t>
      </w:r>
    </w:p>
    <w:p w:rsidR="005D4F3A" w:rsidRPr="00050605" w:rsidRDefault="00DA3F4E" w:rsidP="005D4F3A">
      <w:pPr>
        <w:jc w:val="both"/>
        <w:rPr>
          <w:rFonts w:ascii="Trebuchet MS" w:hAnsi="Trebuchet MS"/>
          <w:sz w:val="18"/>
          <w:szCs w:val="18"/>
        </w:rPr>
      </w:pPr>
      <w:hyperlink r:id="rId10" w:history="1">
        <w:r w:rsidR="005D4F3A" w:rsidRPr="00050605">
          <w:rPr>
            <w:rStyle w:val="Hipervnculo"/>
            <w:rFonts w:ascii="Trebuchet MS" w:hAnsi="Trebuchet MS"/>
            <w:sz w:val="18"/>
            <w:szCs w:val="18"/>
          </w:rPr>
          <w:t>https://youtu.be/sfEUCUfp9q8</w:t>
        </w:r>
      </w:hyperlink>
      <w:r w:rsidR="005D4F3A" w:rsidRPr="00050605">
        <w:rPr>
          <w:rFonts w:ascii="Trebuchet MS" w:hAnsi="Trebuchet MS"/>
          <w:sz w:val="18"/>
          <w:szCs w:val="18"/>
        </w:rPr>
        <w:t xml:space="preserve"> (“Marketing sensorial”, 12´)</w:t>
      </w:r>
    </w:p>
    <w:p w:rsidR="005D4F3A" w:rsidRPr="00050605" w:rsidRDefault="005D4F3A" w:rsidP="005D4F3A">
      <w:pPr>
        <w:pStyle w:val="NormalWeb"/>
        <w:shd w:val="clear" w:color="auto" w:fill="FFFFFF" w:themeFill="background1"/>
        <w:spacing w:before="0" w:beforeAutospacing="0" w:after="270" w:afterAutospacing="0"/>
        <w:jc w:val="both"/>
        <w:rPr>
          <w:rFonts w:ascii="Trebuchet MS" w:hAnsi="Trebuchet MS" w:cs="Arial"/>
          <w:color w:val="444444"/>
          <w:sz w:val="18"/>
          <w:szCs w:val="18"/>
        </w:rPr>
      </w:pPr>
      <w:r w:rsidRPr="00050605">
        <w:rPr>
          <w:rFonts w:ascii="Trebuchet MS" w:hAnsi="Trebuchet MS" w:cs="Arial"/>
          <w:color w:val="444444"/>
          <w:sz w:val="18"/>
          <w:szCs w:val="18"/>
        </w:rPr>
        <w:t>Además de una planificación estrategia de precios, ubicación de marcas y productos, diseño estratégico del envase –</w:t>
      </w:r>
      <w:proofErr w:type="spellStart"/>
      <w:r w:rsidRPr="00050605">
        <w:rPr>
          <w:rFonts w:ascii="Trebuchet MS" w:hAnsi="Trebuchet MS" w:cs="Arial"/>
          <w:i/>
          <w:iCs/>
          <w:color w:val="444444"/>
          <w:sz w:val="18"/>
          <w:szCs w:val="18"/>
        </w:rPr>
        <w:t>packaging</w:t>
      </w:r>
      <w:proofErr w:type="spellEnd"/>
      <w:r w:rsidRPr="00050605">
        <w:rPr>
          <w:rFonts w:ascii="Trebuchet MS" w:hAnsi="Trebuchet MS" w:cs="Arial"/>
          <w:color w:val="444444"/>
          <w:sz w:val="18"/>
          <w:szCs w:val="18"/>
        </w:rPr>
        <w:t>– para atraer mejor a la atención del comprador, basados en numerosos estudios de mercado e investigación de los consumidores tanto convencionales como los incluidos recientemente gracias a los avances de la neurociencia. Se ha descubierto que la mente del consumidor prefiere tener las puertas de los establecimientos abiertas para entrar ya que si estuviese cerrada bajaría el número de visitantes, también prefiere los techos altos, decoración armoniosa y mucha iluminación para sentirse en un lugar especial. Asimismo también se emplea el elemento del agua para reducir el ruido de la afluencia de público y producir efectos relajantes y calmantes y así poder influir en la corriente compradora.</w:t>
      </w:r>
    </w:p>
    <w:p w:rsidR="005D4F3A" w:rsidRPr="00050605" w:rsidRDefault="005D4F3A" w:rsidP="005D4F3A">
      <w:pPr>
        <w:pStyle w:val="NormalWeb"/>
        <w:shd w:val="clear" w:color="auto" w:fill="FFFFFF" w:themeFill="background1"/>
        <w:spacing w:before="0" w:beforeAutospacing="0" w:after="270" w:afterAutospacing="0"/>
        <w:jc w:val="both"/>
        <w:rPr>
          <w:rFonts w:ascii="Trebuchet MS" w:hAnsi="Trebuchet MS" w:cs="Arial"/>
          <w:color w:val="444444"/>
          <w:sz w:val="18"/>
          <w:szCs w:val="18"/>
        </w:rPr>
      </w:pPr>
      <w:r w:rsidRPr="00050605">
        <w:rPr>
          <w:rFonts w:ascii="Trebuchet MS" w:hAnsi="Trebuchet MS" w:cs="Arial"/>
          <w:color w:val="444444"/>
          <w:sz w:val="18"/>
          <w:szCs w:val="18"/>
        </w:rPr>
        <w:t>Recientemente desde hace dos meses se realizan estudios de la conducta del consumidor a través de una aplicación en el móvil con técnicas de seguimiento ocular denominada </w:t>
      </w:r>
      <w:proofErr w:type="spellStart"/>
      <w:r w:rsidRPr="00050605">
        <w:rPr>
          <w:rFonts w:ascii="Trebuchet MS" w:hAnsi="Trebuchet MS" w:cs="Arial"/>
          <w:i/>
          <w:iCs/>
          <w:color w:val="444444"/>
          <w:sz w:val="18"/>
          <w:szCs w:val="18"/>
        </w:rPr>
        <w:t>Eye</w:t>
      </w:r>
      <w:proofErr w:type="spellEnd"/>
      <w:r w:rsidRPr="00050605">
        <w:rPr>
          <w:rFonts w:ascii="Trebuchet MS" w:hAnsi="Trebuchet MS" w:cs="Arial"/>
          <w:i/>
          <w:iCs/>
          <w:color w:val="444444"/>
          <w:sz w:val="18"/>
          <w:szCs w:val="18"/>
        </w:rPr>
        <w:t xml:space="preserve"> </w:t>
      </w:r>
      <w:proofErr w:type="spellStart"/>
      <w:r w:rsidRPr="00050605">
        <w:rPr>
          <w:rFonts w:ascii="Trebuchet MS" w:hAnsi="Trebuchet MS" w:cs="Arial"/>
          <w:i/>
          <w:iCs/>
          <w:color w:val="444444"/>
          <w:sz w:val="18"/>
          <w:szCs w:val="18"/>
        </w:rPr>
        <w:t>Tracker</w:t>
      </w:r>
      <w:proofErr w:type="spellEnd"/>
      <w:r w:rsidRPr="00050605">
        <w:rPr>
          <w:rFonts w:ascii="Trebuchet MS" w:hAnsi="Trebuchet MS" w:cs="Arial"/>
          <w:color w:val="444444"/>
          <w:sz w:val="18"/>
          <w:szCs w:val="18"/>
        </w:rPr>
        <w:t> gracias a la empresa alemana </w:t>
      </w:r>
      <w:proofErr w:type="spellStart"/>
      <w:r w:rsidRPr="00050605">
        <w:rPr>
          <w:rFonts w:ascii="Trebuchet MS" w:hAnsi="Trebuchet MS" w:cs="Arial"/>
          <w:i/>
          <w:iCs/>
          <w:color w:val="444444"/>
          <w:sz w:val="18"/>
          <w:szCs w:val="18"/>
        </w:rPr>
        <w:t>Senso</w:t>
      </w:r>
      <w:proofErr w:type="spellEnd"/>
      <w:r w:rsidRPr="00050605">
        <w:rPr>
          <w:rFonts w:ascii="Trebuchet MS" w:hAnsi="Trebuchet MS" w:cs="Arial"/>
          <w:i/>
          <w:iCs/>
          <w:color w:val="444444"/>
          <w:sz w:val="18"/>
          <w:szCs w:val="18"/>
        </w:rPr>
        <w:t xml:space="preserve"> </w:t>
      </w:r>
      <w:proofErr w:type="spellStart"/>
      <w:r w:rsidRPr="00050605">
        <w:rPr>
          <w:rFonts w:ascii="Trebuchet MS" w:hAnsi="Trebuchet MS" w:cs="Arial"/>
          <w:i/>
          <w:iCs/>
          <w:color w:val="444444"/>
          <w:sz w:val="18"/>
          <w:szCs w:val="18"/>
        </w:rPr>
        <w:t>Motoric</w:t>
      </w:r>
      <w:proofErr w:type="spellEnd"/>
      <w:r w:rsidRPr="00050605">
        <w:rPr>
          <w:rFonts w:ascii="Trebuchet MS" w:hAnsi="Trebuchet MS" w:cs="Arial"/>
          <w:i/>
          <w:iCs/>
          <w:color w:val="444444"/>
          <w:sz w:val="18"/>
          <w:szCs w:val="18"/>
        </w:rPr>
        <w:t xml:space="preserve"> Instruments (SMI)</w:t>
      </w:r>
      <w:r w:rsidRPr="00050605">
        <w:rPr>
          <w:rFonts w:ascii="Trebuchet MS" w:hAnsi="Trebuchet MS" w:cs="Arial"/>
          <w:color w:val="444444"/>
          <w:sz w:val="18"/>
          <w:szCs w:val="18"/>
        </w:rPr>
        <w:t> cuya revolución ha permitido la movilidad total del consumidor en el seguimiento de la preferencia de los productos en el establecimiento y el abaratamiento de costes para las marcas y empresas que quieren profundizar en el conocimiento de su consumidor.</w:t>
      </w:r>
    </w:p>
    <w:sectPr w:rsidR="005D4F3A" w:rsidRPr="0005060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52A23"/>
    <w:multiLevelType w:val="hybridMultilevel"/>
    <w:tmpl w:val="844850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624"/>
    <w:rsid w:val="000A2CB6"/>
    <w:rsid w:val="00516714"/>
    <w:rsid w:val="005642E3"/>
    <w:rsid w:val="005D4F3A"/>
    <w:rsid w:val="00DA3F4E"/>
    <w:rsid w:val="00F22ACD"/>
    <w:rsid w:val="00FB36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3624"/>
    <w:pPr>
      <w:ind w:left="720"/>
      <w:contextualSpacing/>
    </w:pPr>
  </w:style>
  <w:style w:type="paragraph" w:styleId="Textodeglobo">
    <w:name w:val="Balloon Text"/>
    <w:basedOn w:val="Normal"/>
    <w:link w:val="TextodegloboCar"/>
    <w:uiPriority w:val="99"/>
    <w:semiHidden/>
    <w:unhideWhenUsed/>
    <w:rsid w:val="005D4F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4F3A"/>
    <w:rPr>
      <w:rFonts w:ascii="Tahoma" w:hAnsi="Tahoma" w:cs="Tahoma"/>
      <w:sz w:val="16"/>
      <w:szCs w:val="16"/>
    </w:rPr>
  </w:style>
  <w:style w:type="paragraph" w:styleId="NormalWeb">
    <w:name w:val="Normal (Web)"/>
    <w:basedOn w:val="Normal"/>
    <w:uiPriority w:val="99"/>
    <w:semiHidden/>
    <w:unhideWhenUsed/>
    <w:rsid w:val="005D4F3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D4F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3624"/>
    <w:pPr>
      <w:ind w:left="720"/>
      <w:contextualSpacing/>
    </w:pPr>
  </w:style>
  <w:style w:type="paragraph" w:styleId="Textodeglobo">
    <w:name w:val="Balloon Text"/>
    <w:basedOn w:val="Normal"/>
    <w:link w:val="TextodegloboCar"/>
    <w:uiPriority w:val="99"/>
    <w:semiHidden/>
    <w:unhideWhenUsed/>
    <w:rsid w:val="005D4F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4F3A"/>
    <w:rPr>
      <w:rFonts w:ascii="Tahoma" w:hAnsi="Tahoma" w:cs="Tahoma"/>
      <w:sz w:val="16"/>
      <w:szCs w:val="16"/>
    </w:rPr>
  </w:style>
  <w:style w:type="paragraph" w:styleId="NormalWeb">
    <w:name w:val="Normal (Web)"/>
    <w:basedOn w:val="Normal"/>
    <w:uiPriority w:val="99"/>
    <w:semiHidden/>
    <w:unhideWhenUsed/>
    <w:rsid w:val="005D4F3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D4F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youtu.be/sfEUCUfp9q8" TargetMode="External"/><Relationship Id="rId4" Type="http://schemas.openxmlformats.org/officeDocument/2006/relationships/settings" Target="settings.xml"/><Relationship Id="rId9" Type="http://schemas.openxmlformats.org/officeDocument/2006/relationships/hyperlink" Target="https://neuromarketingattraction.blog/2013/10/17/la-influencia-de-los-centros-comerciales-en-el-consumidor-a-traves-del-neuromarketi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854</Words>
  <Characters>4700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2020-09-30T19:00:00Z</cp:lastPrinted>
  <dcterms:created xsi:type="dcterms:W3CDTF">2020-09-30T18:35:00Z</dcterms:created>
  <dcterms:modified xsi:type="dcterms:W3CDTF">2020-10-04T17:42:00Z</dcterms:modified>
</cp:coreProperties>
</file>