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30"/>
          <w:szCs w:val="30"/>
          <w:shd w:val="clear" w:color="auto" w:fill="ffffff"/>
          <w:rtl w:val="0"/>
        </w:rPr>
      </w:pPr>
      <w:r>
        <w:rPr>
          <w:rFonts w:ascii="Helvetica" w:hAnsi="Helvetica"/>
          <w:b w:val="1"/>
          <w:bCs w:val="1"/>
          <w:sz w:val="30"/>
          <w:szCs w:val="30"/>
          <w:shd w:val="clear" w:color="auto" w:fill="ffffff"/>
          <w:rtl w:val="0"/>
          <w:lang w:val="es-ES_tradnl"/>
        </w:rPr>
        <w:t>Listados de productos autorizados por la AEMPS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54b92"/>
          <w:sz w:val="20"/>
          <w:szCs w:val="20"/>
          <w:shd w:val="clear" w:color="auto" w:fill="ffffff"/>
          <w:rtl w:val="0"/>
          <w14:textFill>
            <w14:solidFill>
              <w14:srgbClr w14:val="254B93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54b92"/>
          <w:sz w:val="20"/>
          <w:szCs w:val="20"/>
          <w:shd w:val="clear" w:color="auto" w:fill="ffffff"/>
          <w:rtl w:val="0"/>
          <w14:textFill>
            <w14:solidFill>
              <w14:srgbClr w14:val="254B93"/>
            </w14:solidFill>
          </w14:textFill>
        </w:rPr>
      </w:pP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sz w:val="20"/>
          <w:szCs w:val="20"/>
          <w:shd w:val="clear" w:color="auto" w:fill="ffffff"/>
          <w:rtl w:val="0"/>
        </w:rPr>
      </w:pP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</w:rPr>
        <w:t>Antis</w:t>
      </w:r>
      <w:r>
        <w:rPr>
          <w:rStyle w:val="Ninguno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pticos para piel sana autorizados por la AEMPS.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br w:type="textWrapping"/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</w:rPr>
        <w:t xml:space="preserve">ó 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</w:rPr>
        <w:t>á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"https://www.aemps.gob.es/cosmeticos-cuidado-personal/biocidas-aemps/antisepticos-para-piel-sana-autorizados-por-la-agencia-espanola-de-medicamentos-y-productos-sanitarios/"</w:instrTex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0"/>
          <w:rFonts w:ascii="Helvetica" w:hAnsi="Helvetica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  <w:lang w:val="nl-NL"/>
        </w:rPr>
        <w:t>n de antis</w:t>
      </w:r>
      <w:r>
        <w:rPr>
          <w:rStyle w:val="Hyperlink.0"/>
          <w:rFonts w:ascii="Helvetica" w:hAnsi="Helvetica" w:hint="default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pticos para piel sana autorizados por la AEMPS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Fonts w:ascii="Helvetica" w:hAnsi="Helvetica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</w:rPr>
        <w:t>Antis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pticos para piel sana con eficacia viricida demostrada autorizados por la AEMPS.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"https://www.aemps.gob.es/cosmeticos-cuidado-personal/biocidas-aemps/relacion-de-biocidas-de-eficacia-viricida-demostrada/"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 de biocidas de eficacia viricida demostrada autorizados por la AEMPS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Desinfectantes de superficies de 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á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mbito sanitario, autorizados por la AEMPS.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"https://www.aemps.gob.es/cosmeticos-cuidado-personal/biocidas-aemps/desinfectantes-de-superficies-de-ambito-sanitario-autorizados-por-la-aemps/"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 de desinfectantes de superficies de 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á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mbito sanitario, autorizados por la AEMPS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Desinfectantes de superficies de 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á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mbito sanitario con eficacia viricida demostrada, autorizados por la AEMPS.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"https://www.aemps.gob.es/cosmeticos-cuidado-personal/biocidas-aemps/relacion-de-desinfectantes-de-superficies-de-ambito-sanitario-con-eficacia-viricida-demostrada-autorizados-por-la-aemps/"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 de desinfectantes de superficies de 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á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mbito sanitario con eficacia viricida demostrada, autorizados por la AEMPS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</w:pP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Repelentes de insectos de uso humano autorizados por la AEMPS.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br w:type="textWrapping"/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</w:rPr>
        <w:t xml:space="preserve">ó 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</w:rPr>
        <w:t>á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"https://www.aemps.gob.es/cosmeticos-cuidado-personal/biocidas-aemps/relacion-de-repelentes-de-insectos-de-uso-humano-autorizados-por-la-aemps/"</w:instrTex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0"/>
          <w:rFonts w:ascii="Helvetica" w:hAnsi="Helvetica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n de repelentes de insectos de uso humano, autorizados por la AEMPS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Fonts w:ascii="Helvetica" w:hAnsi="Helvetica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Repelentes de insectos de uso humano, eficaces frente a mosquitos del g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nero </w:t>
      </w:r>
      <w:r>
        <w:rPr>
          <w:rStyle w:val="Ninguno"/>
          <w:rFonts w:ascii="Helvetica" w:hAnsi="Helvetica"/>
          <w:b w:val="1"/>
          <w:bCs w:val="1"/>
          <w:i w:val="1"/>
          <w:iCs w:val="1"/>
          <w:sz w:val="20"/>
          <w:szCs w:val="20"/>
          <w:shd w:val="clear" w:color="auto" w:fill="ffffff"/>
          <w:rtl w:val="0"/>
        </w:rPr>
        <w:t>Aedes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, posible transmisor del virus ZIKA, recomendados para prevenir la infecci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 asociada.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"https://www.aemps.gob.es/cosmeticos-cuidado-personal/biocidas-aemps/relacion-de-repelentes-de-insectos-de-uso-humano-eficaces-frente-a-mosquitos-del-genero-aedes-posible-transmisor-del-virus-zika-recomendados-para-prevenir-la-infeccion-asociada/"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 de repe-lentes de insectos de uso humano, eficaces frente a mosquitos del g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nero </w:t>
      </w:r>
      <w:r>
        <w:rPr>
          <w:rStyle w:val="Ninguno"/>
          <w:rFonts w:ascii="Helvetica" w:hAnsi="Helvetica"/>
          <w:b w:val="1"/>
          <w:bCs w:val="1"/>
          <w:i w:val="1"/>
          <w:iCs w:val="1"/>
          <w:outline w:val="0"/>
          <w:color w:val="257ac1"/>
          <w:sz w:val="20"/>
          <w:szCs w:val="20"/>
          <w:shd w:val="clear" w:color="auto" w:fill="ffffff"/>
          <w:rtl w:val="0"/>
          <w14:textFill>
            <w14:solidFill>
              <w14:srgbClr w14:val="257BC2"/>
            </w14:solidFill>
          </w14:textFill>
        </w:rPr>
        <w:t>Aedes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, autorizados por la AEMPS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Repelentes de uso humano eficaces frente a garrapatas, autorizados por la AEMPS.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la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"https://www.aemps.gob.es/cosmeticos-cuidado-personal/biocidas-aemps/relacion-de-repelentes-de-uso-humano-autorizados-en-el-registro-de-la-agencia-espanola-de-medicamentos-y-productos-sanitarios-eficaces-frente-a-garrapatas/"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 de repelentes de uso humano eficaces frente a garrapatas, autorizados por la AEMPS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</w:rPr>
        <w:t>.</w:t>
      </w:r>
    </w:p>
    <w:p>
      <w:pPr>
        <w:pStyle w:val="Por omisión"/>
        <w:numPr>
          <w:ilvl w:val="0"/>
          <w:numId w:val="2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Repelentes de insectos de uso humano, eficaces frente al g</w:t>
      </w:r>
      <w:r>
        <w:rPr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nero </w:t>
      </w:r>
      <w:r>
        <w:rPr>
          <w:rStyle w:val="Ninguno"/>
          <w:rFonts w:ascii="Helvetica" w:hAnsi="Helvetica"/>
          <w:b w:val="1"/>
          <w:bCs w:val="1"/>
          <w:i w:val="1"/>
          <w:iCs w:val="1"/>
          <w:sz w:val="20"/>
          <w:szCs w:val="20"/>
          <w:shd w:val="clear" w:color="auto" w:fill="ffffff"/>
          <w:rtl w:val="0"/>
          <w:lang w:val="it-IT"/>
        </w:rPr>
        <w:t>Culex</w:t>
      </w: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, posible vector transmisor del virus del Nilo Occidental.</w:t>
      </w:r>
      <w:r>
        <w:rPr>
          <w:rStyle w:val="Ninguno"/>
          <w:rFonts w:ascii="Helvetica" w:cs="Helvetica" w:hAnsi="Helvetica" w:eastAsia="Helvetica"/>
          <w:b w:val="0"/>
          <w:bCs w:val="0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Con fecha 17 de julio de 2024, se actualiz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 xml:space="preserve">ó 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en la p</w:t>
      </w:r>
      <w:r>
        <w:rPr>
          <w:rStyle w:val="Ninguno"/>
          <w:rFonts w:ascii="Helvetica" w:hAnsi="Helvetica" w:hint="default"/>
          <w:b w:val="0"/>
          <w:bCs w:val="0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 xml:space="preserve">gina web de la AEMPS, </w: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instrText xml:space="preserve"> HYPERLINK "https://www.aemps.gob.es/cosmeticos-cuidado-personal/biocidas-aemps/relacion-de-repelentes-de-insectos-de-uso-humano-autorizados-por-la-aemps-eficaces-frente-a-genero-culex-posible-vector-transmisor-del-virus-del-nilo-occidental/"</w:instrText>
      </w:r>
      <w:r>
        <w:rPr>
          <w:rStyle w:val="Hyperlink.1"/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la relaci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 de repelentes de insectos de uso humano, eficaces frente a mosquitos del g</w:t>
      </w:r>
      <w:r>
        <w:rPr>
          <w:rStyle w:val="Hyperlink.1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Style w:val="Hyperlink.1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nero </w:t>
      </w:r>
      <w:r>
        <w:rPr>
          <w:rStyle w:val="Ninguno"/>
          <w:rFonts w:ascii="Helvetica" w:hAnsi="Helvetica"/>
          <w:b w:val="1"/>
          <w:bCs w:val="1"/>
          <w:i w:val="1"/>
          <w:iCs w:val="1"/>
          <w:outline w:val="0"/>
          <w:color w:val="257ac1"/>
          <w:sz w:val="20"/>
          <w:szCs w:val="20"/>
          <w:shd w:val="clear" w:color="auto" w:fill="ffffff"/>
          <w:rtl w:val="0"/>
          <w:lang w:val="it-IT"/>
          <w14:textFill>
            <w14:solidFill>
              <w14:srgbClr w14:val="257BC2"/>
            </w14:solidFill>
          </w14:textFill>
        </w:rPr>
        <w:t>Culex</w:t>
      </w:r>
      <w:r>
        <w:rPr>
          <w:rFonts w:ascii="Helvetica" w:cs="Helvetica" w:hAnsi="Helvetica" w:eastAsia="Helvetica"/>
          <w:b w:val="1"/>
          <w:bCs w:val="1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Style w:val="Ninguno"/>
          <w:rFonts w:ascii="Helvetica" w:hAnsi="Helvetica"/>
          <w:b w:val="0"/>
          <w:bCs w:val="0"/>
          <w:sz w:val="20"/>
          <w:szCs w:val="20"/>
          <w:shd w:val="clear" w:color="auto" w:fill="ffffff"/>
          <w:rtl w:val="0"/>
          <w:lang w:val="es-ES_tradnl"/>
        </w:rPr>
        <w:t>, autorizados por la AEMPS.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54b92"/>
          <w:sz w:val="20"/>
          <w:szCs w:val="20"/>
          <w:shd w:val="clear" w:color="auto" w:fill="ffffff"/>
          <w:rtl w:val="0"/>
          <w14:textFill>
            <w14:solidFill>
              <w14:srgbClr w14:val="254B9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54b92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254B93"/>
            </w14:solidFill>
          </w14:textFill>
        </w:rPr>
        <w:t>Vigilancia y control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4c4c4c"/>
          <w:sz w:val="20"/>
          <w:szCs w:val="20"/>
          <w:shd w:val="clear" w:color="auto" w:fill="ffffff"/>
          <w:rtl w:val="0"/>
          <w14:textFill>
            <w14:solidFill>
              <w14:srgbClr w14:val="4D4D4D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4c4c4c"/>
          <w:sz w:val="20"/>
          <w:szCs w:val="20"/>
          <w:shd w:val="clear" w:color="auto" w:fill="ffffff"/>
          <w:rtl w:val="0"/>
          <w:lang w:val="es-ES_tradnl"/>
          <w14:textFill>
            <w14:solidFill>
              <w14:srgbClr w14:val="4D4D4D"/>
            </w14:solidFill>
          </w14:textFill>
        </w:rPr>
        <w:t>Control del mercado de biocidas AEMPS y productos de cuidado personal</w:t>
      </w:r>
    </w:p>
    <w:p>
      <w:pPr>
        <w:pStyle w:val="Por omisión"/>
        <w:numPr>
          <w:ilvl w:val="0"/>
          <w:numId w:val="3"/>
        </w:numPr>
        <w:bidi w:val="0"/>
        <w:spacing w:before="0" w:after="172" w:line="240" w:lineRule="auto"/>
        <w:ind w:right="0"/>
        <w:jc w:val="both"/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</w:pPr>
      <w:r>
        <w:rPr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>Notas informativas de seguridad:</w:t>
      </w:r>
    </w:p>
    <w:p>
      <w:pPr>
        <w:pStyle w:val="Por omisión"/>
        <w:numPr>
          <w:ilvl w:val="1"/>
          <w:numId w:val="3"/>
        </w:numPr>
        <w:bidi w:val="0"/>
        <w:spacing w:before="0" w:after="172" w:line="240" w:lineRule="auto"/>
        <w:ind w:right="0"/>
        <w:jc w:val="both"/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</w:pP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Medidas tomadas con respecto a Alertas de Biocidas AEMPS y Productos de cuidado personal, transmitidas por el </w:t>
      </w:r>
      <w:r>
        <w:rPr>
          <w:rStyle w:val="Ninguno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1"/>
          <w:lang w:val="ar-SA" w:bidi="ar-SA"/>
        </w:rPr>
        <w:t>“</w:t>
      </w: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pt-PT"/>
        </w:rPr>
        <w:t>Sistema de Alerta R</w:t>
      </w:r>
      <w:r>
        <w:rPr>
          <w:rStyle w:val="Ninguno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á</w:t>
      </w:r>
      <w:r>
        <w:rPr>
          <w:rStyle w:val="Ninguno"/>
          <w:rFonts w:ascii="Helvetica" w:hAnsi="Helvetica"/>
          <w:b w:val="1"/>
          <w:bCs w:val="1"/>
          <w:sz w:val="20"/>
          <w:szCs w:val="20"/>
          <w:shd w:val="clear" w:color="auto" w:fill="ffffff"/>
          <w:rtl w:val="0"/>
          <w:lang w:val="es-ES_tradnl"/>
        </w:rPr>
        <w:t xml:space="preserve">pida para los productos peligrosos no alimentarios </w:t>
      </w:r>
      <w:r>
        <w:rPr>
          <w:rStyle w:val="Ninguno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 xml:space="preserve">– </w:t>
      </w:r>
      <w:r>
        <w:rPr>
          <w:rStyle w:val="Ninguno"/>
          <w:rFonts w:ascii="Helvetica" w:hAnsi="Helvetica"/>
          <w:b w:val="1"/>
          <w:bCs w:val="1"/>
          <w:i w:val="1"/>
          <w:iCs w:val="1"/>
          <w:sz w:val="20"/>
          <w:szCs w:val="20"/>
          <w:shd w:val="clear" w:color="auto" w:fill="ffffff"/>
          <w:rtl w:val="0"/>
          <w:lang w:val="en-US"/>
        </w:rPr>
        <w:t>Safety Gate</w:t>
      </w:r>
      <w:r>
        <w:rPr>
          <w:rStyle w:val="Ninguno"/>
          <w:rFonts w:ascii="Helvetica" w:hAnsi="Helvetica" w:hint="default"/>
          <w:b w:val="1"/>
          <w:bCs w:val="1"/>
          <w:sz w:val="20"/>
          <w:szCs w:val="20"/>
          <w:shd w:val="clear" w:color="auto" w:fill="ffffff"/>
          <w:rtl w:val="0"/>
        </w:rPr>
        <w:t>”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br w:type="textWrapping"/>
      </w:r>
      <w:r>
        <w:rPr>
          <w:rStyle w:val="Ninguno"/>
          <w:rFonts w:ascii="Helvetica" w:hAnsi="Helvetica"/>
          <w:i w:val="1"/>
          <w:iCs w:val="1"/>
          <w:sz w:val="20"/>
          <w:szCs w:val="20"/>
          <w:shd w:val="clear" w:color="auto" w:fill="ffffff"/>
          <w:rtl w:val="0"/>
          <w:lang w:val="en-US"/>
        </w:rPr>
        <w:t>Safety Gate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 xml:space="preserve"> es el Sistema de Alerta R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</w:rPr>
        <w:t>á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pida de la Uni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n europea para productos peligrosos no alimentarios. La Comisi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>n Europea publica todas las alertas sobre los productos que presentan un riesgo para la salud y la seguridad de los consumidores a trav</w:t>
      </w:r>
      <w:r>
        <w:rPr>
          <w:rFonts w:ascii="Helvetica" w:hAnsi="Helvetica" w:hint="default"/>
          <w:sz w:val="20"/>
          <w:szCs w:val="20"/>
          <w:shd w:val="clear" w:color="auto" w:fill="ffffff"/>
          <w:rtl w:val="0"/>
          <w:lang w:val="fr-FR"/>
        </w:rPr>
        <w:t>é</w:t>
      </w:r>
      <w:r>
        <w:rPr>
          <w:rFonts w:ascii="Helvetica" w:hAnsi="Helvetica"/>
          <w:sz w:val="20"/>
          <w:szCs w:val="20"/>
          <w:shd w:val="clear" w:color="auto" w:fill="ffffff"/>
          <w:rtl w:val="0"/>
          <w:lang w:val="es-ES_tradnl"/>
        </w:rPr>
        <w:t xml:space="preserve">s del </w: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instrText xml:space="preserve"> HYPERLINK "https://ec.europa.eu/safety-gate-alerts/"</w:instrText>
      </w:r>
      <w:r>
        <w:rPr>
          <w:rStyle w:val="Hyperlink.0"/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separate" w:fldLock="0"/>
      </w:r>
      <w:r>
        <w:rPr>
          <w:rStyle w:val="Hyperlink.0"/>
          <w:rFonts w:ascii="Helvetica" w:hAnsi="Helvetica"/>
          <w:sz w:val="20"/>
          <w:szCs w:val="20"/>
          <w:shd w:val="clear" w:color="auto" w:fill="ffffff"/>
          <w:rtl w:val="0"/>
        </w:rPr>
        <w:t xml:space="preserve">portal </w:t>
      </w:r>
      <w:r>
        <w:rPr>
          <w:rStyle w:val="Ninguno"/>
          <w:rFonts w:ascii="Helvetica" w:hAnsi="Helvetica"/>
          <w:b w:val="1"/>
          <w:bCs w:val="1"/>
          <w:i w:val="1"/>
          <w:iCs w:val="1"/>
          <w:outline w:val="0"/>
          <w:color w:val="257ac1"/>
          <w:sz w:val="20"/>
          <w:szCs w:val="20"/>
          <w:shd w:val="clear" w:color="auto" w:fill="ffffff"/>
          <w:rtl w:val="0"/>
          <w:lang w:val="en-US"/>
          <w14:textFill>
            <w14:solidFill>
              <w14:srgbClr w14:val="257BC2"/>
            </w14:solidFill>
          </w14:textFill>
        </w:rPr>
        <w:t>Safety Gate</w:t>
      </w:r>
      <w:r>
        <w:rPr>
          <w:rFonts w:ascii="Helvetica" w:cs="Helvetica" w:hAnsi="Helvetica" w:eastAsia="Helvetica"/>
          <w:sz w:val="20"/>
          <w:szCs w:val="20"/>
          <w:shd w:val="clear" w:color="auto" w:fill="ffffff"/>
          <w:rtl w:val="0"/>
        </w:rPr>
        <w:fldChar w:fldCharType="end" w:fldLock="0"/>
      </w:r>
      <w:r>
        <w:rPr>
          <w:rFonts w:ascii="Helvetica" w:hAnsi="Helvetica"/>
          <w:sz w:val="20"/>
          <w:szCs w:val="20"/>
          <w:shd w:val="clear" w:color="auto" w:fill="ffffff"/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720" w:right="1080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0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2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4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6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8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0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27" w:hanging="347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◦"/>
        <w:lvlJc w:val="left"/>
        <w:pPr>
          <w:ind w:left="1440" w:hanging="5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◦"/>
        <w:lvlJc w:val="left"/>
        <w:pPr>
          <w:ind w:left="200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◦"/>
        <w:lvlJc w:val="left"/>
        <w:pPr>
          <w:ind w:left="272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◦"/>
        <w:lvlJc w:val="left"/>
        <w:pPr>
          <w:ind w:left="344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◦"/>
        <w:lvlJc w:val="left"/>
        <w:pPr>
          <w:ind w:left="416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◦"/>
        <w:lvlJc w:val="left"/>
        <w:pPr>
          <w:ind w:left="488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◦"/>
        <w:lvlJc w:val="left"/>
        <w:pPr>
          <w:ind w:left="560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◦"/>
        <w:lvlJc w:val="left"/>
        <w:pPr>
          <w:ind w:left="6327" w:hanging="34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numbering" w:styleId="Viñeta">
    <w:name w:val="Viñeta"/>
    <w:pPr>
      <w:numPr>
        <w:numId w:val="1"/>
      </w:numPr>
    </w:pPr>
  </w:style>
  <w:style w:type="character" w:styleId="Ninguno">
    <w:name w:val="Ninguno"/>
  </w:style>
  <w:style w:type="character" w:styleId="Hyperlink.0">
    <w:name w:val="Hyperlink.0"/>
    <w:basedOn w:val="Ninguno"/>
    <w:next w:val="Hyperlink.0"/>
    <w:rPr>
      <w:b w:val="1"/>
      <w:bCs w:val="1"/>
      <w:outline w:val="0"/>
      <w:color w:val="257ac1"/>
      <w14:textFill>
        <w14:solidFill>
          <w14:srgbClr w14:val="257BC2"/>
        </w14:solidFill>
      </w14:textFill>
    </w:rPr>
  </w:style>
  <w:style w:type="character" w:styleId="Hyperlink.1">
    <w:name w:val="Hyperlink.1"/>
    <w:basedOn w:val="Ninguno"/>
    <w:next w:val="Hyperlink.1"/>
    <w:rPr>
      <w:outline w:val="0"/>
      <w:color w:val="257ac1"/>
      <w14:textFill>
        <w14:solidFill>
          <w14:srgbClr w14:val="257BC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