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6B" w:rsidRPr="003E74CA" w:rsidRDefault="007B016B" w:rsidP="003E74CA">
      <w:pPr>
        <w:spacing w:before="120" w:after="0" w:line="22" w:lineRule="atLeast"/>
        <w:jc w:val="center"/>
        <w:rPr>
          <w:rFonts w:ascii="Arial" w:hAnsi="Arial" w:cs="Arial"/>
          <w:b/>
          <w:sz w:val="24"/>
          <w:u w:val="single"/>
        </w:rPr>
      </w:pPr>
      <w:bookmarkStart w:id="0" w:name="_GoBack"/>
      <w:bookmarkEnd w:id="0"/>
      <w:r w:rsidRPr="003E74CA">
        <w:rPr>
          <w:rFonts w:ascii="Arial" w:hAnsi="Arial" w:cs="Arial"/>
          <w:b/>
          <w:sz w:val="24"/>
          <w:u w:val="single"/>
        </w:rPr>
        <w:t>Dossier 1: El Absolutismo.</w:t>
      </w:r>
    </w:p>
    <w:p w:rsidR="007B016B" w:rsidRPr="003E74CA" w:rsidRDefault="007B016B" w:rsidP="007B016B">
      <w:pPr>
        <w:spacing w:before="120" w:after="0" w:line="22" w:lineRule="atLeast"/>
        <w:jc w:val="both"/>
        <w:rPr>
          <w:rFonts w:ascii="Arial" w:hAnsi="Arial" w:cs="Arial"/>
          <w:b/>
          <w:sz w:val="24"/>
        </w:rPr>
      </w:pPr>
    </w:p>
    <w:p w:rsidR="007B016B" w:rsidRPr="003E74CA" w:rsidRDefault="0015059F" w:rsidP="003E74CA">
      <w:pPr>
        <w:pBdr>
          <w:top w:val="single" w:sz="4" w:space="1" w:color="auto"/>
          <w:left w:val="single" w:sz="4" w:space="4" w:color="auto"/>
          <w:bottom w:val="single" w:sz="4" w:space="1" w:color="auto"/>
          <w:right w:val="single" w:sz="4" w:space="4" w:color="auto"/>
        </w:pBdr>
        <w:spacing w:after="0" w:line="22" w:lineRule="atLeast"/>
        <w:jc w:val="both"/>
        <w:rPr>
          <w:rFonts w:ascii="Arial" w:hAnsi="Arial" w:cs="Arial"/>
          <w:sz w:val="24"/>
        </w:rPr>
      </w:pPr>
      <w:r w:rsidRPr="003E74CA">
        <w:rPr>
          <w:rFonts w:ascii="Arial" w:hAnsi="Arial" w:cs="Arial"/>
          <w:b/>
          <w:sz w:val="24"/>
        </w:rPr>
        <w:t xml:space="preserve">Doc. 1: </w:t>
      </w:r>
      <w:r w:rsidR="007B016B" w:rsidRPr="003E74CA">
        <w:rPr>
          <w:rFonts w:ascii="Arial" w:hAnsi="Arial" w:cs="Arial"/>
          <w:sz w:val="24"/>
        </w:rPr>
        <w:t xml:space="preserve">Los Lores (...) y los Comunes reunidos en Westminster presentaron, a Sus Majestades, entonces conocidas con los nombres y títulos de Guillermo y </w:t>
      </w:r>
      <w:proofErr w:type="spellStart"/>
      <w:r w:rsidR="007B016B" w:rsidRPr="003E74CA">
        <w:rPr>
          <w:rFonts w:ascii="Arial" w:hAnsi="Arial" w:cs="Arial"/>
          <w:sz w:val="24"/>
        </w:rPr>
        <w:t>Maria</w:t>
      </w:r>
      <w:proofErr w:type="spellEnd"/>
      <w:r w:rsidR="007B016B" w:rsidRPr="003E74CA">
        <w:rPr>
          <w:rFonts w:ascii="Arial" w:hAnsi="Arial" w:cs="Arial"/>
          <w:sz w:val="24"/>
        </w:rPr>
        <w:t>, príncipes de Orange, una declaración escrita.</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Redactada por los mencionados Lores y Comunes en los siguientes términos: Considerando que el fallecido Jacobo II, con la ayuda de malos consejeros, jueces y ministros nombrados por él, se esforzó (...) proscribir la religión protestante, y las leyes y libertades de este Reino:</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Usurpando y ejerciendo el poder de dispensar de las leyes y aplazar su entrada en vigor y su</w:t>
      </w:r>
      <w:r w:rsidR="0015059F" w:rsidRPr="003E74CA">
        <w:rPr>
          <w:rFonts w:ascii="Arial" w:hAnsi="Arial" w:cs="Arial"/>
          <w:sz w:val="24"/>
        </w:rPr>
        <w:t xml:space="preserve"> </w:t>
      </w:r>
      <w:r w:rsidRPr="003E74CA">
        <w:rPr>
          <w:rFonts w:ascii="Arial" w:hAnsi="Arial" w:cs="Arial"/>
          <w:sz w:val="24"/>
        </w:rPr>
        <w:t>cumplimiento, sin el consentimiento del Parlamento.</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En estas circunstancias, los mencionados Lores espirituales y temporales y los Comunes, hoy reunidos</w:t>
      </w:r>
      <w:r w:rsidR="0015059F" w:rsidRPr="003E74CA">
        <w:rPr>
          <w:rFonts w:ascii="Arial" w:hAnsi="Arial" w:cs="Arial"/>
          <w:sz w:val="24"/>
        </w:rPr>
        <w:t xml:space="preserve"> </w:t>
      </w:r>
      <w:r w:rsidRPr="003E74CA">
        <w:rPr>
          <w:rFonts w:ascii="Arial" w:hAnsi="Arial" w:cs="Arial"/>
          <w:sz w:val="24"/>
        </w:rPr>
        <w:t>(...) declaran, para defender y asegurar sus antiguos derechos y libertades:</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I - Que el pretendido poder de suspender las leyes y la aplicación de las mismas, en virtud de la</w:t>
      </w:r>
      <w:r w:rsidR="0015059F" w:rsidRPr="003E74CA">
        <w:rPr>
          <w:rFonts w:ascii="Arial" w:hAnsi="Arial" w:cs="Arial"/>
          <w:sz w:val="24"/>
        </w:rPr>
        <w:t xml:space="preserve"> </w:t>
      </w:r>
      <w:r w:rsidRPr="003E74CA">
        <w:rPr>
          <w:rFonts w:ascii="Arial" w:hAnsi="Arial" w:cs="Arial"/>
          <w:sz w:val="24"/>
        </w:rPr>
        <w:t>autoridad real y sin el consentimiento del Parlamento, es ilegal.</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IX - Que las libertades de expresión, discusión y actuación en el Parlamento no pueden ser juzgadas ni</w:t>
      </w:r>
      <w:r w:rsidR="0015059F" w:rsidRPr="003E74CA">
        <w:rPr>
          <w:rFonts w:ascii="Arial" w:hAnsi="Arial" w:cs="Arial"/>
          <w:sz w:val="24"/>
        </w:rPr>
        <w:t xml:space="preserve"> </w:t>
      </w:r>
      <w:r w:rsidRPr="003E74CA">
        <w:rPr>
          <w:rFonts w:ascii="Arial" w:hAnsi="Arial" w:cs="Arial"/>
          <w:sz w:val="24"/>
        </w:rPr>
        <w:t>investigadas por otro Tribunal que el Parlamento.</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XIII - Y que para remediar todas estas quejas, y para conseguir la modificación, aprobación y</w:t>
      </w:r>
      <w:r w:rsidR="0015059F" w:rsidRPr="003E74CA">
        <w:rPr>
          <w:rFonts w:ascii="Arial" w:hAnsi="Arial" w:cs="Arial"/>
          <w:sz w:val="24"/>
        </w:rPr>
        <w:t xml:space="preserve"> </w:t>
      </w:r>
      <w:r w:rsidRPr="003E74CA">
        <w:rPr>
          <w:rFonts w:ascii="Arial" w:hAnsi="Arial" w:cs="Arial"/>
          <w:sz w:val="24"/>
        </w:rPr>
        <w:t>mantenimiento de las leyes, el Parlamento debe reunirse con frecuencia.</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Reclaman, piden e insisten en todas y cada una de las peticiones hechas, como libertades indiscutible (...)</w:t>
      </w: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right"/>
        <w:rPr>
          <w:rFonts w:ascii="Arial" w:hAnsi="Arial" w:cs="Arial"/>
          <w:sz w:val="24"/>
        </w:rPr>
      </w:pPr>
      <w:r w:rsidRPr="003E74CA">
        <w:rPr>
          <w:rFonts w:ascii="Arial" w:hAnsi="Arial" w:cs="Arial"/>
          <w:sz w:val="24"/>
        </w:rPr>
        <w:t>Declaración de Derechos. 1689</w:t>
      </w:r>
    </w:p>
    <w:p w:rsidR="007B016B" w:rsidRPr="003E74CA" w:rsidRDefault="007B016B" w:rsidP="007B016B">
      <w:pPr>
        <w:spacing w:before="120" w:after="0" w:line="22" w:lineRule="atLeast"/>
        <w:jc w:val="both"/>
        <w:rPr>
          <w:rFonts w:ascii="Arial" w:hAnsi="Arial" w:cs="Arial"/>
          <w:b/>
          <w:sz w:val="24"/>
        </w:rPr>
      </w:pPr>
    </w:p>
    <w:p w:rsidR="003E74CA" w:rsidRPr="003E74CA" w:rsidRDefault="003E74CA" w:rsidP="003E74CA">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b/>
          <w:sz w:val="24"/>
        </w:rPr>
        <w:t xml:space="preserve">Doc. 2: </w:t>
      </w:r>
      <w:r w:rsidRPr="003E74CA">
        <w:rPr>
          <w:rFonts w:ascii="Arial" w:hAnsi="Arial" w:cs="Arial"/>
          <w:sz w:val="24"/>
        </w:rPr>
        <w:t>“En el caso de buscar en que consiste el bien más preciado de todos, que debe ser objeto de toda legislación, se encontrará que todo se reduce a dos cuestiones principales: la libertad y la igualdad, sin la cual la libertad no puede existir. Renunciar a la libertad es renunciar a ser hombre, a los derechos y a los deberes de la humanidad.</w:t>
      </w:r>
    </w:p>
    <w:p w:rsidR="003E74CA" w:rsidRPr="003E74CA" w:rsidRDefault="003E74CA" w:rsidP="003E74CA">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sz w:val="24"/>
        </w:rPr>
        <w:t xml:space="preserve">La verdadera igualdad no reside en el hecho de que la riqueza sea absolutamente la misma, sino que ningún ciudadano sea tan rico como para poder comprar a otro y que no sea tan pobre para verse forzado a venderse”. </w:t>
      </w:r>
    </w:p>
    <w:p w:rsidR="003E74CA" w:rsidRPr="003E74CA" w:rsidRDefault="003E74CA" w:rsidP="003E74CA">
      <w:pPr>
        <w:pBdr>
          <w:top w:val="single" w:sz="4" w:space="1" w:color="auto"/>
          <w:left w:val="single" w:sz="4" w:space="4" w:color="auto"/>
          <w:bottom w:val="single" w:sz="4" w:space="1" w:color="auto"/>
          <w:right w:val="single" w:sz="4" w:space="4" w:color="auto"/>
        </w:pBdr>
        <w:spacing w:before="120" w:after="0" w:line="22" w:lineRule="atLeast"/>
        <w:jc w:val="right"/>
        <w:rPr>
          <w:rFonts w:ascii="Arial" w:hAnsi="Arial" w:cs="Arial"/>
          <w:sz w:val="24"/>
        </w:rPr>
      </w:pPr>
      <w:r w:rsidRPr="003E74CA">
        <w:rPr>
          <w:rFonts w:ascii="Arial" w:hAnsi="Arial" w:cs="Arial"/>
          <w:sz w:val="24"/>
        </w:rPr>
        <w:t xml:space="preserve">Jean-Jacques Rousseau, </w:t>
      </w:r>
      <w:r w:rsidRPr="003E74CA">
        <w:rPr>
          <w:rFonts w:ascii="Arial" w:hAnsi="Arial" w:cs="Arial"/>
          <w:i/>
          <w:sz w:val="24"/>
        </w:rPr>
        <w:t>El contrato social</w:t>
      </w:r>
      <w:r w:rsidRPr="003E74CA">
        <w:rPr>
          <w:rFonts w:ascii="Arial" w:hAnsi="Arial" w:cs="Arial"/>
          <w:sz w:val="24"/>
        </w:rPr>
        <w:t>, 1762.</w:t>
      </w:r>
    </w:p>
    <w:p w:rsidR="003E74CA" w:rsidRPr="003E74CA" w:rsidRDefault="003E74CA" w:rsidP="007B016B">
      <w:pPr>
        <w:spacing w:before="120" w:after="0" w:line="22" w:lineRule="atLeast"/>
        <w:jc w:val="both"/>
        <w:rPr>
          <w:rFonts w:ascii="Arial" w:hAnsi="Arial" w:cs="Arial"/>
          <w:b/>
          <w:sz w:val="24"/>
        </w:rPr>
      </w:pPr>
    </w:p>
    <w:p w:rsidR="007B016B" w:rsidRPr="003E74CA" w:rsidRDefault="007B016B" w:rsidP="0015059F">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sz w:val="24"/>
        </w:rPr>
      </w:pPr>
      <w:r w:rsidRPr="003E74CA">
        <w:rPr>
          <w:rFonts w:ascii="Arial" w:hAnsi="Arial" w:cs="Arial"/>
          <w:b/>
          <w:sz w:val="24"/>
        </w:rPr>
        <w:t xml:space="preserve">Doc. </w:t>
      </w:r>
      <w:r w:rsidR="003E74CA" w:rsidRPr="003E74CA">
        <w:rPr>
          <w:rFonts w:ascii="Arial" w:hAnsi="Arial" w:cs="Arial"/>
          <w:b/>
          <w:sz w:val="24"/>
        </w:rPr>
        <w:t>3</w:t>
      </w:r>
      <w:r w:rsidRPr="003E74CA">
        <w:rPr>
          <w:rFonts w:ascii="Arial" w:hAnsi="Arial" w:cs="Arial"/>
          <w:sz w:val="24"/>
        </w:rPr>
        <w:t xml:space="preserve">: "Es sólo en mi persona donde reside el poder soberano, cuyo carácter propio es el espíritu de consejo, de justicia y de razón; es a mí a quien deben mis cortesanos su existencia y su autoridad; la plenitud de su autoridad que ellos no ejercen más que en mi nombre reside siempre en mí y no puede volverse nunca contra mí; sólo a mí pertenece el poder legislativo sin dependencia y sin división; es por mi autoridad que los oficiales de mi Corte proceden no a la formación, sino al registro, a la publicación y a la ejecución de la ley; el orden público emana de mí, y los derechos y los intereses de la Nación, de los que se suele hacer un cuerpo </w:t>
      </w:r>
      <w:r w:rsidRPr="003E74CA">
        <w:rPr>
          <w:rFonts w:ascii="Arial" w:hAnsi="Arial" w:cs="Arial"/>
          <w:sz w:val="24"/>
        </w:rPr>
        <w:lastRenderedPageBreak/>
        <w:t>separado del Monarca, están unidos necesariamente al mío y no descansan más que en mis manos."</w:t>
      </w:r>
    </w:p>
    <w:p w:rsidR="0044434B" w:rsidRPr="003E74CA" w:rsidRDefault="007B016B" w:rsidP="0015059F">
      <w:pPr>
        <w:pBdr>
          <w:top w:val="single" w:sz="4" w:space="1" w:color="auto"/>
          <w:left w:val="single" w:sz="4" w:space="4" w:color="auto"/>
          <w:bottom w:val="single" w:sz="4" w:space="1" w:color="auto"/>
          <w:right w:val="single" w:sz="4" w:space="4" w:color="auto"/>
        </w:pBdr>
        <w:jc w:val="right"/>
        <w:rPr>
          <w:rFonts w:ascii="Arial" w:hAnsi="Arial" w:cs="Arial"/>
          <w:sz w:val="24"/>
        </w:rPr>
      </w:pPr>
      <w:r w:rsidRPr="003E74CA">
        <w:rPr>
          <w:rFonts w:ascii="Arial" w:hAnsi="Arial" w:cs="Arial"/>
          <w:sz w:val="24"/>
        </w:rPr>
        <w:t>Discurso de Luis XV al Parlamento de París el 3 de marzo de 1766</w:t>
      </w:r>
    </w:p>
    <w:p w:rsidR="007B016B" w:rsidRPr="003E74CA" w:rsidRDefault="007B016B" w:rsidP="007B016B">
      <w:pPr>
        <w:rPr>
          <w:rFonts w:ascii="Arial" w:hAnsi="Arial" w:cs="Arial"/>
          <w:sz w:val="24"/>
        </w:rPr>
      </w:pPr>
    </w:p>
    <w:p w:rsidR="007B016B" w:rsidRPr="003E74CA" w:rsidRDefault="003E74CA" w:rsidP="007B016B">
      <w:pPr>
        <w:pBdr>
          <w:top w:val="single" w:sz="4" w:space="1" w:color="auto"/>
          <w:left w:val="single" w:sz="4" w:space="4" w:color="auto"/>
          <w:bottom w:val="single" w:sz="4" w:space="1" w:color="auto"/>
          <w:right w:val="single" w:sz="4" w:space="4" w:color="auto"/>
        </w:pBdr>
        <w:spacing w:before="120" w:after="0" w:line="22" w:lineRule="atLeast"/>
        <w:jc w:val="both"/>
        <w:rPr>
          <w:rFonts w:ascii="Arial" w:hAnsi="Arial" w:cs="Arial"/>
          <w:b/>
          <w:sz w:val="24"/>
          <w:shd w:val="clear" w:color="auto" w:fill="FFFFFF" w:themeFill="background1"/>
        </w:rPr>
      </w:pPr>
      <w:r w:rsidRPr="003E74CA">
        <w:rPr>
          <w:rFonts w:ascii="Arial" w:hAnsi="Arial" w:cs="Arial"/>
          <w:b/>
          <w:sz w:val="24"/>
          <w:shd w:val="clear" w:color="auto" w:fill="FFFFFF" w:themeFill="background1"/>
        </w:rPr>
        <w:t xml:space="preserve">Doc. 4: </w:t>
      </w:r>
      <w:r w:rsidR="007B016B" w:rsidRPr="003E74CA">
        <w:rPr>
          <w:rFonts w:ascii="Arial" w:hAnsi="Arial" w:cs="Arial"/>
          <w:sz w:val="24"/>
          <w:shd w:val="clear" w:color="auto" w:fill="FFFFFF" w:themeFill="background1"/>
        </w:rPr>
        <w:t>La condición humana del hombre [...] es una condición de guerra de todos contra todos, en la cual cada uno esté gobernado por su propia razón, no existiendo nada, de lo que pueda hacer uso, que no le sirva de instrumento para proteger su vida contra sus enemigos. De aquí se sigue que, en semejante condición, cada hombre tiene derecho a hacer cualquier cosa, incluso en el cuerpo de los demás. Y, por consiguiente, mientras persiste ese derecho natural de cada uno con respecto de todas las cosas, no puede haber seguridad para nadie (por fuerte o sabio que sea) de existir durante todo el tiempo que ordinariamente la Naturaleza permite vivir a los hombres. De aquí resulta un precepto o regla general de la razón, en virtud de la cual, cada hombre debe esforzarse por la paz, mientras tiene la esperanza de lograrla; y cuando no puede obtenerla, debe buscar y utilizar todas las ayudas y ventajas de la guerra. La primera fase de esta regla contiene la ley primera y fundamental de naturaleza, a saber: buscar la paz y seguirla. La segunda, la suma del derecho de naturaleza, es decir: defendernos a nosotros mismos, por todos los medios posibles”.</w:t>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t xml:space="preserve">      </w:t>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r>
      <w:r w:rsidR="007B016B" w:rsidRPr="003E74CA">
        <w:rPr>
          <w:rFonts w:ascii="Arial" w:hAnsi="Arial" w:cs="Arial"/>
          <w:sz w:val="24"/>
          <w:shd w:val="clear" w:color="auto" w:fill="FFFFFF" w:themeFill="background1"/>
        </w:rPr>
        <w:tab/>
        <w:t xml:space="preserve">T. Hobbes, </w:t>
      </w:r>
      <w:r w:rsidR="007B016B" w:rsidRPr="003E74CA">
        <w:rPr>
          <w:rFonts w:ascii="Arial" w:hAnsi="Arial" w:cs="Arial"/>
          <w:i/>
          <w:sz w:val="24"/>
          <w:shd w:val="clear" w:color="auto" w:fill="FFFFFF" w:themeFill="background1"/>
        </w:rPr>
        <w:t>Leviatán</w:t>
      </w:r>
      <w:r w:rsidR="007B016B" w:rsidRPr="003E74CA">
        <w:rPr>
          <w:rFonts w:ascii="Arial" w:hAnsi="Arial" w:cs="Arial"/>
          <w:sz w:val="24"/>
          <w:shd w:val="clear" w:color="auto" w:fill="FFFFFF" w:themeFill="background1"/>
        </w:rPr>
        <w:t>, 1651</w:t>
      </w:r>
      <w:r w:rsidR="007B016B" w:rsidRPr="003E74CA">
        <w:rPr>
          <w:rFonts w:ascii="Arial" w:hAnsi="Arial" w:cs="Arial"/>
          <w:sz w:val="24"/>
        </w:rPr>
        <w:t xml:space="preserve">. </w:t>
      </w:r>
    </w:p>
    <w:p w:rsidR="007B016B" w:rsidRPr="003E74CA" w:rsidRDefault="007B016B" w:rsidP="007B016B">
      <w:pPr>
        <w:spacing w:before="120" w:after="0" w:line="22" w:lineRule="atLeast"/>
        <w:jc w:val="both"/>
        <w:rPr>
          <w:rFonts w:ascii="Arial" w:hAnsi="Arial" w:cs="Arial"/>
          <w:sz w:val="24"/>
        </w:rPr>
      </w:pPr>
    </w:p>
    <w:p w:rsidR="007B016B" w:rsidRPr="003E74CA" w:rsidRDefault="003E74CA" w:rsidP="003E74CA">
      <w:pPr>
        <w:pBdr>
          <w:top w:val="single" w:sz="4" w:space="1" w:color="auto"/>
          <w:left w:val="single" w:sz="4" w:space="1" w:color="auto"/>
          <w:bottom w:val="single" w:sz="4" w:space="1" w:color="auto"/>
          <w:right w:val="single" w:sz="4" w:space="1" w:color="auto"/>
        </w:pBdr>
        <w:spacing w:before="120" w:after="0" w:line="22" w:lineRule="atLeast"/>
        <w:jc w:val="both"/>
        <w:rPr>
          <w:rFonts w:ascii="Arial" w:hAnsi="Arial" w:cs="Arial"/>
          <w:sz w:val="24"/>
        </w:rPr>
      </w:pPr>
      <w:r w:rsidRPr="003E74CA">
        <w:rPr>
          <w:rFonts w:ascii="Arial" w:hAnsi="Arial" w:cs="Arial"/>
          <w:b/>
          <w:sz w:val="24"/>
        </w:rPr>
        <w:t xml:space="preserve">Doc. 5: </w:t>
      </w:r>
      <w:r w:rsidR="007B016B" w:rsidRPr="003E74CA">
        <w:rPr>
          <w:rFonts w:ascii="Arial" w:hAnsi="Arial" w:cs="Arial"/>
          <w:sz w:val="24"/>
        </w:rPr>
        <w:t>“En su consecuencia, siempre que cierto número de hombres se unen en sociedad renunciando cada uno de ellos al poder de ejecutar la ley natural, cediéndolo a la comunidad, entonces y sólo entonces se constituye una sociedad política o civil. Este hecho se produce siempre que cierto número de hombres que vivían en el estado de naturaleza se asocian para formar un pueblo, un cuerpo político, sometido a un gobierno supremo, o cuando alguien se adhiere y se incorpora a cualquier gobierno ya constituido (…).</w:t>
      </w:r>
    </w:p>
    <w:p w:rsidR="007B016B" w:rsidRPr="003E74CA" w:rsidRDefault="007B016B" w:rsidP="003E74CA">
      <w:pPr>
        <w:pBdr>
          <w:top w:val="single" w:sz="4" w:space="1" w:color="auto"/>
          <w:left w:val="single" w:sz="4" w:space="1" w:color="auto"/>
          <w:bottom w:val="single" w:sz="4" w:space="1" w:color="auto"/>
          <w:right w:val="single" w:sz="4" w:space="1" w:color="auto"/>
        </w:pBdr>
        <w:spacing w:before="120" w:after="0" w:line="22" w:lineRule="atLeast"/>
        <w:jc w:val="both"/>
        <w:rPr>
          <w:rFonts w:ascii="Arial" w:hAnsi="Arial" w:cs="Arial"/>
          <w:sz w:val="24"/>
        </w:rPr>
      </w:pPr>
      <w:r w:rsidRPr="003E74CA">
        <w:rPr>
          <w:rFonts w:ascii="Arial" w:hAnsi="Arial" w:cs="Arial"/>
          <w:sz w:val="24"/>
        </w:rPr>
        <w:t xml:space="preserve">Resulta, pues, evidente que la monarquía absoluta, a la que ciertas personas consideran como el único gobierno del mundo, es en realidad incompatible con la sociedad civil, y por ello no puede ni siquiera constituirse como una forma de poder civil. La finalidad de la sociedad civil es evitar y remediar los inconvenientes del estado de naturaleza, que se producen forzosamente cuando cada hombre es juez de su propio caso (...). Allí donde existen personas que no disponen de esa autoridad a quien recurrir para que decida en el acto las diferencias que surgen entre ellas, esas personas siguen viviendo en un estado de naturaleza. Y esa situación se encuentran, frente a frente, el rey absoluto y todos aquellos que están sometidos a su régimen. </w:t>
      </w:r>
    </w:p>
    <w:p w:rsidR="007B016B" w:rsidRPr="003E74CA" w:rsidRDefault="007B016B" w:rsidP="003E74CA">
      <w:pPr>
        <w:pBdr>
          <w:top w:val="single" w:sz="4" w:space="1" w:color="auto"/>
          <w:left w:val="single" w:sz="4" w:space="1" w:color="auto"/>
          <w:bottom w:val="single" w:sz="4" w:space="1" w:color="auto"/>
          <w:right w:val="single" w:sz="4" w:space="1" w:color="auto"/>
        </w:pBdr>
        <w:jc w:val="both"/>
      </w:pPr>
      <w:r w:rsidRPr="003E74CA">
        <w:rPr>
          <w:rFonts w:ascii="Arial" w:hAnsi="Arial" w:cs="Arial"/>
          <w:sz w:val="24"/>
        </w:rPr>
        <w:t xml:space="preserve">Al partirse del supuesto de que ese príncipe absoluto reúne en sí mismo el poder legislativo y el poder ejecutivo sin participación de nadie, no existe juez ni manera de apelar a nadie capaz de decidir con justicia e imparcialidad, y con autoridad para sentenciar, o que pueda remediar o compensar cualquier atropello o daño que ese príncipe haya causado, por sí mismo, o por orden suya. Ese hombre, lleve el título que lleve, zar, gran señor o el que sea, se encuentra en estado de naturaleza con sus súbditos como con el resto del género humano (…)”. </w:t>
      </w:r>
      <w:r w:rsidRPr="003E74CA">
        <w:rPr>
          <w:rFonts w:ascii="Arial" w:hAnsi="Arial" w:cs="Arial"/>
          <w:sz w:val="24"/>
        </w:rPr>
        <w:tab/>
      </w:r>
      <w:r w:rsidRPr="003E74CA">
        <w:rPr>
          <w:rFonts w:ascii="Arial" w:hAnsi="Arial" w:cs="Arial"/>
          <w:sz w:val="24"/>
        </w:rPr>
        <w:tab/>
      </w:r>
      <w:r w:rsidRPr="003E74CA">
        <w:rPr>
          <w:rFonts w:ascii="Arial" w:hAnsi="Arial" w:cs="Arial"/>
          <w:sz w:val="24"/>
        </w:rPr>
        <w:tab/>
        <w:t xml:space="preserve">    </w:t>
      </w:r>
      <w:r w:rsidRPr="003E74CA">
        <w:rPr>
          <w:rFonts w:ascii="Arial" w:hAnsi="Arial" w:cs="Arial"/>
          <w:sz w:val="24"/>
        </w:rPr>
        <w:tab/>
      </w:r>
      <w:r w:rsidR="003E74CA" w:rsidRPr="003E74CA">
        <w:rPr>
          <w:rFonts w:ascii="Arial" w:hAnsi="Arial" w:cs="Arial"/>
          <w:sz w:val="24"/>
        </w:rPr>
        <w:tab/>
      </w:r>
      <w:r w:rsidR="003E74CA" w:rsidRPr="003E74CA">
        <w:rPr>
          <w:rFonts w:ascii="Arial" w:hAnsi="Arial" w:cs="Arial"/>
          <w:sz w:val="24"/>
        </w:rPr>
        <w:tab/>
      </w:r>
      <w:r w:rsidRPr="003E74CA">
        <w:rPr>
          <w:rFonts w:ascii="Arial" w:hAnsi="Arial" w:cs="Arial"/>
          <w:sz w:val="24"/>
        </w:rPr>
        <w:t xml:space="preserve">J. Locke. </w:t>
      </w:r>
      <w:r w:rsidRPr="003E74CA">
        <w:rPr>
          <w:rFonts w:ascii="Arial" w:hAnsi="Arial" w:cs="Arial"/>
          <w:i/>
          <w:sz w:val="24"/>
        </w:rPr>
        <w:t>Dos tratados sobre el gobierno civil,</w:t>
      </w:r>
      <w:r w:rsidRPr="003E74CA">
        <w:rPr>
          <w:rFonts w:ascii="Arial" w:hAnsi="Arial" w:cs="Arial"/>
          <w:sz w:val="24"/>
        </w:rPr>
        <w:t xml:space="preserve"> 1690.</w:t>
      </w:r>
    </w:p>
    <w:sectPr w:rsidR="007B016B" w:rsidRPr="003E74CA" w:rsidSect="003E74CA">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B"/>
    <w:rsid w:val="0015059F"/>
    <w:rsid w:val="00375CA7"/>
    <w:rsid w:val="003E74CA"/>
    <w:rsid w:val="0044434B"/>
    <w:rsid w:val="007B016B"/>
    <w:rsid w:val="00B40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967BF-825C-491A-B272-2767A21D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S"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6B"/>
    <w:pPr>
      <w:spacing w:before="0" w:after="160" w:line="259" w:lineRule="auto"/>
      <w:jc w:val="left"/>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2020-10-17T17:31:00Z</dcterms:created>
  <dcterms:modified xsi:type="dcterms:W3CDTF">2020-10-17T17:31:00Z</dcterms:modified>
</cp:coreProperties>
</file>