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b w:val="1"/>
          <w:color w:val="1b1c1d"/>
          <w:sz w:val="26"/>
          <w:szCs w:val="26"/>
        </w:rPr>
      </w:pPr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Teorías políticas: Clásica e Moderna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As teorías políticas clásicas (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Platón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Aristóteles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, así como o mundo medieval) partían da base de que os seres humanos son sociais por natureza (</w:t>
      </w:r>
      <w:r w:rsidDel="00000000" w:rsidR="00000000" w:rsidRPr="00000000">
        <w:rPr>
          <w:b w:val="1"/>
          <w:i w:val="1"/>
          <w:color w:val="1b1c1d"/>
          <w:sz w:val="24"/>
          <w:szCs w:val="24"/>
          <w:rtl w:val="0"/>
        </w:rPr>
        <w:t xml:space="preserve">Zoon politikón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), polo que non teñen outra opción que vivir en sociedade. Un individuo fóra da sociedade non sobreviviría ou, de facelo, non sería xa un ser humano ao non poder adquirir o que nos define como tales; sería entón, como afirmaba tamén Aristóteles, un animal salvaxe ou un Deus. É a sociedade, polo tanto, a que nos fai humanos; sen ela non existiriamos ou, máis ben, non adquiririamos as características que nos fan humanos.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Entendemos así a idea grega de que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a sociedade é anterior ao individuo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, xa que sen ela sería imposible a formación do individuo humano. Aristóteles empregaba o argumento da linguaxe para defender o carácter natural da sociabilidade humana: a linguaxe só ten sentido para vivir en sociedade, polo que a súa existencia é unha proba da nosa sociabilidade natural.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Na época moderna, en cambio, no contexto das recentes monarquías absolutistas e das guerras de relixión, xorden novas teorías políticas que postulan xusto o contrario, isto é, a existencia do individuo e da condición humana como algo anterior á existencia da sociedade e dos gobernos. Tomando isto como premisa, estas teorías explican a orixe da sociedade recorrendo a dous conceptos teóricos novos: o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estado de natureza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e o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contrato social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. O primeiro fai referencia a un hipotético estado no que se atoparían os seres humanos antes de vivir en sociedade. Consistiría nunha situación de absoluta liberdade en ausencia de leis. De xeito que o paso do estado de natureza á vida en sociedade baixo a tutela dun Estado sería froito dun pacto entre os individuos no que acordaron libremente establecer unha única autoridade común a todos. Entón, os individuos viven en sociedade porque renunciaron a parte da súa liberdade natural para transferir o dereito de autoridade a un individuo ou grupo de individuos. Vemos que estas teorías diferéncianse das clásicas nun punto esencial. </w:t>
      </w:r>
      <w:r w:rsidDel="00000000" w:rsidR="00000000" w:rsidRPr="00000000">
        <w:rPr>
          <w:color w:val="1b1c1d"/>
          <w:sz w:val="24"/>
          <w:szCs w:val="24"/>
          <w:u w:val="single"/>
          <w:rtl w:val="0"/>
        </w:rPr>
        <w:t xml:space="preserve">Se para os antigos a vida en sociedade é produto dunha tendencia natural e, polo tanto, inevitable, para os modernos vivimos voluntariamente en sociedade porque así o acordamos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(contrato social). En consecuencia, a forma de organización política adoptada terá que axustarse aos termos do acordado.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both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Basicamente, na modernidade contempláronse dous modelos políticos opostos, froito tamén de dúas maneiras diferentes de entender os dous conceptos mencionados. Por un lado estaría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Thomas Hobbes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(1588-1679), que tratou de lexitimar a Monarquía absolutista e, por outro,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John Locke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(1632-1704), que na súa obra </w:t>
      </w:r>
      <w:r w:rsidDel="00000000" w:rsidR="00000000" w:rsidRPr="00000000">
        <w:rPr>
          <w:i w:val="1"/>
          <w:color w:val="1b1c1d"/>
          <w:sz w:val="24"/>
          <w:szCs w:val="24"/>
          <w:rtl w:val="0"/>
        </w:rPr>
        <w:t xml:space="preserve">Tratados sobre o goberno civil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vai propoñer un modelo de tipo democrático que actuará como expresión teórica do Estado liberal burgués.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