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Kant (texto 2) 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Crítica da Razón Pura (1787)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De que o noso coñecemento comeza coa experiencia, diso non hai dúbida; pois, por que outro medio ía espertar a facultade de coñecer para o seu exercicio como non fose polos obxectos que tocan os nosos sentidos, que por unha banda provocan por si mesmos representacións e, por outra, poñen en movemento a nosa actividade intelectiva para comparalas, ligalas ou separalas, transformando deste xeito a materia bruta das impresións sensibles en coñecemento dos obxectos que chamamos experiencia? Non hai, pois, na orde do tempo, ningún coñecemento que preceda en nós á experiencia e con ela comeza todo coñecemento. Mais, aínda cando todo o noso coñecemento empece coa experiencia, non por iso todo el procede exactamente da experiencia. Pois ben podería ser que mesmo o noso coñecemento empírico fose un composto do que recibimos a través das impresións e do que a nosa propia facultade cognoscitiva (apenas estimulada polas impresións sensibles) produce por si mesma, engadido este que nós non poderemos distinguir daquela materia prima antes de que un longo exercicio chame a nosa atención sobre iso e nos faga hábiles para levar a cabo a súa separación. Hai, pois, cando menos, unha cuestión necesitada dunha máis minuciosa investigación e que non se pode despachar cunha primeira ollada: a de se hai semellante coñecemento, independente da experiencia e ata de todas as impresións dos sentidos. Tal coñecemento denomínase a priori e distínguese do empírico, o cal ten as súas fontes a posteriori, é dicir, na experiencia. </w:t>
      </w:r>
    </w:p>
    <w:p w:rsidR="00000000" w:rsidDel="00000000" w:rsidP="00000000" w:rsidRDefault="00000000" w:rsidRPr="00000000" w14:paraId="00000005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KANT, Crítica da razón pura (1787). Introdución (I. Da distinción do coñecemento puro e empírico).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Todo coñecemento comeza coa experiencia (Kant acepta a afirmación dos empiristas), pero non por iso se orixina todo el na experiencia. Esta frase pon de manifesto o plantexamento peculiar de Kant acerca do coñecemento: a síntese entre racionalismo e empirismo.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coñecemento comeza coa experiencia, isto é, coas impresións sensibles, as cales constitúen a materia do coñecemento. Agora ben, non por iso o coñecemento procede todo el da experiencia, pois as impresións, no momento mesmo no que as recibe o suxeito, son informadas pola súa propia facultade cognoscitiva. De maneira que o coñecemento resulta da composición de dous elementos: un, que procede de fóra de nós, que é o dato empírico ou elemento a posteriori; e outro, que é proporcionado pola nosa facultade de coñecer, con ocasión das impresións sensibles, e que é o elemento a priori. Ambos os elementos só son discernibles mediante a reflexión.</w:t>
        <w:br w:type="textWrapping"/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plantexamento ten importantes consecuencias e responde a inquietudes profundas, que teñen como marco de referencia as conclusións ás que chegara Hume: Hume afirmaba que a única fonte de coñecemento dos feitos é a experiencia, sen embargo, a experiencia é incapaz de fundar necesidade, de maneira que o noso coñecemento de feitos é só probable.</w:t>
        <w:br w:type="textWrapping"/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Kant está de acordo co empirismo en que o punto de partida do coñecemento son as impresións sensibles e en que estas, por si soas, non poden fundamentar nada con carácter necesario e universal. Agora ben, non está de acordo coa conclusión do valor meramente probable do coñecemento (a física de Newton é o mellor exemplo da existencia de ciencias, é dicir, coñecementos universais e necesarios).</w:t>
        <w:br w:type="textWrapping"/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solución kantiana é que a necesidade e universalidade do coñecemento non proceden do seu compoñente empírico, senón do seu compoñente a priori, é dicir, da propia facultade de coñecer do suxeito.</w:t>
        <w:br w:type="textWrapping"/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É moi importante ter en conta que 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non significa, para Kant, innato, os elementos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do coñecemento non son ideas innatas, é dicir, ideas que posúa o suxeito antes de toda experiencia. 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é independente da experiencia, en tanto que non é derivado dela, pero aparece só con ocasión da experiencia.</w:t>
        <w:br w:type="textWrapping"/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identificación deses elementos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do coñecemento é o que Kant leva a cabo na súa </w:t>
      </w:r>
      <w:r w:rsidDel="00000000" w:rsidR="00000000" w:rsidRPr="00000000">
        <w:rPr>
          <w:i w:val="1"/>
          <w:rtl w:val="0"/>
        </w:rPr>
        <w:t xml:space="preserve">Crítica da razón pura</w:t>
      </w:r>
      <w:r w:rsidDel="00000000" w:rsidR="00000000" w:rsidRPr="00000000">
        <w:rPr>
          <w:rtl w:val="0"/>
        </w:rPr>
        <w:t xml:space="preserve">. Esa investigación é importante porque nese elementos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se fundamenta o valor necesario e universal do coñecemento. Tal investigación recibe o nome de “trascendental”, termo central en toda a filosofía crítica de Kant, en canto investigación das condicións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-puras- que fan posible a ciencia como coñecemento universal e necesario.</w:t>
        <w:br w:type="textWrapping"/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caracterización do coñecemento como composto dun elemento empírico e outro elemento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satisface os dous requisitos que Kant esixe para o coñecemento científico: ampliar o noso coñecemento da realidade (elemento empírico) e ser universal e necesario (elemento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). Por iso os enunciados da ciencia son xuízos sintéticos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(na actualidade a súa existencia é negada polos lógicos, empiristas e positivistas)."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KANT (texto 3) </w:t>
      </w:r>
    </w:p>
    <w:p w:rsidR="00000000" w:rsidDel="00000000" w:rsidP="00000000" w:rsidRDefault="00000000" w:rsidRPr="00000000" w14:paraId="0000002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Crítica da razón pura (1787)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Se chamamos sensibilidade á receptividade do noso ánimo (psique), para captar representacións en canto sexa dalgún xeito afectado, en contrapartida, a facultade de producir por nós mesmos representacións, a espontaneidade do coñecemento, será entendemento. Á nosa natureza pertence que a intuición nunca poida ser máis ca sensible, é dicir, contén unicamente o modo como somos afectados polos obxectos. Pola contra, a facultade de pensar o obxecto da intuición sensible é o entendemento. Ningunha destas propiedades prevalece sobre a outra. Sen sensibilidade ningún obxecto nos sería dado, e sen entendemento ningún podería ser pensado. Pensamentos sen contido son baldeiros, intuicións sen conceptos son cegas. Por iso tan necesario é facer os seus conceptos sensibles (é dicir, agregarlle o seu obxecto na intuición) como facer comprensibles as súas intuicións (é dicir, sometelas a conceptos). Ambas as dúas facultades ou capacidades non poden tampouco permutar as súas funcións. O entendemento non pode intuír nada e os sentidos non poden pensar nada. Unicamente na súa reunión pode orixinarse o coñecemento. Non por iso, non obstante, podemos mesturar a súa participación, senón que hai serios motivos para separaralos coidadosamente e distinguilos entre si. Por iso distinguimos a ciencia das regras da sensibilidade en xeral, é dicir, a estética, da ciencia das regras do entendemento en xeral, é dicir, a lóxica.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i w:val="1"/>
          <w:rtl w:val="0"/>
        </w:rPr>
        <w:t xml:space="preserve">KANT; Crítica da razón pura, (A51/B75-A52/B76) I. (Doutrina trascendental dos elementos), 2ª parte (A lóxica trascendental).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Antes de nada é necesario aclarar o significado xeral dos termos “estética” e “sensibilidade”. “Estética” vén do grego “aisthesis”, que significa sensación. O termo “sensibilidade” designa a capacidade de recibir sensacións, capacidade de ser afectado o suxeito polas realidades externas.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Todo coñecemento de obxectos supón a sensibilidade como paso previo, pois só a través desta o noso coñecemento se relaciona de modo inmediato coa realidade exterior.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 sensacións son, pois, o efecto en nós, na nosa sensibilidade, dos obxectos. Polo tanto, as sensacións son </w:t>
      </w:r>
      <w:r w:rsidDel="00000000" w:rsidR="00000000" w:rsidRPr="00000000">
        <w:rPr>
          <w:i w:val="1"/>
          <w:rtl w:val="0"/>
        </w:rPr>
        <w:t xml:space="preserve">a posteriori</w:t>
      </w:r>
      <w:r w:rsidDel="00000000" w:rsidR="00000000" w:rsidRPr="00000000">
        <w:rPr>
          <w:rtl w:val="0"/>
        </w:rPr>
        <w:t xml:space="preserve"> e constitúen, segundo Kant, a materia do coñecer ao nivel da sensibilidade. Agora ben, nós non recibimos as sensacións en bruto, senón ordenadas en certas relacións. O que fai que as sensacións aparezan ordenadas en certas relacións é a forma, que non é dada </w:t>
      </w:r>
      <w:r w:rsidDel="00000000" w:rsidR="00000000" w:rsidRPr="00000000">
        <w:rPr>
          <w:i w:val="1"/>
          <w:rtl w:val="0"/>
        </w:rPr>
        <w:t xml:space="preserve">a posteriori</w:t>
      </w:r>
      <w:r w:rsidDel="00000000" w:rsidR="00000000" w:rsidRPr="00000000">
        <w:rPr>
          <w:rtl w:val="0"/>
        </w:rPr>
        <w:t xml:space="preserve">, senón que está xa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no espírito, como forma da sensibilidade (Kant chama tamén </w:t>
      </w:r>
      <w:r w:rsidDel="00000000" w:rsidR="00000000" w:rsidRPr="00000000">
        <w:rPr>
          <w:i w:val="1"/>
          <w:rtl w:val="0"/>
        </w:rPr>
        <w:t xml:space="preserve">intuición pura</w:t>
      </w:r>
      <w:r w:rsidDel="00000000" w:rsidR="00000000" w:rsidRPr="00000000">
        <w:rPr>
          <w:rtl w:val="0"/>
        </w:rPr>
        <w:t xml:space="preserve"> á pura forma da sensibilidade mentres que o que chama </w:t>
      </w:r>
      <w:r w:rsidDel="00000000" w:rsidR="00000000" w:rsidRPr="00000000">
        <w:rPr>
          <w:i w:val="1"/>
          <w:rtl w:val="0"/>
        </w:rPr>
        <w:t xml:space="preserve">intuición empírica</w:t>
      </w:r>
      <w:r w:rsidDel="00000000" w:rsidR="00000000" w:rsidRPr="00000000">
        <w:rPr>
          <w:rtl w:val="0"/>
        </w:rPr>
        <w:t xml:space="preserve"> fai referencia ás sensacións).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i w:val="1"/>
          <w:rtl w:val="0"/>
        </w:rPr>
        <w:t xml:space="preserve">Estética Trascendental</w:t>
      </w:r>
      <w:r w:rsidDel="00000000" w:rsidR="00000000" w:rsidRPr="00000000">
        <w:rPr>
          <w:rtl w:val="0"/>
        </w:rPr>
        <w:t xml:space="preserve"> é a ciencia dos principios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ou formas puras da sensibilidade. As formas puras ou principios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da sensibilidade son o espazo e o tempo.</w:t>
        <w:br w:type="textWrapping"/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que Kant quere dicir é que nós non percibimos as cousas sensibles senón ordenadas en certas relacións espazo-temporais (non podemos percibir nada fóra dun espazo e un tempo), polo tanto, espazo e tempo son as condicións de posibilidade de toda experiencia. As formas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da sensibilidade proceden, pois, non das cousas, senón da forma de coñecer do suxeito.</w:t>
        <w:br w:type="textWrapping"/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Ás sensacións ordenadas no espazo e no tempo, primeira síntese conseguida a nivel da sensibilidade, chámalle Kant: “fenómeno”, aquilo que aparece, a realidade sensible organizada espacial e temporalmente.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Pois ben, o entendemento vai operar sobre esta primeira síntese. O fenómeno é a materia para os conceptos do entendemento (que son 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, o posto polo suxeito). O entendemento, como a sensibilidade, tamén ten as súas propias lexislacións: os conceptos puros ou categorías, que permiten pensar ou coñecer os fenómenos.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Mentres que o percibir é a función propia da sensibilidade, o comprender é a función propia do entendemento. O entendemento é, pois, a facultade de pensar o obxecto dado na </w:t>
      </w:r>
      <w:r w:rsidDel="00000000" w:rsidR="00000000" w:rsidRPr="00000000">
        <w:rPr>
          <w:i w:val="1"/>
          <w:rtl w:val="0"/>
        </w:rPr>
        <w:t xml:space="preserve">intuición empírica</w:t>
      </w:r>
      <w:r w:rsidDel="00000000" w:rsidR="00000000" w:rsidRPr="00000000">
        <w:rPr>
          <w:rtl w:val="0"/>
        </w:rPr>
        <w:t xml:space="preserve">, é dicir, pensar o fenómeno. E como pensar é o mesmo que xulgar, o entendemento tamén pode ser definido como a facultade de xulgar ou facultade dos xuízos.</w:t>
        <w:br w:type="textWrapping"/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 conceptos puros ou categorías, posto que son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, non proceden da experiencia, senón que o entendemento os produce espontaneamente. As categorías constitúen as estruturas ou leis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do pensamento, é dicir, que grazas a elas podemos pensar, construir xuízos acerca dos fenómenos. (Por exemplo, no xulgamento “o calor do sol funde a cera” ademais dos conceptos empíricos “calor”, “sol” ou “cera”, estabelécese un tipo de relación entre eles que está determinada polo entendemento dun modo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; esa relación é a causalidade, que non é propia dos fenómenos, senón que é “posta” polo suxeito cognoscente).</w:t>
        <w:br w:type="textWrapping"/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 categorías son, pois, condicións trascendentais do noso coñecemento dos fenómenos. O entendemento non pode pensar os fenómenos se non é aplicándolles estas categorías. É dicir, se o entendemento non pode desenvolver esa función unificadora dos fenómenos a través das categorías non teremos coñecemento senón simplemente impresións sensibles inconexas.</w:t>
        <w:br w:type="textWrapping"/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outra banda, así como as formas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da sensibilidade (espazo e tempo) están vacías e deben encherse coas impresións sensibles, tamén as categorías deben encherse cos datos procedentes da sensibilidade, é dicir, cos fenómenos: “as intuicións empíricas sen conceptos son cegas e os conceptos sen intuicións, vacíos”.</w:t>
        <w:br w:type="textWrapping"/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coñecemento resulta, pois, da cooperación entre sensibilidade e entendemento, e Kant insiste en que ambos son igualmente importantes: “sen sensibilidade non nos sería dado obxecto algúns; e, sen entendemento, ningún sería pensado”.</w:t>
        <w:br w:type="textWrapping"/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É necesario ter en conta que as categorías só son fonte de coñecemento aplicadas aos fenómenos. É dicir, que non poden aplicarse a o que está fóra da experiencia, non poden aplicarse ás “cosas en si” ou “nonúmenos” (que existen realmente pero permanecen sempre descoñecidos).</w:t>
        <w:br w:type="textWrapping"/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 a ciencia das regras ou lexislacións da sensibilidade é a </w:t>
      </w:r>
      <w:r w:rsidDel="00000000" w:rsidR="00000000" w:rsidRPr="00000000">
        <w:rPr>
          <w:i w:val="1"/>
          <w:rtl w:val="0"/>
        </w:rPr>
        <w:t xml:space="preserve">estética trascendental</w:t>
      </w:r>
      <w:r w:rsidDel="00000000" w:rsidR="00000000" w:rsidRPr="00000000">
        <w:rPr>
          <w:rtl w:val="0"/>
        </w:rPr>
        <w:t xml:space="preserve">, a ciencia das lexislacións do entendemento é, segundo Kant, a </w:t>
      </w:r>
      <w:r w:rsidDel="00000000" w:rsidR="00000000" w:rsidRPr="00000000">
        <w:rPr>
          <w:i w:val="1"/>
          <w:rtl w:val="0"/>
        </w:rPr>
        <w:t xml:space="preserve">lógica</w:t>
      </w:r>
      <w:r w:rsidDel="00000000" w:rsidR="00000000" w:rsidRPr="00000000">
        <w:rPr>
          <w:rtl w:val="0"/>
        </w:rPr>
        <w:t xml:space="preserve">. Pero a </w:t>
      </w:r>
      <w:r w:rsidDel="00000000" w:rsidR="00000000" w:rsidRPr="00000000">
        <w:rPr>
          <w:i w:val="1"/>
          <w:rtl w:val="0"/>
        </w:rPr>
        <w:t xml:space="preserve">lógica</w:t>
      </w:r>
      <w:r w:rsidDel="00000000" w:rsidR="00000000" w:rsidRPr="00000000">
        <w:rPr>
          <w:rtl w:val="0"/>
        </w:rPr>
        <w:t xml:space="preserve"> que lle interesa agora a Kant non é a </w:t>
      </w:r>
      <w:r w:rsidDel="00000000" w:rsidR="00000000" w:rsidRPr="00000000">
        <w:rPr>
          <w:i w:val="1"/>
          <w:rtl w:val="0"/>
        </w:rPr>
        <w:t xml:space="preserve">lógica formal</w:t>
      </w:r>
      <w:r w:rsidDel="00000000" w:rsidR="00000000" w:rsidRPr="00000000">
        <w:rPr>
          <w:rtl w:val="0"/>
        </w:rPr>
        <w:t xml:space="preserve">, senón a </w:t>
      </w:r>
      <w:r w:rsidDel="00000000" w:rsidR="00000000" w:rsidRPr="00000000">
        <w:rPr>
          <w:i w:val="1"/>
          <w:rtl w:val="0"/>
        </w:rPr>
        <w:t xml:space="preserve">lógica trascendental</w:t>
      </w:r>
      <w:r w:rsidDel="00000000" w:rsidR="00000000" w:rsidRPr="00000000">
        <w:rPr>
          <w:rtl w:val="0"/>
        </w:rPr>
        <w:t xml:space="preserve">. Mentres a primeira se ocupa dos principios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do coñecemento pero facendo abstracción de todo contido (así entendida, Kant pensa que a </w:t>
      </w:r>
      <w:r w:rsidDel="00000000" w:rsidR="00000000" w:rsidRPr="00000000">
        <w:rPr>
          <w:i w:val="1"/>
          <w:rtl w:val="0"/>
        </w:rPr>
        <w:t xml:space="preserve">lógica</w:t>
      </w:r>
      <w:r w:rsidDel="00000000" w:rsidR="00000000" w:rsidRPr="00000000">
        <w:rPr>
          <w:rtl w:val="0"/>
        </w:rPr>
        <w:t xml:space="preserve"> quedou definitivamente constituída como ciencia xa dende Aristóteles), a </w:t>
      </w:r>
      <w:r w:rsidDel="00000000" w:rsidR="00000000" w:rsidRPr="00000000">
        <w:rPr>
          <w:i w:val="1"/>
          <w:rtl w:val="0"/>
        </w:rPr>
        <w:t xml:space="preserve">lógica</w:t>
      </w:r>
      <w:r w:rsidDel="00000000" w:rsidR="00000000" w:rsidRPr="00000000">
        <w:rPr>
          <w:rtl w:val="0"/>
        </w:rPr>
        <w:t xml:space="preserve"> de que se ocupa Kant é a </w:t>
      </w:r>
      <w:r w:rsidDel="00000000" w:rsidR="00000000" w:rsidRPr="00000000">
        <w:rPr>
          <w:i w:val="1"/>
          <w:rtl w:val="0"/>
        </w:rPr>
        <w:t xml:space="preserve">lógica trascendental</w:t>
      </w:r>
      <w:r w:rsidDel="00000000" w:rsidR="00000000" w:rsidRPr="00000000">
        <w:rPr>
          <w:rtl w:val="0"/>
        </w:rPr>
        <w:t xml:space="preserve">, que tamén versa sobre os conceptos e principios </w:t>
      </w:r>
      <w:r w:rsidDel="00000000" w:rsidR="00000000" w:rsidRPr="00000000">
        <w:rPr>
          <w:b w:val="1"/>
          <w:rtl w:val="0"/>
        </w:rPr>
        <w:t xml:space="preserve">a priori</w:t>
      </w:r>
      <w:r w:rsidDel="00000000" w:rsidR="00000000" w:rsidRPr="00000000">
        <w:rPr>
          <w:rtl w:val="0"/>
        </w:rPr>
        <w:t xml:space="preserve"> do entendemento pero na súa referencia aos obxectos, é dicir, como condicións necesarias para pensar ou coñecer os obxectos.</w:t>
        <w:br w:type="textWrapping"/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Kant divide a </w:t>
      </w:r>
      <w:r w:rsidDel="00000000" w:rsidR="00000000" w:rsidRPr="00000000">
        <w:rPr>
          <w:i w:val="1"/>
          <w:rtl w:val="0"/>
        </w:rPr>
        <w:t xml:space="preserve">lógica trascendental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i w:val="1"/>
          <w:rtl w:val="0"/>
        </w:rPr>
        <w:t xml:space="preserve">analítica trascendental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i w:val="1"/>
          <w:rtl w:val="0"/>
        </w:rPr>
        <w:t xml:space="preserve">dialéctica trascendental</w:t>
      </w:r>
      <w:r w:rsidDel="00000000" w:rsidR="00000000" w:rsidRPr="00000000">
        <w:rPr>
          <w:rtl w:val="0"/>
        </w:rPr>
        <w:t xml:space="preserve">. A primeira (que chama tamén “lógica da verdade”) estuda o recto uso dos conceptos e principios do entendemento. A </w:t>
      </w:r>
      <w:r w:rsidDel="00000000" w:rsidR="00000000" w:rsidRPr="00000000">
        <w:rPr>
          <w:i w:val="1"/>
          <w:rtl w:val="0"/>
        </w:rPr>
        <w:t xml:space="preserve">dialéctica trascendental</w:t>
      </w:r>
      <w:r w:rsidDel="00000000" w:rsidR="00000000" w:rsidRPr="00000000">
        <w:rPr>
          <w:rtl w:val="0"/>
        </w:rPr>
        <w:t xml:space="preserve"> (que Kant chama tamén “lógica da aparencia”) estudia o uso ilexítimo ou abuso dos conceptos e principios do entendemento."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