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3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3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rFonts w:ascii="Atkinson Hyperlegible" w:cs="Atkinson Hyperlegible" w:eastAsia="Atkinson Hyperlegible" w:hAnsi="Atkinson Hyperlegible"/>
          <w:b w:val="1"/>
          <w:color w:val="80bde1"/>
          <w:sz w:val="40"/>
          <w:szCs w:val="40"/>
        </w:rPr>
      </w:pPr>
      <w:r w:rsidDel="00000000" w:rsidR="00000000" w:rsidRPr="00000000">
        <w:rPr>
          <w:rFonts w:ascii="Atkinson Hyperlegible" w:cs="Atkinson Hyperlegible" w:eastAsia="Atkinson Hyperlegible" w:hAnsi="Atkinson Hyperlegible"/>
          <w:b w:val="1"/>
          <w:color w:val="80bde1"/>
          <w:sz w:val="40"/>
          <w:szCs w:val="40"/>
          <w:rtl w:val="0"/>
        </w:rPr>
        <w:t xml:space="preserve">GLOSARIO</w:t>
      </w:r>
    </w:p>
    <w:p w:rsidR="00000000" w:rsidDel="00000000" w:rsidP="00000000" w:rsidRDefault="00000000" w:rsidRPr="00000000" w14:paraId="00000002">
      <w:pPr>
        <w:jc w:val="center"/>
        <w:rPr>
          <w:rFonts w:ascii="Atkinson Hyperlegible" w:cs="Atkinson Hyperlegible" w:eastAsia="Atkinson Hyperlegible" w:hAnsi="Atkinson Hyperlegible"/>
          <w:b w:val="1"/>
          <w:color w:val="355269"/>
          <w:sz w:val="10"/>
          <w:szCs w:val="10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0185.0" w:type="dxa"/>
        <w:jc w:val="center"/>
        <w:tblBorders>
          <w:top w:color="3465a4" w:space="0" w:sz="4" w:val="single"/>
          <w:bottom w:color="3465a4" w:space="0" w:sz="4" w:val="single"/>
          <w:insideH w:color="3465a4" w:space="0" w:sz="4" w:val="single"/>
        </w:tblBorders>
        <w:tblLayout w:type="fixed"/>
        <w:tblLook w:val="0000"/>
      </w:tblPr>
      <w:tblGrid>
        <w:gridCol w:w="390"/>
        <w:gridCol w:w="2280"/>
        <w:gridCol w:w="7515"/>
        <w:tblGridChange w:id="0">
          <w:tblGrid>
            <w:gridCol w:w="390"/>
            <w:gridCol w:w="2280"/>
            <w:gridCol w:w="7515"/>
          </w:tblGrid>
        </w:tblGridChange>
      </w:tblGrid>
      <w:tr>
        <w:trPr>
          <w:cantSplit w:val="1"/>
          <w:trHeight w:val="1185" w:hRule="atLeast"/>
          <w:tblHeader w:val="0"/>
        </w:trPr>
        <w:tc>
          <w:tcPr>
            <w:vMerge w:val="restart"/>
            <w:tcBorders>
              <w:top w:color="3465a4" w:space="0" w:sz="4" w:val="single"/>
              <w:bottom w:color="3465a4" w:space="0" w:sz="4" w:val="single"/>
            </w:tcBorders>
            <w:shd w:fill="dee7e5" w:val="clear"/>
            <w:vAlign w:val="center"/>
          </w:tcPr>
          <w:p w:rsidR="00000000" w:rsidDel="00000000" w:rsidP="00000000" w:rsidRDefault="00000000" w:rsidRPr="00000000" w14:paraId="00000003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A</w:t>
            </w:r>
          </w:p>
        </w:tc>
        <w:tc>
          <w:tcPr>
            <w:tcBorders>
              <w:top w:color="002a49" w:space="0" w:sz="4" w:val="single"/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04">
            <w:pPr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Arqueoloxía</w:t>
            </w:r>
          </w:p>
          <w:p w:rsidR="00000000" w:rsidDel="00000000" w:rsidP="00000000" w:rsidRDefault="00000000" w:rsidRPr="00000000" w14:paraId="00000005">
            <w:pPr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9900"/>
                <w:sz w:val="26"/>
                <w:szCs w:val="26"/>
              </w:rPr>
              <w:drawing>
                <wp:inline distB="114300" distT="114300" distL="114300" distR="114300">
                  <wp:extent cx="1256400" cy="941425"/>
                  <wp:effectExtent b="0" l="0" r="0" t="0"/>
                  <wp:docPr id="34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6400" cy="9414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2a49" w:space="0" w:sz="4" w:val="single"/>
              <w:bottom w:color="002a49" w:space="0" w:sz="4" w:val="single"/>
              <w:right w:color="000000" w:space="0" w:sz="0" w:val="nil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spacing w:after="114" w:before="114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</w:p>
          <w:p w:rsidR="00000000" w:rsidDel="00000000" w:rsidP="00000000" w:rsidRDefault="00000000" w:rsidRPr="00000000" w14:paraId="00000007">
            <w:pPr>
              <w:spacing w:after="114" w:before="114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Ciencia que reconstrúe o pasado da humanidade a través dos restos materiais (coma ósos, instrumentos ou tecidos) atopados e analizados nos xacementos arqueolóxicos. Fundamental para estudar a prehistoria, pero tamén a nosa historia máis recente. </w:t>
            </w:r>
          </w:p>
          <w:p w:rsidR="00000000" w:rsidDel="00000000" w:rsidP="00000000" w:rsidRDefault="00000000" w:rsidRPr="00000000" w14:paraId="00000008">
            <w:pPr>
              <w:spacing w:after="114" w:before="114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</w:t>
            </w:r>
          </w:p>
          <w:p w:rsidR="00000000" w:rsidDel="00000000" w:rsidP="00000000" w:rsidRDefault="00000000" w:rsidRPr="00000000" w14:paraId="00000009">
            <w:pPr>
              <w:spacing w:after="114" w:before="114" w:line="360" w:lineRule="auto"/>
              <w:rPr>
                <w:rFonts w:ascii="Atkinson Hyperlegible" w:cs="Atkinson Hyperlegible" w:eastAsia="Atkinson Hyperlegible" w:hAnsi="Atkinson Hyperlegible"/>
                <w:color w:val="002b4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E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1"/>
                <w:sz w:val="26"/>
                <w:szCs w:val="26"/>
                <w:rtl w:val="0"/>
              </w:rPr>
              <w:t xml:space="preserve">lba estudou Arqueoloxía na Universidade de Santiago.</w:t>
            </w:r>
          </w:p>
        </w:tc>
      </w:tr>
      <w:tr>
        <w:trPr>
          <w:cantSplit w:val="1"/>
          <w:trHeight w:val="3218" w:hRule="atLeast"/>
          <w:tblHeader w:val="0"/>
        </w:trPr>
        <w:tc>
          <w:tcPr>
            <w:vMerge w:val="continue"/>
            <w:tcBorders>
              <w:top w:color="3465a4" w:space="0" w:sz="4" w:val="single"/>
              <w:bottom w:color="3465a4" w:space="0" w:sz="4" w:val="single"/>
            </w:tcBorders>
            <w:shd w:fill="dee7e5" w:val="clear"/>
            <w:vAlign w:val="center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Arte Mobiliar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0C">
            <w:pPr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sz w:val="26"/>
                <w:szCs w:val="26"/>
                <w:shd w:fill="c9daf8" w:val="clear"/>
              </w:rPr>
              <w:drawing>
                <wp:inline distB="114300" distT="114300" distL="114300" distR="114300">
                  <wp:extent cx="1208250" cy="1080000"/>
                  <wp:effectExtent b="0" l="0" r="0" t="0"/>
                  <wp:docPr id="36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250" cy="108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</w:p>
          <w:p w:rsidR="00000000" w:rsidDel="00000000" w:rsidP="00000000" w:rsidRDefault="00000000" w:rsidRPr="00000000" w14:paraId="0000000E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002b42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2"/>
                <w:sz w:val="26"/>
                <w:szCs w:val="26"/>
                <w:highlight w:val="white"/>
                <w:rtl w:val="0"/>
              </w:rPr>
              <w:t xml:space="preserve">Manifestacións artísticas que se poden transportar, normalmente pequenas esculturas realizadas en óso, marfil e pedra.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F">
            <w:pPr>
              <w:spacing w:after="114" w:before="114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</w:t>
            </w:r>
          </w:p>
          <w:p w:rsidR="00000000" w:rsidDel="00000000" w:rsidP="00000000" w:rsidRDefault="00000000" w:rsidRPr="00000000" w14:paraId="00000010">
            <w:pPr>
              <w:spacing w:after="114" w:before="114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highlight w:val="white"/>
                <w:rtl w:val="0"/>
              </w:rPr>
              <w:t xml:space="preserve">As estatuíñas femininas do Paleolítico foron tradicionalmente chamadas “venus” paleolíticas.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1149" w:hRule="atLeast"/>
          <w:tblHeader w:val="0"/>
        </w:trPr>
        <w:tc>
          <w:tcPr>
            <w:vMerge w:val="continue"/>
            <w:tcBorders>
              <w:top w:color="3465a4" w:space="0" w:sz="4" w:val="single"/>
              <w:bottom w:color="3465a4" w:space="0" w:sz="4" w:val="single"/>
            </w:tcBorders>
            <w:shd w:fill="dee7e5" w:val="clear"/>
            <w:vAlign w:val="center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Arte Prehistórica</w:t>
            </w:r>
          </w:p>
          <w:p w:rsidR="00000000" w:rsidDel="00000000" w:rsidP="00000000" w:rsidRDefault="00000000" w:rsidRPr="00000000" w14:paraId="00000013">
            <w:pPr>
              <w:widowControl w:val="0"/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9900"/>
                <w:sz w:val="26"/>
                <w:szCs w:val="26"/>
              </w:rPr>
              <w:drawing>
                <wp:inline distB="114300" distT="114300" distL="114300" distR="114300">
                  <wp:extent cx="1202400" cy="901800"/>
                  <wp:effectExtent b="0" l="0" r="0" t="0"/>
                  <wp:docPr id="35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400" cy="90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14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</w:p>
          <w:p w:rsidR="00000000" w:rsidDel="00000000" w:rsidP="00000000" w:rsidRDefault="00000000" w:rsidRPr="00000000" w14:paraId="00000015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Conxunto de manifestacións humanas con valor artístico (cerámica, pinturas nas paredes, obxectos rituais, esculturas, relevos ou construcións megalíticas) producidas polo ser humano durante a Prehistoria. As primeiras manifestacións artísticas coñecidas remóntanse ao Paleolítico Superior (hai 40.000 anos aproximadamente). </w:t>
            </w:r>
          </w:p>
          <w:p w:rsidR="00000000" w:rsidDel="00000000" w:rsidP="00000000" w:rsidRDefault="00000000" w:rsidRPr="00000000" w14:paraId="00000016">
            <w:pPr>
              <w:spacing w:after="114" w:before="114" w:lineRule="auto"/>
              <w:jc w:val="both"/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17">
            <w:pPr>
              <w:spacing w:after="114" w:before="114" w:lineRule="auto"/>
              <w:jc w:val="both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rtl w:val="0"/>
              </w:rPr>
              <w:t xml:space="preserve">As pinturas sobre rochas está dentro da arte prehistórica.</w:t>
            </w:r>
          </w:p>
        </w:tc>
      </w:tr>
      <w:tr>
        <w:trPr>
          <w:cantSplit w:val="1"/>
          <w:trHeight w:val="1149" w:hRule="atLeast"/>
          <w:tblHeader w:val="0"/>
        </w:trPr>
        <w:tc>
          <w:tcPr>
            <w:vMerge w:val="continue"/>
            <w:tcBorders>
              <w:top w:color="3465a4" w:space="0" w:sz="4" w:val="single"/>
              <w:bottom w:color="3465a4" w:space="0" w:sz="4" w:val="single"/>
            </w:tcBorders>
            <w:shd w:fill="dee7e5" w:val="clear"/>
            <w:vAlign w:val="center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Arte Rupestre </w:t>
            </w:r>
          </w:p>
          <w:p w:rsidR="00000000" w:rsidDel="00000000" w:rsidP="00000000" w:rsidRDefault="00000000" w:rsidRPr="00000000" w14:paraId="0000001A">
            <w:pPr>
              <w:widowControl w:val="0"/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9900"/>
                <w:sz w:val="26"/>
                <w:szCs w:val="26"/>
              </w:rPr>
              <w:drawing>
                <wp:inline distB="114300" distT="114300" distL="114300" distR="114300">
                  <wp:extent cx="1274400" cy="854268"/>
                  <wp:effectExtent b="0" l="0" r="0" t="0"/>
                  <wp:docPr id="38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400" cy="8542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spacing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</w:p>
          <w:p w:rsidR="00000000" w:rsidDel="00000000" w:rsidP="00000000" w:rsidRDefault="00000000" w:rsidRPr="00000000" w14:paraId="0000001D">
            <w:pPr>
              <w:spacing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Manifestacións artísticas prehistóricas realizadas sobre rocha a través dun debuxo, pintura ou gravado. Poden aparecer sobre paredes de abrigos e covas, ou ben en pedras illadas. Os primeiros exemplos son do 40.000 a. C. no Paleolítico Superior.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rtl w:val="0"/>
              </w:rPr>
              <w:t xml:space="preserve"> 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</w:t>
            </w:r>
          </w:p>
          <w:p w:rsidR="00000000" w:rsidDel="00000000" w:rsidP="00000000" w:rsidRDefault="00000000" w:rsidRPr="00000000" w14:paraId="0000001E">
            <w:pPr>
              <w:spacing w:line="360" w:lineRule="auto"/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highlight w:val="white"/>
                <w:rtl w:val="0"/>
              </w:rPr>
              <w:t xml:space="preserve">A arte rupestre ten en Galicia exemplos de gravados nas rochas, chamados petróglifos.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1149" w:hRule="atLeast"/>
          <w:tblHeader w:val="0"/>
        </w:trPr>
        <w:tc>
          <w:tcPr>
            <w:tcBorders>
              <w:bottom w:color="3465a4" w:space="0" w:sz="4" w:val="single"/>
            </w:tcBorders>
            <w:shd w:fill="729fcf" w:val="clear"/>
            <w:vAlign w:val="center"/>
          </w:tcPr>
          <w:p w:rsidR="00000000" w:rsidDel="00000000" w:rsidP="00000000" w:rsidRDefault="00000000" w:rsidRPr="00000000" w14:paraId="0000001F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  <w:rtl w:val="0"/>
              </w:rPr>
              <w:t xml:space="preserve">C</w:t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Castro</w:t>
            </w:r>
          </w:p>
          <w:p w:rsidR="00000000" w:rsidDel="00000000" w:rsidP="00000000" w:rsidRDefault="00000000" w:rsidRPr="00000000" w14:paraId="00000021">
            <w:pPr>
              <w:widowControl w:val="0"/>
              <w:spacing w:before="0" w:lineRule="auto"/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9900"/>
                <w:sz w:val="26"/>
                <w:szCs w:val="26"/>
              </w:rPr>
              <w:drawing>
                <wp:inline distB="114300" distT="114300" distL="114300" distR="114300">
                  <wp:extent cx="1310400" cy="984552"/>
                  <wp:effectExtent b="0" l="0" r="0" t="0"/>
                  <wp:docPr id="37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400" cy="98455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23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P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highlight w:val="white"/>
                <w:rtl w:val="0"/>
              </w:rPr>
              <w:t xml:space="preserve">oboados fortificados e amurallados con forma oval ou circular e rodeados de foxos e murallas. Situados normalmente en puntos cunha fácil defensa e visualización da paisaxe. Desenvolvéronse fundamentalmente na Idade de Ferro ata a época romana.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</w:t>
            </w:r>
          </w:p>
          <w:p w:rsidR="00000000" w:rsidDel="00000000" w:rsidP="00000000" w:rsidRDefault="00000000" w:rsidRPr="00000000" w14:paraId="00000025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highlight w:val="white"/>
                <w:rtl w:val="0"/>
              </w:rPr>
              <w:t xml:space="preserve">Hai numerosos castros en Galicia, como o Castro de Borneiro,  en Cabana de Bergantiños.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1149" w:hRule="atLeast"/>
          <w:tblHeader w:val="0"/>
        </w:trPr>
        <w:tc>
          <w:tcPr>
            <w:tcBorders>
              <w:bottom w:color="3465a4" w:space="0" w:sz="4" w:val="single"/>
            </w:tcBorders>
            <w:shd w:fill="729fcf" w:val="clear"/>
            <w:vAlign w:val="center"/>
          </w:tcPr>
          <w:p w:rsidR="00000000" w:rsidDel="00000000" w:rsidP="00000000" w:rsidRDefault="00000000" w:rsidRPr="00000000" w14:paraId="0000002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before="0" w:lineRule="auto"/>
              <w:rPr>
                <w:rFonts w:ascii="Atkinson Hyperlegible" w:cs="Atkinson Hyperlegible" w:eastAsia="Atkinson Hyperlegible" w:hAnsi="Atkinson Hyperlegible"/>
                <w:color w:val="000000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spacing w:after="155"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Cerámica</w:t>
            </w:r>
          </w:p>
          <w:p w:rsidR="00000000" w:rsidDel="00000000" w:rsidP="00000000" w:rsidRDefault="00000000" w:rsidRPr="00000000" w14:paraId="00000028">
            <w:pPr>
              <w:widowControl w:val="0"/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sz w:val="26"/>
                <w:szCs w:val="26"/>
              </w:rPr>
              <w:drawing>
                <wp:inline distB="114300" distT="114300" distL="114300" distR="114300">
                  <wp:extent cx="1260000" cy="1260000"/>
                  <wp:effectExtent b="0" l="0" r="0" t="0"/>
                  <wp:docPr id="40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spacing w:before="155" w:lineRule="auto"/>
              <w:jc w:val="center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</w:p>
          <w:p w:rsidR="00000000" w:rsidDel="00000000" w:rsidP="00000000" w:rsidRDefault="00000000" w:rsidRPr="00000000" w14:paraId="0000002B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sz w:val="26"/>
                <w:szCs w:val="26"/>
                <w:highlight w:val="white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A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highlight w:val="white"/>
                <w:rtl w:val="0"/>
              </w:rPr>
              <w:t xml:space="preserve">ctividade humana que consiste na arte de elaborar obxectos con arxila cocida. É un dos inventos máis importantes da Prehistoria, clave para sinalar a aparición do Neolítico. Permitiu cociñar e almacenar e transportar produtos.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highlight w:val="whit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2C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</w:t>
            </w:r>
          </w:p>
          <w:p w:rsidR="00000000" w:rsidDel="00000000" w:rsidP="00000000" w:rsidRDefault="00000000" w:rsidRPr="00000000" w14:paraId="0000002D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highlight w:val="white"/>
                <w:rtl w:val="0"/>
              </w:rPr>
              <w:t xml:space="preserve">A cerámica cardial do Neolítico decorábase con marcas feitas con cunchas de berberecho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highlight w:val="white"/>
                <w:rtl w:val="0"/>
              </w:rPr>
              <w:t xml:space="preserve">.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1149" w:hRule="atLeast"/>
          <w:tblHeader w:val="0"/>
        </w:trPr>
        <w:tc>
          <w:tcPr>
            <w:tcBorders>
              <w:bottom w:color="3465a4" w:space="0" w:sz="4" w:val="single"/>
            </w:tcBorders>
            <w:shd w:fill="729fcf" w:val="clear"/>
            <w:vAlign w:val="center"/>
          </w:tcPr>
          <w:p w:rsidR="00000000" w:rsidDel="00000000" w:rsidP="00000000" w:rsidRDefault="00000000" w:rsidRPr="00000000" w14:paraId="0000002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before="0" w:lineRule="auto"/>
              <w:rPr>
                <w:rFonts w:ascii="Atkinson Hyperlegible" w:cs="Atkinson Hyperlegible" w:eastAsia="Atkinson Hyperlegible" w:hAnsi="Atkinson Hyperlegible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spacing w:after="57"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Cronoloxía</w:t>
            </w:r>
          </w:p>
          <w:p w:rsidR="00000000" w:rsidDel="00000000" w:rsidP="00000000" w:rsidRDefault="00000000" w:rsidRPr="00000000" w14:paraId="00000030">
            <w:pPr>
              <w:widowControl w:val="0"/>
              <w:spacing w:before="0" w:lineRule="auto"/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9900"/>
                <w:sz w:val="26"/>
                <w:szCs w:val="26"/>
              </w:rPr>
              <w:drawing>
                <wp:inline distB="114300" distT="114300" distL="114300" distR="114300">
                  <wp:extent cx="1310400" cy="879440"/>
                  <wp:effectExtent b="0" l="0" r="0" t="0"/>
                  <wp:docPr id="39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400" cy="8794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31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</w:p>
          <w:p w:rsidR="00000000" w:rsidDel="00000000" w:rsidP="00000000" w:rsidRDefault="00000000" w:rsidRPr="00000000" w14:paraId="00000032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Ciencia que axuda a ordenar no tempo os acontecementos históricos. Permítenos describir a súa duración (décadas, séculos, milenios) e diferenciar os distintos períodos da Historia.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3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</w:t>
            </w:r>
          </w:p>
          <w:p w:rsidR="00000000" w:rsidDel="00000000" w:rsidP="00000000" w:rsidRDefault="00000000" w:rsidRPr="00000000" w14:paraId="00000034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A cronoloxía da Prehistoria está en continuo cambio.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rtl w:val="0"/>
              </w:rPr>
              <w:t xml:space="preserve"> </w:t>
            </w:r>
          </w:p>
        </w:tc>
      </w:tr>
      <w:tr>
        <w:trPr>
          <w:cantSplit w:val="1"/>
          <w:trHeight w:val="1149" w:hRule="atLeast"/>
          <w:tblHeader w:val="0"/>
        </w:trPr>
        <w:tc>
          <w:tcPr>
            <w:vMerge w:val="restart"/>
            <w:tcBorders>
              <w:bottom w:color="3465a4" w:space="0" w:sz="4" w:val="single"/>
            </w:tcBorders>
            <w:shd w:fill="dee7e5" w:val="clear"/>
            <w:vAlign w:val="center"/>
          </w:tcPr>
          <w:p w:rsidR="00000000" w:rsidDel="00000000" w:rsidP="00000000" w:rsidRDefault="00000000" w:rsidRPr="00000000" w14:paraId="00000035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E</w:t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spacing w:after="57" w:before="57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Economía predadora 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7">
            <w:pPr>
              <w:widowControl w:val="0"/>
              <w:spacing w:before="0" w:lineRule="auto"/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9900"/>
                <w:sz w:val="26"/>
                <w:szCs w:val="26"/>
              </w:rPr>
              <w:drawing>
                <wp:inline distB="114300" distT="114300" distL="114300" distR="114300">
                  <wp:extent cx="1310400" cy="879440"/>
                  <wp:effectExtent b="0" l="0" r="0" t="0"/>
                  <wp:docPr id="41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400" cy="8794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spacing w:before="99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</w:p>
          <w:p w:rsidR="00000000" w:rsidDel="00000000" w:rsidP="00000000" w:rsidRDefault="00000000" w:rsidRPr="00000000" w14:paraId="00000039">
            <w:pPr>
              <w:spacing w:before="99" w:line="360" w:lineRule="auto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Conxunto de actividades humanas propias do Paleolítico como a recolleita (de froitos, sementes e raíces), a caza e a pesca. De aí que a poboación fose nómade, trasladándose do territorio en función dos recursos dispoñibles.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A">
            <w:pPr>
              <w:spacing w:before="99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</w:t>
            </w:r>
          </w:p>
          <w:p w:rsidR="00000000" w:rsidDel="00000000" w:rsidP="00000000" w:rsidRDefault="00000000" w:rsidRPr="00000000" w14:paraId="0000003B">
            <w:pPr>
              <w:spacing w:before="99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A caza é unha actividade humana predadora.</w:t>
            </w:r>
          </w:p>
        </w:tc>
      </w:tr>
      <w:tr>
        <w:trPr>
          <w:cantSplit w:val="1"/>
          <w:trHeight w:val="1149" w:hRule="atLeast"/>
          <w:tblHeader w:val="0"/>
        </w:trPr>
        <w:tc>
          <w:tcPr>
            <w:vMerge w:val="continue"/>
            <w:tcBorders>
              <w:bottom w:color="3465a4" w:space="0" w:sz="4" w:val="single"/>
            </w:tcBorders>
            <w:shd w:fill="dee7e5" w:val="clear"/>
            <w:vAlign w:val="center"/>
          </w:tcPr>
          <w:p w:rsidR="00000000" w:rsidDel="00000000" w:rsidP="00000000" w:rsidRDefault="00000000" w:rsidRPr="00000000" w14:paraId="0000003C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widowControl w:val="0"/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Economía produtora</w:t>
            </w:r>
          </w:p>
          <w:p w:rsidR="00000000" w:rsidDel="00000000" w:rsidP="00000000" w:rsidRDefault="00000000" w:rsidRPr="00000000" w14:paraId="0000003E">
            <w:pPr>
              <w:widowControl w:val="0"/>
              <w:spacing w:before="0" w:lineRule="auto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sz w:val="26"/>
                <w:szCs w:val="26"/>
                <w:shd w:fill="c9daf8" w:val="clear"/>
              </w:rPr>
              <w:drawing>
                <wp:inline distB="114300" distT="114300" distL="114300" distR="114300">
                  <wp:extent cx="1310400" cy="879440"/>
                  <wp:effectExtent b="0" l="0" r="0" t="0"/>
                  <wp:docPr id="29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400" cy="8794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spacing w:after="114" w:before="114" w:line="360" w:lineRule="auto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 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0">
            <w:pPr>
              <w:spacing w:after="114" w:before="114" w:line="360" w:lineRule="auto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Tipo de economía que xorde no Neolítico na que se desenvolveron actividades humanas relacionadas coa produción como a agricultura, a gandaría e o intercambio de bens. Esto supuxo que o ser humano se fixese sedentario. Con ela iníciase a especialización nas tarefas e as diferencias sociais.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rtl w:val="0"/>
              </w:rPr>
              <w:t xml:space="preserve">  </w:t>
            </w:r>
          </w:p>
          <w:p w:rsidR="00000000" w:rsidDel="00000000" w:rsidP="00000000" w:rsidRDefault="00000000" w:rsidRPr="00000000" w14:paraId="00000041">
            <w:pPr>
              <w:spacing w:after="114" w:before="114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 </w:t>
            </w:r>
          </w:p>
          <w:p w:rsidR="00000000" w:rsidDel="00000000" w:rsidP="00000000" w:rsidRDefault="00000000" w:rsidRPr="00000000" w14:paraId="00000042">
            <w:pPr>
              <w:spacing w:after="114" w:before="114" w:line="360" w:lineRule="auto"/>
              <w:rPr>
                <w:rFonts w:ascii="Atkinson Hyperlegible" w:cs="Atkinson Hyperlegible" w:eastAsia="Atkinson Hyperlegible" w:hAnsi="Atkinson Hyperlegible"/>
                <w:b w:val="1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A economía produtora contribúe á transformar o medio.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1373" w:hRule="atLeast"/>
          <w:tblHeader w:val="0"/>
        </w:trPr>
        <w:tc>
          <w:tcPr>
            <w:vMerge w:val="continue"/>
            <w:tcBorders>
              <w:bottom w:color="3465a4" w:space="0" w:sz="4" w:val="single"/>
            </w:tcBorders>
            <w:shd w:fill="dee7e5" w:val="clear"/>
            <w:vAlign w:val="center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3465a4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4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Estratos</w:t>
            </w:r>
          </w:p>
          <w:p w:rsidR="00000000" w:rsidDel="00000000" w:rsidP="00000000" w:rsidRDefault="00000000" w:rsidRPr="00000000" w14:paraId="00000045">
            <w:pPr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  <w:drawing>
                <wp:inline distB="114300" distT="114300" distL="114300" distR="114300">
                  <wp:extent cx="1321200" cy="2088688"/>
                  <wp:effectExtent b="0" l="0" r="0" t="0"/>
                  <wp:docPr id="44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200" cy="20886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170.0" w:type="dxa"/>
              <w:left w:w="85.0" w:type="dxa"/>
              <w:bottom w:w="85.0" w:type="dxa"/>
              <w:right w:w="57.0" w:type="dxa"/>
            </w:tcMar>
            <w:vAlign w:val="center"/>
          </w:tcPr>
          <w:p w:rsidR="00000000" w:rsidDel="00000000" w:rsidP="00000000" w:rsidRDefault="00000000" w:rsidRPr="00000000" w14:paraId="00000046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</w:p>
          <w:p w:rsidR="00000000" w:rsidDel="00000000" w:rsidP="00000000" w:rsidRDefault="00000000" w:rsidRPr="00000000" w14:paraId="00000047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Son as capas de sedimentos de materiais que se van acumulando ao longo de miles ou centos de anos. Cada estrato ten unha composición, aspecto (cor), volume, e contido diferente. O seu estudo apórtanos moita información sobre a evolución da Terra (xeoloxía) e tamén sobre as características das sociedades do pasado (arqueoloxía).  Normalmente están ordenados por orde cronolóxica, o máis antigo está máis ao fondo, e o máis recente, máis arriba.</w:t>
            </w:r>
          </w:p>
          <w:p w:rsidR="00000000" w:rsidDel="00000000" w:rsidP="00000000" w:rsidRDefault="00000000" w:rsidRPr="00000000" w14:paraId="00000048">
            <w:pPr>
              <w:spacing w:after="114" w:before="114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</w:t>
            </w:r>
          </w:p>
          <w:p w:rsidR="00000000" w:rsidDel="00000000" w:rsidP="00000000" w:rsidRDefault="00000000" w:rsidRPr="00000000" w14:paraId="00000049">
            <w:pPr>
              <w:spacing w:after="114" w:before="114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Os estratos da 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i w:val="1"/>
                <w:color w:val="002b4a"/>
                <w:sz w:val="26"/>
                <w:szCs w:val="26"/>
                <w:rtl w:val="0"/>
              </w:rPr>
              <w:t xml:space="preserve">Sima de los Huesos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 en Atapuerca permítennos estudar o Paleolítico europeo.</w:t>
            </w:r>
          </w:p>
        </w:tc>
      </w:tr>
      <w:tr>
        <w:trPr>
          <w:cantSplit w:val="1"/>
          <w:trHeight w:val="1373" w:hRule="atLeast"/>
          <w:tblHeader w:val="0"/>
        </w:trPr>
        <w:tc>
          <w:tcPr>
            <w:vMerge w:val="continue"/>
            <w:tcBorders>
              <w:bottom w:color="3465a4" w:space="0" w:sz="4" w:val="single"/>
            </w:tcBorders>
            <w:shd w:fill="dee7e5" w:val="clear"/>
            <w:vAlign w:val="center"/>
          </w:tcPr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3465a4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B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Exposición</w:t>
            </w:r>
          </w:p>
          <w:p w:rsidR="00000000" w:rsidDel="00000000" w:rsidP="00000000" w:rsidRDefault="00000000" w:rsidRPr="00000000" w14:paraId="0000004C">
            <w:pPr>
              <w:widowControl w:val="0"/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9900"/>
                <w:sz w:val="26"/>
                <w:szCs w:val="26"/>
              </w:rPr>
              <w:drawing>
                <wp:inline distB="114300" distT="114300" distL="114300" distR="114300">
                  <wp:extent cx="1310400" cy="879440"/>
                  <wp:effectExtent b="0" l="0" r="0" t="0"/>
                  <wp:docPr id="42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400" cy="8794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170.0" w:type="dxa"/>
              <w:left w:w="85.0" w:type="dxa"/>
              <w:bottom w:w="85.0" w:type="dxa"/>
              <w:right w:w="57.0" w:type="dxa"/>
            </w:tcMar>
            <w:vAlign w:val="center"/>
          </w:tcPr>
          <w:p w:rsidR="00000000" w:rsidDel="00000000" w:rsidP="00000000" w:rsidRDefault="00000000" w:rsidRPr="00000000" w14:paraId="0000004D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</w:p>
          <w:p w:rsidR="00000000" w:rsidDel="00000000" w:rsidP="00000000" w:rsidRDefault="00000000" w:rsidRPr="00000000" w14:paraId="0000004E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Mostra pública de cousas ou obxectos artísticos, arqueolóxicos, culturais, históricos, educativos ou tecnolóxicos. Tamén é a acción de expoñer de forma oral ou escrita un tema a un público. En ambos casos, a súa finalidade é a de dar a coñecer certas cousas ás persoas. As exposicións poden ser temporaís, permanentes, permanentes, virtuaís.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F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</w:t>
            </w:r>
          </w:p>
          <w:p w:rsidR="00000000" w:rsidDel="00000000" w:rsidP="00000000" w:rsidRDefault="00000000" w:rsidRPr="00000000" w14:paraId="00000050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O alumnado de 1º ESO vai montar unha exposición sobre Prehistoria no seu centro.</w:t>
            </w:r>
          </w:p>
          <w:p w:rsidR="00000000" w:rsidDel="00000000" w:rsidP="00000000" w:rsidRDefault="00000000" w:rsidRPr="00000000" w14:paraId="00000051">
            <w:pPr>
              <w:spacing w:before="0" w:lineRule="auto"/>
              <w:jc w:val="both"/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2134" w:hRule="atLeast"/>
          <w:tblHeader w:val="0"/>
        </w:trPr>
        <w:tc>
          <w:tcPr>
            <w:tcBorders>
              <w:bottom w:color="3465a4" w:space="0" w:sz="4" w:val="single"/>
            </w:tcBorders>
            <w:shd w:fill="b4c7dc" w:val="clear"/>
            <w:vAlign w:val="center"/>
          </w:tcPr>
          <w:p w:rsidR="00000000" w:rsidDel="00000000" w:rsidP="00000000" w:rsidRDefault="00000000" w:rsidRPr="00000000" w14:paraId="00000052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  <w:rtl w:val="0"/>
              </w:rPr>
              <w:t xml:space="preserve">F</w:t>
            </w:r>
          </w:p>
        </w:tc>
        <w:tc>
          <w:tcPr>
            <w:tcBorders>
              <w:bottom w:color="3465a4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3">
            <w:pPr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Fonte histórica</w:t>
            </w:r>
          </w:p>
          <w:p w:rsidR="00000000" w:rsidDel="00000000" w:rsidP="00000000" w:rsidRDefault="00000000" w:rsidRPr="00000000" w14:paraId="00000054">
            <w:pPr>
              <w:widowControl w:val="0"/>
              <w:spacing w:before="0" w:lineRule="auto"/>
              <w:rPr>
                <w:rFonts w:ascii="Atkinson Hyperlegible" w:cs="Atkinson Hyperlegible" w:eastAsia="Atkinson Hyperlegible" w:hAnsi="Atkinson Hyperlegible"/>
                <w:b w:val="1"/>
                <w:color w:val="a4c2f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sz w:val="26"/>
                <w:szCs w:val="26"/>
                <w:shd w:fill="c9daf8" w:val="clear"/>
              </w:rPr>
              <w:drawing>
                <wp:inline distB="114300" distT="114300" distL="114300" distR="114300">
                  <wp:extent cx="1310400" cy="984552"/>
                  <wp:effectExtent b="0" l="0" r="0" t="0"/>
                  <wp:docPr id="43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400" cy="98455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170.0" w:type="dxa"/>
              <w:left w:w="85.0" w:type="dxa"/>
              <w:bottom w:w="85.0" w:type="dxa"/>
              <w:right w:w="57.0" w:type="dxa"/>
            </w:tcMar>
            <w:vAlign w:val="center"/>
          </w:tcPr>
          <w:p w:rsidR="00000000" w:rsidDel="00000000" w:rsidP="00000000" w:rsidRDefault="00000000" w:rsidRPr="00000000" w14:paraId="00000055">
            <w:pPr>
              <w:spacing w:after="140" w:before="0" w:line="360" w:lineRule="auto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6">
            <w:pPr>
              <w:spacing w:after="140" w:before="0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Todo obxecto, documento, debuxo ou indicio que nos permita coñecer algún aspecto da Historia da Humanidade. </w:t>
            </w:r>
          </w:p>
          <w:p w:rsidR="00000000" w:rsidDel="00000000" w:rsidP="00000000" w:rsidRDefault="00000000" w:rsidRPr="00000000" w14:paraId="00000057">
            <w:pPr>
              <w:spacing w:after="140" w:before="0" w:line="360" w:lineRule="auto"/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8">
            <w:pPr>
              <w:spacing w:after="140" w:before="0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Os documentos escritos son unha fonte histórica.</w:t>
            </w:r>
          </w:p>
        </w:tc>
      </w:tr>
      <w:tr>
        <w:trPr>
          <w:cantSplit w:val="1"/>
          <w:trHeight w:val="2134" w:hRule="atLeast"/>
          <w:tblHeader w:val="0"/>
        </w:trPr>
        <w:tc>
          <w:tcPr>
            <w:tcBorders>
              <w:bottom w:color="3465a4" w:space="0" w:sz="4" w:val="single"/>
            </w:tcBorders>
            <w:shd w:fill="b4c7dc" w:val="clear"/>
            <w:vAlign w:val="center"/>
          </w:tcPr>
          <w:p w:rsidR="00000000" w:rsidDel="00000000" w:rsidP="00000000" w:rsidRDefault="00000000" w:rsidRPr="00000000" w14:paraId="00000059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  <w:rtl w:val="0"/>
              </w:rPr>
              <w:t xml:space="preserve">F</w:t>
            </w:r>
          </w:p>
        </w:tc>
        <w:tc>
          <w:tcPr>
            <w:tcBorders>
              <w:bottom w:color="3465a4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A">
            <w:pPr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Fósil</w:t>
            </w:r>
          </w:p>
          <w:p w:rsidR="00000000" w:rsidDel="00000000" w:rsidP="00000000" w:rsidRDefault="00000000" w:rsidRPr="00000000" w14:paraId="0000005B">
            <w:pPr>
              <w:widowControl w:val="0"/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e284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sz w:val="26"/>
                <w:szCs w:val="26"/>
                <w:shd w:fill="c9daf8" w:val="clear"/>
              </w:rPr>
              <w:drawing>
                <wp:inline distB="114300" distT="114300" distL="114300" distR="114300">
                  <wp:extent cx="1381125" cy="914400"/>
                  <wp:effectExtent b="0" l="0" r="0" t="0"/>
                  <wp:docPr id="45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170.0" w:type="dxa"/>
              <w:left w:w="85.0" w:type="dxa"/>
              <w:bottom w:w="85.0" w:type="dxa"/>
              <w:right w:w="57.0" w:type="dxa"/>
            </w:tcMar>
            <w:vAlign w:val="center"/>
          </w:tcPr>
          <w:p w:rsidR="00000000" w:rsidDel="00000000" w:rsidP="00000000" w:rsidRDefault="00000000" w:rsidRPr="00000000" w14:paraId="0000005C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D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Chámaselle así a cada un dos restos dos seres orgánicos (animais ou vexetais) do pasado remoto. Xeralmente aparecen enterrados. A paleontoloxía é a ciencia que se encarga de estudalos. </w:t>
            </w:r>
          </w:p>
          <w:p w:rsidR="00000000" w:rsidDel="00000000" w:rsidP="00000000" w:rsidRDefault="00000000" w:rsidRPr="00000000" w14:paraId="0000005E">
            <w:pPr>
              <w:spacing w:after="114" w:before="114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</w:t>
            </w:r>
          </w:p>
          <w:p w:rsidR="00000000" w:rsidDel="00000000" w:rsidP="00000000" w:rsidRDefault="00000000" w:rsidRPr="00000000" w14:paraId="0000005F">
            <w:pPr>
              <w:spacing w:after="114" w:before="114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En Atapuerca atopáronse importantes fósiles para datar a Prehistoria europea.</w:t>
            </w:r>
          </w:p>
        </w:tc>
      </w:tr>
      <w:tr>
        <w:trPr>
          <w:cantSplit w:val="1"/>
          <w:trHeight w:val="1373" w:hRule="atLeast"/>
          <w:tblHeader w:val="0"/>
        </w:trPr>
        <w:tc>
          <w:tcPr>
            <w:tcBorders>
              <w:bottom w:color="3465a4" w:space="0" w:sz="4" w:val="single"/>
            </w:tcBorders>
            <w:shd w:fill="729fcf" w:val="clear"/>
            <w:vAlign w:val="center"/>
          </w:tcPr>
          <w:p w:rsidR="00000000" w:rsidDel="00000000" w:rsidP="00000000" w:rsidRDefault="00000000" w:rsidRPr="00000000" w14:paraId="00000060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  <w:rtl w:val="0"/>
              </w:rPr>
              <w:t xml:space="preserve">H</w:t>
            </w:r>
          </w:p>
        </w:tc>
        <w:tc>
          <w:tcPr>
            <w:tcBorders>
              <w:bottom w:color="3465a4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1">
            <w:pPr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Historia</w:t>
            </w:r>
          </w:p>
          <w:p w:rsidR="00000000" w:rsidDel="00000000" w:rsidP="00000000" w:rsidRDefault="00000000" w:rsidRPr="00000000" w14:paraId="00000062">
            <w:pPr>
              <w:widowControl w:val="0"/>
              <w:spacing w:before="0" w:lineRule="auto"/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sz w:val="26"/>
                <w:szCs w:val="26"/>
                <w:shd w:fill="c9daf8" w:val="clear"/>
              </w:rPr>
              <w:drawing>
                <wp:inline distB="114300" distT="114300" distL="114300" distR="114300">
                  <wp:extent cx="1346400" cy="904613"/>
                  <wp:effectExtent b="0" l="0" r="0" t="0"/>
                  <wp:docPr id="46" name="image12.jpg"/>
                  <a:graphic>
                    <a:graphicData uri="http://schemas.openxmlformats.org/drawingml/2006/picture">
                      <pic:pic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400" cy="9046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170.0" w:type="dxa"/>
              <w:left w:w="85.0" w:type="dxa"/>
              <w:bottom w:w="85.0" w:type="dxa"/>
              <w:right w:w="57.0" w:type="dxa"/>
            </w:tcMar>
            <w:vAlign w:val="center"/>
          </w:tcPr>
          <w:p w:rsidR="00000000" w:rsidDel="00000000" w:rsidP="00000000" w:rsidRDefault="00000000" w:rsidRPr="00000000" w14:paraId="00000063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</w:p>
          <w:p w:rsidR="00000000" w:rsidDel="00000000" w:rsidP="00000000" w:rsidRDefault="00000000" w:rsidRPr="00000000" w14:paraId="00000064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É a ciencia que estuda o pasado da humanidade a partir de distintas fontes. Tamén é a etapa que vai dende a aparición da escritura (arredor do 3.500 a. C.) ata a actualidade. Os especialistas que se  adican a estudar a historia partindo das fontes son os historiadores ou historiadoras. 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2b4a"/>
                <w:sz w:val="26"/>
                <w:szCs w:val="26"/>
                <w:rtl w:val="0"/>
              </w:rPr>
              <w:t xml:space="preserve"> 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65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66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A Historia da humanidade divídese en diferentes etapas.</w:t>
            </w:r>
          </w:p>
          <w:p w:rsidR="00000000" w:rsidDel="00000000" w:rsidP="00000000" w:rsidRDefault="00000000" w:rsidRPr="00000000" w14:paraId="00000067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1373" w:hRule="atLeast"/>
          <w:tblHeader w:val="0"/>
        </w:trPr>
        <w:tc>
          <w:tcPr>
            <w:tcBorders>
              <w:bottom w:color="3465a4" w:space="0" w:sz="4" w:val="single"/>
            </w:tcBorders>
            <w:shd w:fill="729fcf" w:val="clear"/>
            <w:vAlign w:val="center"/>
          </w:tcPr>
          <w:p w:rsidR="00000000" w:rsidDel="00000000" w:rsidP="00000000" w:rsidRDefault="00000000" w:rsidRPr="00000000" w14:paraId="00000068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  <w:rtl w:val="0"/>
              </w:rPr>
              <w:t xml:space="preserve">H</w:t>
            </w:r>
          </w:p>
        </w:tc>
        <w:tc>
          <w:tcPr>
            <w:tcBorders>
              <w:bottom w:color="3465a4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9">
            <w:pPr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Hominización</w:t>
            </w:r>
          </w:p>
          <w:p w:rsidR="00000000" w:rsidDel="00000000" w:rsidP="00000000" w:rsidRDefault="00000000" w:rsidRPr="00000000" w14:paraId="0000006A">
            <w:pPr>
              <w:widowControl w:val="0"/>
              <w:spacing w:before="0" w:lineRule="auto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9900"/>
                <w:sz w:val="26"/>
                <w:szCs w:val="26"/>
              </w:rPr>
              <w:drawing>
                <wp:inline distB="114300" distT="114300" distL="114300" distR="114300">
                  <wp:extent cx="1381125" cy="622300"/>
                  <wp:effectExtent b="0" l="0" r="0" t="0"/>
                  <wp:docPr id="47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622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170.0" w:type="dxa"/>
              <w:left w:w="85.0" w:type="dxa"/>
              <w:bottom w:w="85.0" w:type="dxa"/>
              <w:right w:w="57.0" w:type="dxa"/>
            </w:tcMar>
            <w:vAlign w:val="center"/>
          </w:tcPr>
          <w:p w:rsidR="00000000" w:rsidDel="00000000" w:rsidP="00000000" w:rsidRDefault="00000000" w:rsidRPr="00000000" w14:paraId="0000006B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</w:p>
          <w:p w:rsidR="00000000" w:rsidDel="00000000" w:rsidP="00000000" w:rsidRDefault="00000000" w:rsidRPr="00000000" w14:paraId="0000006C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É o proceso biolóxico e cultural que deu lugar á formación da especie humana a partir de formas de homínidos ancestrais. O proceso de hominización comeza co Australopithecus (homínido que xa camiña de pé), e remata co Homo Sapiens Sapiens.</w:t>
            </w:r>
          </w:p>
          <w:p w:rsidR="00000000" w:rsidDel="00000000" w:rsidP="00000000" w:rsidRDefault="00000000" w:rsidRPr="00000000" w14:paraId="0000006D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</w:t>
            </w:r>
          </w:p>
          <w:p w:rsidR="00000000" w:rsidDel="00000000" w:rsidP="00000000" w:rsidRDefault="00000000" w:rsidRPr="00000000" w14:paraId="0000006E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O ser humano actual é o resultado dun longo proceso de hominización.</w:t>
            </w:r>
          </w:p>
          <w:p w:rsidR="00000000" w:rsidDel="00000000" w:rsidP="00000000" w:rsidRDefault="00000000" w:rsidRPr="00000000" w14:paraId="0000006F">
            <w:pPr>
              <w:spacing w:before="0" w:lineRule="auto"/>
              <w:jc w:val="both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1149" w:hRule="atLeast"/>
          <w:tblHeader w:val="0"/>
        </w:trPr>
        <w:tc>
          <w:tcPr>
            <w:tcBorders>
              <w:bottom w:color="3465a4" w:space="0" w:sz="4" w:val="single"/>
            </w:tcBorders>
            <w:shd w:fill="3465a4" w:val="clear"/>
            <w:vAlign w:val="center"/>
          </w:tcPr>
          <w:p w:rsidR="00000000" w:rsidDel="00000000" w:rsidP="00000000" w:rsidRDefault="00000000" w:rsidRPr="00000000" w14:paraId="00000070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  <w:rtl w:val="0"/>
              </w:rPr>
              <w:t xml:space="preserve">I</w:t>
            </w:r>
          </w:p>
        </w:tc>
        <w:tc>
          <w:tcPr>
            <w:tcBorders>
              <w:bottom w:color="3465a4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71">
            <w:pPr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Idade dos Metais</w:t>
            </w:r>
          </w:p>
          <w:p w:rsidR="00000000" w:rsidDel="00000000" w:rsidP="00000000" w:rsidRDefault="00000000" w:rsidRPr="00000000" w14:paraId="00000072">
            <w:pPr>
              <w:widowControl w:val="0"/>
              <w:spacing w:before="0" w:lineRule="auto"/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sz w:val="26"/>
                <w:szCs w:val="26"/>
                <w:shd w:fill="c9daf8" w:val="clear"/>
              </w:rPr>
              <w:drawing>
                <wp:inline distB="114300" distT="114300" distL="114300" distR="114300">
                  <wp:extent cx="1310400" cy="963529"/>
                  <wp:effectExtent b="0" l="0" r="0" t="0"/>
                  <wp:docPr id="48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400" cy="96352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3">
            <w:pPr>
              <w:jc w:val="center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170.0" w:type="dxa"/>
              <w:left w:w="85.0" w:type="dxa"/>
              <w:bottom w:w="85.0" w:type="dxa"/>
              <w:right w:w="57.0" w:type="dxa"/>
            </w:tcMar>
            <w:vAlign w:val="center"/>
          </w:tcPr>
          <w:p w:rsidR="00000000" w:rsidDel="00000000" w:rsidP="00000000" w:rsidRDefault="00000000" w:rsidRPr="00000000" w14:paraId="00000074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 </w:t>
            </w:r>
          </w:p>
          <w:p w:rsidR="00000000" w:rsidDel="00000000" w:rsidP="00000000" w:rsidRDefault="00000000" w:rsidRPr="00000000" w14:paraId="00000075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Última etapa da Prehistoria. Vai desde o desenvolvemento da metalurxia (fabricación de obxectos en metal) arredor do 5.000 a. C. ata aproximadamente o ano 1.000 a. C. Divídese en tres períodos: Idade de Cobre, Idade de Bronce e Idade de Ferro.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6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7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rtl w:val="0"/>
              </w:rPr>
              <w:t xml:space="preserve">A Idade dos Metaís é unha das etapas da Prehistoria.</w:t>
            </w:r>
          </w:p>
          <w:p w:rsidR="00000000" w:rsidDel="00000000" w:rsidP="00000000" w:rsidRDefault="00000000" w:rsidRPr="00000000" w14:paraId="00000078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1149" w:hRule="atLeast"/>
          <w:tblHeader w:val="0"/>
        </w:trPr>
        <w:tc>
          <w:tcPr>
            <w:tcBorders>
              <w:bottom w:color="3465a4" w:space="0" w:sz="4" w:val="single"/>
            </w:tcBorders>
            <w:shd w:fill="dee7e5" w:val="clear"/>
            <w:vAlign w:val="center"/>
          </w:tcPr>
          <w:p w:rsidR="00000000" w:rsidDel="00000000" w:rsidP="00000000" w:rsidRDefault="00000000" w:rsidRPr="00000000" w14:paraId="00000079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L</w:t>
            </w:r>
          </w:p>
        </w:tc>
        <w:tc>
          <w:tcPr>
            <w:tcBorders>
              <w:bottom w:color="3465a4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7A">
            <w:pPr>
              <w:spacing w:before="42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Lítico</w:t>
            </w:r>
          </w:p>
          <w:p w:rsidR="00000000" w:rsidDel="00000000" w:rsidP="00000000" w:rsidRDefault="00000000" w:rsidRPr="00000000" w14:paraId="0000007B">
            <w:pPr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e284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  <w:drawing>
                <wp:inline distB="114300" distT="114300" distL="114300" distR="114300">
                  <wp:extent cx="1346400" cy="1111481"/>
                  <wp:effectExtent b="0" l="0" r="0" t="0"/>
                  <wp:docPr id="49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400" cy="111148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170.0" w:type="dxa"/>
              <w:left w:w="85.0" w:type="dxa"/>
              <w:bottom w:w="85.0" w:type="dxa"/>
              <w:right w:w="57.0" w:type="dxa"/>
            </w:tcMar>
            <w:vAlign w:val="center"/>
          </w:tcPr>
          <w:p w:rsidR="00000000" w:rsidDel="00000000" w:rsidP="00000000" w:rsidRDefault="00000000" w:rsidRPr="00000000" w14:paraId="0000007C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D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Útiles de pedra elaborados polos homínidos na Prehistoria que, a diferencia dos útiles de madeira, puideron conservarse e chegar ata nós. Testemuña de que os humanos son capaces de pensar e de elaborar instrumentos. Base da clasificación da Prehistoria en Paleolítico (“pedra antiga ou pedra tallada”) e Neolítico (“pedra nova ou puída”).  </w:t>
            </w:r>
          </w:p>
          <w:p w:rsidR="00000000" w:rsidDel="00000000" w:rsidP="00000000" w:rsidRDefault="00000000" w:rsidRPr="00000000" w14:paraId="0000007E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 </w:t>
            </w:r>
          </w:p>
          <w:p w:rsidR="00000000" w:rsidDel="00000000" w:rsidP="00000000" w:rsidRDefault="00000000" w:rsidRPr="00000000" w14:paraId="0000007F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En Atapuerca atopáronse numerosos útiles líticos.</w:t>
            </w:r>
          </w:p>
        </w:tc>
      </w:tr>
      <w:tr>
        <w:trPr>
          <w:cantSplit w:val="1"/>
          <w:trHeight w:val="1597" w:hRule="atLeast"/>
          <w:tblHeader w:val="0"/>
        </w:trPr>
        <w:tc>
          <w:tcPr>
            <w:tcBorders>
              <w:bottom w:color="3465a4" w:space="0" w:sz="4" w:val="single"/>
            </w:tcBorders>
            <w:shd w:fill="b4c7dc" w:val="clear"/>
            <w:vAlign w:val="center"/>
          </w:tcPr>
          <w:p w:rsidR="00000000" w:rsidDel="00000000" w:rsidP="00000000" w:rsidRDefault="00000000" w:rsidRPr="00000000" w14:paraId="00000080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  <w:rtl w:val="0"/>
              </w:rPr>
              <w:t xml:space="preserve">M</w:t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81">
            <w:pPr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Megalitismo</w:t>
            </w:r>
          </w:p>
          <w:p w:rsidR="00000000" w:rsidDel="00000000" w:rsidP="00000000" w:rsidRDefault="00000000" w:rsidRPr="00000000" w14:paraId="00000082">
            <w:pPr>
              <w:widowControl w:val="0"/>
              <w:spacing w:before="0" w:lineRule="auto"/>
              <w:rPr>
                <w:rFonts w:ascii="Atkinson Hyperlegible" w:cs="Atkinson Hyperlegible" w:eastAsia="Atkinson Hyperlegible" w:hAnsi="Atkinson Hyperlegible"/>
                <w:b w:val="1"/>
                <w:color w:val="0e284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sz w:val="26"/>
                <w:szCs w:val="26"/>
                <w:shd w:fill="c9daf8" w:val="clear"/>
              </w:rPr>
              <w:drawing>
                <wp:inline distB="114300" distT="114300" distL="114300" distR="114300">
                  <wp:extent cx="1310400" cy="984552"/>
                  <wp:effectExtent b="0" l="0" r="0" t="0"/>
                  <wp:docPr id="50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400" cy="98455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83">
            <w:pPr>
              <w:spacing w:before="0" w:line="360" w:lineRule="auto"/>
              <w:jc w:val="both"/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  <w:rtl w:val="0"/>
              </w:rPr>
              <w:t xml:space="preserve"> </w:t>
            </w:r>
          </w:p>
          <w:p w:rsidR="00000000" w:rsidDel="00000000" w:rsidP="00000000" w:rsidRDefault="00000000" w:rsidRPr="00000000" w14:paraId="00000084">
            <w:pPr>
              <w:spacing w:before="0" w:line="360" w:lineRule="auto"/>
              <w:jc w:val="both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Manifestación cultural caracterizada por construcións feitas con grandes bloques (“mega”, grande, e “lithos”, de pedra) entre o 5000 ao 1800 a. C. Dase tanto na Europa atlántica como na mediterránea. A  súa finalidade era diversa, como tamén os seus tipos: menhires, 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i w:val="1"/>
                <w:color w:val="002b4a"/>
                <w:sz w:val="26"/>
                <w:szCs w:val="26"/>
                <w:rtl w:val="0"/>
              </w:rPr>
              <w:t xml:space="preserve">cromlech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 e dolmens (ou mámoas)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85">
            <w:pPr>
              <w:spacing w:before="0" w:line="360" w:lineRule="auto"/>
              <w:jc w:val="both"/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Exemplo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  <w:rtl w:val="0"/>
              </w:rPr>
              <w:t xml:space="preserve"> </w:t>
            </w:r>
          </w:p>
          <w:p w:rsidR="00000000" w:rsidDel="00000000" w:rsidP="00000000" w:rsidRDefault="00000000" w:rsidRPr="00000000" w14:paraId="00000086">
            <w:pPr>
              <w:spacing w:before="0" w:line="360" w:lineRule="auto"/>
              <w:jc w:val="both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O 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i w:val="1"/>
                <w:color w:val="002b4a"/>
                <w:sz w:val="26"/>
                <w:szCs w:val="26"/>
                <w:rtl w:val="0"/>
              </w:rPr>
              <w:t xml:space="preserve">cromlech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 de Stonehenge é un momumento megalítico.</w:t>
            </w:r>
          </w:p>
          <w:p w:rsidR="00000000" w:rsidDel="00000000" w:rsidP="00000000" w:rsidRDefault="00000000" w:rsidRPr="00000000" w14:paraId="00000087">
            <w:pPr>
              <w:spacing w:before="0" w:lineRule="auto"/>
              <w:jc w:val="both"/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4112.400000000001" w:hRule="atLeast"/>
          <w:tblHeader w:val="0"/>
        </w:trPr>
        <w:tc>
          <w:tcPr>
            <w:tcBorders>
              <w:bottom w:color="3465a4" w:space="0" w:sz="4" w:val="single"/>
            </w:tcBorders>
            <w:shd w:fill="729fcf" w:val="clear"/>
            <w:vAlign w:val="center"/>
          </w:tcPr>
          <w:p w:rsidR="00000000" w:rsidDel="00000000" w:rsidP="00000000" w:rsidRDefault="00000000" w:rsidRPr="00000000" w14:paraId="00000088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  <w:rtl w:val="0"/>
              </w:rPr>
              <w:t xml:space="preserve">N</w:t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89">
            <w:pPr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Neolítico</w:t>
            </w:r>
          </w:p>
          <w:p w:rsidR="00000000" w:rsidDel="00000000" w:rsidP="00000000" w:rsidRDefault="00000000" w:rsidRPr="00000000" w14:paraId="0000008A">
            <w:pPr>
              <w:widowControl w:val="0"/>
              <w:spacing w:before="0" w:lineRule="auto"/>
              <w:rPr>
                <w:rFonts w:ascii="Atkinson Hyperlegible" w:cs="Atkinson Hyperlegible" w:eastAsia="Atkinson Hyperlegible" w:hAnsi="Atkinson Hyperlegible"/>
                <w:b w:val="1"/>
                <w:color w:val="0e284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9900"/>
                <w:sz w:val="26"/>
                <w:szCs w:val="26"/>
              </w:rPr>
              <w:drawing>
                <wp:inline distB="114300" distT="114300" distL="114300" distR="114300">
                  <wp:extent cx="1310400" cy="984552"/>
                  <wp:effectExtent b="0" l="0" r="0" t="0"/>
                  <wp:docPr id="51" name="image20.jpg"/>
                  <a:graphic>
                    <a:graphicData uri="http://schemas.openxmlformats.org/drawingml/2006/picture">
                      <pic:pic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400" cy="98455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8B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</w:p>
          <w:p w:rsidR="00000000" w:rsidDel="00000000" w:rsidP="00000000" w:rsidRDefault="00000000" w:rsidRPr="00000000" w14:paraId="0000008C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De 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i w:val="1"/>
                <w:color w:val="002b4a"/>
                <w:sz w:val="26"/>
                <w:szCs w:val="26"/>
                <w:rtl w:val="0"/>
              </w:rPr>
              <w:t xml:space="preserve">neo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-, “novo” e -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i w:val="1"/>
                <w:color w:val="002b4a"/>
                <w:sz w:val="26"/>
                <w:szCs w:val="26"/>
                <w:rtl w:val="0"/>
              </w:rPr>
              <w:t xml:space="preserve">lithos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, “pedra”: etapa da Prehistoria posterior ao Paleolítico. Vai desde o desenvolvemento da agricultura e a gandaría (10.000 a. C. aprox.) ata a invención da metalurxia (5000 a. C. aprox). Nesta época os seres humanos produciron os seus propios alimentos e fixéronse sedentarios. As ferramentas perfeccionáronse. </w:t>
            </w:r>
          </w:p>
          <w:p w:rsidR="00000000" w:rsidDel="00000000" w:rsidP="00000000" w:rsidRDefault="00000000" w:rsidRPr="00000000" w14:paraId="0000008D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rtl w:val="0"/>
              </w:rPr>
              <w:t xml:space="preserve"> 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</w:t>
            </w:r>
          </w:p>
          <w:p w:rsidR="00000000" w:rsidDel="00000000" w:rsidP="00000000" w:rsidRDefault="00000000" w:rsidRPr="00000000" w14:paraId="0000008E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No Neolítico os útiles son máis precisos.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rtl w:val="0"/>
              </w:rPr>
              <w:t xml:space="preserve"> </w:t>
            </w:r>
          </w:p>
        </w:tc>
      </w:tr>
      <w:tr>
        <w:trPr>
          <w:cantSplit w:val="1"/>
          <w:trHeight w:val="1149" w:hRule="atLeast"/>
          <w:tblHeader w:val="0"/>
        </w:trPr>
        <w:tc>
          <w:tcPr>
            <w:tcBorders>
              <w:bottom w:color="3465a4" w:space="0" w:sz="4" w:val="single"/>
            </w:tcBorders>
            <w:shd w:fill="5983b0" w:val="clear"/>
            <w:vAlign w:val="center"/>
          </w:tcPr>
          <w:p w:rsidR="00000000" w:rsidDel="00000000" w:rsidP="00000000" w:rsidRDefault="00000000" w:rsidRPr="00000000" w14:paraId="0000008F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  <w:rtl w:val="0"/>
              </w:rPr>
              <w:t xml:space="preserve">P</w:t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90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Paleolítico</w:t>
            </w:r>
          </w:p>
          <w:p w:rsidR="00000000" w:rsidDel="00000000" w:rsidP="00000000" w:rsidRDefault="00000000" w:rsidRPr="00000000" w14:paraId="00000091">
            <w:pPr>
              <w:widowControl w:val="0"/>
              <w:spacing w:before="0" w:lineRule="auto"/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sz w:val="26"/>
                <w:szCs w:val="26"/>
                <w:shd w:fill="c9daf8" w:val="clear"/>
              </w:rPr>
              <w:drawing>
                <wp:inline distB="114300" distT="114300" distL="114300" distR="114300">
                  <wp:extent cx="1346400" cy="890588"/>
                  <wp:effectExtent b="0" l="0" r="0" t="0"/>
                  <wp:docPr id="52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400" cy="8905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2">
            <w:pPr>
              <w:jc w:val="center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93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</w:p>
          <w:p w:rsidR="00000000" w:rsidDel="00000000" w:rsidP="00000000" w:rsidRDefault="00000000" w:rsidRPr="00000000" w14:paraId="00000094">
            <w:pPr>
              <w:spacing w:before="0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De 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i w:val="1"/>
                <w:color w:val="002b4a"/>
                <w:sz w:val="26"/>
                <w:szCs w:val="26"/>
                <w:rtl w:val="0"/>
              </w:rPr>
              <w:t xml:space="preserve">paleo-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, “vello” e -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i w:val="1"/>
                <w:color w:val="002b4a"/>
                <w:sz w:val="26"/>
                <w:szCs w:val="26"/>
                <w:rtl w:val="0"/>
              </w:rPr>
              <w:t xml:space="preserve">lithos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, “pedra”: primeira das etapas da Prehistoria (desde hai uns 4 m.a. ata aproximadamente o 10.000 a. C.). Denomínase así porque os nosos primeiros antepasados fabricaron os seus útiles de pedra: golpeábanse unhas con outras ata conseguir a forma desexada. </w:t>
            </w:r>
          </w:p>
          <w:p w:rsidR="00000000" w:rsidDel="00000000" w:rsidP="00000000" w:rsidRDefault="00000000" w:rsidRPr="00000000" w14:paraId="00000095">
            <w:pPr>
              <w:spacing w:before="99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</w:t>
            </w:r>
          </w:p>
          <w:p w:rsidR="00000000" w:rsidDel="00000000" w:rsidP="00000000" w:rsidRDefault="00000000" w:rsidRPr="00000000" w14:paraId="00000096">
            <w:pPr>
              <w:spacing w:before="99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As pinturas de Altamira son do Paleolítico. </w:t>
            </w:r>
          </w:p>
        </w:tc>
      </w:tr>
      <w:tr>
        <w:trPr>
          <w:cantSplit w:val="1"/>
          <w:trHeight w:val="1149" w:hRule="atLeast"/>
          <w:tblHeader w:val="0"/>
        </w:trPr>
        <w:tc>
          <w:tcPr>
            <w:tcBorders>
              <w:bottom w:color="3465a4" w:space="0" w:sz="4" w:val="single"/>
            </w:tcBorders>
            <w:shd w:fill="5983b0" w:val="clear"/>
            <w:vAlign w:val="center"/>
          </w:tcPr>
          <w:p w:rsidR="00000000" w:rsidDel="00000000" w:rsidP="00000000" w:rsidRDefault="00000000" w:rsidRPr="00000000" w14:paraId="00000097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98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Paleontoloxía</w:t>
            </w:r>
          </w:p>
          <w:p w:rsidR="00000000" w:rsidDel="00000000" w:rsidP="00000000" w:rsidRDefault="00000000" w:rsidRPr="00000000" w14:paraId="00000099">
            <w:pPr>
              <w:spacing w:before="0" w:lineRule="auto"/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  <w:drawing>
                <wp:inline distB="114300" distT="114300" distL="114300" distR="114300">
                  <wp:extent cx="1346400" cy="988763"/>
                  <wp:effectExtent b="0" l="0" r="0" t="0"/>
                  <wp:docPr id="30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400" cy="9887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9A">
            <w:pPr>
              <w:spacing w:before="99" w:line="360" w:lineRule="auto"/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9B">
            <w:pPr>
              <w:spacing w:before="99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Ciencia que trata de reconstruír o pasado a partir do estudo dos fósiles (restos petrificados) de animais (coma o ser humano) ou vexetais. Comparte métodos e procedementos con outras ciencias coma a bioloxía e a xeoloxía.</w:t>
            </w:r>
          </w:p>
          <w:p w:rsidR="00000000" w:rsidDel="00000000" w:rsidP="00000000" w:rsidRDefault="00000000" w:rsidRPr="00000000" w14:paraId="0000009C">
            <w:pPr>
              <w:spacing w:before="99" w:line="360" w:lineRule="auto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Exemplos</w:t>
            </w:r>
          </w:p>
          <w:p w:rsidR="00000000" w:rsidDel="00000000" w:rsidP="00000000" w:rsidRDefault="00000000" w:rsidRPr="00000000" w14:paraId="0000009D">
            <w:pPr>
              <w:spacing w:before="99" w:line="360" w:lineRule="auto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Os descubrimentos da paleontoloxía tiveron unha grande importancia no xacemento de Atapuerca.</w:t>
            </w:r>
          </w:p>
        </w:tc>
      </w:tr>
      <w:tr>
        <w:trPr>
          <w:cantSplit w:val="1"/>
          <w:trHeight w:val="1149" w:hRule="atLeast"/>
          <w:tblHeader w:val="0"/>
        </w:trPr>
        <w:tc>
          <w:tcPr>
            <w:tcBorders>
              <w:bottom w:color="3465a4" w:space="0" w:sz="4" w:val="single"/>
            </w:tcBorders>
            <w:shd w:fill="5983b0" w:val="clear"/>
            <w:vAlign w:val="center"/>
          </w:tcPr>
          <w:p w:rsidR="00000000" w:rsidDel="00000000" w:rsidP="00000000" w:rsidRDefault="00000000" w:rsidRPr="00000000" w14:paraId="0000009E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9F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Petróglifos</w:t>
            </w:r>
          </w:p>
          <w:p w:rsidR="00000000" w:rsidDel="00000000" w:rsidP="00000000" w:rsidRDefault="00000000" w:rsidRPr="00000000" w14:paraId="000000A0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ff9900"/>
                <w:sz w:val="26"/>
                <w:szCs w:val="26"/>
              </w:rPr>
              <w:drawing>
                <wp:inline distB="114300" distT="114300" distL="114300" distR="114300">
                  <wp:extent cx="1274400" cy="854268"/>
                  <wp:effectExtent b="0" l="0" r="0" t="0"/>
                  <wp:docPr id="31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400" cy="8542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A1">
            <w:pPr>
              <w:spacing w:before="0" w:line="360" w:lineRule="auto"/>
              <w:jc w:val="both"/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5983b0"/>
                <w:sz w:val="26"/>
                <w:szCs w:val="2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A2">
            <w:pPr>
              <w:spacing w:before="0" w:line="360" w:lineRule="auto"/>
              <w:jc w:val="both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Gravados feitos mediante a técnica de percusión sobre rocha. Realizados sobre todo durante a Idade dos Metais.</w:t>
            </w:r>
          </w:p>
          <w:p w:rsidR="00000000" w:rsidDel="00000000" w:rsidP="00000000" w:rsidRDefault="00000000" w:rsidRPr="00000000" w14:paraId="000000A3">
            <w:pPr>
              <w:spacing w:before="0" w:line="360" w:lineRule="auto"/>
              <w:jc w:val="both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Exemplos</w:t>
            </w:r>
          </w:p>
          <w:p w:rsidR="00000000" w:rsidDel="00000000" w:rsidP="00000000" w:rsidRDefault="00000000" w:rsidRPr="00000000" w14:paraId="000000A4">
            <w:pPr>
              <w:spacing w:before="0" w:line="360" w:lineRule="auto"/>
              <w:jc w:val="both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Fomos visitar os petróglifos de Campo Lameiro.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rtl w:val="0"/>
              </w:rPr>
              <w:t xml:space="preserve"> 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333333"/>
                <w:sz w:val="26"/>
                <w:szCs w:val="26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1149" w:hRule="atLeast"/>
          <w:tblHeader w:val="0"/>
        </w:trPr>
        <w:tc>
          <w:tcPr>
            <w:tcBorders>
              <w:bottom w:color="3465a4" w:space="0" w:sz="4" w:val="single"/>
            </w:tcBorders>
            <w:shd w:fill="5983b0" w:val="clear"/>
            <w:vAlign w:val="center"/>
          </w:tcPr>
          <w:p w:rsidR="00000000" w:rsidDel="00000000" w:rsidP="00000000" w:rsidRDefault="00000000" w:rsidRPr="00000000" w14:paraId="000000A5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ffffff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A6">
            <w:pPr>
              <w:jc w:val="center"/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007bc4"/>
                <w:sz w:val="26"/>
                <w:szCs w:val="26"/>
                <w:rtl w:val="0"/>
              </w:rPr>
              <w:t xml:space="preserve">Prehistoria</w:t>
            </w:r>
          </w:p>
          <w:p w:rsidR="00000000" w:rsidDel="00000000" w:rsidP="00000000" w:rsidRDefault="00000000" w:rsidRPr="00000000" w14:paraId="000000A7">
            <w:pPr>
              <w:rPr>
                <w:rFonts w:ascii="Atkinson Hyperlegible" w:cs="Atkinson Hyperlegible" w:eastAsia="Atkinson Hyperlegible" w:hAnsi="Atkinson Hyperlegible"/>
                <w:b w:val="1"/>
                <w:color w:val="5983b0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sz w:val="26"/>
                <w:szCs w:val="26"/>
                <w:shd w:fill="c9daf8" w:val="clear"/>
              </w:rPr>
              <w:drawing>
                <wp:inline distB="114300" distT="114300" distL="114300" distR="114300">
                  <wp:extent cx="1346400" cy="904613"/>
                  <wp:effectExtent b="0" l="0" r="0" t="0"/>
                  <wp:docPr id="32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400" cy="9046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2a49" w:space="0" w:sz="4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A8">
            <w:pPr>
              <w:spacing w:before="0" w:line="360" w:lineRule="auto"/>
              <w:jc w:val="both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Definición </w:t>
            </w:r>
          </w:p>
          <w:p w:rsidR="00000000" w:rsidDel="00000000" w:rsidP="00000000" w:rsidRDefault="00000000" w:rsidRPr="00000000" w14:paraId="000000A9">
            <w:pPr>
              <w:spacing w:before="0" w:line="360" w:lineRule="auto"/>
              <w:jc w:val="both"/>
              <w:rPr>
                <w:rFonts w:ascii="Atkinson Hyperlegible" w:cs="Atkinson Hyperlegible" w:eastAsia="Atkinson Hyperlegible" w:hAnsi="Atkinson Hyperlegible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Etapa da Historia que vai desde a aparición dos primeiros seres humanos (4 m.a.) ata a invención da escritura (arredor do 3.500 a.C.). </w:t>
            </w:r>
            <w:r w:rsidDel="00000000" w:rsidR="00000000" w:rsidRPr="00000000">
              <w:rPr>
                <w:rFonts w:ascii="Atkinson Hyperlegible" w:cs="Atkinson Hyperlegible" w:eastAsia="Atkinson Hyperlegible" w:hAnsi="Atkinson Hyperlegible"/>
                <w:sz w:val="26"/>
                <w:szCs w:val="26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AA">
            <w:pPr>
              <w:spacing w:before="99" w:line="360" w:lineRule="auto"/>
              <w:jc w:val="both"/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b w:val="1"/>
                <w:color w:val="80bde1"/>
                <w:sz w:val="26"/>
                <w:szCs w:val="26"/>
                <w:rtl w:val="0"/>
              </w:rPr>
              <w:t xml:space="preserve">Exemplos </w:t>
            </w:r>
          </w:p>
          <w:p w:rsidR="00000000" w:rsidDel="00000000" w:rsidP="00000000" w:rsidRDefault="00000000" w:rsidRPr="00000000" w14:paraId="000000AB">
            <w:pPr>
              <w:spacing w:before="99" w:line="360" w:lineRule="auto"/>
              <w:jc w:val="both"/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</w:rPr>
            </w:pPr>
            <w:r w:rsidDel="00000000" w:rsidR="00000000" w:rsidRPr="00000000">
              <w:rPr>
                <w:rFonts w:ascii="Atkinson Hyperlegible" w:cs="Atkinson Hyperlegible" w:eastAsia="Atkinson Hyperlegible" w:hAnsi="Atkinson Hyperlegible"/>
                <w:color w:val="002b4a"/>
                <w:sz w:val="26"/>
                <w:szCs w:val="26"/>
                <w:rtl w:val="0"/>
              </w:rPr>
              <w:t xml:space="preserve">A Prehistoria é a etapa da Historia de maior duración. </w:t>
            </w:r>
          </w:p>
        </w:tc>
      </w:tr>
    </w:tbl>
    <w:p w:rsidR="00000000" w:rsidDel="00000000" w:rsidP="00000000" w:rsidRDefault="00000000" w:rsidRPr="00000000" w14:paraId="000000AC">
      <w:pPr>
        <w:rPr>
          <w:rFonts w:ascii="Atkinson Hyperlegible" w:cs="Atkinson Hyperlegible" w:eastAsia="Atkinson Hyperlegible" w:hAnsi="Atkinson Hyperlegible"/>
          <w:sz w:val="26"/>
          <w:szCs w:val="26"/>
        </w:rPr>
      </w:pPr>
      <w:r w:rsidDel="00000000" w:rsidR="00000000" w:rsidRPr="00000000">
        <w:rPr>
          <w:rtl w:val="0"/>
        </w:rPr>
      </w:r>
    </w:p>
    <w:sectPr>
      <w:headerReference r:id="rId29" w:type="default"/>
      <w:headerReference r:id="rId30" w:type="first"/>
      <w:headerReference r:id="rId31" w:type="even"/>
      <w:footerReference r:id="rId32" w:type="default"/>
      <w:footerReference r:id="rId33" w:type="first"/>
      <w:footerReference r:id="rId34" w:type="even"/>
      <w:pgSz w:h="16838" w:w="11906" w:orient="portrait"/>
      <w:pgMar w:bottom="1463" w:top="1725" w:left="1134" w:right="1134" w:header="825" w:footer="76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cr="http://schemas.microsoft.com/office/comments/2020/reactions">
  <w:font w:name="Georgia"/>
  <w:font w:name="Atkinson Hyperlegible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Liberation Serif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cr="http://schemas.microsoft.com/office/comments/2020/reactions">
  <w:p w:rsidR="00000000" w:rsidDel="00000000" w:rsidP="00000000" w:rsidRDefault="00000000" w:rsidRPr="00000000" w14:paraId="000000B0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Liberation Serif" w:cs="Liberation Serif" w:eastAsia="Liberation Serif" w:hAnsi="Liberation Serif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cr="http://schemas.microsoft.com/office/comments/2020/reactions">
  <w:p w:rsidR="00000000" w:rsidDel="00000000" w:rsidP="00000000" w:rsidRDefault="00000000" w:rsidRPr="00000000" w14:paraId="000000B1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819"/>
        <w:tab w:val="right" w:leader="none" w:pos="9638"/>
      </w:tabs>
      <w:spacing w:after="0" w:before="0" w:line="240" w:lineRule="auto"/>
      <w:ind w:left="0" w:right="0" w:firstLine="0"/>
      <w:jc w:val="left"/>
      <w:rPr>
        <w:rFonts w:ascii="Atkinson Hyperlegible" w:cs="Atkinson Hyperlegible" w:eastAsia="Atkinson Hyperlegible" w:hAnsi="Atkinson Hyperlegible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Fonts w:ascii="Atkinson Hyperlegible" w:cs="Atkinson Hyperlegible" w:eastAsia="Atkinson Hyperlegible" w:hAnsi="Atkinson Hyperlegible"/>
        <w:sz w:val="20"/>
        <w:szCs w:val="20"/>
      </w:rPr>
      <w:drawing>
        <wp:inline distB="114300" distT="114300" distL="114300" distR="114300">
          <wp:extent cx="918000" cy="318490"/>
          <wp:effectExtent b="0" l="0" r="0" t="0"/>
          <wp:docPr id="27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18000" cy="318490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Fonts w:ascii="Atkinson Hyperlegible" w:cs="Atkinson Hyperlegible" w:eastAsia="Atkinson Hyperlegible" w:hAnsi="Atkinson Hyperlegible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  <w:rtl w:val="0"/>
      </w:rPr>
      <w:t xml:space="preserve">“Glosario, </w:t>
    </w:r>
    <w:r w:rsidDel="00000000" w:rsidR="00000000" w:rsidRPr="00000000">
      <w:rPr>
        <w:rFonts w:ascii="Atkinson Hyperlegible" w:cs="Atkinson Hyperlegible" w:eastAsia="Atkinson Hyperlegible" w:hAnsi="Atkinson Hyperlegible"/>
        <w:sz w:val="20"/>
        <w:szCs w:val="20"/>
        <w:rtl w:val="0"/>
      </w:rPr>
      <w:t xml:space="preserve">Exponiendo</w:t>
    </w:r>
    <w:r w:rsidDel="00000000" w:rsidR="00000000" w:rsidRPr="00000000">
      <w:rPr>
        <w:rFonts w:ascii="Atkinson Hyperlegible" w:cs="Atkinson Hyperlegible" w:eastAsia="Atkinson Hyperlegible" w:hAnsi="Atkinson Hyperlegible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  <w:rtl w:val="0"/>
      </w:rPr>
      <w:t xml:space="preserve"> a Prehistoria”, do proxecto </w:t>
    </w:r>
    <w:r w:rsidDel="00000000" w:rsidR="00000000" w:rsidRPr="00000000">
      <w:rPr>
        <w:rFonts w:ascii="Atkinson Hyperlegible" w:cs="Atkinson Hyperlegible" w:eastAsia="Atkinson Hyperlegible" w:hAnsi="Atkinson Hyperlegible"/>
        <w:b w:val="0"/>
        <w:i w:val="1"/>
        <w:smallCaps w:val="0"/>
        <w:strike w:val="0"/>
        <w:color w:val="000000"/>
        <w:sz w:val="20"/>
        <w:szCs w:val="20"/>
        <w:u w:val="none"/>
        <w:shd w:fill="auto" w:val="clear"/>
        <w:vertAlign w:val="baseline"/>
        <w:rtl w:val="0"/>
      </w:rPr>
      <w:t xml:space="preserve">cREAgal</w:t>
    </w:r>
    <w:r w:rsidDel="00000000" w:rsidR="00000000" w:rsidRPr="00000000">
      <w:rPr>
        <w:rFonts w:ascii="Atkinson Hyperlegible" w:cs="Atkinson Hyperlegible" w:eastAsia="Atkinson Hyperlegible" w:hAnsi="Atkinson Hyperlegible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  <w:rtl w:val="0"/>
      </w:rPr>
      <w:t xml:space="preserve">, publícase coa </w:t>
    </w:r>
    <w:hyperlink r:id="rId2">
      <w:r w:rsidDel="00000000" w:rsidR="00000000" w:rsidRPr="00000000">
        <w:rPr>
          <w:rFonts w:ascii="Atkinson Hyperlegible" w:cs="Atkinson Hyperlegible" w:eastAsia="Atkinson Hyperlegible" w:hAnsi="Atkinson Hyperlegibl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Licenza Creative Commons Recoñecemento Non-comercial Compartir igual 4.0</w:t>
      </w:r>
    </w:hyperlink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B2">
    <w:pPr>
      <w:spacing w:after="57" w:before="57" w:lineRule="auto"/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B3">
    <w:pPr>
      <w:spacing w:after="57" w:before="57" w:lineRule="auto"/>
      <w:jc w:val="right"/>
      <w:rPr/>
    </w:pPr>
    <w:r w:rsidDel="00000000" w:rsidR="00000000" w:rsidRPr="00000000">
      <w:rPr>
        <w:rtl w:val="0"/>
      </w:rPr>
      <w:t xml:space="preserve">páxina </w:t>
    </w: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/>
      <w:drawing>
        <wp:inline distB="114300" distT="114300" distL="114300" distR="114300">
          <wp:extent cx="201600" cy="210764"/>
          <wp:effectExtent b="0" l="0" r="0" t="0"/>
          <wp:docPr id="33" name="image6.png"/>
          <a:graphic>
            <a:graphicData uri="http://schemas.openxmlformats.org/drawingml/2006/picture">
              <pic:pic>
                <pic:nvPicPr>
                  <pic:cNvPr id="0" name="image6.png"/>
                  <pic:cNvPicPr preferRelativeResize="0"/>
                </pic:nvPicPr>
                <pic:blipFill>
                  <a:blip r:embed="rId3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201600" cy="21076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cr="http://schemas.microsoft.com/office/comments/2020/reactions">
  <w:p w:rsidR="00000000" w:rsidDel="00000000" w:rsidP="00000000" w:rsidRDefault="00000000" w:rsidRPr="00000000" w14:paraId="000000B4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Liberation Serif" w:cs="Liberation Serif" w:eastAsia="Liberation Serif" w:hAnsi="Liberation Serif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cr="http://schemas.microsoft.com/office/comments/2020/reactions">
  <w:p w:rsidR="00000000" w:rsidDel="00000000" w:rsidP="00000000" w:rsidRDefault="00000000" w:rsidRPr="00000000" w14:paraId="000000AD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Liberation Serif" w:cs="Liberation Serif" w:eastAsia="Liberation Serif" w:hAnsi="Liberation Serif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cr="http://schemas.microsoft.com/office/comments/2020/reactions">
  <w:p w:rsidR="00000000" w:rsidDel="00000000" w:rsidP="00000000" w:rsidRDefault="00000000" w:rsidRPr="00000000" w14:paraId="000000AE">
    <w:pPr>
      <w:jc w:val="right"/>
      <w:rPr>
        <w:color w:val="80bde1"/>
      </w:rPr>
    </w:pPr>
    <w:r w:rsidDel="00000000" w:rsidR="00000000" w:rsidRPr="00000000">
      <w:rPr>
        <w:rFonts w:ascii="Atkinson Hyperlegible" w:cs="Atkinson Hyperlegible" w:eastAsia="Atkinson Hyperlegible" w:hAnsi="Atkinson Hyperlegible"/>
        <w:b w:val="1"/>
        <w:color w:val="80bde1"/>
        <w:rtl w:val="0"/>
      </w:rPr>
      <w:t xml:space="preserve">Expoñendo a Prehistoria</w:t>
    </w: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0" distT="0" distL="0" distR="0" hidden="0" layoutInCell="1" locked="0" relativeHeight="0" simplePos="0">
          <wp:simplePos x="0" y="0"/>
          <wp:positionH relativeFrom="column">
            <wp:posOffset>49530</wp:posOffset>
          </wp:positionH>
          <wp:positionV relativeFrom="paragraph">
            <wp:posOffset>-183513</wp:posOffset>
          </wp:positionV>
          <wp:extent cx="1104265" cy="336550"/>
          <wp:effectExtent b="0" l="0" r="0" t="0"/>
          <wp:wrapSquare wrapText="bothSides" distB="0" distT="0" distL="0" distR="0"/>
          <wp:docPr id="28" name="image2.png"/>
          <a:graphic>
            <a:graphicData uri="http://schemas.openxmlformats.org/drawingml/2006/picture">
              <pic:pic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104265" cy="336550"/>
                  </a:xfrm>
                  <a:prstGeom prst="rect"/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cr="http://schemas.microsoft.com/office/comments/2020/reactions">
  <w:p w:rsidR="00000000" w:rsidDel="00000000" w:rsidP="00000000" w:rsidRDefault="00000000" w:rsidRPr="00000000" w14:paraId="000000AF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Liberation Serif" w:cs="Liberation Serif" w:eastAsia="Liberation Serif" w:hAnsi="Liberation Serif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cr="http://schemas.microsoft.com/office/comments/2020/reactions">
  <w:docDefaults>
    <w:rPrDefault>
      <w:rPr>
        <w:rFonts w:ascii="Liberation Serif" w:cs="Liberation Serif" w:eastAsia="Liberation Serif" w:hAnsi="Liberation Serif"/>
        <w:sz w:val="24"/>
        <w:szCs w:val="24"/>
        <w:lang w:val="es-ES"/>
      </w:rPr>
    </w:rPrDefault>
    <w:pPrDefault>
      <w:pPr>
        <w:spacing w:before="15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paragraph" w:styleId="Ttulo1">
    <w:name w:val="heading 1"/>
    <w:basedOn w:val="Normal"/>
    <w:next w:val="Normal"/>
    <w:uiPriority w:val="9"/>
    <w:qFormat w:val="1"/>
    <w:pPr>
      <w:keepNext w:val="1"/>
      <w:keepLines w:val="1"/>
      <w:spacing w:after="120" w:before="480"/>
      <w:outlineLvl w:val="0"/>
    </w:pPr>
    <w:rPr>
      <w:b w:val="1"/>
      <w:sz w:val="48"/>
      <w:szCs w:val="48"/>
    </w:rPr>
  </w:style>
  <w:style w:type="paragraph" w:styleId="Ttulo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60"/>
      <w:outlineLvl w:val="1"/>
    </w:pPr>
    <w:rPr>
      <w:b w:val="1"/>
      <w:sz w:val="36"/>
      <w:szCs w:val="36"/>
    </w:rPr>
  </w:style>
  <w:style w:type="paragraph" w:styleId="Ttulo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2"/>
    </w:pPr>
    <w:rPr>
      <w:b w:val="1"/>
      <w:sz w:val="28"/>
      <w:szCs w:val="28"/>
    </w:rPr>
  </w:style>
  <w:style w:type="paragraph" w:styleId="Ttulo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40"/>
      <w:outlineLvl w:val="3"/>
    </w:pPr>
    <w:rPr>
      <w:b w:val="1"/>
    </w:rPr>
  </w:style>
  <w:style w:type="paragraph" w:styleId="Ttulo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20"/>
      <w:outlineLvl w:val="4"/>
    </w:pPr>
    <w:rPr>
      <w:b w:val="1"/>
      <w:sz w:val="22"/>
      <w:szCs w:val="22"/>
    </w:rPr>
  </w:style>
  <w:style w:type="paragraph" w:styleId="Ttulo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Fuentedeprrafopredeter" w:default="1">
    <w:name w:val="Default Paragraph Font"/>
    <w:uiPriority w:val="1"/>
    <w:semiHidden w:val="1"/>
    <w:unhideWhenUsed w:val="1"/>
  </w:style>
  <w:style w:type="table" w:styleId="Tabla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inlista" w:default="1">
    <w:name w:val="No List"/>
    <w:uiPriority w:val="99"/>
    <w:semiHidden w:val="1"/>
    <w:unhideWhenUsed w:val="1"/>
  </w:style>
  <w:style w:type="table" w:styleId="TableNormal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Ttulo">
    <w:name w:val="Title"/>
    <w:basedOn w:val="Normal"/>
    <w:next w:val="Normal"/>
    <w:uiPriority w:val="10"/>
    <w:qFormat w:val="1"/>
    <w:pPr>
      <w:keepNext w:val="1"/>
      <w:keepLines w:val="1"/>
      <w:spacing w:after="120" w:before="480"/>
    </w:pPr>
    <w:rPr>
      <w:b w:val="1"/>
      <w:sz w:val="72"/>
      <w:szCs w:val="72"/>
    </w:rPr>
  </w:style>
  <w:style w:type="paragraph" w:styleId="Subttulo">
    <w:name w:val="Subtitle"/>
    <w:basedOn w:val="Normal"/>
    <w:next w:val="Normal"/>
    <w:uiPriority w:val="11"/>
    <w:qFormat w:val="1"/>
    <w:pPr>
      <w:keepNext w:val="1"/>
      <w:keepLines w:val="1"/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a" w:customStyle="1">
    <w:basedOn w:val="TableNormal"/>
    <w:tblPr>
      <w:tblStyleRowBandSize w:val="1"/>
      <w:tblStyleColBandSize w:val="1"/>
      <w:tblCellMar>
        <w:top w:w="28.0" w:type="dxa"/>
        <w:left w:w="28.0" w:type="dxa"/>
        <w:bottom w:w="28.0" w:type="dxa"/>
        <w:right w:w="28.0" w:type="dxa"/>
      </w:tblCellMar>
    </w:tblPr>
  </w:style>
  <w:style w:type="paragraph" w:styleId="Encabezado">
    <w:name w:val="header"/>
    <w:basedOn w:val="Normal"/>
    <w:link w:val="EncabezadoCar"/>
    <w:uiPriority w:val="99"/>
    <w:unhideWhenUsed w:val="1"/>
    <w:rsid w:val="00832E71"/>
    <w:pPr>
      <w:tabs>
        <w:tab w:val="center" w:pos="4252"/>
        <w:tab w:val="right" w:pos="8504"/>
      </w:tabs>
      <w:spacing w:before="0"/>
    </w:pPr>
  </w:style>
  <w:style w:type="character" w:styleId="EncabezadoCar" w:customStyle="1">
    <w:name w:val="Encabezado Car"/>
    <w:basedOn w:val="Fuentedeprrafopredeter"/>
    <w:link w:val="Encabezado"/>
    <w:uiPriority w:val="99"/>
    <w:rsid w:val="00832E71"/>
  </w:style>
  <w:style w:type="paragraph" w:styleId="Piedepgina">
    <w:name w:val="footer"/>
    <w:basedOn w:val="Normal"/>
    <w:link w:val="PiedepginaCar"/>
    <w:uiPriority w:val="99"/>
    <w:unhideWhenUsed w:val="1"/>
    <w:rsid w:val="00832E71"/>
    <w:pPr>
      <w:tabs>
        <w:tab w:val="center" w:pos="4252"/>
        <w:tab w:val="right" w:pos="8504"/>
      </w:tabs>
      <w:spacing w:before="0"/>
    </w:pPr>
  </w:style>
  <w:style w:type="character" w:styleId="PiedepginaCar" w:customStyle="1">
    <w:name w:val="Pie de página Car"/>
    <w:basedOn w:val="Fuentedeprrafopredeter"/>
    <w:link w:val="Piedepgina"/>
    <w:uiPriority w:val="99"/>
    <w:rsid w:val="00832E71"/>
  </w:style>
  <w:style w:type="paragraph" w:styleId="Footerleft" w:customStyle="1">
    <w:name w:val="Footer left"/>
    <w:basedOn w:val="Piedepgina"/>
    <w:rsid w:val="00AE4FDE"/>
    <w:pPr>
      <w:suppressLineNumbers w:val="1"/>
      <w:tabs>
        <w:tab w:val="clear" w:pos="4252"/>
        <w:tab w:val="clear" w:pos="8504"/>
        <w:tab w:val="center" w:pos="4819"/>
        <w:tab w:val="right" w:pos="9638"/>
      </w:tabs>
      <w:suppressAutoHyphens w:val="1"/>
      <w:autoSpaceDN w:val="0"/>
      <w:textAlignment w:val="baseline"/>
    </w:pPr>
    <w:rPr>
      <w:rFonts w:ascii="Atkinson Hyperlegible" w:cs="Atkinson Hyperlegible" w:eastAsia="Atkinson Hyperlegible" w:hAnsi="Atkinson Hyperlegible"/>
      <w:kern w:val="3"/>
      <w:lang w:bidi="hi-IN" w:eastAsia="zh-CN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28.0" w:type="dxa"/>
        <w:left w:w="28.0" w:type="dxa"/>
        <w:bottom w:w="28.0" w:type="dxa"/>
        <w:right w:w="2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2.jp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4" Type="http://schemas.openxmlformats.org/officeDocument/2006/relationships/image" Target="media/image26.png"/><Relationship Id="rId23" Type="http://schemas.openxmlformats.org/officeDocument/2006/relationships/image" Target="media/image2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7.png"/><Relationship Id="rId26" Type="http://schemas.openxmlformats.org/officeDocument/2006/relationships/image" Target="media/image24.png"/><Relationship Id="rId25" Type="http://schemas.openxmlformats.org/officeDocument/2006/relationships/image" Target="media/image20.jpg"/><Relationship Id="rId28" Type="http://schemas.openxmlformats.org/officeDocument/2006/relationships/image" Target="media/image7.png"/><Relationship Id="rId27" Type="http://schemas.openxmlformats.org/officeDocument/2006/relationships/image" Target="media/image16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header" Target="header2.xml"/><Relationship Id="rId7" Type="http://schemas.openxmlformats.org/officeDocument/2006/relationships/image" Target="media/image11.png"/><Relationship Id="rId8" Type="http://schemas.openxmlformats.org/officeDocument/2006/relationships/image" Target="media/image21.png"/><Relationship Id="rId31" Type="http://schemas.openxmlformats.org/officeDocument/2006/relationships/header" Target="header1.xml"/><Relationship Id="rId30" Type="http://schemas.openxmlformats.org/officeDocument/2006/relationships/header" Target="header3.xml"/><Relationship Id="rId11" Type="http://schemas.openxmlformats.org/officeDocument/2006/relationships/image" Target="media/image22.png"/><Relationship Id="rId33" Type="http://schemas.openxmlformats.org/officeDocument/2006/relationships/footer" Target="footer3.xml"/><Relationship Id="rId10" Type="http://schemas.openxmlformats.org/officeDocument/2006/relationships/image" Target="media/image8.png"/><Relationship Id="rId32" Type="http://schemas.openxmlformats.org/officeDocument/2006/relationships/footer" Target="footer2.xml"/><Relationship Id="rId13" Type="http://schemas.openxmlformats.org/officeDocument/2006/relationships/image" Target="media/image3.jpg"/><Relationship Id="rId12" Type="http://schemas.openxmlformats.org/officeDocument/2006/relationships/image" Target="media/image14.png"/><Relationship Id="rId34" Type="http://schemas.openxmlformats.org/officeDocument/2006/relationships/footer" Target="footer1.xml"/><Relationship Id="rId15" Type="http://schemas.openxmlformats.org/officeDocument/2006/relationships/image" Target="media/image10.png"/><Relationship Id="rId14" Type="http://schemas.openxmlformats.org/officeDocument/2006/relationships/image" Target="media/image23.png"/><Relationship Id="rId17" Type="http://schemas.openxmlformats.org/officeDocument/2006/relationships/image" Target="media/image15.png"/><Relationship Id="rId16" Type="http://schemas.openxmlformats.org/officeDocument/2006/relationships/image" Target="media/image13.png"/><Relationship Id="rId19" Type="http://schemas.openxmlformats.org/officeDocument/2006/relationships/image" Target="media/image9.png"/><Relationship Id="rId18" Type="http://schemas.openxmlformats.org/officeDocument/2006/relationships/image" Target="media/image5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AtkinsonHyperlegible-regular.ttf"/><Relationship Id="rId2" Type="http://schemas.openxmlformats.org/officeDocument/2006/relationships/font" Target="fonts/AtkinsonHyperlegible-bold.ttf"/><Relationship Id="rId3" Type="http://schemas.openxmlformats.org/officeDocument/2006/relationships/font" Target="fonts/AtkinsonHyperlegible-italic.ttf"/><Relationship Id="rId4" Type="http://schemas.openxmlformats.org/officeDocument/2006/relationships/font" Target="fonts/AtkinsonHyperlegible-boldItalic.ttf"/></Relationships>
</file>

<file path=word/_rels/footer2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hyperlink" Target="https://creativecommons.org/licenses/by-nc-sa/4.0/deed.gl" TargetMode="External"/><Relationship Id="rId3" Type="http://schemas.openxmlformats.org/officeDocument/2006/relationships/image" Target="media/image6.png"/></Relationships>
</file>

<file path=word/_rels/header2.xml.rels><?xml version="1.0" encoding="UTF-8" standalone="yes"?>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JnfpcLwz8ET0fx/6EtgZp0A6OfA==">CgMxLjA4AHIhMVpRdGU2cU9hV19SZnptV1Z3UjhSdGVQbHA0LWFLbVAt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2024-07-11T19:17:00Z</dcterms:created>
  <dc:creator>Cristina</dc:creator>
</cp:coreProperties>
</file>