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567" w:right="0"/>
        <w:jc w:val="both"/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ENFERMEDADES DE CUELLO Y DE RAÍZ DE MAYOR IMPORTANCIA EN LA VID. SITUACIÓN ACTUAL EN GALICIA.</w:t>
      </w:r>
    </w:p>
    <w:p>
      <w:pPr>
        <w:pStyle w:val="style0"/>
        <w:ind w:hanging="0" w:left="567" w:right="0"/>
        <w:jc w:val="both"/>
      </w:pPr>
      <w:r>
        <w:rPr>
          <w:rFonts w:cs="Arial"/>
          <w:b/>
          <w:sz w:val="30"/>
          <w:szCs w:val="30"/>
        </w:rPr>
        <w:t>-Podredumbre</w:t>
      </w:r>
      <w:r>
        <w:rPr>
          <w:rFonts w:cs="Arial"/>
          <w:b/>
          <w:bCs/>
          <w:sz w:val="30"/>
          <w:szCs w:val="30"/>
        </w:rPr>
        <w:t xml:space="preserve"> blanca de la raíz causada por el género </w:t>
      </w:r>
      <w:r>
        <w:rPr>
          <w:rFonts w:cs="Arial"/>
          <w:b/>
          <w:bCs/>
          <w:i/>
          <w:sz w:val="30"/>
          <w:szCs w:val="30"/>
        </w:rPr>
        <w:t xml:space="preserve">Armillaria 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Síntomas y daños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Ciclo biológico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Factores que favorecen su desarrollo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Estrategias de control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Métodos de diagnóstico</w:t>
      </w:r>
    </w:p>
    <w:p>
      <w:pPr>
        <w:pStyle w:val="style0"/>
        <w:ind w:hanging="0" w:left="567" w:right="0"/>
        <w:jc w:val="both"/>
      </w:pPr>
      <w:r>
        <w:rPr>
          <w:rFonts w:cs="Arial"/>
          <w:b/>
          <w:bCs/>
          <w:sz w:val="30"/>
          <w:szCs w:val="30"/>
          <w:lang w:val="es-ES"/>
        </w:rPr>
        <w:t xml:space="preserve">-Podredumbre  blanca  lanosa  de  la  raíz causada por el género </w:t>
      </w:r>
      <w:r>
        <w:rPr>
          <w:rFonts w:cs="Arial"/>
          <w:b/>
          <w:bCs/>
          <w:i/>
          <w:sz w:val="30"/>
          <w:szCs w:val="30"/>
          <w:lang w:val="es-ES"/>
        </w:rPr>
        <w:t xml:space="preserve">Rosellinia 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Síntomas y daños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Ciclo biológico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Factores que favorecen su desarrollo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Estrategias de control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Métodos de diagnóstico</w:t>
      </w:r>
    </w:p>
    <w:p>
      <w:pPr>
        <w:pStyle w:val="style0"/>
        <w:widowControl w:val="false"/>
        <w:ind w:hanging="0" w:left="567" w:right="0"/>
        <w:jc w:val="both"/>
      </w:pPr>
      <w:r>
        <w:rPr>
          <w:rFonts w:cs="Arial"/>
          <w:b/>
          <w:sz w:val="30"/>
          <w:szCs w:val="30"/>
          <w:lang w:val="es-ES"/>
        </w:rPr>
        <w:t xml:space="preserve">-Podredumbre radicular causada por el género  </w:t>
      </w:r>
      <w:r>
        <w:rPr>
          <w:rFonts w:cs="Arial"/>
          <w:b/>
          <w:i/>
          <w:sz w:val="30"/>
          <w:szCs w:val="30"/>
          <w:lang w:val="es-ES"/>
        </w:rPr>
        <w:t xml:space="preserve">Gymnopus 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Síntomas y daños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Ciclo biológico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Factores que favorecen su desarrollo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Estrategias de control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Métodos de diagnóstico</w:t>
      </w:r>
    </w:p>
    <w:p>
      <w:pPr>
        <w:pStyle w:val="style0"/>
        <w:widowControl w:val="false"/>
        <w:spacing w:line="360" w:lineRule="auto"/>
        <w:ind w:hanging="0" w:left="567" w:right="0"/>
        <w:jc w:val="both"/>
      </w:pPr>
      <w:r>
        <w:rPr>
          <w:rFonts w:cs="Arial"/>
          <w:b/>
          <w:sz w:val="30"/>
          <w:szCs w:val="30"/>
          <w:lang w:val="es-ES"/>
        </w:rPr>
        <w:t>-</w:t>
      </w:r>
      <w:r>
        <w:rPr>
          <w:rFonts w:cs="Arial"/>
          <w:b/>
          <w:sz w:val="30"/>
          <w:szCs w:val="30"/>
          <w:lang w:val="es-MX"/>
        </w:rPr>
        <w:t xml:space="preserve">Podredumbre radicular y de cuello causada por el género </w:t>
      </w:r>
      <w:r>
        <w:rPr>
          <w:rFonts w:cs="Arial"/>
          <w:b/>
          <w:i/>
          <w:sz w:val="30"/>
          <w:szCs w:val="30"/>
          <w:lang w:val="es-MX"/>
        </w:rPr>
        <w:t xml:space="preserve">Phytophthora 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Síntomas y daños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Ciclo biológico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Factores que favorecen su desarrollo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Estrategias de control</w:t>
      </w:r>
    </w:p>
    <w:p>
      <w:pPr>
        <w:pStyle w:val="style24"/>
        <w:ind w:hanging="0" w:left="567" w:right="0"/>
        <w:jc w:val="both"/>
      </w:pPr>
      <w:r>
        <w:rPr>
          <w:sz w:val="24"/>
          <w:szCs w:val="24"/>
        </w:rPr>
        <w:t>Métodos de diagnóstico</w:t>
      </w:r>
    </w:p>
    <w:p>
      <w:pPr>
        <w:pStyle w:val="style0"/>
        <w:ind w:hanging="0" w:left="0" w:right="0"/>
        <w:jc w:val="both"/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PRÁCTICAS</w:t>
      </w:r>
    </w:p>
    <w:p>
      <w:pPr>
        <w:pStyle w:val="style0"/>
        <w:ind w:hanging="0" w:left="567" w:right="0"/>
        <w:jc w:val="both"/>
      </w:pPr>
      <w:r>
        <w:rPr/>
        <w:t>-</w:t>
      </w:r>
      <w:r>
        <w:rPr>
          <w:sz w:val="24"/>
          <w:szCs w:val="24"/>
        </w:rPr>
        <w:t>Reconocimiento y observación de los hongos responsables de las principales enfermedades de cuello y raíz de la vid</w:t>
      </w:r>
    </w:p>
    <w:p>
      <w:pPr>
        <w:pStyle w:val="style0"/>
        <w:ind w:hanging="0" w:left="567" w:right="0"/>
        <w:jc w:val="both"/>
      </w:pPr>
      <w:r>
        <w:rPr>
          <w:sz w:val="24"/>
          <w:szCs w:val="24"/>
        </w:rPr>
        <w:t>- Aplicación de las técnicas moleculares al diagnóstico de patógenos.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es-ES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alibri"/>
    </w:rPr>
  </w:style>
  <w:style w:styleId="style17" w:type="character">
    <w:name w:val="ListLabel 2"/>
    <w:next w:val="style17"/>
    <w:rPr>
      <w:rFonts w:cs="Courier New"/>
    </w:rPr>
  </w:style>
  <w:style w:styleId="style18" w:type="character">
    <w:name w:val="ListLabel 3"/>
    <w:next w:val="style18"/>
    <w:rPr>
      <w:rFonts w:cs="Calibri"/>
      <w:i w:val="false"/>
    </w:rPr>
  </w:style>
  <w:style w:styleId="style19" w:type="paragraph">
    <w:name w:val="Encabezado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Cuerpo de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Etiquet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2014-05-19T12:08:00.00Z</dcterms:created>
  <dc:creator>olga</dc:creator>
  <cp:lastModifiedBy>*</cp:lastModifiedBy>
  <dcterms:modified xsi:type="dcterms:W3CDTF">2014-05-20T09:34:00.00Z</dcterms:modified>
  <cp:revision>5</cp:revision>
</cp:coreProperties>
</file>