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0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3855"/>
        <w:gridCol w:w="567"/>
        <w:gridCol w:w="427"/>
        <w:gridCol w:w="424"/>
        <w:gridCol w:w="378"/>
        <w:gridCol w:w="7849"/>
      </w:tblGrid>
      <w:tr w:rsidR="00CF76CC" w:rsidRPr="00FD2473" w:rsidTr="00C12D6F">
        <w:trPr>
          <w:tblHeader/>
        </w:trPr>
        <w:tc>
          <w:tcPr>
            <w:tcW w:w="5000" w:type="pct"/>
            <w:gridSpan w:val="6"/>
            <w:shd w:val="clear" w:color="auto" w:fill="31849B" w:themeFill="accent5" w:themeFillShade="BF"/>
          </w:tcPr>
          <w:p w:rsidR="00CF76CC" w:rsidRDefault="00CF76CC" w:rsidP="00C12D6F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E649BF">
              <w:rPr>
                <w:rFonts w:cs="Arial"/>
                <w:b/>
                <w:color w:val="FFFFFF" w:themeColor="background1"/>
                <w:sz w:val="24"/>
                <w:szCs w:val="24"/>
              </w:rPr>
              <w:t>CIENCIAS DA NATUREZA 3º EP</w:t>
            </w:r>
          </w:p>
        </w:tc>
      </w:tr>
      <w:tr w:rsidR="00CF76CC" w:rsidRPr="00FD2473" w:rsidTr="00C12D6F">
        <w:trPr>
          <w:tblHeader/>
        </w:trPr>
        <w:tc>
          <w:tcPr>
            <w:tcW w:w="1428" w:type="pct"/>
            <w:shd w:val="clear" w:color="auto" w:fill="31849B" w:themeFill="accent5" w:themeFillShade="BF"/>
          </w:tcPr>
          <w:p w:rsidR="00CF76CC" w:rsidRPr="00E649BF" w:rsidRDefault="00CF76CC" w:rsidP="00C12D6F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E649BF">
              <w:rPr>
                <w:rFonts w:cs="Arial"/>
                <w:b/>
                <w:color w:val="FFFFFF" w:themeColor="background1"/>
                <w:szCs w:val="20"/>
              </w:rPr>
              <w:t>EA</w:t>
            </w:r>
          </w:p>
        </w:tc>
        <w:tc>
          <w:tcPr>
            <w:tcW w:w="210" w:type="pct"/>
            <w:shd w:val="clear" w:color="auto" w:fill="31849B" w:themeFill="accent5" w:themeFillShade="BF"/>
          </w:tcPr>
          <w:p w:rsidR="00CF76CC" w:rsidRPr="00E649BF" w:rsidRDefault="00CF76CC" w:rsidP="00C12D6F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>
              <w:rPr>
                <w:rFonts w:cs="Arial"/>
                <w:b/>
                <w:color w:val="FFFFFF" w:themeColor="background1"/>
                <w:szCs w:val="20"/>
              </w:rPr>
              <w:t>%</w:t>
            </w:r>
          </w:p>
        </w:tc>
        <w:tc>
          <w:tcPr>
            <w:tcW w:w="158" w:type="pct"/>
            <w:shd w:val="clear" w:color="auto" w:fill="31849B" w:themeFill="accent5" w:themeFillShade="BF"/>
          </w:tcPr>
          <w:p w:rsidR="00CF76CC" w:rsidRPr="00E649BF" w:rsidRDefault="00CF76CC" w:rsidP="00C12D6F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E649BF">
              <w:rPr>
                <w:rFonts w:cs="Arial"/>
                <w:b/>
                <w:color w:val="FFFFFF" w:themeColor="background1"/>
                <w:szCs w:val="20"/>
              </w:rPr>
              <w:t>1ª AV</w:t>
            </w:r>
          </w:p>
        </w:tc>
        <w:tc>
          <w:tcPr>
            <w:tcW w:w="157" w:type="pct"/>
            <w:shd w:val="clear" w:color="auto" w:fill="31849B" w:themeFill="accent5" w:themeFillShade="BF"/>
          </w:tcPr>
          <w:p w:rsidR="00CF76CC" w:rsidRDefault="00CF76CC" w:rsidP="00C12D6F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E649BF">
              <w:rPr>
                <w:rFonts w:cs="Arial"/>
                <w:b/>
                <w:color w:val="FFFFFF" w:themeColor="background1"/>
                <w:szCs w:val="20"/>
              </w:rPr>
              <w:t>2ª</w:t>
            </w:r>
          </w:p>
          <w:p w:rsidR="00CF76CC" w:rsidRPr="00E649BF" w:rsidRDefault="00CF76CC" w:rsidP="00C12D6F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E649BF">
              <w:rPr>
                <w:rFonts w:cs="Arial"/>
                <w:b/>
                <w:color w:val="FFFFFF" w:themeColor="background1"/>
                <w:szCs w:val="20"/>
              </w:rPr>
              <w:t>AV</w:t>
            </w:r>
          </w:p>
        </w:tc>
        <w:tc>
          <w:tcPr>
            <w:tcW w:w="140" w:type="pct"/>
            <w:shd w:val="clear" w:color="auto" w:fill="31849B" w:themeFill="accent5" w:themeFillShade="BF"/>
          </w:tcPr>
          <w:p w:rsidR="00CF76CC" w:rsidRPr="00E649BF" w:rsidRDefault="00CF76CC" w:rsidP="00C12D6F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E649BF">
              <w:rPr>
                <w:rFonts w:cs="Arial"/>
                <w:b/>
                <w:color w:val="FFFFFF" w:themeColor="background1"/>
                <w:szCs w:val="20"/>
              </w:rPr>
              <w:t>3ªAV</w:t>
            </w:r>
          </w:p>
        </w:tc>
        <w:tc>
          <w:tcPr>
            <w:tcW w:w="2907" w:type="pct"/>
            <w:shd w:val="clear" w:color="auto" w:fill="31849B" w:themeFill="accent5" w:themeFillShade="BF"/>
          </w:tcPr>
          <w:p w:rsidR="00CF76CC" w:rsidRPr="00E649BF" w:rsidRDefault="00CF76CC" w:rsidP="00C12D6F">
            <w:pPr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>
              <w:rPr>
                <w:rFonts w:cs="Arial"/>
                <w:b/>
                <w:color w:val="FFFFFF" w:themeColor="background1"/>
                <w:szCs w:val="20"/>
              </w:rPr>
              <w:t>INSTRUMENTOS DE AVALIACIÓN</w:t>
            </w:r>
          </w:p>
        </w:tc>
      </w:tr>
      <w:tr w:rsidR="00CF76CC" w:rsidRPr="00FD2473" w:rsidTr="00C12D6F">
        <w:tc>
          <w:tcPr>
            <w:tcW w:w="1428" w:type="pct"/>
            <w:shd w:val="clear" w:color="auto" w:fill="F2F2F2" w:themeFill="background1" w:themeFillShade="F2"/>
          </w:tcPr>
          <w:p w:rsidR="00CF76CC" w:rsidRPr="009B3D04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9B3D04">
              <w:rPr>
                <w:rFonts w:cs="Arial"/>
                <w:szCs w:val="20"/>
                <w:lang w:eastAsia="es-ES"/>
              </w:rPr>
              <w:t>CNB1.1.1. Busca, selecciona e organiza a información importante, obtén conclusións e comunica o resultado de forma oral e escrita de maneira ordenada, clara e limpa, en diferentes soportes.</w:t>
            </w:r>
          </w:p>
        </w:tc>
        <w:tc>
          <w:tcPr>
            <w:tcW w:w="210" w:type="pct"/>
            <w:shd w:val="clear" w:color="auto" w:fill="F2F2F2" w:themeFill="background1" w:themeFillShade="F2"/>
          </w:tcPr>
          <w:p w:rsidR="00CF76CC" w:rsidRPr="00FD2473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  <w:r>
              <w:rPr>
                <w:rFonts w:cs="Arial"/>
                <w:szCs w:val="20"/>
                <w:lang w:val="es-ES" w:eastAsia="es-ES"/>
              </w:rPr>
              <w:t>3,57</w:t>
            </w:r>
          </w:p>
        </w:tc>
        <w:tc>
          <w:tcPr>
            <w:tcW w:w="158" w:type="pct"/>
            <w:shd w:val="clear" w:color="auto" w:fill="F2F2F2" w:themeFill="background1" w:themeFillShade="F2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7" w:type="pct"/>
            <w:shd w:val="clear" w:color="auto" w:fill="F2F2F2" w:themeFill="background1" w:themeFillShade="F2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40" w:type="pct"/>
            <w:shd w:val="clear" w:color="auto" w:fill="F2F2F2" w:themeFill="background1" w:themeFillShade="F2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2907" w:type="pct"/>
            <w:shd w:val="clear" w:color="auto" w:fill="F2F2F2" w:themeFill="background1" w:themeFillShade="F2"/>
          </w:tcPr>
          <w:p w:rsidR="00CF76CC" w:rsidRPr="00FD2473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CF76CC" w:rsidRPr="00FD2473" w:rsidTr="00C12D6F">
        <w:tc>
          <w:tcPr>
            <w:tcW w:w="1428" w:type="pct"/>
            <w:shd w:val="clear" w:color="auto" w:fill="F2F2F2" w:themeFill="background1" w:themeFillShade="F2"/>
          </w:tcPr>
          <w:p w:rsidR="00CF76CC" w:rsidRPr="009B3D04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9B3D04">
              <w:rPr>
                <w:rFonts w:cs="Arial"/>
                <w:szCs w:val="20"/>
                <w:lang w:eastAsia="es-ES"/>
              </w:rPr>
              <w:t>CNB1.1.2. Manifesta certa autonomía na observación, planificación e execución de accións e tarefas e ten iniciativa na toma de decisións.</w:t>
            </w:r>
          </w:p>
        </w:tc>
        <w:tc>
          <w:tcPr>
            <w:tcW w:w="210" w:type="pct"/>
            <w:shd w:val="clear" w:color="auto" w:fill="F2F2F2" w:themeFill="background1" w:themeFillShade="F2"/>
          </w:tcPr>
          <w:p w:rsidR="00CF76CC" w:rsidRPr="00FD2473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  <w:r>
              <w:rPr>
                <w:rFonts w:cs="Arial"/>
                <w:szCs w:val="20"/>
                <w:lang w:val="es-ES" w:eastAsia="es-ES"/>
              </w:rPr>
              <w:t>3,57</w:t>
            </w:r>
          </w:p>
        </w:tc>
        <w:tc>
          <w:tcPr>
            <w:tcW w:w="158" w:type="pct"/>
            <w:shd w:val="clear" w:color="auto" w:fill="F2F2F2" w:themeFill="background1" w:themeFillShade="F2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7" w:type="pct"/>
            <w:shd w:val="clear" w:color="auto" w:fill="F2F2F2" w:themeFill="background1" w:themeFillShade="F2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40" w:type="pct"/>
            <w:shd w:val="clear" w:color="auto" w:fill="F2F2F2" w:themeFill="background1" w:themeFillShade="F2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2907" w:type="pct"/>
            <w:shd w:val="clear" w:color="auto" w:fill="F2F2F2" w:themeFill="background1" w:themeFillShade="F2"/>
          </w:tcPr>
          <w:p w:rsidR="00CF76CC" w:rsidRPr="00FD2473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CF76CC" w:rsidRPr="00FD2473" w:rsidTr="00C12D6F">
        <w:tc>
          <w:tcPr>
            <w:tcW w:w="1428" w:type="pct"/>
          </w:tcPr>
          <w:p w:rsidR="00CF76CC" w:rsidRPr="009B3D04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9B3D04">
              <w:rPr>
                <w:rFonts w:cs="Arial"/>
                <w:szCs w:val="20"/>
                <w:lang w:eastAsia="es-ES"/>
              </w:rPr>
              <w:t>CNB1.2.1. Establece conxecturas de sucesos ou problemas do seu contorno mediante a observación obtén unha información.</w:t>
            </w:r>
          </w:p>
        </w:tc>
        <w:tc>
          <w:tcPr>
            <w:tcW w:w="210" w:type="pct"/>
          </w:tcPr>
          <w:p w:rsidR="00CF76CC" w:rsidRPr="00FD2473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  <w:r>
              <w:rPr>
                <w:rFonts w:cs="Arial"/>
                <w:szCs w:val="20"/>
                <w:lang w:val="es-ES" w:eastAsia="es-ES"/>
              </w:rPr>
              <w:t>7,14</w:t>
            </w:r>
          </w:p>
        </w:tc>
        <w:tc>
          <w:tcPr>
            <w:tcW w:w="158" w:type="pct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7" w:type="pct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40" w:type="pct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2907" w:type="pct"/>
          </w:tcPr>
          <w:p w:rsidR="00CF76CC" w:rsidRPr="00FD2473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CF76CC" w:rsidRPr="00FD2473" w:rsidTr="00C12D6F">
        <w:tc>
          <w:tcPr>
            <w:tcW w:w="1428" w:type="pct"/>
            <w:shd w:val="clear" w:color="auto" w:fill="F2F2F2" w:themeFill="background1" w:themeFillShade="F2"/>
          </w:tcPr>
          <w:p w:rsidR="00CF76CC" w:rsidRPr="009B3D04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9B3D04">
              <w:rPr>
                <w:rFonts w:cs="Arial"/>
                <w:szCs w:val="20"/>
                <w:lang w:eastAsia="es-ES"/>
              </w:rPr>
              <w:t>CNB1.3.1. Coñece e aplica estratexias para estudar e traballar de forma eficaz individualmente e en equipo, amosando habilidades para a resolución pacífica de conflitos.</w:t>
            </w:r>
          </w:p>
        </w:tc>
        <w:tc>
          <w:tcPr>
            <w:tcW w:w="210" w:type="pct"/>
            <w:shd w:val="clear" w:color="auto" w:fill="F2F2F2" w:themeFill="background1" w:themeFillShade="F2"/>
          </w:tcPr>
          <w:p w:rsidR="00CF76CC" w:rsidRPr="00FD2473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  <w:r>
              <w:rPr>
                <w:rFonts w:cs="Arial"/>
                <w:szCs w:val="20"/>
                <w:lang w:val="es-ES" w:eastAsia="es-ES"/>
              </w:rPr>
              <w:t>7,14</w:t>
            </w:r>
          </w:p>
        </w:tc>
        <w:tc>
          <w:tcPr>
            <w:tcW w:w="158" w:type="pct"/>
            <w:shd w:val="clear" w:color="auto" w:fill="F2F2F2" w:themeFill="background1" w:themeFillShade="F2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7" w:type="pct"/>
            <w:shd w:val="clear" w:color="auto" w:fill="F2F2F2" w:themeFill="background1" w:themeFillShade="F2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40" w:type="pct"/>
            <w:shd w:val="clear" w:color="auto" w:fill="F2F2F2" w:themeFill="background1" w:themeFillShade="F2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2907" w:type="pct"/>
            <w:shd w:val="clear" w:color="auto" w:fill="F2F2F2" w:themeFill="background1" w:themeFillShade="F2"/>
          </w:tcPr>
          <w:p w:rsidR="00CF76CC" w:rsidRPr="00FD2473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CF76CC" w:rsidRPr="00FD2473" w:rsidTr="00C12D6F">
        <w:tc>
          <w:tcPr>
            <w:tcW w:w="1428" w:type="pct"/>
          </w:tcPr>
          <w:p w:rsidR="00CF76CC" w:rsidRPr="009B3D04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9B3D04">
              <w:rPr>
                <w:rFonts w:cs="Arial"/>
                <w:szCs w:val="20"/>
                <w:lang w:eastAsia="es-ES"/>
              </w:rPr>
              <w:t>CNB2.1.1. Explica a morfoloxía externa do propio corpo, o seu funcionamento nun sentido global e os cambios nas distintas etapas da vida.</w:t>
            </w:r>
          </w:p>
        </w:tc>
        <w:tc>
          <w:tcPr>
            <w:tcW w:w="210" w:type="pct"/>
          </w:tcPr>
          <w:p w:rsidR="00CF76CC" w:rsidRPr="00FD2473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  <w:r>
              <w:rPr>
                <w:rFonts w:cs="Arial"/>
                <w:szCs w:val="20"/>
                <w:lang w:val="es-ES" w:eastAsia="es-ES"/>
              </w:rPr>
              <w:t>3,57</w:t>
            </w:r>
          </w:p>
        </w:tc>
        <w:tc>
          <w:tcPr>
            <w:tcW w:w="158" w:type="pct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7" w:type="pct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40" w:type="pct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2907" w:type="pct"/>
          </w:tcPr>
          <w:p w:rsidR="00CF76CC" w:rsidRPr="00FD2473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CF76CC" w:rsidRPr="00FD2473" w:rsidTr="00C12D6F">
        <w:tc>
          <w:tcPr>
            <w:tcW w:w="1428" w:type="pct"/>
          </w:tcPr>
          <w:p w:rsidR="00CF76CC" w:rsidRPr="009B3D04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9B3D04">
              <w:rPr>
                <w:rFonts w:cs="Arial"/>
                <w:szCs w:val="20"/>
                <w:lang w:eastAsia="es-ES"/>
              </w:rPr>
              <w:t>CNB2.1.2. Coñece os principais órganos vitais e entende a súa importancia no funcionamento do organismo.</w:t>
            </w:r>
          </w:p>
        </w:tc>
        <w:tc>
          <w:tcPr>
            <w:tcW w:w="210" w:type="pct"/>
          </w:tcPr>
          <w:p w:rsidR="00CF76CC" w:rsidRPr="00FD2473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  <w:r>
              <w:rPr>
                <w:rFonts w:cs="Arial"/>
                <w:szCs w:val="20"/>
                <w:lang w:val="es-ES" w:eastAsia="es-ES"/>
              </w:rPr>
              <w:t>3,57</w:t>
            </w:r>
          </w:p>
        </w:tc>
        <w:tc>
          <w:tcPr>
            <w:tcW w:w="158" w:type="pct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7" w:type="pct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40" w:type="pct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2907" w:type="pct"/>
          </w:tcPr>
          <w:p w:rsidR="00CF76CC" w:rsidRPr="00FD2473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CF76CC" w:rsidRPr="00FD2473" w:rsidTr="00C12D6F">
        <w:tc>
          <w:tcPr>
            <w:tcW w:w="1428" w:type="pct"/>
            <w:shd w:val="clear" w:color="auto" w:fill="F2F2F2" w:themeFill="background1" w:themeFillShade="F2"/>
          </w:tcPr>
          <w:p w:rsidR="00CF76CC" w:rsidRPr="009B3D04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9B3D04">
              <w:rPr>
                <w:rFonts w:cs="Arial"/>
                <w:szCs w:val="20"/>
                <w:lang w:eastAsia="es-ES"/>
              </w:rPr>
              <w:t>CNB2.2.1 Emprega hábitos de hixiene, de exercicio e de alimentación sa na escola.</w:t>
            </w:r>
          </w:p>
        </w:tc>
        <w:tc>
          <w:tcPr>
            <w:tcW w:w="210" w:type="pct"/>
            <w:shd w:val="clear" w:color="auto" w:fill="F2F2F2" w:themeFill="background1" w:themeFillShade="F2"/>
          </w:tcPr>
          <w:p w:rsidR="00CF76CC" w:rsidRPr="00FD2473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  <w:r>
              <w:rPr>
                <w:rFonts w:cs="Arial"/>
                <w:szCs w:val="20"/>
                <w:lang w:val="es-ES" w:eastAsia="es-ES"/>
              </w:rPr>
              <w:t>3,57</w:t>
            </w:r>
          </w:p>
        </w:tc>
        <w:tc>
          <w:tcPr>
            <w:tcW w:w="158" w:type="pct"/>
            <w:shd w:val="clear" w:color="auto" w:fill="F2F2F2" w:themeFill="background1" w:themeFillShade="F2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7" w:type="pct"/>
            <w:shd w:val="clear" w:color="auto" w:fill="F2F2F2" w:themeFill="background1" w:themeFillShade="F2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40" w:type="pct"/>
            <w:shd w:val="clear" w:color="auto" w:fill="F2F2F2" w:themeFill="background1" w:themeFillShade="F2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2907" w:type="pct"/>
            <w:shd w:val="clear" w:color="auto" w:fill="F2F2F2" w:themeFill="background1" w:themeFillShade="F2"/>
          </w:tcPr>
          <w:p w:rsidR="00CF76CC" w:rsidRPr="00FD2473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CF76CC" w:rsidRPr="00FD2473" w:rsidTr="00C12D6F">
        <w:tc>
          <w:tcPr>
            <w:tcW w:w="1428" w:type="pct"/>
            <w:shd w:val="clear" w:color="auto" w:fill="F2F2F2" w:themeFill="background1" w:themeFillShade="F2"/>
          </w:tcPr>
          <w:p w:rsidR="00CF76CC" w:rsidRPr="009B3D04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9B3D04">
              <w:rPr>
                <w:rFonts w:cs="Arial"/>
                <w:szCs w:val="20"/>
                <w:lang w:eastAsia="es-ES"/>
              </w:rPr>
              <w:t>CNB2.2.2. Recoñece algúns factores causantes das enfermidades máis habituais (caries, catarros, gripe e obesidade) e aplica actuacións para á súa prevención.</w:t>
            </w:r>
          </w:p>
        </w:tc>
        <w:tc>
          <w:tcPr>
            <w:tcW w:w="210" w:type="pct"/>
            <w:shd w:val="clear" w:color="auto" w:fill="F2F2F2" w:themeFill="background1" w:themeFillShade="F2"/>
          </w:tcPr>
          <w:p w:rsidR="00CF76CC" w:rsidRPr="00FD2473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  <w:r>
              <w:rPr>
                <w:rFonts w:cs="Arial"/>
                <w:szCs w:val="20"/>
                <w:lang w:val="es-ES" w:eastAsia="es-ES"/>
              </w:rPr>
              <w:t>3,57</w:t>
            </w:r>
          </w:p>
        </w:tc>
        <w:tc>
          <w:tcPr>
            <w:tcW w:w="158" w:type="pct"/>
            <w:shd w:val="clear" w:color="auto" w:fill="F2F2F2" w:themeFill="background1" w:themeFillShade="F2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7" w:type="pct"/>
            <w:shd w:val="clear" w:color="auto" w:fill="F2F2F2" w:themeFill="background1" w:themeFillShade="F2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40" w:type="pct"/>
            <w:shd w:val="clear" w:color="auto" w:fill="F2F2F2" w:themeFill="background1" w:themeFillShade="F2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2907" w:type="pct"/>
            <w:shd w:val="clear" w:color="auto" w:fill="F2F2F2" w:themeFill="background1" w:themeFillShade="F2"/>
          </w:tcPr>
          <w:p w:rsidR="00CF76CC" w:rsidRPr="00FD2473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CF76CC" w:rsidRPr="00FD2473" w:rsidTr="00C12D6F">
        <w:tc>
          <w:tcPr>
            <w:tcW w:w="1428" w:type="pct"/>
          </w:tcPr>
          <w:p w:rsidR="00CF76CC" w:rsidRPr="009B3D04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9B3D04">
              <w:rPr>
                <w:rFonts w:cs="Arial"/>
                <w:szCs w:val="20"/>
                <w:lang w:eastAsia="es-ES"/>
              </w:rPr>
              <w:lastRenderedPageBreak/>
              <w:t>CNB2.3.1. Clasifica alimentos en función dos nutrientes principais.</w:t>
            </w:r>
          </w:p>
        </w:tc>
        <w:tc>
          <w:tcPr>
            <w:tcW w:w="210" w:type="pct"/>
          </w:tcPr>
          <w:p w:rsidR="00CF76CC" w:rsidRPr="00FD2473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  <w:r>
              <w:rPr>
                <w:rFonts w:cs="Arial"/>
                <w:szCs w:val="20"/>
                <w:lang w:val="es-ES" w:eastAsia="es-ES"/>
              </w:rPr>
              <w:t>3,57</w:t>
            </w:r>
          </w:p>
        </w:tc>
        <w:tc>
          <w:tcPr>
            <w:tcW w:w="158" w:type="pct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7" w:type="pct"/>
          </w:tcPr>
          <w:p w:rsidR="00CF76CC" w:rsidRPr="00FD2473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140" w:type="pct"/>
          </w:tcPr>
          <w:p w:rsidR="00CF76CC" w:rsidRPr="00FD2473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907" w:type="pct"/>
          </w:tcPr>
          <w:p w:rsidR="00CF76CC" w:rsidRPr="00FD2473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CF76CC" w:rsidRPr="00FD2473" w:rsidTr="00C12D6F">
        <w:tc>
          <w:tcPr>
            <w:tcW w:w="1428" w:type="pct"/>
          </w:tcPr>
          <w:p w:rsidR="00CF76CC" w:rsidRPr="009B3D04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9B3D04">
              <w:rPr>
                <w:rFonts w:cs="Arial"/>
                <w:szCs w:val="20"/>
                <w:lang w:eastAsia="es-ES"/>
              </w:rPr>
              <w:t>CNB2.3.2. Diferencia entre dieta equilibrada e non equilibrada e elabora un menú saudable na escola.</w:t>
            </w:r>
          </w:p>
        </w:tc>
        <w:tc>
          <w:tcPr>
            <w:tcW w:w="210" w:type="pct"/>
          </w:tcPr>
          <w:p w:rsidR="00CF76CC" w:rsidRPr="00FD2473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  <w:r>
              <w:rPr>
                <w:rFonts w:cs="Arial"/>
                <w:szCs w:val="20"/>
                <w:lang w:val="es-ES" w:eastAsia="es-ES"/>
              </w:rPr>
              <w:t>3,57</w:t>
            </w:r>
          </w:p>
        </w:tc>
        <w:tc>
          <w:tcPr>
            <w:tcW w:w="158" w:type="pct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7" w:type="pct"/>
          </w:tcPr>
          <w:p w:rsidR="00CF76CC" w:rsidRPr="00FD2473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140" w:type="pct"/>
          </w:tcPr>
          <w:p w:rsidR="00CF76CC" w:rsidRPr="00FD2473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907" w:type="pct"/>
          </w:tcPr>
          <w:p w:rsidR="00CF76CC" w:rsidRPr="00FD2473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CF76CC" w:rsidRPr="00FD2473" w:rsidTr="00C12D6F">
        <w:tc>
          <w:tcPr>
            <w:tcW w:w="1428" w:type="pct"/>
            <w:shd w:val="clear" w:color="auto" w:fill="F2F2F2" w:themeFill="background1" w:themeFillShade="F2"/>
          </w:tcPr>
          <w:p w:rsidR="00CF76CC" w:rsidRPr="009B3D04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9B3D04">
              <w:rPr>
                <w:rFonts w:cs="Arial"/>
                <w:szCs w:val="20"/>
                <w:lang w:eastAsia="es-ES"/>
              </w:rPr>
              <w:t>CNB3.1.1. Observa, identifica e recoñece as características básicas e clasifica animais vertebrados e invertebrados do seu contorno, con criterio científico.</w:t>
            </w:r>
          </w:p>
        </w:tc>
        <w:tc>
          <w:tcPr>
            <w:tcW w:w="210" w:type="pct"/>
            <w:shd w:val="clear" w:color="auto" w:fill="F2F2F2" w:themeFill="background1" w:themeFillShade="F2"/>
          </w:tcPr>
          <w:p w:rsidR="00CF76CC" w:rsidRPr="00FD2473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  <w:r>
              <w:rPr>
                <w:rFonts w:cs="Arial"/>
                <w:szCs w:val="20"/>
                <w:lang w:val="es-ES" w:eastAsia="es-ES"/>
              </w:rPr>
              <w:t>2,38</w:t>
            </w:r>
          </w:p>
        </w:tc>
        <w:tc>
          <w:tcPr>
            <w:tcW w:w="158" w:type="pct"/>
            <w:shd w:val="clear" w:color="auto" w:fill="F2F2F2" w:themeFill="background1" w:themeFillShade="F2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7" w:type="pct"/>
            <w:shd w:val="clear" w:color="auto" w:fill="F2F2F2" w:themeFill="background1" w:themeFillShade="F2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40" w:type="pct"/>
            <w:shd w:val="clear" w:color="auto" w:fill="F2F2F2" w:themeFill="background1" w:themeFillShade="F2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2907" w:type="pct"/>
            <w:shd w:val="clear" w:color="auto" w:fill="F2F2F2" w:themeFill="background1" w:themeFillShade="F2"/>
          </w:tcPr>
          <w:p w:rsidR="00CF76CC" w:rsidRPr="00FD2473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CF76CC" w:rsidRPr="00FD2473" w:rsidTr="00C12D6F">
        <w:tc>
          <w:tcPr>
            <w:tcW w:w="1428" w:type="pct"/>
            <w:shd w:val="clear" w:color="auto" w:fill="F2F2F2" w:themeFill="background1" w:themeFillShade="F2"/>
          </w:tcPr>
          <w:p w:rsidR="00CF76CC" w:rsidRPr="009B3D04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9B3D04">
              <w:rPr>
                <w:rFonts w:cs="Arial"/>
                <w:szCs w:val="20"/>
                <w:lang w:eastAsia="es-ES"/>
              </w:rPr>
              <w:t>CNB3.1.2. Observa, identifica e recoñece as características das plantas do seu contorno e clasifícaas con criterio científico.</w:t>
            </w:r>
          </w:p>
        </w:tc>
        <w:tc>
          <w:tcPr>
            <w:tcW w:w="210" w:type="pct"/>
            <w:shd w:val="clear" w:color="auto" w:fill="F2F2F2" w:themeFill="background1" w:themeFillShade="F2"/>
          </w:tcPr>
          <w:p w:rsidR="00CF76CC" w:rsidRPr="00FD2473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  <w:r>
              <w:rPr>
                <w:rFonts w:cs="Arial"/>
                <w:szCs w:val="20"/>
                <w:lang w:val="es-ES" w:eastAsia="es-ES"/>
              </w:rPr>
              <w:t>2,38</w:t>
            </w:r>
          </w:p>
        </w:tc>
        <w:tc>
          <w:tcPr>
            <w:tcW w:w="158" w:type="pct"/>
            <w:shd w:val="clear" w:color="auto" w:fill="F2F2F2" w:themeFill="background1" w:themeFillShade="F2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7" w:type="pct"/>
            <w:shd w:val="clear" w:color="auto" w:fill="F2F2F2" w:themeFill="background1" w:themeFillShade="F2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40" w:type="pct"/>
            <w:shd w:val="clear" w:color="auto" w:fill="F2F2F2" w:themeFill="background1" w:themeFillShade="F2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2907" w:type="pct"/>
            <w:shd w:val="clear" w:color="auto" w:fill="F2F2F2" w:themeFill="background1" w:themeFillShade="F2"/>
          </w:tcPr>
          <w:p w:rsidR="00CF76CC" w:rsidRPr="00FD2473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CF76CC" w:rsidRPr="00FD2473" w:rsidTr="00C12D6F">
        <w:tc>
          <w:tcPr>
            <w:tcW w:w="1428" w:type="pct"/>
            <w:shd w:val="clear" w:color="auto" w:fill="F2F2F2" w:themeFill="background1" w:themeFillShade="F2"/>
          </w:tcPr>
          <w:p w:rsidR="00CF76CC" w:rsidRPr="009B3D04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9B3D04">
              <w:rPr>
                <w:rFonts w:cs="Arial"/>
                <w:szCs w:val="20"/>
                <w:lang w:eastAsia="es-ES"/>
              </w:rPr>
              <w:t>CNB3.1.3. Utiliza claves e guías para a clasificación de animais e plantas.</w:t>
            </w:r>
          </w:p>
        </w:tc>
        <w:tc>
          <w:tcPr>
            <w:tcW w:w="210" w:type="pct"/>
            <w:shd w:val="clear" w:color="auto" w:fill="F2F2F2" w:themeFill="background1" w:themeFillShade="F2"/>
          </w:tcPr>
          <w:p w:rsidR="00CF76CC" w:rsidRPr="00FD2473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  <w:r>
              <w:rPr>
                <w:rFonts w:cs="Arial"/>
                <w:szCs w:val="20"/>
                <w:lang w:val="es-ES" w:eastAsia="es-ES"/>
              </w:rPr>
              <w:t>2,38</w:t>
            </w:r>
          </w:p>
        </w:tc>
        <w:tc>
          <w:tcPr>
            <w:tcW w:w="158" w:type="pct"/>
            <w:shd w:val="clear" w:color="auto" w:fill="F2F2F2" w:themeFill="background1" w:themeFillShade="F2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7" w:type="pct"/>
            <w:shd w:val="clear" w:color="auto" w:fill="F2F2F2" w:themeFill="background1" w:themeFillShade="F2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40" w:type="pct"/>
            <w:shd w:val="clear" w:color="auto" w:fill="F2F2F2" w:themeFill="background1" w:themeFillShade="F2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2907" w:type="pct"/>
            <w:shd w:val="clear" w:color="auto" w:fill="F2F2F2" w:themeFill="background1" w:themeFillShade="F2"/>
          </w:tcPr>
          <w:p w:rsidR="00CF76CC" w:rsidRPr="00FD2473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CF76CC" w:rsidRPr="00FD2473" w:rsidTr="00C12D6F">
        <w:tc>
          <w:tcPr>
            <w:tcW w:w="1428" w:type="pct"/>
          </w:tcPr>
          <w:p w:rsidR="00CF76CC" w:rsidRPr="009B3D04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9B3D04">
              <w:rPr>
                <w:rFonts w:cs="Arial"/>
                <w:szCs w:val="20"/>
                <w:lang w:eastAsia="es-ES"/>
              </w:rPr>
              <w:t>CNB3.2.1. Coñece as funcións de relación, reprodución e alimentación dun ser vivo e as explica empregando diferentes soportes.</w:t>
            </w:r>
          </w:p>
        </w:tc>
        <w:tc>
          <w:tcPr>
            <w:tcW w:w="210" w:type="pct"/>
          </w:tcPr>
          <w:p w:rsidR="00CF76CC" w:rsidRPr="00FD2473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  <w:r>
              <w:rPr>
                <w:rFonts w:cs="Arial"/>
                <w:szCs w:val="20"/>
                <w:lang w:val="es-ES" w:eastAsia="es-ES"/>
              </w:rPr>
              <w:t>3,57</w:t>
            </w:r>
          </w:p>
        </w:tc>
        <w:tc>
          <w:tcPr>
            <w:tcW w:w="158" w:type="pct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7" w:type="pct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40" w:type="pct"/>
          </w:tcPr>
          <w:p w:rsidR="00CF76CC" w:rsidRPr="00FD2473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907" w:type="pct"/>
          </w:tcPr>
          <w:p w:rsidR="00CF76CC" w:rsidRPr="00FD2473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CF76CC" w:rsidRPr="00FD2473" w:rsidTr="00C12D6F">
        <w:tc>
          <w:tcPr>
            <w:tcW w:w="1428" w:type="pct"/>
          </w:tcPr>
          <w:p w:rsidR="00CF76CC" w:rsidRPr="009B3D04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9B3D04">
              <w:rPr>
                <w:rFonts w:cs="Arial"/>
                <w:szCs w:val="20"/>
                <w:lang w:eastAsia="es-ES"/>
              </w:rPr>
              <w:t>CNB3.2.2. Rexistra e comunica de xeito oral e escrito os resultados da observación do ciclo vital previamente planificado.</w:t>
            </w:r>
          </w:p>
        </w:tc>
        <w:tc>
          <w:tcPr>
            <w:tcW w:w="210" w:type="pct"/>
          </w:tcPr>
          <w:p w:rsidR="00CF76CC" w:rsidRPr="00FD2473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  <w:r>
              <w:rPr>
                <w:rFonts w:cs="Arial"/>
                <w:szCs w:val="20"/>
                <w:lang w:val="es-ES" w:eastAsia="es-ES"/>
              </w:rPr>
              <w:t>3,57</w:t>
            </w:r>
          </w:p>
        </w:tc>
        <w:tc>
          <w:tcPr>
            <w:tcW w:w="158" w:type="pct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7" w:type="pct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40" w:type="pct"/>
          </w:tcPr>
          <w:p w:rsidR="00CF76CC" w:rsidRPr="00FD2473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  <w:tc>
          <w:tcPr>
            <w:tcW w:w="2907" w:type="pct"/>
          </w:tcPr>
          <w:p w:rsidR="00CF76CC" w:rsidRPr="00FD2473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CF76CC" w:rsidRPr="00FD2473" w:rsidTr="00C12D6F">
        <w:tc>
          <w:tcPr>
            <w:tcW w:w="1428" w:type="pct"/>
            <w:shd w:val="clear" w:color="auto" w:fill="F2F2F2" w:themeFill="background1" w:themeFillShade="F2"/>
          </w:tcPr>
          <w:p w:rsidR="00CF76CC" w:rsidRPr="009B3D04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9B3D04">
              <w:rPr>
                <w:rFonts w:cs="Arial"/>
                <w:szCs w:val="20"/>
                <w:lang w:eastAsia="es-ES"/>
              </w:rPr>
              <w:t>CNB4.1.1 Coñece algunhas fontes de enerxía, os seus usos e a súa intervención na vida cotiá.</w:t>
            </w:r>
          </w:p>
        </w:tc>
        <w:tc>
          <w:tcPr>
            <w:tcW w:w="210" w:type="pct"/>
            <w:shd w:val="clear" w:color="auto" w:fill="F2F2F2" w:themeFill="background1" w:themeFillShade="F2"/>
          </w:tcPr>
          <w:p w:rsidR="00CF76CC" w:rsidRPr="00FD2473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  <w:r>
              <w:rPr>
                <w:rFonts w:cs="Arial"/>
                <w:szCs w:val="20"/>
                <w:lang w:val="es-ES" w:eastAsia="es-ES"/>
              </w:rPr>
              <w:t>3,57</w:t>
            </w:r>
          </w:p>
        </w:tc>
        <w:tc>
          <w:tcPr>
            <w:tcW w:w="158" w:type="pct"/>
            <w:shd w:val="clear" w:color="auto" w:fill="F2F2F2" w:themeFill="background1" w:themeFillShade="F2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7" w:type="pct"/>
            <w:shd w:val="clear" w:color="auto" w:fill="F2F2F2" w:themeFill="background1" w:themeFillShade="F2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40" w:type="pct"/>
            <w:shd w:val="clear" w:color="auto" w:fill="F2F2F2" w:themeFill="background1" w:themeFillShade="F2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2907" w:type="pct"/>
            <w:shd w:val="clear" w:color="auto" w:fill="F2F2F2" w:themeFill="background1" w:themeFillShade="F2"/>
          </w:tcPr>
          <w:p w:rsidR="00CF76CC" w:rsidRPr="00FD2473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CF76CC" w:rsidRPr="00FD2473" w:rsidTr="00C12D6F">
        <w:tc>
          <w:tcPr>
            <w:tcW w:w="1428" w:type="pct"/>
            <w:shd w:val="clear" w:color="auto" w:fill="F2F2F2" w:themeFill="background1" w:themeFillShade="F2"/>
          </w:tcPr>
          <w:p w:rsidR="00CF76CC" w:rsidRPr="009B3D04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9B3D04">
              <w:rPr>
                <w:rFonts w:cs="Arial"/>
                <w:szCs w:val="20"/>
                <w:lang w:eastAsia="es-ES"/>
              </w:rPr>
              <w:t>CNB4.1.2. Emprega actitudes responsables de aforro enerxético e de recollida de residuos na escola.</w:t>
            </w:r>
          </w:p>
        </w:tc>
        <w:tc>
          <w:tcPr>
            <w:tcW w:w="210" w:type="pct"/>
            <w:shd w:val="clear" w:color="auto" w:fill="F2F2F2" w:themeFill="background1" w:themeFillShade="F2"/>
          </w:tcPr>
          <w:p w:rsidR="00CF76CC" w:rsidRPr="00FD2473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  <w:r>
              <w:rPr>
                <w:rFonts w:cs="Arial"/>
                <w:szCs w:val="20"/>
                <w:lang w:val="es-ES" w:eastAsia="es-ES"/>
              </w:rPr>
              <w:t>3,57</w:t>
            </w:r>
          </w:p>
        </w:tc>
        <w:tc>
          <w:tcPr>
            <w:tcW w:w="158" w:type="pct"/>
            <w:shd w:val="clear" w:color="auto" w:fill="F2F2F2" w:themeFill="background1" w:themeFillShade="F2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7" w:type="pct"/>
            <w:shd w:val="clear" w:color="auto" w:fill="F2F2F2" w:themeFill="background1" w:themeFillShade="F2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40" w:type="pct"/>
            <w:shd w:val="clear" w:color="auto" w:fill="F2F2F2" w:themeFill="background1" w:themeFillShade="F2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2907" w:type="pct"/>
            <w:shd w:val="clear" w:color="auto" w:fill="F2F2F2" w:themeFill="background1" w:themeFillShade="F2"/>
          </w:tcPr>
          <w:p w:rsidR="00CF76CC" w:rsidRPr="00FD2473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CF76CC" w:rsidRPr="00FD2473" w:rsidTr="00C12D6F">
        <w:tc>
          <w:tcPr>
            <w:tcW w:w="1428" w:type="pct"/>
          </w:tcPr>
          <w:p w:rsidR="00CF76CC" w:rsidRPr="009B3D04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9B3D04">
              <w:rPr>
                <w:rFonts w:cs="Arial"/>
                <w:szCs w:val="20"/>
                <w:lang w:eastAsia="es-ES"/>
              </w:rPr>
              <w:t>CNB4.2.1. Explica os cambios de estado da auga en fenómenos naturais e situacións da vida cotián.</w:t>
            </w:r>
          </w:p>
        </w:tc>
        <w:tc>
          <w:tcPr>
            <w:tcW w:w="210" w:type="pct"/>
          </w:tcPr>
          <w:p w:rsidR="00CF76CC" w:rsidRPr="00FD2473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  <w:r>
              <w:rPr>
                <w:rFonts w:cs="Arial"/>
                <w:szCs w:val="20"/>
                <w:lang w:val="es-ES" w:eastAsia="es-ES"/>
              </w:rPr>
              <w:t>3,57</w:t>
            </w:r>
          </w:p>
        </w:tc>
        <w:tc>
          <w:tcPr>
            <w:tcW w:w="158" w:type="pct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7" w:type="pct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40" w:type="pct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2907" w:type="pct"/>
          </w:tcPr>
          <w:p w:rsidR="00CF76CC" w:rsidRPr="00FD2473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CF76CC" w:rsidRPr="00FD2473" w:rsidTr="00C12D6F">
        <w:tc>
          <w:tcPr>
            <w:tcW w:w="1428" w:type="pct"/>
          </w:tcPr>
          <w:p w:rsidR="00CF76CC" w:rsidRPr="009B3D04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9B3D04">
              <w:rPr>
                <w:rFonts w:cs="Arial"/>
                <w:szCs w:val="20"/>
                <w:lang w:eastAsia="es-ES"/>
              </w:rPr>
              <w:lastRenderedPageBreak/>
              <w:t>CNB4.2.2. Realiza experiencias sinxelas para identificar as forzas que fan que os obxectos se movan en situacións reais.</w:t>
            </w:r>
          </w:p>
        </w:tc>
        <w:tc>
          <w:tcPr>
            <w:tcW w:w="210" w:type="pct"/>
          </w:tcPr>
          <w:p w:rsidR="00CF76CC" w:rsidRPr="00FD2473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  <w:r>
              <w:rPr>
                <w:rFonts w:cs="Arial"/>
                <w:szCs w:val="20"/>
                <w:lang w:val="es-ES" w:eastAsia="es-ES"/>
              </w:rPr>
              <w:t>3,57</w:t>
            </w:r>
          </w:p>
        </w:tc>
        <w:tc>
          <w:tcPr>
            <w:tcW w:w="158" w:type="pct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7" w:type="pct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40" w:type="pct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2907" w:type="pct"/>
          </w:tcPr>
          <w:p w:rsidR="00CF76CC" w:rsidRPr="00FD2473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CF76CC" w:rsidRPr="00FD2473" w:rsidTr="00C12D6F">
        <w:tc>
          <w:tcPr>
            <w:tcW w:w="1428" w:type="pct"/>
            <w:shd w:val="clear" w:color="auto" w:fill="F2F2F2" w:themeFill="background1" w:themeFillShade="F2"/>
          </w:tcPr>
          <w:p w:rsidR="00CF76CC" w:rsidRPr="009B3D04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9B3D04">
              <w:rPr>
                <w:rFonts w:cs="Arial"/>
                <w:szCs w:val="20"/>
                <w:lang w:eastAsia="es-ES"/>
              </w:rPr>
              <w:t>CNB4.3.1. Compara densidades de diferentes sustancias que emprega diariamente con respecto á auga.</w:t>
            </w:r>
          </w:p>
        </w:tc>
        <w:tc>
          <w:tcPr>
            <w:tcW w:w="210" w:type="pct"/>
            <w:shd w:val="clear" w:color="auto" w:fill="F2F2F2" w:themeFill="background1" w:themeFillShade="F2"/>
          </w:tcPr>
          <w:p w:rsidR="00CF76CC" w:rsidRPr="00FD2473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  <w:r>
              <w:rPr>
                <w:rFonts w:cs="Arial"/>
                <w:szCs w:val="20"/>
                <w:lang w:val="es-ES" w:eastAsia="es-ES"/>
              </w:rPr>
              <w:t>7,14</w:t>
            </w:r>
          </w:p>
        </w:tc>
        <w:tc>
          <w:tcPr>
            <w:tcW w:w="158" w:type="pct"/>
            <w:shd w:val="clear" w:color="auto" w:fill="F2F2F2" w:themeFill="background1" w:themeFillShade="F2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7" w:type="pct"/>
            <w:shd w:val="clear" w:color="auto" w:fill="F2F2F2" w:themeFill="background1" w:themeFillShade="F2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40" w:type="pct"/>
            <w:shd w:val="clear" w:color="auto" w:fill="F2F2F2" w:themeFill="background1" w:themeFillShade="F2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2907" w:type="pct"/>
            <w:shd w:val="clear" w:color="auto" w:fill="F2F2F2" w:themeFill="background1" w:themeFillShade="F2"/>
          </w:tcPr>
          <w:p w:rsidR="00CF76CC" w:rsidRPr="00FD2473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CF76CC" w:rsidRPr="00FD2473" w:rsidTr="00C12D6F">
        <w:tc>
          <w:tcPr>
            <w:tcW w:w="1428" w:type="pct"/>
            <w:shd w:val="clear" w:color="auto" w:fill="F2F2F2" w:themeFill="background1" w:themeFillShade="F2"/>
          </w:tcPr>
          <w:p w:rsidR="00CF76CC" w:rsidRPr="009B3D04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9B3D04">
              <w:rPr>
                <w:rFonts w:cs="Arial"/>
                <w:szCs w:val="20"/>
                <w:lang w:eastAsia="es-ES"/>
              </w:rPr>
              <w:t>CNB4.3.2. Realiza algunhas mesturas de uso doméstico e presenta conclusións dos resultados.</w:t>
            </w:r>
          </w:p>
        </w:tc>
        <w:tc>
          <w:tcPr>
            <w:tcW w:w="210" w:type="pct"/>
            <w:shd w:val="clear" w:color="auto" w:fill="F2F2F2" w:themeFill="background1" w:themeFillShade="F2"/>
          </w:tcPr>
          <w:p w:rsidR="00CF76CC" w:rsidRPr="00FD2473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  <w:r>
              <w:rPr>
                <w:rFonts w:cs="Arial"/>
                <w:szCs w:val="20"/>
                <w:lang w:val="es-ES" w:eastAsia="es-ES"/>
              </w:rPr>
              <w:t>7,14</w:t>
            </w:r>
          </w:p>
        </w:tc>
        <w:tc>
          <w:tcPr>
            <w:tcW w:w="158" w:type="pct"/>
            <w:shd w:val="clear" w:color="auto" w:fill="F2F2F2" w:themeFill="background1" w:themeFillShade="F2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7" w:type="pct"/>
            <w:shd w:val="clear" w:color="auto" w:fill="F2F2F2" w:themeFill="background1" w:themeFillShade="F2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40" w:type="pct"/>
            <w:shd w:val="clear" w:color="auto" w:fill="F2F2F2" w:themeFill="background1" w:themeFillShade="F2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2907" w:type="pct"/>
            <w:shd w:val="clear" w:color="auto" w:fill="F2F2F2" w:themeFill="background1" w:themeFillShade="F2"/>
          </w:tcPr>
          <w:p w:rsidR="00CF76CC" w:rsidRPr="00FD2473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CF76CC" w:rsidRPr="00FD2473" w:rsidTr="00C12D6F">
        <w:tc>
          <w:tcPr>
            <w:tcW w:w="1428" w:type="pct"/>
          </w:tcPr>
          <w:p w:rsidR="00CF76CC" w:rsidRPr="009B3D04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9B3D04">
              <w:rPr>
                <w:rFonts w:cs="Arial"/>
                <w:szCs w:val="20"/>
                <w:lang w:eastAsia="es-ES"/>
              </w:rPr>
              <w:t>CNB5.1.1. Coñece e emprega obxectos, aparellos e máquinas sinxelas de uso cotián na escola analizando o seu funcionamento.</w:t>
            </w:r>
          </w:p>
        </w:tc>
        <w:tc>
          <w:tcPr>
            <w:tcW w:w="210" w:type="pct"/>
          </w:tcPr>
          <w:p w:rsidR="00CF76CC" w:rsidRPr="00FD2473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  <w:r>
              <w:rPr>
                <w:rFonts w:cs="Arial"/>
                <w:szCs w:val="20"/>
                <w:lang w:val="es-ES" w:eastAsia="es-ES"/>
              </w:rPr>
              <w:t>3,57</w:t>
            </w:r>
          </w:p>
        </w:tc>
        <w:tc>
          <w:tcPr>
            <w:tcW w:w="158" w:type="pct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7" w:type="pct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40" w:type="pct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2907" w:type="pct"/>
          </w:tcPr>
          <w:p w:rsidR="00CF76CC" w:rsidRPr="00FD2473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CF76CC" w:rsidRPr="00FD2473" w:rsidTr="00C12D6F">
        <w:tc>
          <w:tcPr>
            <w:tcW w:w="1428" w:type="pct"/>
          </w:tcPr>
          <w:p w:rsidR="00CF76CC" w:rsidRPr="009B3D04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9B3D04">
              <w:rPr>
                <w:rFonts w:cs="Arial"/>
                <w:szCs w:val="20"/>
                <w:lang w:eastAsia="es-ES"/>
              </w:rPr>
              <w:t>CNB5.1.2. Identifica e explica a enerxía que empregan obxectos, aparellos e máquinas sinxelas de uso habitual na vida cotiá.</w:t>
            </w:r>
          </w:p>
        </w:tc>
        <w:tc>
          <w:tcPr>
            <w:tcW w:w="210" w:type="pct"/>
          </w:tcPr>
          <w:p w:rsidR="00CF76CC" w:rsidRPr="00FD2473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  <w:r>
              <w:rPr>
                <w:rFonts w:cs="Arial"/>
                <w:szCs w:val="20"/>
                <w:lang w:val="es-ES" w:eastAsia="es-ES"/>
              </w:rPr>
              <w:t>3,57</w:t>
            </w:r>
          </w:p>
        </w:tc>
        <w:tc>
          <w:tcPr>
            <w:tcW w:w="158" w:type="pct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7" w:type="pct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40" w:type="pct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2907" w:type="pct"/>
          </w:tcPr>
          <w:p w:rsidR="00CF76CC" w:rsidRPr="00FD2473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CF76CC" w:rsidRPr="00FD2473" w:rsidTr="00C12D6F">
        <w:tc>
          <w:tcPr>
            <w:tcW w:w="1428" w:type="pct"/>
            <w:shd w:val="clear" w:color="auto" w:fill="F2F2F2" w:themeFill="background1" w:themeFillShade="F2"/>
          </w:tcPr>
          <w:p w:rsidR="00CF76CC" w:rsidRPr="009B3D04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9B3D04">
              <w:rPr>
                <w:rFonts w:cs="Arial"/>
                <w:szCs w:val="20"/>
                <w:lang w:eastAsia="es-ES"/>
              </w:rPr>
              <w:t>CNB5.2.1. Identifica e describe oficios en función dos materiais, das ferramentas e das máquinas que empregan.</w:t>
            </w:r>
          </w:p>
        </w:tc>
        <w:tc>
          <w:tcPr>
            <w:tcW w:w="210" w:type="pct"/>
            <w:shd w:val="clear" w:color="auto" w:fill="F2F2F2" w:themeFill="background1" w:themeFillShade="F2"/>
          </w:tcPr>
          <w:p w:rsidR="00CF76CC" w:rsidRPr="00FD2473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  <w:r>
              <w:rPr>
                <w:rFonts w:cs="Arial"/>
                <w:szCs w:val="20"/>
                <w:lang w:val="es-ES" w:eastAsia="es-ES"/>
              </w:rPr>
              <w:t>3,57</w:t>
            </w:r>
          </w:p>
        </w:tc>
        <w:tc>
          <w:tcPr>
            <w:tcW w:w="158" w:type="pct"/>
            <w:shd w:val="clear" w:color="auto" w:fill="F2F2F2" w:themeFill="background1" w:themeFillShade="F2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7" w:type="pct"/>
            <w:shd w:val="clear" w:color="auto" w:fill="F2F2F2" w:themeFill="background1" w:themeFillShade="F2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40" w:type="pct"/>
            <w:shd w:val="clear" w:color="auto" w:fill="F2F2F2" w:themeFill="background1" w:themeFillShade="F2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2907" w:type="pct"/>
            <w:shd w:val="clear" w:color="auto" w:fill="F2F2F2" w:themeFill="background1" w:themeFillShade="F2"/>
          </w:tcPr>
          <w:p w:rsidR="00CF76CC" w:rsidRPr="00FD2473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  <w:tr w:rsidR="00CF76CC" w:rsidRPr="00FD2473" w:rsidTr="00C12D6F">
        <w:tc>
          <w:tcPr>
            <w:tcW w:w="1428" w:type="pct"/>
            <w:shd w:val="clear" w:color="auto" w:fill="F2F2F2" w:themeFill="background1" w:themeFillShade="F2"/>
          </w:tcPr>
          <w:p w:rsidR="00CF76CC" w:rsidRPr="009B3D04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  <w:r w:rsidRPr="009B3D04">
              <w:rPr>
                <w:rFonts w:cs="Arial"/>
                <w:szCs w:val="20"/>
                <w:lang w:eastAsia="es-ES"/>
              </w:rPr>
              <w:t>CNB5.2.2. Aplica os coñecementos ao deseño e construción dalgún obxecto ou aparello sinxelo, empregando operacións matemáticas no cálculo previo, así como as tecnolóxicas: unir, cortar, pegar...</w:t>
            </w:r>
          </w:p>
        </w:tc>
        <w:tc>
          <w:tcPr>
            <w:tcW w:w="210" w:type="pct"/>
            <w:shd w:val="clear" w:color="auto" w:fill="F2F2F2" w:themeFill="background1" w:themeFillShade="F2"/>
          </w:tcPr>
          <w:p w:rsidR="00CF76CC" w:rsidRPr="00FD2473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  <w:r>
              <w:rPr>
                <w:rFonts w:cs="Arial"/>
                <w:szCs w:val="20"/>
                <w:lang w:val="es-ES" w:eastAsia="es-ES"/>
              </w:rPr>
              <w:t>3,57</w:t>
            </w:r>
          </w:p>
        </w:tc>
        <w:tc>
          <w:tcPr>
            <w:tcW w:w="158" w:type="pct"/>
            <w:shd w:val="clear" w:color="auto" w:fill="F2F2F2" w:themeFill="background1" w:themeFillShade="F2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7" w:type="pct"/>
            <w:shd w:val="clear" w:color="auto" w:fill="F2F2F2" w:themeFill="background1" w:themeFillShade="F2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40" w:type="pct"/>
            <w:shd w:val="clear" w:color="auto" w:fill="F2F2F2" w:themeFill="background1" w:themeFillShade="F2"/>
          </w:tcPr>
          <w:p w:rsidR="00CF76CC" w:rsidRPr="008133B3" w:rsidRDefault="00CF76CC" w:rsidP="00C12D6F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2907" w:type="pct"/>
            <w:shd w:val="clear" w:color="auto" w:fill="F2F2F2" w:themeFill="background1" w:themeFillShade="F2"/>
          </w:tcPr>
          <w:p w:rsidR="00CF76CC" w:rsidRPr="00FD2473" w:rsidRDefault="00CF76CC" w:rsidP="00C12D6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val="es-ES" w:eastAsia="es-ES"/>
              </w:rPr>
            </w:pPr>
          </w:p>
        </w:tc>
      </w:tr>
    </w:tbl>
    <w:p w:rsidR="00896953" w:rsidRPr="00896953" w:rsidRDefault="00896953" w:rsidP="00896953">
      <w:pPr>
        <w:rPr>
          <w:rFonts w:cs="Arial"/>
          <w:sz w:val="24"/>
          <w:szCs w:val="24"/>
        </w:rPr>
      </w:pPr>
    </w:p>
    <w:sectPr w:rsidR="00896953" w:rsidRPr="00896953" w:rsidSect="00CF76CC">
      <w:headerReference w:type="default" r:id="rId7"/>
      <w:pgSz w:w="16838" w:h="11906" w:orient="landscape"/>
      <w:pgMar w:top="1701" w:right="1417" w:bottom="1701" w:left="1417" w:header="340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7ECC" w:rsidRDefault="009B7ECC" w:rsidP="00DC082B">
      <w:r>
        <w:separator/>
      </w:r>
    </w:p>
  </w:endnote>
  <w:endnote w:type="continuationSeparator" w:id="1">
    <w:p w:rsidR="009B7ECC" w:rsidRDefault="009B7ECC" w:rsidP="00DC08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7ECC" w:rsidRDefault="009B7ECC" w:rsidP="00DC082B">
      <w:r>
        <w:separator/>
      </w:r>
    </w:p>
  </w:footnote>
  <w:footnote w:type="continuationSeparator" w:id="1">
    <w:p w:rsidR="009B7ECC" w:rsidRDefault="009B7ECC" w:rsidP="00DC08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A59" w:rsidRDefault="00CF76CC" w:rsidP="00E37FAC">
    <w:pPr>
      <w:tabs>
        <w:tab w:val="right" w:pos="7143"/>
      </w:tabs>
      <w:ind w:left="-737" w:right="1361"/>
    </w:pPr>
    <w:r>
      <w:rPr>
        <w:noProof/>
        <w:lang w:eastAsia="es-ES"/>
      </w:rPr>
      <w:pict>
        <v:rect id="_x0000_s4099" style="position:absolute;left:0;text-align:left;margin-left:259.05pt;margin-top:-1.95pt;width:170.8pt;height:48.1pt;z-index:251658240" strokecolor="white [3212]">
          <v:textbox style="mso-next-textbox:#_x0000_s4099">
            <w:txbxContent>
              <w:p w:rsidR="00E37FAC" w:rsidRPr="005771BA" w:rsidRDefault="00E37FAC" w:rsidP="00E37FAC">
                <w:pPr>
                  <w:spacing w:line="360" w:lineRule="auto"/>
                  <w:jc w:val="center"/>
                  <w:rPr>
                    <w:rFonts w:cs="Arial"/>
                    <w:b/>
                    <w:color w:val="365F91"/>
                    <w:sz w:val="18"/>
                    <w:szCs w:val="18"/>
                    <w:lang w:val="es-ES_tradnl"/>
                  </w:rPr>
                </w:pPr>
                <w:r w:rsidRPr="005771BA">
                  <w:rPr>
                    <w:rFonts w:cs="Arial"/>
                    <w:b/>
                    <w:color w:val="365F91"/>
                    <w:sz w:val="18"/>
                    <w:szCs w:val="18"/>
                    <w:lang w:val="es-ES_tradnl"/>
                  </w:rPr>
                  <w:t>INTEGRACIÓN DAS COMPETENCIAS CLAVE NO CURRÍCULO</w:t>
                </w:r>
              </w:p>
              <w:p w:rsidR="00E37FAC" w:rsidRPr="005771BA" w:rsidRDefault="00E37FAC" w:rsidP="00E37FAC">
                <w:pPr>
                  <w:rPr>
                    <w:lang w:val="es-ES_tradnl"/>
                  </w:rPr>
                </w:pPr>
              </w:p>
            </w:txbxContent>
          </v:textbox>
        </v:rect>
      </w:pict>
    </w:r>
    <w:r w:rsidR="00FA2921">
      <w:rPr>
        <w:noProof/>
        <w:lang w:eastAsia="es-ES"/>
      </w:rPr>
      <w:pict>
        <v:rect id="_x0000_s4100" style="position:absolute;left:0;text-align:left;margin-left:560.75pt;margin-top:-1.95pt;width:170.8pt;height:48.1pt;z-index:251659264" strokecolor="white [3212]">
          <v:textbox style="mso-next-textbox:#_x0000_s4100">
            <w:txbxContent>
              <w:p w:rsidR="00E37FAC" w:rsidRPr="005771BA" w:rsidRDefault="00E37FAC" w:rsidP="00E37FAC">
                <w:pPr>
                  <w:rPr>
                    <w:lang w:val="es-ES_tradnl"/>
                  </w:rPr>
                </w:pPr>
                <w:r>
                  <w:rPr>
                    <w:lang w:val="es-ES_tradnl"/>
                  </w:rPr>
                  <w:t xml:space="preserve">             </w:t>
                </w:r>
                <w:r w:rsidRPr="005771BA">
                  <w:rPr>
                    <w:noProof/>
                    <w:lang w:eastAsia="es-ES"/>
                  </w:rPr>
                  <w:drawing>
                    <wp:inline distT="0" distB="0" distL="0" distR="0">
                      <wp:extent cx="840105" cy="308610"/>
                      <wp:effectExtent l="19050" t="0" r="0" b="0"/>
                      <wp:docPr id="14" name="Imagen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40105" cy="3086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rect>
      </w:pict>
    </w:r>
    <w:r w:rsidR="00EF286C">
      <w:t xml:space="preserve"> </w:t>
    </w:r>
    <w:r w:rsidR="00E37FAC" w:rsidRPr="00E37FAC">
      <w:rPr>
        <w:noProof/>
        <w:lang w:eastAsia="es-ES"/>
      </w:rPr>
      <w:drawing>
        <wp:inline distT="0" distB="0" distL="0" distR="0">
          <wp:extent cx="1976755" cy="451196"/>
          <wp:effectExtent l="19050" t="0" r="4445" b="0"/>
          <wp:docPr id="15" name="Imagen 1" descr="Inicio">
            <a:hlinkClick xmlns:a="http://schemas.openxmlformats.org/drawingml/2006/main" r:id="rId2" tooltip="Inicio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nici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755" cy="4511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F286C">
      <w:t xml:space="preserve"> </w:t>
    </w:r>
    <w:r w:rsidR="005C5A92">
      <w:t xml:space="preserve">              </w:t>
    </w:r>
    <w:r w:rsidR="00E37FAC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896953"/>
    <w:rsid w:val="00152AD0"/>
    <w:rsid w:val="001576FA"/>
    <w:rsid w:val="002C26D9"/>
    <w:rsid w:val="00376A3F"/>
    <w:rsid w:val="0050591C"/>
    <w:rsid w:val="005C5A92"/>
    <w:rsid w:val="005F0A59"/>
    <w:rsid w:val="00630DAE"/>
    <w:rsid w:val="00763F62"/>
    <w:rsid w:val="007962F8"/>
    <w:rsid w:val="0084425A"/>
    <w:rsid w:val="008776DE"/>
    <w:rsid w:val="00896953"/>
    <w:rsid w:val="008A7E5D"/>
    <w:rsid w:val="009B7ECC"/>
    <w:rsid w:val="00A32C19"/>
    <w:rsid w:val="00BE0D1D"/>
    <w:rsid w:val="00BF2F5E"/>
    <w:rsid w:val="00CE3C5F"/>
    <w:rsid w:val="00CF76CC"/>
    <w:rsid w:val="00D53E79"/>
    <w:rsid w:val="00D95E88"/>
    <w:rsid w:val="00DC082B"/>
    <w:rsid w:val="00E37FAC"/>
    <w:rsid w:val="00E433C7"/>
    <w:rsid w:val="00E72707"/>
    <w:rsid w:val="00EF286C"/>
    <w:rsid w:val="00FA2921"/>
    <w:rsid w:val="00FC5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6CC"/>
    <w:pPr>
      <w:spacing w:after="0" w:line="240" w:lineRule="auto"/>
      <w:jc w:val="both"/>
    </w:pPr>
    <w:rPr>
      <w:rFonts w:ascii="Arial" w:eastAsia="Calibri" w:hAnsi="Arial" w:cs="Times New Roman"/>
      <w:sz w:val="20"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eccion1">
    <w:name w:val="seccion1"/>
    <w:basedOn w:val="Normal"/>
    <w:rsid w:val="00896953"/>
    <w:pPr>
      <w:spacing w:before="480" w:after="240" w:line="320" w:lineRule="exact"/>
      <w:ind w:firstLine="420"/>
      <w:jc w:val="center"/>
    </w:pPr>
    <w:rPr>
      <w:rFonts w:eastAsia="Times New Roman" w:cs="Arial"/>
      <w:b/>
      <w:bCs/>
      <w:i/>
      <w:iCs/>
      <w:sz w:val="22"/>
      <w:szCs w:val="24"/>
      <w:lang w:val="es-ES" w:eastAsia="es-ES"/>
    </w:rPr>
  </w:style>
  <w:style w:type="paragraph" w:styleId="Encabezado">
    <w:name w:val="header"/>
    <w:basedOn w:val="Normal"/>
    <w:link w:val="EncabezadoCar"/>
    <w:unhideWhenUsed/>
    <w:rsid w:val="00DC082B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DC082B"/>
  </w:style>
  <w:style w:type="paragraph" w:styleId="Piedepgina">
    <w:name w:val="footer"/>
    <w:basedOn w:val="Normal"/>
    <w:link w:val="PiedepginaCar"/>
    <w:uiPriority w:val="99"/>
    <w:semiHidden/>
    <w:unhideWhenUsed/>
    <w:rsid w:val="00DC08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C082B"/>
  </w:style>
  <w:style w:type="paragraph" w:styleId="Textodeglobo">
    <w:name w:val="Balloon Text"/>
    <w:basedOn w:val="Normal"/>
    <w:link w:val="TextodegloboCar"/>
    <w:uiPriority w:val="99"/>
    <w:semiHidden/>
    <w:unhideWhenUsed/>
    <w:rsid w:val="00DC082B"/>
    <w:pPr>
      <w:jc w:val="left"/>
    </w:pPr>
    <w:rPr>
      <w:rFonts w:ascii="Tahoma" w:eastAsiaTheme="minorHAnsi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082B"/>
    <w:rPr>
      <w:rFonts w:ascii="Tahoma" w:hAnsi="Tahoma" w:cs="Tahoma"/>
      <w:sz w:val="16"/>
      <w:szCs w:val="16"/>
    </w:rPr>
  </w:style>
  <w:style w:type="paragraph" w:customStyle="1" w:styleId="ttp1">
    <w:name w:val="_ttp1"/>
    <w:basedOn w:val="NormalWeb"/>
    <w:qFormat/>
    <w:rsid w:val="00CF76CC"/>
    <w:pPr>
      <w:tabs>
        <w:tab w:val="num" w:pos="720"/>
      </w:tabs>
      <w:snapToGrid w:val="0"/>
      <w:spacing w:before="60" w:after="60" w:line="240" w:lineRule="exact"/>
      <w:ind w:left="227" w:hanging="227"/>
      <w:jc w:val="left"/>
    </w:pPr>
    <w:rPr>
      <w:rFonts w:ascii="Arial" w:eastAsia="Times New Roman" w:hAnsi="Arial" w:cs="Arial"/>
      <w:sz w:val="18"/>
      <w:szCs w:val="20"/>
      <w:lang w:eastAsia="gl-ES"/>
    </w:rPr>
  </w:style>
  <w:style w:type="paragraph" w:styleId="NormalWeb">
    <w:name w:val="Normal (Web)"/>
    <w:basedOn w:val="Normal"/>
    <w:uiPriority w:val="99"/>
    <w:semiHidden/>
    <w:unhideWhenUsed/>
    <w:rsid w:val="00CF76CC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www.edu.xunta.es/web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894AD-421C-4AD9-B157-E25EADE09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517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</dc:creator>
  <cp:lastModifiedBy>direccion</cp:lastModifiedBy>
  <cp:revision>2</cp:revision>
  <dcterms:created xsi:type="dcterms:W3CDTF">2014-11-14T12:11:00Z</dcterms:created>
  <dcterms:modified xsi:type="dcterms:W3CDTF">2014-11-14T12:11:00Z</dcterms:modified>
</cp:coreProperties>
</file>