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8A1" w:rsidRPr="00D03143" w:rsidRDefault="00D96B9D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A continuación, móstrase o PQR que soporta a WPS presentada no apartado “Modelo WPS </w:t>
      </w:r>
      <w:r w:rsidR="00CA6D17"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xa </w:t>
      </w: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cuberta”</w:t>
      </w:r>
      <w:r w:rsidR="00E126D8"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.</w:t>
      </w:r>
      <w:r w:rsidR="00D03143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No PQR móstra</w:t>
      </w:r>
      <w:r w:rsidR="00CA6D17"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se o resultado dos ensaios que se realizaron sobre a probeta soldada reflexada na WPS.</w:t>
      </w:r>
    </w:p>
    <w:p w:rsidR="00D03143" w:rsidRPr="00D03143" w:rsidRDefault="00D03143" w:rsidP="00D0314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En conclusión, a cualificación dun procedemento de soldeo é a validación, mediante ensaios destructivos e non destructivos, do proceso de soldeo ou WPS.</w:t>
      </w:r>
    </w:p>
    <w:p w:rsidR="00D03143" w:rsidRPr="00D03143" w:rsidRDefault="00D03143" w:rsidP="00D03143">
      <w:pPr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Execútase a soldadura da probeta ou cupón e, posteriormente, realízase unha inspección visual e líquidos penetran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tes, si son requeridos, </w:t>
      </w: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e </w:t>
      </w:r>
      <w:r w:rsidRPr="00D03143">
        <w:rPr>
          <w:rFonts w:ascii="Times New Roman" w:hAnsi="Times New Roman" w:cs="Times New Roman"/>
          <w:noProof/>
          <w:sz w:val="24"/>
          <w:szCs w:val="24"/>
          <w:lang w:eastAsia="es-ES"/>
        </w:rPr>
        <w:t>transládase a probeta a un laboratorio onde se realizan os ensaios estipulados pola Norma. Si estes son positivos, o procedemento queda cualificado, quedando igualmente cualificado o soldador que executou a probeta.</w:t>
      </w:r>
    </w:p>
    <w:p w:rsidR="00D03143" w:rsidRPr="00CA6D17" w:rsidRDefault="00D03143">
      <w:pPr>
        <w:rPr>
          <w:rFonts w:ascii="Times New Roman" w:hAnsi="Times New Roman" w:cs="Times New Roman"/>
          <w:noProof/>
          <w:sz w:val="20"/>
          <w:szCs w:val="20"/>
          <w:lang w:eastAsia="es-ES"/>
        </w:rPr>
      </w:pPr>
    </w:p>
    <w:p w:rsidR="00D96B9D" w:rsidRDefault="00D96B9D">
      <w:r>
        <w:rPr>
          <w:noProof/>
          <w:lang w:eastAsia="es-ES"/>
        </w:rPr>
        <w:lastRenderedPageBreak/>
        <w:drawing>
          <wp:inline distT="0" distB="0" distL="0" distR="0" wp14:anchorId="0B52F667">
            <wp:extent cx="5401310" cy="7901305"/>
            <wp:effectExtent l="0" t="0" r="889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90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0EC" w:rsidRDefault="008610EC">
      <w:r>
        <w:rPr>
          <w:noProof/>
          <w:lang w:eastAsia="es-ES"/>
        </w:rPr>
        <w:lastRenderedPageBreak/>
        <w:drawing>
          <wp:inline distT="0" distB="0" distL="0" distR="0">
            <wp:extent cx="5387975" cy="7842885"/>
            <wp:effectExtent l="0" t="0" r="317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EC" w:rsidRDefault="008610EC"/>
    <w:p w:rsidR="008610EC" w:rsidRDefault="008610EC"/>
    <w:p w:rsidR="008610EC" w:rsidRDefault="008610EC"/>
    <w:p w:rsidR="008610EC" w:rsidRDefault="008610EC">
      <w:r>
        <w:rPr>
          <w:noProof/>
          <w:lang w:eastAsia="es-ES"/>
        </w:rPr>
        <w:lastRenderedPageBreak/>
        <w:drawing>
          <wp:inline distT="0" distB="0" distL="0" distR="0">
            <wp:extent cx="5401945" cy="756856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EC" w:rsidRDefault="008610EC"/>
    <w:p w:rsidR="00D03143" w:rsidRDefault="00D03143">
      <w:bookmarkStart w:id="0" w:name="_GoBack"/>
      <w:bookmarkEnd w:id="0"/>
    </w:p>
    <w:sectPr w:rsidR="00D031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931"/>
    <w:rsid w:val="00616931"/>
    <w:rsid w:val="00736D14"/>
    <w:rsid w:val="008610EC"/>
    <w:rsid w:val="00A667DD"/>
    <w:rsid w:val="00CA6D17"/>
    <w:rsid w:val="00D03143"/>
    <w:rsid w:val="00D96B9D"/>
    <w:rsid w:val="00E1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1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1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BEEP</dc:creator>
  <cp:keywords/>
  <dc:description/>
  <cp:lastModifiedBy>BEEP</cp:lastModifiedBy>
  <cp:revision>2</cp:revision>
  <dcterms:created xsi:type="dcterms:W3CDTF">2016-06-01T12:31:00Z</dcterms:created>
  <dcterms:modified xsi:type="dcterms:W3CDTF">2016-06-01T12:31:00Z</dcterms:modified>
</cp:coreProperties>
</file>