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k92y8e6o2ty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yfl12ilmrbl3" w:id="1"/>
      <w:bookmarkEnd w:id="1"/>
      <w:r w:rsidDel="00000000" w:rsidR="00000000" w:rsidRPr="00000000">
        <w:rPr>
          <w:rtl w:val="0"/>
        </w:rPr>
        <w:t xml:space="preserve">Tarefa opción 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Infografía que reflexe que ten que ter unha sesión de aprendizaxe accesible e como a tecnoloxía pode axudarnos.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Índice</w:t>
      </w:r>
    </w:p>
    <w:sdt>
      <w:sdtPr>
        <w:id w:val="278584576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8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83ubq136epv9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Instruccións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p4npa9rjvmv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Narración para convertir en aula virtual accesible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g8tebs0zdx0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Lista de cotexto para autoavaliación e heteroavaliación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douifmbkyzc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Plantilla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n6r8pw7chxf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Reflexión final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63.9999999999995"/>
        <w:gridCol w:w="6636.000000000002"/>
        <w:tblGridChange w:id="0">
          <w:tblGrid>
            <w:gridCol w:w="2363.9999999999995"/>
            <w:gridCol w:w="6636.00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7171" w:space="0" w:sz="18" w:val="single"/>
              <w:left w:color="ff7171" w:space="0" w:sz="18" w:val="single"/>
              <w:bottom w:color="ff7171" w:space="0" w:sz="18" w:val="single"/>
              <w:right w:color="ff7171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e apelidos</w:t>
            </w:r>
          </w:p>
        </w:tc>
        <w:tc>
          <w:tcPr>
            <w:tcBorders>
              <w:top w:color="ff7171" w:space="0" w:sz="18" w:val="single"/>
              <w:left w:color="ff7171" w:space="0" w:sz="18" w:val="single"/>
              <w:bottom w:color="ff7171" w:space="0" w:sz="18" w:val="single"/>
              <w:right w:color="ff7171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rFonts w:ascii="Poppins" w:cs="Poppins" w:eastAsia="Poppins" w:hAnsi="Poppins"/>
          <w:b w:val="0"/>
          <w:bCs w:val="0"/>
          <w:sz w:val="22"/>
          <w:szCs w:val="22"/>
        </w:rPr>
      </w:pPr>
      <w:bookmarkStart w:colFirst="0" w:colLast="0" w:name="_rhcels89qgv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83ubq136epv9" w:id="3"/>
      <w:bookmarkEnd w:id="3"/>
      <w:r w:rsidDel="00000000" w:rsidR="00000000" w:rsidRPr="00000000">
        <w:rPr>
          <w:rtl w:val="0"/>
        </w:rPr>
        <w:t xml:space="preserve">1. Instruccións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Infografía que reflexe que ten que ter unha sesión de aprendizaxe accesible e como a tecnoloxía pode axudarnos.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infografía pode facerse en calquer tipo de formato: canva, a man, facendo un debuxo, con powerpoint, etc.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Pode conter imaxes, audios, vidos, ambas, etc.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Completa a plantilla según te vaia indicando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Podes axudarte da lista de cotexo, xa que será con esa lista de cotexto co que serás avaliado/a (tranqui, é unha avaliación sen nota, claro jejeje)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Cando remates, garda o documento en formato PDF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Sube a tarefa no lugar indificado na aula virtual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 límite: 15 maio incluido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tedes dúbidas: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lara.crespo.garcia@gmail.com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/>
      </w:pPr>
      <w:bookmarkStart w:colFirst="0" w:colLast="0" w:name="_z3g92n8eudq5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rPr/>
      </w:pPr>
      <w:bookmarkStart w:colFirst="0" w:colLast="0" w:name="_gg8tebs0zdx0" w:id="5"/>
      <w:bookmarkEnd w:id="5"/>
      <w:r w:rsidDel="00000000" w:rsidR="00000000" w:rsidRPr="00000000">
        <w:rPr>
          <w:rtl w:val="0"/>
        </w:rPr>
        <w:t xml:space="preserve">2. Lista de cotexto para autoavaliación e heteroavaliación</w:t>
      </w:r>
    </w:p>
    <w:p w:rsidR="00000000" w:rsidDel="00000000" w:rsidP="00000000" w:rsidRDefault="00000000" w:rsidRPr="00000000" w14:paraId="00000021">
      <w:pPr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Feita con chatGPT dende materiais propios de Lara Crespo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📌 Contido e mensaxe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 infografía explica claramente que é unha sesión de aprendizaxe accesible.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Identifica elementos clave que debe ter unha sesión accesible (obxectivos claros, instrucións comprensibles, apoio visual, etc.).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Inclúe exemplos ou ideas concretas (non só teoría).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Inclúe como pode axudar a tecnoloxía a reducir barreiras na aprendizaxe.</w:t>
      </w:r>
    </w:p>
    <w:p w:rsidR="00000000" w:rsidDel="00000000" w:rsidP="00000000" w:rsidRDefault="00000000" w:rsidRPr="00000000" w14:paraId="00000028">
      <w:pPr>
        <w:keepNext w:val="0"/>
        <w:keepLines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🧠 Claridade e estrutura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 información está organizada de forma lóxica e visualmente clara.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Hai títulos, subtítulos ou iconas que axudan a entender cada parte.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Evítanse parágrafos longos ou texto excesivo.</w:t>
        <w:br w:type="textWrapping"/>
      </w:r>
    </w:p>
    <w:p w:rsidR="00000000" w:rsidDel="00000000" w:rsidP="00000000" w:rsidRDefault="00000000" w:rsidRPr="00000000" w14:paraId="0000002D">
      <w:pPr>
        <w:keepNext w:val="0"/>
        <w:keepLines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🎨 Accesibilidade visual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 textos teñen tamaño lexible e contrastes adecuados.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 hai elementos decorativos que dificulten a lectura.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Hai apoio visual (imaxes, esquemas, pictos...) que complementa a mensaxe.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hai texto en imaxes, este é lexible e claro.</w:t>
        <w:br w:type="textWrapping"/>
      </w:r>
    </w:p>
    <w:p w:rsidR="00000000" w:rsidDel="00000000" w:rsidP="00000000" w:rsidRDefault="00000000" w:rsidRPr="00000000" w14:paraId="00000032">
      <w:pPr>
        <w:keepNext w:val="0"/>
        <w:keepLines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🛠 Tecnoloxía e inclusión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 infografía mostra un uso reflexivo da tecnoloxía: non é un adorno, senón unha ferramenta para a inclusión.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Menciónanse aplicacións, ferramentas ou recursos dixitais útiles para facer máis accesibles as sesións.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Dá opcións de uso para diferentes perfís de alumnado (TEA, dislexia, dificultades visuais, etc.).</w:t>
        <w:br w:type="textWrapping"/>
      </w:r>
    </w:p>
    <w:p w:rsidR="00000000" w:rsidDel="00000000" w:rsidP="00000000" w:rsidRDefault="00000000" w:rsidRPr="00000000" w14:paraId="00000036">
      <w:pPr>
        <w:keepNext w:val="0"/>
        <w:keepLines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💬 Reflexión final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 infografía anima á acción ou á reflexión: ¿que podería cambiar eu nas miñas clases?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mensaxe final é clara: a accesibilidade non é só para algúns, é para todas as persoas.</w:t>
      </w: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39">
      <w:pPr>
        <w:pStyle w:val="Heading1"/>
        <w:rPr/>
      </w:pPr>
      <w:bookmarkStart w:colFirst="0" w:colLast="0" w:name="_douifmbkyzcy" w:id="6"/>
      <w:bookmarkEnd w:id="6"/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  <w:t xml:space="preserve">. Infografía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Pega aquí a túa infografía. 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fixeches a infografía con canva, powerpoint, ou similar, podes pegar unha captura de pantalla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fixeches unha infografía a man (en papel e lápiz coma se fora 28 de abril de 2025), entón podes sacarlle unha foto co movil, mandarte esa foto por email por exemplo, e pegar esa foto aquí. 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tes dúbidas, xa sabes: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lara.crespo.garcia@gmail.com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rPr/>
      </w:pPr>
      <w:bookmarkStart w:colFirst="0" w:colLast="0" w:name="_xn6r8pw7chxf" w:id="7"/>
      <w:bookmarkEnd w:id="7"/>
      <w:r w:rsidDel="00000000" w:rsidR="00000000" w:rsidRPr="00000000">
        <w:rPr>
          <w:rtl w:val="0"/>
        </w:rPr>
        <w:t xml:space="preserve">5. Reflexión final (non obligatoria)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5.1. Que aprendiches facento este exercicio?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5.2. Que che resultou máis difícil?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5.3. Que farías diferente se tiveras que comezar de novo?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5.4. Tendo en conta os obxectivos do curso, cal cres que é no que máis progresaches? E o que menos? Por que?</w:t>
      </w:r>
    </w:p>
    <w:p w:rsidR="00000000" w:rsidDel="00000000" w:rsidP="00000000" w:rsidRDefault="00000000" w:rsidRPr="00000000" w14:paraId="0000004F">
      <w:pPr>
        <w:widowControl w:val="0"/>
        <w:spacing w:after="200" w:before="20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29210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2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Black">
    <w:embedBold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481138" cy="31921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1138" cy="3192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4807275</wp:posOffset>
          </wp:positionH>
          <wp:positionV relativeFrom="paragraph">
            <wp:posOffset>42863</wp:posOffset>
          </wp:positionV>
          <wp:extent cx="928100" cy="27220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8100" cy="272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" w:cs="Poppins" w:eastAsia="Poppins" w:hAnsi="Poppins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ontserrat" w:cs="Montserrat" w:eastAsia="Montserrat" w:hAnsi="Montserrat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bCs w:val="1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Montserrat Black" w:cs="Montserrat Black" w:eastAsia="Montserrat Black" w:hAnsi="Montserrat Black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lara.crespo.garcia@gmail.com" TargetMode="External"/><Relationship Id="rId7" Type="http://schemas.openxmlformats.org/officeDocument/2006/relationships/hyperlink" Target="mailto:lara.crespo.garcia@gmail.com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0" Type="http://schemas.openxmlformats.org/officeDocument/2006/relationships/font" Target="fonts/MontserratBlack-boldItalic.ttf"/><Relationship Id="rId9" Type="http://schemas.openxmlformats.org/officeDocument/2006/relationships/font" Target="fonts/MontserratBlack-bold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