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Arial" w:cs="Arial" w:hAnsi="Arial"/>
          <w:b/>
          <w:sz w:val="32"/>
          <w:szCs w:val="32"/>
          <w:lang w:val="es-ES"/>
        </w:rPr>
        <w:t>RÚBRICA DE AUTO E HETEROAVALIACIÓN</w:t>
      </w:r>
    </w:p>
    <w:tbl>
      <w:tblPr>
        <w:jc w:val="left"/>
        <w:tblInd w:type="dxa" w:w="-108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</w:tblBorders>
      </w:tblPr>
      <w:tblGrid>
        <w:gridCol w:w="8612"/>
        <w:gridCol w:w="1417"/>
        <w:gridCol w:w="4114"/>
      </w:tblGrid>
      <w:tr>
        <w:trPr>
          <w:cantSplit w:val="false"/>
        </w:trPr>
        <w:tc>
          <w:tcPr>
            <w:tcW w:type="dxa" w:w="8612"/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365F91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Arial" w:cs="Arial" w:hAnsi="Arial"/>
                <w:b/>
                <w:color w:val="FFFFFF"/>
                <w:sz w:val="28"/>
                <w:szCs w:val="28"/>
                <w:lang w:val="es-ES"/>
              </w:rPr>
              <w:t>INDICADORES DE AVALIACIÓN</w:t>
            </w:r>
          </w:p>
        </w:tc>
        <w:tc>
          <w:tcPr>
            <w:tcW w:type="dxa" w:w="1417"/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365F91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Arial" w:cs="Arial" w:hAnsi="Arial"/>
                <w:b/>
                <w:color w:val="FFFFFF"/>
                <w:sz w:val="28"/>
                <w:szCs w:val="28"/>
                <w:lang w:val="es-ES"/>
              </w:rPr>
              <w:t>NIVEIS</w:t>
            </w:r>
            <w:r>
              <w:rPr>
                <w:rFonts w:ascii="Arial" w:cs="Arial" w:hAnsi="Arial"/>
                <w:b/>
                <w:color w:val="FFFFFF"/>
                <w:sz w:val="18"/>
                <w:szCs w:val="18"/>
                <w:lang w:val="es-ES"/>
              </w:rPr>
              <w:t>(*)</w:t>
            </w:r>
          </w:p>
        </w:tc>
        <w:tc>
          <w:tcPr>
            <w:tcW w:type="dxa" w:w="4114"/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365F91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Arial" w:cs="Arial" w:hAnsi="Arial"/>
                <w:b/>
                <w:color w:val="FFFFFF"/>
                <w:sz w:val="28"/>
                <w:szCs w:val="28"/>
                <w:lang w:val="es-ES"/>
              </w:rPr>
              <w:t>OBSERVACIÓNS</w:t>
            </w:r>
          </w:p>
        </w:tc>
      </w:tr>
      <w:tr>
        <w:trPr>
          <w:cantSplit w:val="false"/>
        </w:trPr>
        <w:tc>
          <w:tcPr>
            <w:tcW w:type="dxa" w:w="8612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4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b/>
                <w:sz w:val="20"/>
                <w:szCs w:val="20"/>
                <w:lang w:val="es-ES"/>
              </w:rPr>
              <w:t>A</w:t>
            </w:r>
          </w:p>
        </w:tc>
        <w:tc>
          <w:tcPr>
            <w:tcW w:type="dxa" w:w="35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b/>
                <w:sz w:val="20"/>
                <w:szCs w:val="20"/>
                <w:lang w:val="es-ES"/>
              </w:rPr>
              <w:t>B</w:t>
            </w:r>
          </w:p>
        </w:tc>
        <w:tc>
          <w:tcPr>
            <w:tcW w:type="dxa" w:w="3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b/>
                <w:sz w:val="20"/>
                <w:szCs w:val="20"/>
                <w:lang w:val="es-ES"/>
              </w:rPr>
              <w:t>C</w:t>
            </w:r>
          </w:p>
        </w:tc>
        <w:tc>
          <w:tcPr>
            <w:tcW w:type="dxa" w:w="34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b/>
                <w:sz w:val="20"/>
                <w:szCs w:val="20"/>
                <w:lang w:val="es-ES"/>
              </w:rPr>
              <w:t>D</w:t>
            </w:r>
          </w:p>
        </w:tc>
        <w:tc>
          <w:tcPr>
            <w:tcW w:type="dxa" w:w="4115"/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</w:tr>
      <w:tr>
        <w:trPr>
          <w:cantSplit w:val="false"/>
        </w:trPr>
        <w:tc>
          <w:tcPr>
            <w:tcW w:type="dxa" w:w="861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b/>
                <w:sz w:val="24"/>
                <w:szCs w:val="24"/>
                <w:lang w:val="gl-ES"/>
              </w:rPr>
              <w:t>Na presentación da tarefa</w:t>
            </w:r>
            <w:r>
              <w:rPr>
                <w:rFonts w:ascii="Arial" w:cs="Arial" w:eastAsia="Calibri" w:hAnsi="Arial"/>
                <w:b/>
                <w:sz w:val="24"/>
                <w:szCs w:val="24"/>
                <w:lang w:val="gl-ES"/>
              </w:rPr>
              <w:t xml:space="preserve"> </w:t>
            </w:r>
            <w:r>
              <w:rPr>
                <w:rFonts w:ascii="Arial" w:cs="Arial" w:hAnsi="Arial"/>
                <w:b/>
                <w:sz w:val="24"/>
                <w:szCs w:val="24"/>
                <w:lang w:val="gl-ES"/>
              </w:rPr>
              <w:t xml:space="preserve">integrada </w:t>
            </w:r>
            <w:r>
              <w:rPr>
                <w:rFonts w:ascii="Arial" w:cs="Arial" w:eastAsia="Calibri" w:hAnsi="Arial"/>
                <w:b/>
                <w:sz w:val="24"/>
                <w:szCs w:val="24"/>
                <w:lang w:val="gl-ES"/>
              </w:rPr>
              <w:t>aparece o título</w:t>
            </w:r>
            <w:r>
              <w:rPr>
                <w:rFonts w:ascii="Arial" w:cs="Arial" w:hAnsi="Arial"/>
                <w:b/>
                <w:sz w:val="24"/>
                <w:szCs w:val="24"/>
                <w:lang w:val="gl-ES"/>
              </w:rPr>
              <w:t xml:space="preserve">, a etapa </w:t>
            </w:r>
            <w:r>
              <w:rPr>
                <w:rFonts w:ascii="Arial" w:cs="Arial" w:eastAsia="Calibri" w:hAnsi="Arial"/>
                <w:b/>
                <w:sz w:val="24"/>
                <w:szCs w:val="24"/>
                <w:lang w:val="gl-ES"/>
              </w:rPr>
              <w:t>e o nivel aos que vai dirixida; o/as área/s implicada/s</w:t>
            </w:r>
            <w:r>
              <w:rPr>
                <w:rFonts w:ascii="Arial" w:cs="Arial" w:hAnsi="Arial"/>
                <w:b/>
                <w:sz w:val="24"/>
                <w:szCs w:val="24"/>
                <w:lang w:val="gl-ES"/>
              </w:rPr>
              <w:t>.</w:t>
            </w:r>
            <w:r>
              <w:rPr>
                <w:rFonts w:ascii="Arial" w:cs="Arial" w:eastAsia="Calibri" w:hAnsi="Arial"/>
                <w:b/>
                <w:sz w:val="24"/>
                <w:szCs w:val="24"/>
                <w:lang w:val="gl-ES"/>
              </w:rPr>
              <w:t xml:space="preserve"> </w:t>
            </w:r>
          </w:p>
        </w:tc>
        <w:tc>
          <w:tcPr>
            <w:tcW w:type="dxa" w:w="34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5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4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411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</w:tr>
      <w:tr>
        <w:trPr>
          <w:cantSplit w:val="false"/>
        </w:trPr>
        <w:tc>
          <w:tcPr>
            <w:tcW w:type="dxa" w:w="861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eastAsia="Calibri" w:hAnsi="Arial"/>
                <w:b/>
                <w:sz w:val="24"/>
                <w:szCs w:val="24"/>
              </w:rPr>
              <w:t>A formulación das tarefas determin</w:t>
            </w:r>
            <w:r>
              <w:rPr>
                <w:rFonts w:ascii="Arial" w:cs="Arial" w:hAnsi="Arial"/>
                <w:b/>
                <w:sz w:val="24"/>
                <w:szCs w:val="24"/>
              </w:rPr>
              <w:t xml:space="preserve">a con total claridade o produto. </w:t>
            </w:r>
            <w:r>
              <w:rPr>
                <w:rFonts w:ascii="Arial" w:cs="Arial" w:eastAsia="Calibri" w:hAnsi="Arial"/>
                <w:b/>
                <w:sz w:val="24"/>
                <w:szCs w:val="24"/>
              </w:rPr>
              <w:t xml:space="preserve">O </w:t>
            </w:r>
            <w:r>
              <w:rPr>
                <w:rFonts w:ascii="Arial" w:cs="Arial" w:hAnsi="Arial"/>
                <w:b/>
                <w:sz w:val="24"/>
                <w:szCs w:val="24"/>
              </w:rPr>
              <w:t xml:space="preserve">referido </w:t>
            </w:r>
            <w:r>
              <w:rPr>
                <w:rFonts w:ascii="Arial" w:cs="Arial" w:eastAsia="Calibri" w:hAnsi="Arial"/>
                <w:b/>
                <w:sz w:val="24"/>
                <w:szCs w:val="24"/>
              </w:rPr>
              <w:t xml:space="preserve">produto está claramente diferenciado de contidos e doutros elementos curriculares e permite a participación do alumnado que o realiza nunha práctica </w:t>
            </w:r>
            <w:r>
              <w:rPr>
                <w:rFonts w:ascii="Arial" w:cs="Arial" w:hAnsi="Arial"/>
                <w:b/>
                <w:sz w:val="24"/>
                <w:szCs w:val="24"/>
              </w:rPr>
              <w:t>que simule contextos reais.</w:t>
            </w:r>
          </w:p>
        </w:tc>
        <w:tc>
          <w:tcPr>
            <w:tcW w:type="dxa" w:w="34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5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4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411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</w:tr>
      <w:tr>
        <w:trPr>
          <w:cantSplit w:val="false"/>
        </w:trPr>
        <w:tc>
          <w:tcPr>
            <w:tcW w:type="dxa" w:w="861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4"/>
              <w:spacing w:after="0" w:before="0" w:line="100" w:lineRule="atLeast"/>
              <w:contextualSpacing w:val="false"/>
              <w:jc w:val="both"/>
            </w:pPr>
            <w:r>
              <w:rPr>
                <w:rFonts w:ascii="Arial" w:cs="Arial" w:hAnsi="Arial"/>
                <w:b/>
                <w:lang w:val="gl-ES"/>
              </w:rPr>
              <w:t xml:space="preserve">Todas as actividades producen unha resposta diferenciada en cada alumno. A secuencia de actividades é </w:t>
            </w:r>
            <w:r>
              <w:rPr>
                <w:rFonts w:ascii="Arial" w:cs="Arial" w:hAnsi="Arial"/>
                <w:b/>
                <w:i/>
                <w:lang w:val="gl-ES"/>
              </w:rPr>
              <w:t>completa, d</w:t>
            </w:r>
            <w:r>
              <w:rPr>
                <w:rFonts w:ascii="Arial" w:cs="Arial" w:hAnsi="Arial"/>
                <w:b/>
                <w:bCs/>
                <w:i/>
                <w:lang w:val="gl-ES"/>
              </w:rPr>
              <w:t>iversa</w:t>
            </w:r>
            <w:r>
              <w:rPr>
                <w:rFonts w:ascii="Arial" w:cs="Arial" w:hAnsi="Arial"/>
                <w:b/>
                <w:i/>
                <w:lang w:val="gl-ES"/>
              </w:rPr>
              <w:t xml:space="preserve"> e inclusiva</w:t>
            </w:r>
            <w:r>
              <w:rPr>
                <w:rFonts w:ascii="Arial" w:cs="Arial" w:hAnsi="Arial"/>
                <w:b/>
                <w:lang w:val="gl-ES"/>
              </w:rPr>
              <w:t>.</w:t>
            </w:r>
          </w:p>
        </w:tc>
        <w:tc>
          <w:tcPr>
            <w:tcW w:type="dxa" w:w="34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5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4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411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F2F2F2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</w:tr>
      <w:tr>
        <w:trPr>
          <w:cantSplit w:val="false"/>
        </w:trPr>
        <w:tc>
          <w:tcPr>
            <w:tcW w:type="dxa" w:w="861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4"/>
              <w:spacing w:after="0" w:before="0" w:line="100" w:lineRule="atLeast"/>
              <w:contextualSpacing w:val="false"/>
              <w:jc w:val="both"/>
            </w:pPr>
            <w:r>
              <w:rPr>
                <w:rFonts w:ascii="Arial" w:cs="Arial" w:hAnsi="Arial"/>
                <w:b/>
                <w:lang w:val="gl-ES"/>
              </w:rPr>
              <w:t>Concretáronse os instrumentos de avaliación para cada un dos estándares de aprendizaxe implicados na tarefa.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eastAsia="Calibri" w:hAnsi="Arial"/>
                <w:b/>
                <w:sz w:val="24"/>
                <w:szCs w:val="24"/>
                <w:lang w:val="gl-ES"/>
              </w:rPr>
              <w:t xml:space="preserve">Realizáronse as rúbricas dos </w:t>
            </w:r>
            <w:r>
              <w:rPr>
                <w:rFonts w:ascii="Arial" w:cs="Arial" w:hAnsi="Arial"/>
                <w:b/>
                <w:sz w:val="24"/>
                <w:szCs w:val="24"/>
                <w:lang w:val="gl-ES"/>
              </w:rPr>
              <w:t xml:space="preserve">estándares de aprendizaxe </w:t>
            </w:r>
            <w:r>
              <w:rPr>
                <w:rFonts w:ascii="Arial" w:cs="Arial" w:eastAsia="Calibri" w:hAnsi="Arial"/>
                <w:b/>
                <w:sz w:val="24"/>
                <w:szCs w:val="24"/>
                <w:lang w:val="gl-ES"/>
              </w:rPr>
              <w:t>Os rangos descritos están debidamente detallados e axústanse aos diferentes niveis de adquisición.</w:t>
              <w:br/>
            </w:r>
            <w:r>
              <w:rPr>
                <w:rFonts w:ascii="Arial" w:cs="Arial" w:hAnsi="Arial"/>
                <w:b/>
                <w:sz w:val="24"/>
                <w:szCs w:val="24"/>
                <w:lang w:val="gl-ES"/>
              </w:rPr>
              <w:t>Concrétanse as competencias clave traballadas.</w:t>
            </w:r>
          </w:p>
        </w:tc>
        <w:tc>
          <w:tcPr>
            <w:tcW w:type="dxa" w:w="349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5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61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34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  <w:tc>
          <w:tcPr>
            <w:tcW w:type="dxa" w:w="411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Arial" w:cs="Arial" w:hAnsi="Arial"/>
                <w:sz w:val="28"/>
                <w:szCs w:val="28"/>
                <w:lang w:val="es-ES"/>
              </w:rPr>
            </w:r>
          </w:p>
        </w:tc>
      </w:tr>
    </w:tbl>
    <w:p>
      <w:pPr>
        <w:pStyle w:val="style23"/>
        <w:spacing w:after="0" w:before="28"/>
        <w:contextualSpacing w:val="false"/>
        <w:jc w:val="right"/>
      </w:pPr>
      <w:r>
        <w:rPr>
          <w:rFonts w:ascii="Calibri" w:hAnsi="Calibri"/>
          <w:i/>
          <w:iCs/>
          <w:sz w:val="20"/>
          <w:szCs w:val="20"/>
          <w:lang w:val="gl-ES"/>
        </w:rPr>
        <w:t>(*)NIVEIS: EXCELENTE (A) –  BEN (B) – SUFICIENTE (C) – INCOMPLETO (D)</w:t>
      </w:r>
    </w:p>
    <w:p>
      <w:pPr>
        <w:pStyle w:val="style0"/>
      </w:pPr>
      <w:r>
        <w:rPr/>
      </w:r>
    </w:p>
    <w:sectPr>
      <w:type w:val="nextPage"/>
      <w:pgSz w:h="11906" w:orient="landscape" w:w="16838"/>
      <w:pgMar w:bottom="1701" w:footer="0" w:gutter="0" w:header="0" w:left="1417" w:right="1417" w:top="1701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Predeterminado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es-ES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OpenSymbol"/>
    </w:rPr>
  </w:style>
  <w:style w:styleId="style17" w:type="paragraph">
    <w:name w:val="Encabezado"/>
    <w:basedOn w:val="style0"/>
    <w:next w:val="style18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8" w:type="paragraph">
    <w:name w:val="Cuerpo de texto"/>
    <w:basedOn w:val="style0"/>
    <w:next w:val="style18"/>
    <w:pPr>
      <w:spacing w:after="120" w:before="0"/>
      <w:contextualSpacing w:val="false"/>
    </w:pPr>
    <w:rPr/>
  </w:style>
  <w:style w:styleId="style19" w:type="paragraph">
    <w:name w:val="Lista"/>
    <w:basedOn w:val="style18"/>
    <w:next w:val="style19"/>
    <w:pPr/>
    <w:rPr>
      <w:rFonts w:cs="Mangal"/>
    </w:rPr>
  </w:style>
  <w:style w:styleId="style20" w:type="paragraph">
    <w:name w:val="Etiqueta"/>
    <w:basedOn w:val="style0"/>
    <w:next w:val="style20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1" w:type="paragraph">
    <w:name w:val="Índice"/>
    <w:basedOn w:val="style0"/>
    <w:next w:val="style21"/>
    <w:pPr>
      <w:suppressLineNumbers/>
    </w:pPr>
    <w:rPr>
      <w:rFonts w:cs="Mangal"/>
    </w:rPr>
  </w:style>
  <w:style w:styleId="style22" w:type="paragraph">
    <w:name w:val="Normal (Web)"/>
    <w:basedOn w:val="style0"/>
    <w:next w:val="style22"/>
    <w:pPr>
      <w:spacing w:after="119" w:before="28" w:line="100" w:lineRule="atLeast"/>
      <w:contextualSpacing w:val="false"/>
    </w:pPr>
    <w:rPr>
      <w:rFonts w:ascii="Times New Roman" w:cs="Times New Roman" w:eastAsia="Times New Roman" w:hAnsi="Times New Roman"/>
      <w:color w:val="000000"/>
      <w:sz w:val="24"/>
      <w:szCs w:val="24"/>
      <w:lang w:eastAsia="es-ES"/>
    </w:rPr>
  </w:style>
  <w:style w:styleId="style23" w:type="paragraph">
    <w:name w:val="western"/>
    <w:basedOn w:val="style0"/>
    <w:next w:val="style23"/>
    <w:pPr>
      <w:spacing w:after="119" w:before="28" w:line="100" w:lineRule="atLeast"/>
      <w:contextualSpacing w:val="false"/>
    </w:pPr>
    <w:rPr>
      <w:rFonts w:ascii="Times New Roman" w:cs="Times New Roman" w:eastAsia="Times New Roman" w:hAnsi="Times New Roman"/>
      <w:color w:val="000000"/>
      <w:sz w:val="24"/>
      <w:szCs w:val="24"/>
      <w:lang w:eastAsia="es-ES"/>
    </w:rPr>
  </w:style>
  <w:style w:styleId="style24" w:type="paragraph">
    <w:name w:val="Contenido de la tabla"/>
    <w:basedOn w:val="style0"/>
    <w:next w:val="style24"/>
    <w:pPr>
      <w:widowControl w:val="false"/>
      <w:suppressLineNumbers/>
      <w:suppressAutoHyphens w:val="true"/>
      <w:spacing w:after="0" w:before="0" w:line="100" w:lineRule="atLeast"/>
      <w:contextualSpacing w:val="false"/>
    </w:pPr>
    <w:rPr>
      <w:rFonts w:ascii="Times New Roman" w:cs="Times New Roman" w:eastAsia="Andale Sans UI" w:hAnsi="Times New Roman"/>
      <w:sz w:val="24"/>
      <w:szCs w:val="24"/>
      <w:lang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2015-11-19T21:27:00.00Z</dcterms:created>
  <dc:creator>CFR DE FERROL</dc:creator>
  <cp:lastModifiedBy>Manuel Losada</cp:lastModifiedBy>
  <cp:lastPrinted>2015-09-29T15:16:00.00Z</cp:lastPrinted>
  <dcterms:modified xsi:type="dcterms:W3CDTF">2015-11-19T21:57:00.00Z</dcterms:modified>
  <cp:revision>3</cp:revision>
</cp:coreProperties>
</file>