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25A" w:rsidRPr="007F7431" w:rsidRDefault="007F7431" w:rsidP="007F7431">
      <w:pPr>
        <w:jc w:val="center"/>
        <w:rPr>
          <w:rFonts w:ascii="Arial" w:hAnsi="Arial" w:cs="Arial"/>
          <w:b/>
          <w:sz w:val="32"/>
          <w:szCs w:val="32"/>
          <w:lang w:val="es-ES_tradnl"/>
        </w:rPr>
      </w:pPr>
      <w:r w:rsidRPr="007F7431">
        <w:rPr>
          <w:rFonts w:ascii="Arial" w:hAnsi="Arial" w:cs="Arial"/>
          <w:b/>
          <w:sz w:val="32"/>
          <w:szCs w:val="32"/>
          <w:lang w:val="es-ES_tradnl"/>
        </w:rPr>
        <w:t>RÚBRICA DE AUTO E HETEROAVALIACIÓN</w:t>
      </w:r>
    </w:p>
    <w:tbl>
      <w:tblPr>
        <w:tblStyle w:val="Tablaconcuadrcula"/>
        <w:tblW w:w="0" w:type="auto"/>
        <w:tblLayout w:type="fixed"/>
        <w:tblLook w:val="04A0"/>
      </w:tblPr>
      <w:tblGrid>
        <w:gridCol w:w="8613"/>
        <w:gridCol w:w="350"/>
        <w:gridCol w:w="359"/>
        <w:gridCol w:w="361"/>
        <w:gridCol w:w="348"/>
        <w:gridCol w:w="4113"/>
      </w:tblGrid>
      <w:tr w:rsidR="00247CC8" w:rsidRPr="006051A3" w:rsidTr="007F7431">
        <w:tc>
          <w:tcPr>
            <w:tcW w:w="8613" w:type="dxa"/>
            <w:vMerge w:val="restart"/>
            <w:shd w:val="clear" w:color="auto" w:fill="365F91" w:themeFill="accent1" w:themeFillShade="BF"/>
          </w:tcPr>
          <w:p w:rsidR="00247CC8" w:rsidRPr="007F7431" w:rsidRDefault="00247CC8" w:rsidP="00247CC8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es-ES_tradnl"/>
              </w:rPr>
            </w:pPr>
            <w:r w:rsidRPr="007F7431"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es-ES_tradnl"/>
              </w:rPr>
              <w:t>INDICADORES DE AVALIACIÓN</w:t>
            </w:r>
          </w:p>
        </w:tc>
        <w:tc>
          <w:tcPr>
            <w:tcW w:w="1418" w:type="dxa"/>
            <w:gridSpan w:val="4"/>
            <w:shd w:val="clear" w:color="auto" w:fill="365F91" w:themeFill="accent1" w:themeFillShade="BF"/>
          </w:tcPr>
          <w:p w:rsidR="00247CC8" w:rsidRPr="007F7431" w:rsidRDefault="00247CC8" w:rsidP="00247CC8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es-ES_tradnl"/>
              </w:rPr>
            </w:pPr>
            <w:r w:rsidRPr="007F7431"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es-ES_tradnl"/>
              </w:rPr>
              <w:t>NIVEIS</w:t>
            </w:r>
            <w:r w:rsidR="00A02B73" w:rsidRPr="00A02B73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  <w:t>(*)</w:t>
            </w:r>
          </w:p>
        </w:tc>
        <w:tc>
          <w:tcPr>
            <w:tcW w:w="4113" w:type="dxa"/>
            <w:vMerge w:val="restart"/>
            <w:shd w:val="clear" w:color="auto" w:fill="365F91" w:themeFill="accent1" w:themeFillShade="BF"/>
          </w:tcPr>
          <w:p w:rsidR="00247CC8" w:rsidRPr="007F7431" w:rsidRDefault="00247CC8" w:rsidP="00247CC8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es-ES_tradnl"/>
              </w:rPr>
            </w:pPr>
            <w:r w:rsidRPr="007F7431"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es-ES_tradnl"/>
              </w:rPr>
              <w:t>OBSERVACIÓNS</w:t>
            </w:r>
          </w:p>
        </w:tc>
      </w:tr>
      <w:tr w:rsidR="00247CC8" w:rsidRPr="006051A3" w:rsidTr="007F7431">
        <w:tc>
          <w:tcPr>
            <w:tcW w:w="8613" w:type="dxa"/>
            <w:vMerge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350" w:type="dxa"/>
          </w:tcPr>
          <w:p w:rsidR="00247CC8" w:rsidRPr="007F7431" w:rsidRDefault="00247CC8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F7431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</w:t>
            </w:r>
          </w:p>
        </w:tc>
        <w:tc>
          <w:tcPr>
            <w:tcW w:w="359" w:type="dxa"/>
          </w:tcPr>
          <w:p w:rsidR="00247CC8" w:rsidRPr="007F7431" w:rsidRDefault="00247CC8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F7431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B</w:t>
            </w:r>
          </w:p>
        </w:tc>
        <w:tc>
          <w:tcPr>
            <w:tcW w:w="361" w:type="dxa"/>
          </w:tcPr>
          <w:p w:rsidR="00247CC8" w:rsidRPr="007F7431" w:rsidRDefault="00247CC8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F7431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</w:t>
            </w:r>
          </w:p>
        </w:tc>
        <w:tc>
          <w:tcPr>
            <w:tcW w:w="348" w:type="dxa"/>
          </w:tcPr>
          <w:p w:rsidR="00247CC8" w:rsidRPr="007F7431" w:rsidRDefault="00247CC8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F7431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</w:t>
            </w:r>
          </w:p>
        </w:tc>
        <w:tc>
          <w:tcPr>
            <w:tcW w:w="4113" w:type="dxa"/>
            <w:vMerge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</w:tr>
      <w:tr w:rsidR="00247CC8" w:rsidRPr="006051A3" w:rsidTr="007F7431">
        <w:tc>
          <w:tcPr>
            <w:tcW w:w="8613" w:type="dxa"/>
            <w:shd w:val="clear" w:color="auto" w:fill="F2F2F2" w:themeFill="background1" w:themeFillShade="F2"/>
          </w:tcPr>
          <w:p w:rsidR="00247CC8" w:rsidRPr="007F7431" w:rsidRDefault="00247CC8" w:rsidP="007F7431">
            <w:pPr>
              <w:spacing w:line="276" w:lineRule="auto"/>
              <w:rPr>
                <w:rFonts w:ascii="Arial" w:hAnsi="Arial" w:cs="Arial"/>
                <w:sz w:val="28"/>
                <w:szCs w:val="28"/>
                <w:lang w:val="gl-ES"/>
              </w:rPr>
            </w:pPr>
            <w:r w:rsidRPr="007F7431">
              <w:rPr>
                <w:rFonts w:ascii="Arial" w:hAnsi="Arial" w:cs="Arial"/>
                <w:sz w:val="28"/>
                <w:szCs w:val="28"/>
                <w:lang w:val="gl-ES"/>
              </w:rPr>
              <w:t>A táboa recolle todos os estándares de aprendizaxe da materia e curso</w:t>
            </w:r>
            <w:r w:rsidR="006051A3" w:rsidRPr="007F7431">
              <w:rPr>
                <w:rFonts w:ascii="Arial" w:hAnsi="Arial" w:cs="Arial"/>
                <w:sz w:val="28"/>
                <w:szCs w:val="28"/>
                <w:lang w:val="gl-ES"/>
              </w:rPr>
              <w:t xml:space="preserve"> elixido</w:t>
            </w:r>
            <w:r w:rsidRPr="007F7431">
              <w:rPr>
                <w:rFonts w:ascii="Arial" w:hAnsi="Arial" w:cs="Arial"/>
                <w:sz w:val="28"/>
                <w:szCs w:val="28"/>
                <w:lang w:val="gl-ES"/>
              </w:rPr>
              <w:t xml:space="preserve">.  </w:t>
            </w:r>
          </w:p>
        </w:tc>
        <w:tc>
          <w:tcPr>
            <w:tcW w:w="350" w:type="dxa"/>
            <w:shd w:val="clear" w:color="auto" w:fill="F2F2F2" w:themeFill="background1" w:themeFillShade="F2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359" w:type="dxa"/>
            <w:shd w:val="clear" w:color="auto" w:fill="F2F2F2" w:themeFill="background1" w:themeFillShade="F2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361" w:type="dxa"/>
            <w:shd w:val="clear" w:color="auto" w:fill="F2F2F2" w:themeFill="background1" w:themeFillShade="F2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348" w:type="dxa"/>
            <w:shd w:val="clear" w:color="auto" w:fill="F2F2F2" w:themeFill="background1" w:themeFillShade="F2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4113" w:type="dxa"/>
            <w:shd w:val="clear" w:color="auto" w:fill="F2F2F2" w:themeFill="background1" w:themeFillShade="F2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</w:tr>
      <w:tr w:rsidR="00247CC8" w:rsidRPr="006051A3" w:rsidTr="007F7431">
        <w:tc>
          <w:tcPr>
            <w:tcW w:w="8613" w:type="dxa"/>
          </w:tcPr>
          <w:p w:rsidR="00247CC8" w:rsidRPr="007F7431" w:rsidRDefault="006051A3" w:rsidP="007F7431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7F7431">
              <w:rPr>
                <w:rFonts w:ascii="Arial" w:hAnsi="Arial" w:cs="Arial"/>
                <w:sz w:val="28"/>
                <w:szCs w:val="28"/>
                <w:lang w:val="gl-ES"/>
              </w:rPr>
              <w:t>Para cada un dos estándar indícase a avaliación ou avaliacións na que se traballarán. O reparto temporal é equilibrado.</w:t>
            </w:r>
          </w:p>
        </w:tc>
        <w:tc>
          <w:tcPr>
            <w:tcW w:w="350" w:type="dxa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359" w:type="dxa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361" w:type="dxa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348" w:type="dxa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4113" w:type="dxa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</w:tr>
      <w:tr w:rsidR="00247CC8" w:rsidRPr="006051A3" w:rsidTr="007F7431">
        <w:tc>
          <w:tcPr>
            <w:tcW w:w="8613" w:type="dxa"/>
            <w:shd w:val="clear" w:color="auto" w:fill="F2F2F2" w:themeFill="background1" w:themeFillShade="F2"/>
          </w:tcPr>
          <w:p w:rsidR="00247CC8" w:rsidRPr="007F7431" w:rsidRDefault="006051A3" w:rsidP="007F7431">
            <w:pPr>
              <w:pStyle w:val="NormalWeb"/>
              <w:spacing w:after="0" w:line="276" w:lineRule="auto"/>
              <w:rPr>
                <w:rFonts w:ascii="Arial" w:hAnsi="Arial" w:cs="Arial"/>
                <w:sz w:val="28"/>
                <w:szCs w:val="28"/>
                <w:lang w:val="gl-ES"/>
              </w:rPr>
            </w:pPr>
            <w:r w:rsidRPr="007F7431">
              <w:rPr>
                <w:rFonts w:ascii="Arial" w:hAnsi="Arial" w:cs="Arial"/>
                <w:sz w:val="28"/>
                <w:szCs w:val="28"/>
                <w:lang w:val="gl-ES"/>
              </w:rPr>
              <w:t>Indícase, para todos os estándares, os procesos de avaliación utilizados. Tales procesos describen con precisión os mecanismos que se van seguir para realizar a avaliación do alumnado.</w:t>
            </w:r>
          </w:p>
        </w:tc>
        <w:tc>
          <w:tcPr>
            <w:tcW w:w="350" w:type="dxa"/>
            <w:shd w:val="clear" w:color="auto" w:fill="F2F2F2" w:themeFill="background1" w:themeFillShade="F2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359" w:type="dxa"/>
            <w:shd w:val="clear" w:color="auto" w:fill="F2F2F2" w:themeFill="background1" w:themeFillShade="F2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361" w:type="dxa"/>
            <w:shd w:val="clear" w:color="auto" w:fill="F2F2F2" w:themeFill="background1" w:themeFillShade="F2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348" w:type="dxa"/>
            <w:shd w:val="clear" w:color="auto" w:fill="F2F2F2" w:themeFill="background1" w:themeFillShade="F2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4113" w:type="dxa"/>
            <w:shd w:val="clear" w:color="auto" w:fill="F2F2F2" w:themeFill="background1" w:themeFillShade="F2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</w:tr>
      <w:tr w:rsidR="00247CC8" w:rsidRPr="006051A3" w:rsidTr="007F7431">
        <w:tc>
          <w:tcPr>
            <w:tcW w:w="8613" w:type="dxa"/>
          </w:tcPr>
          <w:p w:rsidR="00247CC8" w:rsidRPr="007F7431" w:rsidRDefault="006051A3" w:rsidP="007F7431">
            <w:pPr>
              <w:pStyle w:val="NormalWeb"/>
              <w:spacing w:after="0" w:line="276" w:lineRule="auto"/>
              <w:rPr>
                <w:sz w:val="28"/>
                <w:szCs w:val="28"/>
                <w:lang w:val="gl-ES"/>
              </w:rPr>
            </w:pPr>
            <w:r w:rsidRPr="007F7431">
              <w:rPr>
                <w:rFonts w:ascii="Arial" w:hAnsi="Arial" w:cs="Arial"/>
                <w:sz w:val="28"/>
                <w:szCs w:val="28"/>
                <w:lang w:val="gl-ES"/>
              </w:rPr>
              <w:t xml:space="preserve">Indícase, para todos os estándares, os instrumentos de avaliación utilizados. Tales instrumentos  describen con precisión os medios ou recursos utilizados para a obtención de datos, </w:t>
            </w:r>
            <w:r w:rsidR="007F7431" w:rsidRPr="007F7431">
              <w:rPr>
                <w:rFonts w:ascii="Arial" w:hAnsi="Arial" w:cs="Arial"/>
                <w:sz w:val="28"/>
                <w:szCs w:val="28"/>
                <w:lang w:val="gl-ES"/>
              </w:rPr>
              <w:t xml:space="preserve">estes, a súa vez, </w:t>
            </w:r>
            <w:r w:rsidRPr="007F7431">
              <w:rPr>
                <w:rFonts w:ascii="Arial" w:hAnsi="Arial" w:cs="Arial"/>
                <w:sz w:val="28"/>
                <w:szCs w:val="28"/>
                <w:lang w:val="gl-ES"/>
              </w:rPr>
              <w:t xml:space="preserve"> </w:t>
            </w:r>
            <w:r w:rsidR="007F7431" w:rsidRPr="007F7431">
              <w:rPr>
                <w:rFonts w:ascii="Arial" w:hAnsi="Arial" w:cs="Arial"/>
                <w:sz w:val="28"/>
                <w:szCs w:val="28"/>
                <w:lang w:val="gl-ES"/>
              </w:rPr>
              <w:t>deberán ofrecer</w:t>
            </w:r>
            <w:r w:rsidRPr="007F7431">
              <w:rPr>
                <w:rFonts w:ascii="Arial" w:hAnsi="Arial" w:cs="Arial"/>
                <w:sz w:val="28"/>
                <w:szCs w:val="28"/>
                <w:lang w:val="gl-ES"/>
              </w:rPr>
              <w:t xml:space="preserve"> validez e fiabilidade na identificación das aprendizaxes adquiridas. </w:t>
            </w:r>
          </w:p>
        </w:tc>
        <w:tc>
          <w:tcPr>
            <w:tcW w:w="350" w:type="dxa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359" w:type="dxa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361" w:type="dxa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348" w:type="dxa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4113" w:type="dxa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</w:tr>
      <w:tr w:rsidR="00247CC8" w:rsidRPr="006051A3" w:rsidTr="007F7431">
        <w:tc>
          <w:tcPr>
            <w:tcW w:w="8613" w:type="dxa"/>
            <w:shd w:val="clear" w:color="auto" w:fill="F2F2F2" w:themeFill="background1" w:themeFillShade="F2"/>
          </w:tcPr>
          <w:p w:rsidR="00247CC8" w:rsidRPr="007F7431" w:rsidRDefault="007F7431" w:rsidP="007F7431">
            <w:pPr>
              <w:spacing w:line="276" w:lineRule="auto"/>
              <w:rPr>
                <w:rFonts w:ascii="Arial" w:hAnsi="Arial" w:cs="Arial"/>
                <w:sz w:val="28"/>
                <w:szCs w:val="28"/>
                <w:lang w:val="gl-ES"/>
              </w:rPr>
            </w:pPr>
            <w:r w:rsidRPr="007F7431">
              <w:rPr>
                <w:rFonts w:ascii="Arial" w:hAnsi="Arial" w:cs="Arial"/>
                <w:sz w:val="28"/>
                <w:szCs w:val="28"/>
                <w:lang w:val="gl-ES"/>
              </w:rPr>
              <w:t>No caso de estándares nos que se utilice máis dun instrumento de avaliación, indicase a ponderación que cada un deles ten na cualificación final do referido estándar.</w:t>
            </w:r>
          </w:p>
        </w:tc>
        <w:tc>
          <w:tcPr>
            <w:tcW w:w="350" w:type="dxa"/>
            <w:shd w:val="clear" w:color="auto" w:fill="F2F2F2" w:themeFill="background1" w:themeFillShade="F2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359" w:type="dxa"/>
            <w:shd w:val="clear" w:color="auto" w:fill="F2F2F2" w:themeFill="background1" w:themeFillShade="F2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361" w:type="dxa"/>
            <w:shd w:val="clear" w:color="auto" w:fill="F2F2F2" w:themeFill="background1" w:themeFillShade="F2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348" w:type="dxa"/>
            <w:shd w:val="clear" w:color="auto" w:fill="F2F2F2" w:themeFill="background1" w:themeFillShade="F2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4113" w:type="dxa"/>
            <w:shd w:val="clear" w:color="auto" w:fill="F2F2F2" w:themeFill="background1" w:themeFillShade="F2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</w:tr>
      <w:tr w:rsidR="00247CC8" w:rsidRPr="006051A3" w:rsidTr="007F7431">
        <w:tc>
          <w:tcPr>
            <w:tcW w:w="8613" w:type="dxa"/>
          </w:tcPr>
          <w:p w:rsidR="00247CC8" w:rsidRPr="007F7431" w:rsidRDefault="007F7431" w:rsidP="007F7431">
            <w:pPr>
              <w:spacing w:line="276" w:lineRule="auto"/>
              <w:rPr>
                <w:rFonts w:ascii="Arial" w:hAnsi="Arial" w:cs="Arial"/>
                <w:sz w:val="28"/>
                <w:szCs w:val="28"/>
                <w:lang w:val="gl-ES"/>
              </w:rPr>
            </w:pPr>
            <w:r w:rsidRPr="007F7431">
              <w:rPr>
                <w:rFonts w:ascii="Arial" w:hAnsi="Arial" w:cs="Arial"/>
                <w:sz w:val="28"/>
                <w:szCs w:val="28"/>
                <w:lang w:val="gl-ES"/>
              </w:rPr>
              <w:t>Para rematar reflíctese a ponderación que cada estándar ten na cualificación final da materia.</w:t>
            </w:r>
          </w:p>
        </w:tc>
        <w:tc>
          <w:tcPr>
            <w:tcW w:w="350" w:type="dxa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359" w:type="dxa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361" w:type="dxa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348" w:type="dxa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4113" w:type="dxa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</w:tr>
    </w:tbl>
    <w:p w:rsidR="007F7431" w:rsidRDefault="007F7431" w:rsidP="007F7431">
      <w:pPr>
        <w:pStyle w:val="western"/>
        <w:spacing w:after="0"/>
        <w:jc w:val="right"/>
        <w:rPr>
          <w:lang w:val="gl-ES"/>
        </w:rPr>
      </w:pPr>
      <w:r>
        <w:rPr>
          <w:rFonts w:ascii="Calibri" w:hAnsi="Calibri"/>
          <w:i/>
          <w:iCs/>
          <w:sz w:val="20"/>
          <w:szCs w:val="20"/>
          <w:lang w:val="gl-ES"/>
        </w:rPr>
        <w:t>(*)NIVEIS: EXCELENTE (A) –  BEN (B) – SUFICIENTE (C) – INCOMPLETO (D)</w:t>
      </w:r>
    </w:p>
    <w:p w:rsidR="00247CC8" w:rsidRPr="006051A3" w:rsidRDefault="00247CC8">
      <w:pPr>
        <w:rPr>
          <w:rFonts w:ascii="Arial" w:hAnsi="Arial" w:cs="Arial"/>
          <w:sz w:val="24"/>
          <w:szCs w:val="24"/>
          <w:lang w:val="es-ES_tradnl"/>
        </w:rPr>
      </w:pPr>
    </w:p>
    <w:sectPr w:rsidR="00247CC8" w:rsidRPr="006051A3" w:rsidSect="00247CC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47CC8"/>
    <w:rsid w:val="00247CC8"/>
    <w:rsid w:val="006051A3"/>
    <w:rsid w:val="007F7431"/>
    <w:rsid w:val="0084425A"/>
    <w:rsid w:val="009C18AB"/>
    <w:rsid w:val="00A02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2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47C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051A3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western">
    <w:name w:val="western"/>
    <w:basedOn w:val="Normal"/>
    <w:rsid w:val="007F7431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9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CFR DE FERROL</dc:creator>
  <cp:lastModifiedBy>CFR DE FERROL</cp:lastModifiedBy>
  <cp:revision>1</cp:revision>
  <cp:lastPrinted>2015-09-29T15:16:00Z</cp:lastPrinted>
  <dcterms:created xsi:type="dcterms:W3CDTF">2015-09-29T14:45:00Z</dcterms:created>
  <dcterms:modified xsi:type="dcterms:W3CDTF">2015-09-29T15:21:00Z</dcterms:modified>
</cp:coreProperties>
</file>