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Poppins" w:cs="Poppins" w:eastAsia="Poppins" w:hAnsi="Poppins"/>
          <w:b w:val="1"/>
          <w:color w:val="ff717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Poppins" w:cs="Poppins" w:eastAsia="Poppins" w:hAnsi="Poppins"/>
          <w:color w:val="ff7171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ff7171"/>
          <w:sz w:val="34"/>
          <w:szCs w:val="34"/>
          <w:rtl w:val="0"/>
        </w:rPr>
        <w:t xml:space="preserve">Deseño de experiencias de aprendizaxe dixitais con perspectiva DUA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40.0" w:type="dxa"/>
        <w:jc w:val="left"/>
        <w:tblInd w:w="108.0000000000005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60"/>
        <w:gridCol w:w="3799.999999999999"/>
        <w:gridCol w:w="3955.000000000001"/>
        <w:gridCol w:w="3525"/>
        <w:tblGridChange w:id="0">
          <w:tblGrid>
            <w:gridCol w:w="3960"/>
            <w:gridCol w:w="3799.999999999999"/>
            <w:gridCol w:w="3955.000000000001"/>
            <w:gridCol w:w="35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rPr>
                <w:rFonts w:ascii="Poppins" w:cs="Poppins" w:eastAsia="Poppins" w:hAnsi="Poppi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OPCIONAL. Cal é a situación de aprendizaxe?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sz w:val="20"/>
                <w:szCs w:val="20"/>
                <w:rtl w:val="0"/>
              </w:rPr>
              <w:t xml:space="preserve">Como esta experiencia ten sentido e está conectada co alumnado. 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rPr>
                <w:rFonts w:ascii="Poppins" w:cs="Poppins" w:eastAsia="Poppins" w:hAnsi="Poppi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i w:val="1"/>
                <w:sz w:val="20"/>
                <w:szCs w:val="20"/>
                <w:rtl w:val="0"/>
              </w:rPr>
              <w:t xml:space="preserve">Inspírate </w:t>
            </w:r>
            <w:hyperlink r:id="rId6">
              <w:r w:rsidDel="00000000" w:rsidR="00000000" w:rsidRPr="00000000">
                <w:rPr>
                  <w:rFonts w:ascii="Poppins" w:cs="Poppins" w:eastAsia="Poppins" w:hAnsi="Poppins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aquí</w:t>
              </w:r>
            </w:hyperlink>
            <w:r w:rsidDel="00000000" w:rsidR="00000000" w:rsidRPr="00000000">
              <w:rPr>
                <w:rFonts w:ascii="Poppins" w:cs="Poppins" w:eastAsia="Poppins" w:hAnsi="Poppins"/>
                <w:i w:val="1"/>
                <w:sz w:val="20"/>
                <w:szCs w:val="20"/>
                <w:rtl w:val="0"/>
              </w:rPr>
              <w:t xml:space="preserve">, </w:t>
            </w:r>
            <w:hyperlink r:id="rId7">
              <w:r w:rsidDel="00000000" w:rsidR="00000000" w:rsidRPr="00000000">
                <w:rPr>
                  <w:rFonts w:ascii="Poppins" w:cs="Poppins" w:eastAsia="Poppins" w:hAnsi="Poppins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aquí</w:t>
              </w:r>
            </w:hyperlink>
            <w:r w:rsidDel="00000000" w:rsidR="00000000" w:rsidRPr="00000000">
              <w:rPr>
                <w:rFonts w:ascii="Poppins" w:cs="Poppins" w:eastAsia="Poppins" w:hAnsi="Poppins"/>
                <w:i w:val="1"/>
                <w:sz w:val="20"/>
                <w:szCs w:val="20"/>
                <w:rtl w:val="0"/>
              </w:rPr>
              <w:t xml:space="preserve">, </w:t>
            </w:r>
            <w:hyperlink r:id="rId8">
              <w:r w:rsidDel="00000000" w:rsidR="00000000" w:rsidRPr="00000000">
                <w:rPr>
                  <w:rFonts w:ascii="Poppins" w:cs="Poppins" w:eastAsia="Poppins" w:hAnsi="Poppins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aquí</w:t>
              </w:r>
            </w:hyperlink>
            <w:r w:rsidDel="00000000" w:rsidR="00000000" w:rsidRPr="00000000">
              <w:rPr>
                <w:rFonts w:ascii="Poppins" w:cs="Poppins" w:eastAsia="Poppins" w:hAnsi="Poppins"/>
                <w:i w:val="1"/>
                <w:sz w:val="20"/>
                <w:szCs w:val="20"/>
                <w:rtl w:val="0"/>
              </w:rPr>
              <w:t xml:space="preserve">, </w:t>
            </w:r>
            <w:hyperlink r:id="rId9">
              <w:r w:rsidDel="00000000" w:rsidR="00000000" w:rsidRPr="00000000">
                <w:rPr>
                  <w:rFonts w:ascii="Poppins" w:cs="Poppins" w:eastAsia="Poppins" w:hAnsi="Poppins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aquí</w:t>
              </w:r>
            </w:hyperlink>
            <w:r w:rsidDel="00000000" w:rsidR="00000000" w:rsidRPr="00000000">
              <w:rPr>
                <w:rFonts w:ascii="Poppins" w:cs="Poppins" w:eastAsia="Poppins" w:hAnsi="Poppins"/>
                <w:i w:val="1"/>
                <w:sz w:val="20"/>
                <w:szCs w:val="20"/>
                <w:rtl w:val="0"/>
              </w:rPr>
              <w:t xml:space="preserve">, </w:t>
            </w:r>
            <w:hyperlink r:id="rId10">
              <w:r w:rsidDel="00000000" w:rsidR="00000000" w:rsidRPr="00000000">
                <w:rPr>
                  <w:rFonts w:ascii="Poppins" w:cs="Poppins" w:eastAsia="Poppins" w:hAnsi="Poppins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aquí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Poppins" w:cs="Poppins" w:eastAsia="Poppins" w:hAnsi="Poppi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Cirterio(s) de avaliación.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sz w:val="20"/>
                <w:szCs w:val="20"/>
                <w:rtl w:val="0"/>
              </w:rPr>
              <w:t xml:space="preserve">O alumnado será capaz de….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Poppins" w:cs="Poppins" w:eastAsia="Poppins" w:hAnsi="Poppi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i w:val="1"/>
                <w:sz w:val="20"/>
                <w:szCs w:val="20"/>
                <w:rtl w:val="0"/>
              </w:rPr>
              <w:t xml:space="preserve">(https://www.edu.xunta.gal/proens/)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Poppins" w:cs="Poppins" w:eastAsia="Poppins" w:hAnsi="Poppi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Puntos clave dos obxectivos (saberes, habilidades, etc).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sz w:val="20"/>
                <w:szCs w:val="20"/>
                <w:rtl w:val="0"/>
              </w:rPr>
              <w:t xml:space="preserve">Que precisa saber e saber facer o alumnado para acadar o obxectivo?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Poppins" w:cs="Poppins" w:eastAsia="Poppins" w:hAnsi="Poppi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i w:val="1"/>
                <w:sz w:val="20"/>
                <w:szCs w:val="20"/>
                <w:rtl w:val="0"/>
              </w:rPr>
              <w:t xml:space="preserve">(https://www.edu.xunta.gal/proens/)</w:t>
            </w:r>
          </w:p>
        </w:tc>
      </w:tr>
      <w:tr>
        <w:trPr>
          <w:cantSplit w:val="0"/>
          <w:trHeight w:val="559.1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Poppins" w:cs="Poppins" w:eastAsia="Poppins" w:hAnsi="Poppi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(exemplo, borrar)</w:t>
            </w: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CA2.3. Comprender e interpretar o sentido global, a estrutura, a información máis relevante e a intención do emisor en textos escritos e multimodais de certa complexidade, realizando as inferencias necesarias e con diferentes propósitos de lectura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sz w:val="20"/>
                <w:szCs w:val="20"/>
                <w:rtl w:val="0"/>
              </w:rPr>
              <w:t xml:space="preserve">(exemplo do DOG- LOMLOE, 4º ESO en Lingua Castelá).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Poppins" w:cs="Poppins" w:eastAsia="Poppins" w:hAnsi="Poppins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Poppins" w:cs="Poppins" w:eastAsia="Poppins" w:hAnsi="Poppi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(exemplo, borrar) </w:t>
            </w: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Saberes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sz w:val="20"/>
                <w:szCs w:val="20"/>
                <w:rtl w:val="0"/>
              </w:rPr>
              <w:t xml:space="preserve">(sacados “tal cual” da lei)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Comprensión e análise crítica de textos argumentativos: coñecer as partes dos textos argumentativos. 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Comprensión lectora: sentido global do texto e relación entre as súas partes. 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Os abusos de poder e a manipulación a través da linguaxe. As noticias falsas. Valoración da forma e do contido do texto.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Alfabetización informacional: procura e selección da información con criterios de fiabilidade, calidade e pertinencia; análise, valoración, reorganización e síntese da información en esquemas propios.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Poppins" w:cs="Poppins" w:eastAsia="Poppins" w:hAnsi="Poppi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6"/>
                <w:szCs w:val="26"/>
                <w:rtl w:val="0"/>
              </w:rPr>
              <w:t xml:space="preserve">Que tarefas ten que facer o alumnado para practicar ata chegar ao obxectivo?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Poppins" w:cs="Poppins" w:eastAsia="Poppins" w:hAnsi="Poppins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Poppins" w:cs="Poppins" w:eastAsia="Poppins" w:hAnsi="Poppins"/>
                <w:i w:val="1"/>
                <w:sz w:val="26"/>
                <w:szCs w:val="26"/>
                <w:rtl w:val="0"/>
              </w:rPr>
              <w:t xml:space="preserve">Describe brevemente a secuencia didáctica 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Describe a actividade que vas levar a cabo. 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Poppins" w:cs="Poppins" w:eastAsia="Poppins" w:hAnsi="Poppi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engade link á actividade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Poppins" w:cs="Poppins" w:eastAsia="Poppins" w:hAnsi="Poppi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explicación de como se fará na aula (xestión)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Proporcionar múltiples formas de representación (Prinicipio I DUA).</w:t>
            </w: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Esta actividade axúdate a conseguir este principio? Como?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Como vas proporcionar múltiples formas de acción e expresión (Prinicipio II DUA).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Esta actividade axúdate a conseguir este principio? Como?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left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Como vas proporcionar múltiples formas de implicación (Prinicipio III DUA). </w:t>
            </w: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Por que o alumnado vai estar motivado en cada unhas das actividades.</w:t>
            </w:r>
          </w:p>
        </w:tc>
      </w:tr>
      <w:tr>
        <w:trPr>
          <w:cantSplit w:val="0"/>
          <w:trHeight w:val="631.07999999999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line="276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1909" w:w="16834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Black">
    <w:embedBold w:fontKey="{00000000-0000-0000-0000-000000000000}" r:id="rId5" w:subsetted="0"/>
    <w:embedBoldItalic w:fontKey="{00000000-0000-0000-0000-000000000000}" r:id="rId6" w:subsetted="0"/>
  </w:font>
  <w:font w:name="Poppi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Source Sans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7933650</wp:posOffset>
          </wp:positionH>
          <wp:positionV relativeFrom="paragraph">
            <wp:posOffset>-304799</wp:posOffset>
          </wp:positionV>
          <wp:extent cx="2040488" cy="427454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0488" cy="4274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-285749</wp:posOffset>
          </wp:positionV>
          <wp:extent cx="948690" cy="3905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77142" l="36359" r="34362" t="0"/>
                  <a:stretch>
                    <a:fillRect/>
                  </a:stretch>
                </pic:blipFill>
                <pic:spPr>
                  <a:xfrm>
                    <a:off x="0" y="0"/>
                    <a:ext cx="948690" cy="3905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Sans Pro" w:cs="Source Sans Pro" w:eastAsia="Source Sans Pro" w:hAnsi="Source Sans Pro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Montserrat" w:cs="Montserrat" w:eastAsia="Montserrat" w:hAnsi="Montserrat"/>
      <w:b w:val="1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Montserrat Black" w:cs="Montserrat Black" w:eastAsia="Montserrat Black" w:hAnsi="Montserrat Black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educaciontrespuntocero.com/experiencias/formacion-profesional-buenas-practicas-educativas-con-tic/" TargetMode="External"/><Relationship Id="rId9" Type="http://schemas.openxmlformats.org/officeDocument/2006/relationships/hyperlink" Target="https://www.orientacionandujar.es/wp-content/uploads/2023/01/Productos-finales-para-Situaciones-de-Aprendizaje-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app=desktop&amp;v=a2wnSTOS46M" TargetMode="External"/><Relationship Id="rId7" Type="http://schemas.openxmlformats.org/officeDocument/2006/relationships/hyperlink" Target="https://www.escuela21.org/blog/15-fuentes-de-inspiracion-para-disenar-situaciones-de-aprendizaje/" TargetMode="External"/><Relationship Id="rId8" Type="http://schemas.openxmlformats.org/officeDocument/2006/relationships/hyperlink" Target="https://docs.google.com/spreadsheets/d/1KMGi6UIKHfmI8InXKq-LFFoEg7UnvTbKtIfmAjuWKfU/edit#gid=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0" Type="http://schemas.openxmlformats.org/officeDocument/2006/relationships/font" Target="fonts/Poppins-boldItalic.ttf"/><Relationship Id="rId9" Type="http://schemas.openxmlformats.org/officeDocument/2006/relationships/font" Target="fonts/Poppins-italic.ttf"/><Relationship Id="rId5" Type="http://schemas.openxmlformats.org/officeDocument/2006/relationships/font" Target="fonts/MontserratBlack-bold.ttf"/><Relationship Id="rId6" Type="http://schemas.openxmlformats.org/officeDocument/2006/relationships/font" Target="fonts/MontserratBlack-boldItalic.ttf"/><Relationship Id="rId7" Type="http://schemas.openxmlformats.org/officeDocument/2006/relationships/font" Target="fonts/Poppins-regular.ttf"/><Relationship Id="rId8" Type="http://schemas.openxmlformats.org/officeDocument/2006/relationships/font" Target="fonts/Poppi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