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7B" w:rsidRPr="007C0F96" w:rsidRDefault="00AC7C7B" w:rsidP="007C0F96">
      <w:pPr>
        <w:shd w:val="clear" w:color="auto" w:fill="FFFFFF"/>
        <w:spacing w:after="0" w:line="240" w:lineRule="auto"/>
        <w:ind w:left="-1191" w:right="-1304"/>
        <w:rPr>
          <w:rFonts w:ascii="Arial" w:eastAsia="Times New Roman" w:hAnsi="Arial" w:cs="Arial"/>
          <w:b/>
          <w:i/>
          <w:color w:val="333333"/>
          <w:sz w:val="28"/>
          <w:szCs w:val="28"/>
          <w:lang w:val="en-US"/>
        </w:rPr>
      </w:pPr>
      <w:r w:rsidRPr="007C0F96">
        <w:rPr>
          <w:rFonts w:ascii="Arial" w:eastAsia="Times New Roman" w:hAnsi="Arial" w:cs="Arial"/>
          <w:b/>
          <w:i/>
          <w:color w:val="666666"/>
          <w:sz w:val="24"/>
          <w:szCs w:val="24"/>
          <w:lang w:val="en-US"/>
        </w:rPr>
        <w:t xml:space="preserve">Britain Isn’t Eating </w:t>
      </w:r>
      <w:r w:rsidRPr="007C0F96">
        <w:rPr>
          <w:rFonts w:ascii="Arial" w:eastAsia="Times New Roman" w:hAnsi="Arial" w:cs="Arial"/>
          <w:b/>
          <w:color w:val="666666"/>
          <w:sz w:val="24"/>
          <w:szCs w:val="24"/>
          <w:lang w:val="en-US"/>
        </w:rPr>
        <w:t>satirises the coalition government’s approach to food banks and the ‘feckless poor’</w:t>
      </w:r>
    </w:p>
    <w:tbl>
      <w:tblPr>
        <w:tblStyle w:val="Tablaconcuadrcula"/>
        <w:tblW w:w="11483" w:type="dxa"/>
        <w:tblInd w:w="-1310" w:type="dxa"/>
        <w:tblLook w:val="04A0"/>
      </w:tblPr>
      <w:tblGrid>
        <w:gridCol w:w="11483"/>
      </w:tblGrid>
      <w:tr w:rsidR="00AC7C7B" w:rsidRPr="00A764E0" w:rsidTr="00290E76">
        <w:tc>
          <w:tcPr>
            <w:tcW w:w="11483" w:type="dxa"/>
          </w:tcPr>
          <w:p w:rsidR="00AC7C7B" w:rsidRPr="00856733" w:rsidRDefault="003971E8" w:rsidP="00856733">
            <w:pPr>
              <w:shd w:val="clear" w:color="auto" w:fill="FFFFFF"/>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Lord Freud, conservative minister for welfare reform, said food banks were “a free good, and by definition there is an almost infinite demand for a free good”; in a statement, the department for work and pensions says that the Trussell Trust is opening new food banks every week, so “it’s not surprising more people are using them”.</w:t>
            </w:r>
          </w:p>
        </w:tc>
      </w:tr>
      <w:tr w:rsidR="00011B46" w:rsidRPr="00A764E0" w:rsidTr="00290E76">
        <w:tc>
          <w:tcPr>
            <w:tcW w:w="11483" w:type="dxa"/>
          </w:tcPr>
          <w:p w:rsidR="00011B46" w:rsidRPr="00856733" w:rsidRDefault="004F57AE" w:rsidP="003971E8">
            <w:pPr>
              <w:shd w:val="clear" w:color="auto" w:fill="FFFFFF"/>
              <w:rPr>
                <w:rFonts w:ascii="Arial" w:eastAsia="Times New Roman" w:hAnsi="Arial" w:cs="Arial"/>
                <w:color w:val="333333"/>
                <w:sz w:val="24"/>
                <w:szCs w:val="24"/>
                <w:lang w:val="en-US"/>
              </w:rPr>
            </w:pPr>
            <w:hyperlink r:id="rId5" w:history="1">
              <w:r w:rsidR="00011B46" w:rsidRPr="00856733">
                <w:rPr>
                  <w:rFonts w:ascii="Arial" w:eastAsia="Times New Roman" w:hAnsi="Arial" w:cs="Arial"/>
                  <w:color w:val="005689"/>
                  <w:sz w:val="24"/>
                  <w:szCs w:val="24"/>
                  <w:u w:val="single"/>
                  <w:lang w:val="en-US"/>
                </w:rPr>
                <w:t>Michael Portillo</w:t>
              </w:r>
            </w:hyperlink>
            <w:r w:rsidR="00011B46" w:rsidRPr="00856733">
              <w:rPr>
                <w:rFonts w:ascii="Arial" w:eastAsia="Times New Roman" w:hAnsi="Arial" w:cs="Arial"/>
                <w:color w:val="333333"/>
                <w:sz w:val="24"/>
                <w:szCs w:val="24"/>
                <w:lang w:val="en-US"/>
              </w:rPr>
              <w:t> spent a week pretending to be a single parent feeding a family in Merseyside for a BBC programme. Other politicians and celebrities have done similar experiments, having to live on low budgets. It seemed to be a kind of poverty tourism. So we created the storyline of a politician trying to take on a Ready Steady Cook-style store-cupboard challenge and being faced with the complicated reality of not having very much beyond a few tea bags and a can of sardines.</w:t>
            </w:r>
          </w:p>
        </w:tc>
      </w:tr>
      <w:tr w:rsidR="003971E8" w:rsidRPr="00A764E0" w:rsidTr="00290E76">
        <w:tc>
          <w:tcPr>
            <w:tcW w:w="11483" w:type="dxa"/>
          </w:tcPr>
          <w:p w:rsidR="003971E8" w:rsidRPr="00856733" w:rsidRDefault="003971E8" w:rsidP="003971E8">
            <w:pPr>
              <w:shd w:val="clear" w:color="auto" w:fill="FFFFFF"/>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The rise of the food bank is one of the most striking developments of the coalition administration. In the last year, food bank usage is estimated by Oxfam to have </w:t>
            </w:r>
            <w:hyperlink r:id="rId6" w:history="1">
              <w:r w:rsidRPr="00856733">
                <w:rPr>
                  <w:rFonts w:ascii="Arial" w:eastAsia="Times New Roman" w:hAnsi="Arial" w:cs="Arial"/>
                  <w:color w:val="005689"/>
                  <w:sz w:val="24"/>
                  <w:szCs w:val="24"/>
                  <w:u w:val="single"/>
                  <w:lang w:val="en-US"/>
                </w:rPr>
                <w:t>increased by 54%</w:t>
              </w:r>
            </w:hyperlink>
            <w:r w:rsidRPr="00856733">
              <w:rPr>
                <w:rFonts w:ascii="Arial" w:eastAsia="Times New Roman" w:hAnsi="Arial" w:cs="Arial"/>
                <w:color w:val="333333"/>
                <w:sz w:val="24"/>
                <w:szCs w:val="24"/>
                <w:lang w:val="en-US"/>
              </w:rPr>
              <w:t>. The largest provider of food parcels in the UK, the </w:t>
            </w:r>
            <w:hyperlink r:id="rId7" w:history="1">
              <w:r w:rsidRPr="00856733">
                <w:rPr>
                  <w:rFonts w:ascii="Arial" w:eastAsia="Times New Roman" w:hAnsi="Arial" w:cs="Arial"/>
                  <w:color w:val="005689"/>
                  <w:sz w:val="24"/>
                  <w:szCs w:val="24"/>
                  <w:u w:val="single"/>
                  <w:lang w:val="en-US"/>
                </w:rPr>
                <w:t>Trussell Trust</w:t>
              </w:r>
            </w:hyperlink>
            <w:r w:rsidRPr="00856733">
              <w:rPr>
                <w:rFonts w:ascii="Arial" w:eastAsia="Times New Roman" w:hAnsi="Arial" w:cs="Arial"/>
                <w:color w:val="333333"/>
                <w:sz w:val="24"/>
                <w:szCs w:val="24"/>
                <w:lang w:val="en-US"/>
              </w:rPr>
              <w:t>, estimated that more than 900,000 people received food bank parcels in 2013–14, </w:t>
            </w:r>
            <w:hyperlink r:id="rId8" w:history="1">
              <w:r w:rsidRPr="00856733">
                <w:rPr>
                  <w:rFonts w:ascii="Arial" w:eastAsia="Times New Roman" w:hAnsi="Arial" w:cs="Arial"/>
                  <w:color w:val="005689"/>
                  <w:sz w:val="24"/>
                  <w:szCs w:val="24"/>
                  <w:u w:val="single"/>
                  <w:lang w:val="en-US"/>
                </w:rPr>
                <w:t>a 163% increase on the previous year</w:t>
              </w:r>
            </w:hyperlink>
            <w:r w:rsidRPr="00856733">
              <w:rPr>
                <w:rFonts w:ascii="Arial" w:eastAsia="Times New Roman" w:hAnsi="Arial" w:cs="Arial"/>
                <w:color w:val="333333"/>
                <w:sz w:val="24"/>
                <w:szCs w:val="24"/>
                <w:lang w:val="en-US"/>
              </w:rPr>
              <w:t>. </w:t>
            </w:r>
          </w:p>
          <w:p w:rsidR="003971E8" w:rsidRPr="00856733" w:rsidRDefault="003971E8" w:rsidP="003971E8">
            <w:pPr>
              <w:shd w:val="clear" w:color="auto" w:fill="FFFFFF"/>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While it acknowledges the phenomenon, the government has struggled to decide how best to explain it.</w:t>
            </w:r>
          </w:p>
          <w:p w:rsidR="003971E8" w:rsidRPr="00856733" w:rsidRDefault="003971E8" w:rsidP="003971E8">
            <w:pPr>
              <w:shd w:val="clear" w:color="auto" w:fill="FFFFFF"/>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But serving Conservative ministers have voiced scepticism about the scale of the phenomenon. Work and Pensions secretary Iain Duncan Smith has accused the Trussell Trust of “scare-mongering”, while Michael Gove suggested that food bank users were guilty of taking decisions that demonstrated they were “not best able to manage their finances”.</w:t>
            </w:r>
          </w:p>
        </w:tc>
      </w:tr>
      <w:tr w:rsidR="003971E8" w:rsidRPr="00A764E0" w:rsidTr="00290E76">
        <w:tc>
          <w:tcPr>
            <w:tcW w:w="11483" w:type="dxa"/>
          </w:tcPr>
          <w:p w:rsidR="003971E8" w:rsidRPr="00856733" w:rsidRDefault="003971E8" w:rsidP="003971E8">
            <w:pPr>
              <w:shd w:val="clear" w:color="auto" w:fill="FFFFFF"/>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Former Conservative MP Edwina Currie created an online storm at the beginning of this year when she said food bank users were spending their money instead on tattoos and dog food. Unsurprisingly, her analysis is not one that any charities working in this sector agree with. Mostly they note that the rise in demand for food packages is not the result of poor spending decisions made by people on the breadline; instead they point to the fact that food prices have soared by 43.5% in the past eight years while the disposable annual income of the poorest 20% fell by an average of £936 over the same period.</w:t>
            </w:r>
          </w:p>
        </w:tc>
      </w:tr>
      <w:tr w:rsidR="00AC7C7B" w:rsidRPr="00A764E0" w:rsidTr="00290E76">
        <w:tc>
          <w:tcPr>
            <w:tcW w:w="11483" w:type="dxa"/>
          </w:tcPr>
          <w:p w:rsidR="00AC7C7B" w:rsidRPr="00856733" w:rsidRDefault="00AC7C7B" w:rsidP="00856733">
            <w:pPr>
              <w:shd w:val="clear" w:color="auto" w:fill="FFFFFF"/>
              <w:spacing w:after="140"/>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Politicians’ failure to understand the practical, logistical problems associated with being reliant on food parcels is captured – with painful sharpness - here. The bleakest moment of this play comes when the politician turned TV chef realises that she cannot actually cook the austerity meal she is trying to promote as wholesome fare – because she has no electricity, because it has been cut off for non-payment of bills. This is a grim nod to an Oxfam report released earlier this year, which noted that food bank users have been giving back items which require cooking – rice, spaghetti, soup – because with no money to pay the bills, they have no means of cooking it.</w:t>
            </w:r>
          </w:p>
        </w:tc>
      </w:tr>
      <w:tr w:rsidR="00AC7C7B" w:rsidRPr="00A764E0" w:rsidTr="00290E76">
        <w:tc>
          <w:tcPr>
            <w:tcW w:w="11483" w:type="dxa"/>
          </w:tcPr>
          <w:p w:rsidR="00AC7C7B" w:rsidRPr="00856733" w:rsidRDefault="003971E8" w:rsidP="001B411D">
            <w:pPr>
              <w:shd w:val="clear" w:color="auto" w:fill="FFFFFF"/>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The Trussell Trust says the fallout from the government’s welfare reform programme has had an impact, and notes that half of all referrals for the food banks last year were the result of benefit delays or changes; 83% of Trussell Trust outlets report that “sanctioning” – the cutting off of benefits, when a claimant has failed to complete a job-seeking task – is increasingly a factor when people ask for help. A report from the centre-right Policy Exchange thinkthank also concluded in a report earlier this year, that the coalition’s tightening of benefit sanctions was leaving more people dependant on handouts.</w:t>
            </w:r>
          </w:p>
        </w:tc>
      </w:tr>
      <w:tr w:rsidR="00AC7C7B" w:rsidRPr="00A764E0" w:rsidTr="00290E76">
        <w:tc>
          <w:tcPr>
            <w:tcW w:w="11483" w:type="dxa"/>
          </w:tcPr>
          <w:p w:rsidR="00AC7C7B" w:rsidRPr="00505F97" w:rsidRDefault="003971E8" w:rsidP="001B411D">
            <w:pPr>
              <w:shd w:val="clear" w:color="auto" w:fill="FFFFFF"/>
              <w:ind w:left="-57"/>
              <w:rPr>
                <w:rFonts w:ascii="Arial" w:eastAsia="Times New Roman" w:hAnsi="Arial" w:cs="Arial"/>
                <w:color w:val="333333"/>
                <w:sz w:val="24"/>
                <w:szCs w:val="24"/>
                <w:lang w:val="en-US"/>
              </w:rPr>
            </w:pPr>
            <w:r w:rsidRPr="00856733">
              <w:rPr>
                <w:rFonts w:ascii="Arial" w:eastAsia="Times New Roman" w:hAnsi="Arial" w:cs="Arial"/>
                <w:color w:val="333333"/>
                <w:sz w:val="24"/>
                <w:szCs w:val="24"/>
                <w:lang w:val="en-US"/>
              </w:rPr>
              <w:t xml:space="preserve">This microplay brilliantly </w:t>
            </w:r>
            <w:r w:rsidRPr="001B411D">
              <w:rPr>
                <w:rFonts w:ascii="Arial" w:eastAsia="Times New Roman" w:hAnsi="Arial" w:cs="Arial"/>
                <w:sz w:val="24"/>
                <w:szCs w:val="24"/>
                <w:lang w:val="en-US"/>
              </w:rPr>
              <w:t>captures some of the profound discomfort politicians on the right have experienced as they try to </w:t>
            </w:r>
            <w:hyperlink r:id="rId9" w:history="1">
              <w:r w:rsidRPr="001B411D">
                <w:rPr>
                  <w:rFonts w:ascii="Arial" w:eastAsia="Times New Roman" w:hAnsi="Arial" w:cs="Arial"/>
                  <w:sz w:val="24"/>
                  <w:szCs w:val="24"/>
                  <w:lang w:val="en-US"/>
                </w:rPr>
                <w:t>engage with the issue of food poverty</w:t>
              </w:r>
            </w:hyperlink>
            <w:r w:rsidRPr="001B411D">
              <w:rPr>
                <w:rFonts w:ascii="Arial" w:eastAsia="Times New Roman" w:hAnsi="Arial" w:cs="Arial"/>
                <w:sz w:val="24"/>
                <w:szCs w:val="24"/>
                <w:lang w:val="en-US"/>
              </w:rPr>
              <w:t>. For a while David Cameron tried to portray the spread of the food bank as a positive manifestation of the conservative “big society” – volunteers rallying to help the</w:t>
            </w:r>
            <w:r w:rsidRPr="00856733">
              <w:rPr>
                <w:rFonts w:ascii="Arial" w:eastAsia="Times New Roman" w:hAnsi="Arial" w:cs="Arial"/>
                <w:color w:val="333333"/>
                <w:sz w:val="24"/>
                <w:szCs w:val="24"/>
                <w:lang w:val="en-US"/>
              </w:rPr>
              <w:t>ir neighbours. Ed Miliband’s response was simply to observe: “I never thought the big society was about feeding hungry children in Britain.”</w:t>
            </w:r>
          </w:p>
        </w:tc>
      </w:tr>
      <w:tr w:rsidR="00A764E0" w:rsidRPr="00A764E0" w:rsidTr="00290E76">
        <w:tc>
          <w:tcPr>
            <w:tcW w:w="11483" w:type="dxa"/>
          </w:tcPr>
          <w:p w:rsidR="00A764E0" w:rsidRPr="00856733" w:rsidRDefault="00FB407B" w:rsidP="007469E0">
            <w:pPr>
              <w:pStyle w:val="NormalWeb"/>
              <w:shd w:val="clear" w:color="auto" w:fill="FFFFFF"/>
              <w:spacing w:before="0" w:beforeAutospacing="0" w:after="0" w:afterAutospacing="0" w:line="163" w:lineRule="atLeast"/>
              <w:ind w:left="-57"/>
              <w:rPr>
                <w:rFonts w:ascii="Arial" w:hAnsi="Arial" w:cs="Arial"/>
                <w:color w:val="333333"/>
                <w:lang w:val="en-US"/>
              </w:rPr>
            </w:pPr>
            <w:r w:rsidRPr="00856733">
              <w:rPr>
                <w:rFonts w:ascii="Arial" w:hAnsi="Arial" w:cs="Arial"/>
                <w:color w:val="333333"/>
                <w:lang w:val="en-US"/>
              </w:rPr>
              <w:t>EasyFoodstore is the easyJet founder’s latest venture – an ultra-budget grocer for people struggling to put food on the table. Outside, an orange sign announces his big idea: “No expensive brands, just food honestly priced.”</w:t>
            </w:r>
            <w:r w:rsidR="007469E0">
              <w:rPr>
                <w:rFonts w:ascii="Arial" w:hAnsi="Arial" w:cs="Arial"/>
                <w:color w:val="333333"/>
                <w:lang w:val="en-US"/>
              </w:rPr>
              <w:t xml:space="preserve"> </w:t>
            </w:r>
            <w:r w:rsidRPr="00856733">
              <w:rPr>
                <w:rFonts w:ascii="Arial" w:hAnsi="Arial" w:cs="Arial"/>
                <w:color w:val="333333"/>
                <w:lang w:val="en-US"/>
              </w:rPr>
              <w:t>“We have two types of coffee but not Nescafé. Can you get enough people to turn up without stocking the big brand? Can you run a store without Coca-Cola?”</w:t>
            </w:r>
            <w:r w:rsidR="008E1FDC">
              <w:rPr>
                <w:rFonts w:ascii="Arial" w:hAnsi="Arial" w:cs="Arial"/>
                <w:color w:val="333333"/>
                <w:lang w:val="en-US"/>
              </w:rPr>
              <w:t xml:space="preserve"> </w:t>
            </w:r>
            <w:r w:rsidRPr="00856733">
              <w:rPr>
                <w:rFonts w:ascii="Arial" w:hAnsi="Arial" w:cs="Arial"/>
                <w:color w:val="333333"/>
                <w:shd w:val="clear" w:color="auto" w:fill="FFFFFF"/>
                <w:lang w:val="en-US"/>
              </w:rPr>
              <w:t xml:space="preserve">EasyFoodstore sits between his </w:t>
            </w:r>
            <w:r w:rsidR="007469E0">
              <w:rPr>
                <w:rFonts w:ascii="Arial" w:hAnsi="Arial" w:cs="Arial"/>
                <w:color w:val="333333"/>
                <w:lang w:val="en-US"/>
              </w:rPr>
              <w:t xml:space="preserve">Sir Stelios Haji-Ioannou´s </w:t>
            </w:r>
            <w:r w:rsidRPr="00856733">
              <w:rPr>
                <w:rFonts w:ascii="Arial" w:hAnsi="Arial" w:cs="Arial"/>
                <w:color w:val="333333"/>
                <w:shd w:val="clear" w:color="auto" w:fill="FFFFFF"/>
                <w:lang w:val="en-US"/>
              </w:rPr>
              <w:t>charitable activities and the plethora of businesses bearing the “easy” brand. He hopes to make money out of the venture but he says if it covers its costs or even runs at a small loss he will persist if it meets a need.</w:t>
            </w:r>
          </w:p>
        </w:tc>
      </w:tr>
    </w:tbl>
    <w:p w:rsidR="00BC78F1" w:rsidRPr="00AC7C7B" w:rsidRDefault="00BC78F1">
      <w:pPr>
        <w:rPr>
          <w:lang w:val="en-US"/>
        </w:rPr>
      </w:pPr>
    </w:p>
    <w:sectPr w:rsidR="00BC78F1" w:rsidRPr="00AC7C7B" w:rsidSect="008E1FDC">
      <w:pgSz w:w="11906" w:h="16838"/>
      <w:pgMar w:top="567" w:right="1701"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5328A"/>
    <w:multiLevelType w:val="multilevel"/>
    <w:tmpl w:val="3CC2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43330A"/>
    <w:multiLevelType w:val="multilevel"/>
    <w:tmpl w:val="F374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compat>
    <w:useFELayout/>
  </w:compat>
  <w:rsids>
    <w:rsidRoot w:val="00AC7C7B"/>
    <w:rsid w:val="00011B46"/>
    <w:rsid w:val="0010197D"/>
    <w:rsid w:val="001B411D"/>
    <w:rsid w:val="00290E76"/>
    <w:rsid w:val="003971E8"/>
    <w:rsid w:val="004F57AE"/>
    <w:rsid w:val="00505F97"/>
    <w:rsid w:val="005D349C"/>
    <w:rsid w:val="007469E0"/>
    <w:rsid w:val="007C0F96"/>
    <w:rsid w:val="00856733"/>
    <w:rsid w:val="008C7055"/>
    <w:rsid w:val="008E1FDC"/>
    <w:rsid w:val="00A764E0"/>
    <w:rsid w:val="00AC7C7B"/>
    <w:rsid w:val="00BC78F1"/>
    <w:rsid w:val="00BE7118"/>
    <w:rsid w:val="00E01668"/>
    <w:rsid w:val="00FB40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AE"/>
  </w:style>
  <w:style w:type="paragraph" w:styleId="Ttulo1">
    <w:name w:val="heading 1"/>
    <w:basedOn w:val="Normal"/>
    <w:link w:val="Ttulo1Car"/>
    <w:uiPriority w:val="9"/>
    <w:qFormat/>
    <w:rsid w:val="00AC7C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AC7C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C7B"/>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C7C7B"/>
    <w:rPr>
      <w:rFonts w:ascii="Times New Roman" w:eastAsia="Times New Roman" w:hAnsi="Times New Roman" w:cs="Times New Roman"/>
      <w:b/>
      <w:bCs/>
      <w:sz w:val="36"/>
      <w:szCs w:val="36"/>
    </w:rPr>
  </w:style>
  <w:style w:type="paragraph" w:styleId="NormalWeb">
    <w:name w:val="Normal (Web)"/>
    <w:basedOn w:val="Normal"/>
    <w:uiPriority w:val="99"/>
    <w:unhideWhenUsed/>
    <w:rsid w:val="00AC7C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share">
    <w:name w:val="facebook-share"/>
    <w:basedOn w:val="Fuentedeprrafopredeter"/>
    <w:rsid w:val="00AC7C7B"/>
  </w:style>
  <w:style w:type="character" w:styleId="Hipervnculo">
    <w:name w:val="Hyperlink"/>
    <w:basedOn w:val="Fuentedeprrafopredeter"/>
    <w:uiPriority w:val="99"/>
    <w:semiHidden/>
    <w:unhideWhenUsed/>
    <w:rsid w:val="00AC7C7B"/>
    <w:rPr>
      <w:color w:val="0000FF"/>
      <w:u w:val="single"/>
    </w:rPr>
  </w:style>
  <w:style w:type="character" w:customStyle="1" w:styleId="facebook-share-label">
    <w:name w:val="facebook-share-label"/>
    <w:basedOn w:val="Fuentedeprrafopredeter"/>
    <w:rsid w:val="00AC7C7B"/>
  </w:style>
  <w:style w:type="character" w:customStyle="1" w:styleId="facebook-share-count">
    <w:name w:val="facebook-share-count"/>
    <w:basedOn w:val="Fuentedeprrafopredeter"/>
    <w:rsid w:val="00AC7C7B"/>
  </w:style>
  <w:style w:type="character" w:customStyle="1" w:styleId="in-widget">
    <w:name w:val="in-widget"/>
    <w:basedOn w:val="Fuentedeprrafopredeter"/>
    <w:rsid w:val="00AC7C7B"/>
  </w:style>
  <w:style w:type="character" w:customStyle="1" w:styleId="in-right">
    <w:name w:val="in-right"/>
    <w:basedOn w:val="Fuentedeprrafopredeter"/>
    <w:rsid w:val="00AC7C7B"/>
  </w:style>
  <w:style w:type="character" w:customStyle="1" w:styleId="apple-converted-space">
    <w:name w:val="apple-converted-space"/>
    <w:basedOn w:val="Fuentedeprrafopredeter"/>
    <w:rsid w:val="00AC7C7B"/>
  </w:style>
  <w:style w:type="character" w:customStyle="1" w:styleId="comment-count-text">
    <w:name w:val="comment-count-text"/>
    <w:basedOn w:val="Fuentedeprrafopredeter"/>
    <w:rsid w:val="00AC7C7B"/>
  </w:style>
  <w:style w:type="character" w:customStyle="1" w:styleId="comment-count-val">
    <w:name w:val="comment-count-val"/>
    <w:basedOn w:val="Fuentedeprrafopredeter"/>
    <w:rsid w:val="00AC7C7B"/>
  </w:style>
  <w:style w:type="character" w:customStyle="1" w:styleId="element-imagecaption">
    <w:name w:val="element-image__caption"/>
    <w:basedOn w:val="Fuentedeprrafopredeter"/>
    <w:rsid w:val="00AC7C7B"/>
  </w:style>
  <w:style w:type="character" w:customStyle="1" w:styleId="element-imagecredit">
    <w:name w:val="element-image__credit"/>
    <w:basedOn w:val="Fuentedeprrafopredeter"/>
    <w:rsid w:val="00AC7C7B"/>
  </w:style>
  <w:style w:type="paragraph" w:styleId="Textodeglobo">
    <w:name w:val="Balloon Text"/>
    <w:basedOn w:val="Normal"/>
    <w:link w:val="TextodegloboCar"/>
    <w:uiPriority w:val="99"/>
    <w:semiHidden/>
    <w:unhideWhenUsed/>
    <w:rsid w:val="00AC7C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7C7B"/>
    <w:rPr>
      <w:rFonts w:ascii="Tahoma" w:hAnsi="Tahoma" w:cs="Tahoma"/>
      <w:sz w:val="16"/>
      <w:szCs w:val="16"/>
    </w:rPr>
  </w:style>
  <w:style w:type="table" w:styleId="Tablaconcuadrcula">
    <w:name w:val="Table Grid"/>
    <w:basedOn w:val="Tablanormal"/>
    <w:uiPriority w:val="59"/>
    <w:rsid w:val="00AC7C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6576310">
      <w:bodyDiv w:val="1"/>
      <w:marLeft w:val="0"/>
      <w:marRight w:val="0"/>
      <w:marTop w:val="0"/>
      <w:marBottom w:val="0"/>
      <w:divBdr>
        <w:top w:val="none" w:sz="0" w:space="0" w:color="auto"/>
        <w:left w:val="none" w:sz="0" w:space="0" w:color="auto"/>
        <w:bottom w:val="none" w:sz="0" w:space="0" w:color="auto"/>
        <w:right w:val="none" w:sz="0" w:space="0" w:color="auto"/>
      </w:divBdr>
      <w:divsChild>
        <w:div w:id="2067756640">
          <w:marLeft w:val="0"/>
          <w:marRight w:val="0"/>
          <w:marTop w:val="0"/>
          <w:marBottom w:val="0"/>
          <w:divBdr>
            <w:top w:val="none" w:sz="0" w:space="0" w:color="D1008B"/>
            <w:left w:val="none" w:sz="0" w:space="0" w:color="D1008B"/>
            <w:bottom w:val="none" w:sz="0" w:space="0" w:color="D1008B"/>
            <w:right w:val="none" w:sz="0" w:space="0" w:color="D1008B"/>
          </w:divBdr>
          <w:divsChild>
            <w:div w:id="565995273">
              <w:marLeft w:val="0"/>
              <w:marRight w:val="0"/>
              <w:marTop w:val="0"/>
              <w:marBottom w:val="0"/>
              <w:divBdr>
                <w:top w:val="none" w:sz="0" w:space="0" w:color="auto"/>
                <w:left w:val="none" w:sz="0" w:space="0" w:color="auto"/>
                <w:bottom w:val="none" w:sz="0" w:space="0" w:color="auto"/>
                <w:right w:val="none" w:sz="0" w:space="0" w:color="auto"/>
              </w:divBdr>
              <w:divsChild>
                <w:div w:id="9510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5559">
          <w:marLeft w:val="0"/>
          <w:marRight w:val="0"/>
          <w:marTop w:val="0"/>
          <w:marBottom w:val="107"/>
          <w:divBdr>
            <w:top w:val="none" w:sz="0" w:space="0" w:color="auto"/>
            <w:left w:val="none" w:sz="0" w:space="0" w:color="auto"/>
            <w:bottom w:val="none" w:sz="0" w:space="0" w:color="auto"/>
            <w:right w:val="none" w:sz="0" w:space="0" w:color="auto"/>
          </w:divBdr>
          <w:divsChild>
            <w:div w:id="923730299">
              <w:marLeft w:val="0"/>
              <w:marRight w:val="0"/>
              <w:marTop w:val="0"/>
              <w:marBottom w:val="0"/>
              <w:divBdr>
                <w:top w:val="none" w:sz="0" w:space="0" w:color="auto"/>
                <w:left w:val="none" w:sz="0" w:space="0" w:color="auto"/>
                <w:bottom w:val="none" w:sz="0" w:space="0" w:color="auto"/>
                <w:right w:val="none" w:sz="0" w:space="0" w:color="auto"/>
              </w:divBdr>
            </w:div>
            <w:div w:id="133186405">
              <w:marLeft w:val="0"/>
              <w:marRight w:val="0"/>
              <w:marTop w:val="0"/>
              <w:marBottom w:val="0"/>
              <w:divBdr>
                <w:top w:val="none" w:sz="0" w:space="0" w:color="auto"/>
                <w:left w:val="none" w:sz="0" w:space="0" w:color="auto"/>
                <w:bottom w:val="none" w:sz="0" w:space="0" w:color="auto"/>
                <w:right w:val="none" w:sz="0" w:space="0" w:color="auto"/>
              </w:divBdr>
              <w:divsChild>
                <w:div w:id="13532302">
                  <w:marLeft w:val="0"/>
                  <w:marRight w:val="0"/>
                  <w:marTop w:val="0"/>
                  <w:marBottom w:val="0"/>
                  <w:divBdr>
                    <w:top w:val="none" w:sz="0" w:space="0" w:color="auto"/>
                    <w:left w:val="none" w:sz="0" w:space="0" w:color="auto"/>
                    <w:bottom w:val="none" w:sz="0" w:space="0" w:color="auto"/>
                    <w:right w:val="none" w:sz="0" w:space="0" w:color="auto"/>
                  </w:divBdr>
                  <w:divsChild>
                    <w:div w:id="2140028662">
                      <w:marLeft w:val="0"/>
                      <w:marRight w:val="0"/>
                      <w:marTop w:val="0"/>
                      <w:marBottom w:val="0"/>
                      <w:divBdr>
                        <w:top w:val="none" w:sz="0" w:space="0" w:color="auto"/>
                        <w:left w:val="none" w:sz="0" w:space="0" w:color="auto"/>
                        <w:bottom w:val="none" w:sz="0" w:space="0" w:color="auto"/>
                        <w:right w:val="none" w:sz="0" w:space="0" w:color="auto"/>
                      </w:divBdr>
                      <w:divsChild>
                        <w:div w:id="598802622">
                          <w:marLeft w:val="0"/>
                          <w:marRight w:val="0"/>
                          <w:marTop w:val="0"/>
                          <w:marBottom w:val="0"/>
                          <w:divBdr>
                            <w:top w:val="none" w:sz="0" w:space="0" w:color="auto"/>
                            <w:left w:val="none" w:sz="0" w:space="0" w:color="auto"/>
                            <w:bottom w:val="none" w:sz="0" w:space="0" w:color="auto"/>
                            <w:right w:val="none" w:sz="0" w:space="0" w:color="auto"/>
                          </w:divBdr>
                          <w:divsChild>
                            <w:div w:id="1344555661">
                              <w:blockQuote w:val="1"/>
                              <w:marLeft w:val="0"/>
                              <w:marRight w:val="43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1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society/2014/apr/16/million-people-britain-food-banks-religious-leaders-faith-groups" TargetMode="External"/><Relationship Id="rId3" Type="http://schemas.openxmlformats.org/officeDocument/2006/relationships/settings" Target="settings.xml"/><Relationship Id="rId7" Type="http://schemas.openxmlformats.org/officeDocument/2006/relationships/hyperlink" Target="http://www.trussell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practice.oxfam.org.uk/publications/below-the-breadline-the-relentless-rise-of-food-poverty-in-britain-317730" TargetMode="External"/><Relationship Id="rId11" Type="http://schemas.openxmlformats.org/officeDocument/2006/relationships/theme" Target="theme/theme1.xml"/><Relationship Id="rId5" Type="http://schemas.openxmlformats.org/officeDocument/2006/relationships/hyperlink" Target="http://www.theguardian.com/media/2003/oct/16/broadcasting.tvandradi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uardian.com/society/2014/jul/04/food-bank-britain-can-mps-agree-causes-uk-pover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BARLOW</dc:creator>
  <cp:lastModifiedBy>JOHN BARLOW</cp:lastModifiedBy>
  <cp:revision>3</cp:revision>
  <dcterms:created xsi:type="dcterms:W3CDTF">2014-12-01T15:47:00Z</dcterms:created>
  <dcterms:modified xsi:type="dcterms:W3CDTF">2014-12-01T22:47:00Z</dcterms:modified>
</cp:coreProperties>
</file>