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17.0" w:type="dxa"/>
        <w:jc w:val="left"/>
        <w:tblInd w:w="-31.0" w:type="dxa"/>
        <w:tblBorders>
          <w:top w:color="468a1a" w:space="0" w:sz="6" w:val="single"/>
          <w:left w:color="468a1a" w:space="0" w:sz="6" w:val="single"/>
          <w:bottom w:color="468a1a" w:space="0" w:sz="6" w:val="single"/>
          <w:right w:color="468a1a" w:space="0" w:sz="6" w:val="single"/>
          <w:insideH w:color="468a1a" w:space="0" w:sz="6" w:val="single"/>
          <w:insideV w:color="468a1a" w:space="0" w:sz="6" w:val="single"/>
        </w:tblBorders>
        <w:tblLayout w:type="fixed"/>
        <w:tblLook w:val="0000"/>
      </w:tblPr>
      <w:tblGrid>
        <w:gridCol w:w="10717"/>
        <w:tblGridChange w:id="0">
          <w:tblGrid>
            <w:gridCol w:w="10717"/>
          </w:tblGrid>
        </w:tblGridChange>
      </w:tblGrid>
      <w:tr>
        <w:trPr>
          <w:cantSplit w:val="0"/>
          <w:trHeight w:val="90" w:hRule="atLeast"/>
          <w:tblHeader w:val="0"/>
        </w:trPr>
        <w:tc>
          <w:tcPr>
            <w:tcBorders>
              <w:top w:color="468a1a" w:space="0" w:sz="6" w:val="single"/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OBXECTIVO</w:t>
            </w:r>
          </w:p>
        </w:tc>
      </w:tr>
      <w:tr>
        <w:trPr>
          <w:cantSplit w:val="0"/>
          <w:trHeight w:val="837" w:hRule="atLeast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4" w:before="114" w:line="276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8"/>
                <w:szCs w:val="28"/>
                <w:rtl w:val="0"/>
              </w:rPr>
              <w:t xml:space="preserve">        SUBITIZACIÓN: Presentando varios elementos, trátase de facer o cálculo mental dos mesmos, sen contalos.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 1:</w:t>
            </w: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Presentación de 3 element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os variando a súa posición.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 2: </w:t>
            </w:r>
            <w:r w:rsidDel="00000000" w:rsidR="00000000" w:rsidRPr="00000000">
              <w:rPr>
                <w:rFonts w:ascii="Comic Sans MS" w:cs="Comic Sans MS" w:eastAsia="Comic Sans MS" w:hAnsi="Comic Sans MS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Presentación de 10 elementos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variando a súa posición.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omic Sans MS" w:cs="Comic Sans MS" w:eastAsia="Comic Sans MS" w:hAnsi="Comic Sans MS"/>
                <w:b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XOGO 3: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Presentación de máis de 10 elementos variando a súa posición.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94" w:right="0" w:firstLine="0"/>
              <w:jc w:val="left"/>
              <w:rPr>
                <w:rFonts w:ascii="Comic Sans MS" w:cs="Comic Sans MS" w:eastAsia="Comic Sans MS" w:hAnsi="Comic Sans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MATERIAIS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Tarxetas con elementos debuxados.</w:t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7051040</wp:posOffset>
                  </wp:positionH>
                  <wp:positionV relativeFrom="paragraph">
                    <wp:posOffset>-509268</wp:posOffset>
                  </wp:positionV>
                  <wp:extent cx="2411730" cy="2508250"/>
                  <wp:effectExtent b="0" l="0" r="0" t="0"/>
                  <wp:wrapSquare wrapText="bothSides" distB="0" distT="0" distL="0" distR="0"/>
                  <wp:docPr id="1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1730" cy="25082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Material manipulativo de calquera tipo( tapas, policubos, pedras, landras…)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1.97265625" w:hRule="atLeast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d4ea6b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ACTIVIDADES AMPLIACIÓN</w:t>
            </w:r>
          </w:p>
        </w:tc>
      </w:tr>
      <w:tr>
        <w:trPr>
          <w:cantSplit w:val="0"/>
          <w:trHeight w:val="1093.359375" w:hRule="atLeast"/>
          <w:tblHeader w:val="0"/>
        </w:trPr>
        <w:tc>
          <w:tcPr>
            <w:tcBorders>
              <w:left w:color="468a1a" w:space="0" w:sz="6" w:val="single"/>
              <w:bottom w:color="468a1a" w:space="0" w:sz="6" w:val="single"/>
              <w:right w:color="468a1a" w:space="0" w:sz="6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Presentar os elementos tanto en configuración fixa como en difusa (é dicir, nunha posición standar ou alternando a posición dos elementos). Decir o número de elementos que hai sen contalos.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41.73228346456693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omic Sans MS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31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