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A2" w:rsidRDefault="003727A2" w:rsidP="003727A2">
      <w:pPr>
        <w:jc w:val="center"/>
        <w:rPr>
          <w:rFonts w:asciiTheme="minorHAnsi" w:hAnsiTheme="minorHAnsi"/>
          <w:b/>
          <w:spacing w:val="1"/>
          <w:sz w:val="32"/>
          <w:szCs w:val="32"/>
        </w:rPr>
      </w:pPr>
      <w:r>
        <w:rPr>
          <w:rFonts w:asciiTheme="minorHAnsi" w:hAnsiTheme="minorHAnsi"/>
          <w:b/>
          <w:spacing w:val="1"/>
          <w:sz w:val="32"/>
          <w:szCs w:val="32"/>
        </w:rPr>
        <w:t>CURSO 2019-20</w:t>
      </w:r>
    </w:p>
    <w:p w:rsidR="003727A2" w:rsidRDefault="003727A2" w:rsidP="005B41AC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</w:p>
    <w:p w:rsidR="005B41AC" w:rsidRDefault="005B41AC" w:rsidP="005B41AC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ARTÍSTICA (EDUCACIÓN MUSICAL)-6º DE EDUCACIÓN PRIMARIA</w:t>
      </w:r>
    </w:p>
    <w:p w:rsidR="005B41AC" w:rsidRDefault="005B41AC" w:rsidP="005B41AC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PROGRAMACIÓN DIDÁCTICA</w:t>
      </w:r>
    </w:p>
    <w:p w:rsidR="005B41AC" w:rsidRDefault="005B41AC" w:rsidP="00066A12">
      <w:pPr>
        <w:rPr>
          <w:rFonts w:asciiTheme="minorHAnsi" w:hAnsiTheme="minorHAnsi"/>
          <w:b/>
          <w:spacing w:val="1"/>
          <w:sz w:val="24"/>
        </w:rPr>
      </w:pPr>
    </w:p>
    <w:p w:rsidR="005B41AC" w:rsidRDefault="005B41AC" w:rsidP="00066A12">
      <w:pPr>
        <w:rPr>
          <w:rFonts w:asciiTheme="minorHAnsi" w:hAnsiTheme="minorHAnsi"/>
          <w:b/>
          <w:spacing w:val="1"/>
          <w:sz w:val="24"/>
        </w:rPr>
      </w:pPr>
    </w:p>
    <w:p w:rsidR="005B41AC" w:rsidRDefault="005B41AC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lastRenderedPageBreak/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lastRenderedPageBreak/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3</w:t>
      </w:r>
      <w:r w:rsidR="00066A12" w:rsidRPr="008F3ED7">
        <w:rPr>
          <w:rFonts w:asciiTheme="minorHAnsi" w:hAnsiTheme="minorHAnsi"/>
          <w:b/>
          <w:sz w:val="24"/>
        </w:rPr>
        <w:t xml:space="preserve">.- Vinculación entre obxectivos, contidos, criterios de avaliación, estándares de aprendizaxe e competencias clave. </w:t>
      </w:r>
    </w:p>
    <w:p w:rsidR="00AF3C96" w:rsidRPr="008133B3" w:rsidRDefault="00AF3C96" w:rsidP="00AF3C96"/>
    <w:tbl>
      <w:tblPr>
        <w:tblW w:w="50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5"/>
        <w:gridCol w:w="3685"/>
        <w:gridCol w:w="11"/>
        <w:gridCol w:w="3490"/>
        <w:gridCol w:w="3871"/>
        <w:gridCol w:w="1842"/>
      </w:tblGrid>
      <w:tr w:rsidR="00AF3C96" w:rsidRPr="00AF3C96" w:rsidTr="00741F0A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186" w:type="dxa"/>
            <w:gridSpan w:val="3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EDUCACIÓN ARTÍSTICA (EDUCACIÓN MUSICAL)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SEXTO</w:t>
            </w:r>
          </w:p>
        </w:tc>
      </w:tr>
      <w:tr w:rsidR="00AF3C96" w:rsidRPr="00AF3C96" w:rsidTr="00741F0A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AF3C96" w:rsidRPr="00AF3C96" w:rsidTr="00741F0A">
        <w:tc>
          <w:tcPr>
            <w:tcW w:w="14385" w:type="dxa"/>
            <w:gridSpan w:val="6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BLOQUE 1. ESCOITA</w:t>
            </w:r>
          </w:p>
        </w:tc>
      </w:tr>
      <w:tr w:rsidR="00AF3C96" w:rsidRPr="00AF3C96" w:rsidTr="00741F0A">
        <w:tc>
          <w:tcPr>
            <w:tcW w:w="1486" w:type="dxa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j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3685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B1.1. Audición de música contemporánea, e investigación e valoración das posibilidades do son.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B1.2. Identificación e apreciación das calidades dos sons do contexto.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B1.1. Utilizar a escoita musical para indagar nas posibilidades do son, de maneira que sirvan como marco de referencia para creacións propias. 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EMB1.1.1. Identifica, clasifica e describe as calidades dos sons do contexto natural e social, utilizando un vocabulario preciso.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CCL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F3C96" w:rsidRPr="00AF3C96" w:rsidTr="00741F0A">
        <w:tc>
          <w:tcPr>
            <w:tcW w:w="1486" w:type="dxa"/>
            <w:vMerge w:val="restart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B1.3. Identificación e apreciación de formas musicais sinxelas.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B1.4. Identificación a través da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>escoita de tipos de voces (soprano, contralto, tenor e baixo), instrumentos, variacións e contrastes de velocidade.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B1.5. Valoración e interese pola música de diferentes épocas e culturas, nomeadamente a galega.</w:t>
            </w:r>
          </w:p>
        </w:tc>
        <w:tc>
          <w:tcPr>
            <w:tcW w:w="3501" w:type="dxa"/>
            <w:gridSpan w:val="2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B1.2. Analizar a organización de obras musicais sinxelas e describir os elementos que as compoñen.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EMB1.2.1. Distingue tipos de voces, instrumentos, variacións e contrastes de velocidade e intensidade, tras a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escoita de obras musicais, con capacidade para emitir unha valoración destas.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CCEC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01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EMB1.2.2. Interésase por descubrir obras musicais de diferentes características, e utilízaas como marco de referencia para as creacións propias.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CSIEE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 w:val="restart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h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B1.6. Audición activa e comentada de música variada da nosa cultura e doutras culturas.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B1.7. Actitude atenta, silenciosa e respectuosa durante a audición de música e/ou na asistencia a representacións musicais.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B1.8. Indagación sobre as normas que regulan a propiedade intelectual. Valoración e presentación dos resultados.</w:t>
            </w:r>
          </w:p>
        </w:tc>
        <w:tc>
          <w:tcPr>
            <w:tcW w:w="3501" w:type="dxa"/>
            <w:gridSpan w:val="2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B1.3. Coñecer exemplos de obras variadas da nosa e doutras culturas, para valorar o patrimonio musical, valorando a importancia do seu mantemento e da súa difusión, e do respecto co que deben afrontar as audicións e as representacións. 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EMB1.3.1. Coñece, entende e cumpre as normas de comportamento en audicións e representacións musicais.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01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EMB1.3.2. Comprende, acepta e respecta o contido das normas que regulan a propiedade intelectual canto á reprodución e a copia de obras musicais.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385" w:type="dxa"/>
            <w:gridSpan w:val="6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BLOQUE 2. INTERPRETACIÓN INSTRUMENTAL</w:t>
            </w:r>
          </w:p>
        </w:tc>
      </w:tr>
      <w:tr w:rsidR="00AF3C96" w:rsidRPr="00AF3C96" w:rsidTr="00741F0A">
        <w:tc>
          <w:tcPr>
            <w:tcW w:w="1486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j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B2.1. Exploración das posibilidades sonoras e expresivas da voz.</w:t>
            </w:r>
          </w:p>
        </w:tc>
        <w:tc>
          <w:tcPr>
            <w:tcW w:w="3490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EMB2.1.1. Recoñece e describe as calidades da voz a través de audicións diversas, e recréaas.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F3C96" w:rsidRPr="00AF3C96" w:rsidTr="00741F0A">
        <w:tc>
          <w:tcPr>
            <w:tcW w:w="1486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j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d/a</w:t>
            </w:r>
          </w:p>
        </w:tc>
        <w:tc>
          <w:tcPr>
            <w:tcW w:w="3696" w:type="dxa"/>
            <w:gridSpan w:val="2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B2.2. Interpretación de pezas con instrumentos de aula e/ou frauta doce.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B2.3. Interpretación, memorización e improvisación guiada de cancións a unha ou varias voces, desenvolvendo progresivamente a dicción, a afinación e a técnica vocal. Canon. 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B2.4. Recoñecemento de tipos de instrumentos acústicos e electrónicos, agrupacións instrumentais e vocais, e rexistros da voz.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B2.5. Utilización das grafías convencionais na lectura, na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escritura e na interpretación de cancións e de pezas instrumentais sinxelas. 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B2.6. Gravación e rexistro das interpretacións para unha valoración e unha análise posteriores.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B2.7. Interese pola mellora do proceso de interpretación e do resultado final.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B2.8. Traballo cooperativo, asumindo as responsabilidades que lle correspondan e respectando as achegas das demais persoas do grupo.</w:t>
            </w:r>
          </w:p>
        </w:tc>
        <w:tc>
          <w:tcPr>
            <w:tcW w:w="3490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B2.2. Interpretar composicións sinxelas que conteñan procedementos musicais de repetición, variación e contraste, en solitario ou en grupo, mediante a voz ou instrumentos, utilizando a linguaxe musical, asumindo a responsabilidade na interpretación en grupo e respectando tanto as achegas das demais persoas como a persoa que asuma a dirección. 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EMB2.2.1. Recoñece e clasifica instrumentos acústicos e electrónicos, diferentes rexistros da voz, e agrupacións vocais e instrumentais.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EMB2.2.2. Utiliza a linguaxe musical para a interpretación de obras.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EMB2.2.3. Traduce á linguaxe musical convencional melodías e ritmos sinxelos.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EMB2.2.4. Interpreta pezas vocais e instrumentais de diferentes épocas, estilos e culturas para distintos agrupamentos, con e sen acompañamento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EMB2.2.5. Coñece e interpreta cancións de distintos lugares, épocas e estilos, e valora a súa achega ao enriquecemento persoal, social e cultural.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EMB2.2.6. Amosa respecto polo traballo das demais persoas e responsabilidade no traballo individual e colectivo.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EMB2.2.7. Analiza as interpretacións feitas, recoñece erros e amosa interese por traballar para corrixilos.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AF3C96" w:rsidRPr="00AF3C96" w:rsidTr="00741F0A">
        <w:tc>
          <w:tcPr>
            <w:tcW w:w="1486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i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96" w:type="dxa"/>
            <w:gridSpan w:val="2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B2.9. Creación de mensaxes musicais con contido expresivo, combinando elementos sonoros e corporais diversos. 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B2.10. Utilización dos medios de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>comunicación e de internet para a procura de información, en soporte impreso e dixital, sobre instrumentos, compositores/as, intérpretes e eventos musicais de interese.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B2.11. Exploración das posibilidades sonoras e expresivas dos medios audiovisuais e tecnolóxicos para comunicar. Creación de cuñas radiofónicas e </w:t>
            </w:r>
            <w:proofErr w:type="spellStart"/>
            <w:r w:rsidRPr="00AF3C96">
              <w:rPr>
                <w:rFonts w:asciiTheme="minorHAnsi" w:hAnsiTheme="minorHAnsi"/>
                <w:szCs w:val="22"/>
              </w:rPr>
              <w:t>videoanuncios</w:t>
            </w:r>
            <w:proofErr w:type="spellEnd"/>
            <w:r w:rsidRPr="00AF3C96">
              <w:rPr>
                <w:rFonts w:asciiTheme="minorHAnsi" w:hAnsiTheme="minorHAnsi"/>
                <w:szCs w:val="22"/>
              </w:rPr>
              <w:t>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B2.12. Utilización dos medios audiovisuais e dos recursos informáticos para a sonorización de imaxes, contos, poemas e refráns, dobraxe de películas </w:t>
            </w:r>
            <w:proofErr w:type="spellStart"/>
            <w:r w:rsidRPr="00AF3C96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AF3C96">
              <w:rPr>
                <w:rFonts w:asciiTheme="minorHAnsi" w:hAnsiTheme="minorHAnsi"/>
                <w:szCs w:val="22"/>
              </w:rPr>
              <w:t>., e para a creación de producións propias.</w:t>
            </w:r>
          </w:p>
        </w:tc>
        <w:tc>
          <w:tcPr>
            <w:tcW w:w="3490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EMB2.3.1. Procura información bibliográfica, en medios de comunicación e en internet sobre instrumentos, compositores/as, intérpretes e eventos musicais.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EMB2.3.2. Presenta e expón a información de xeito claro, ordenado e limpo en varios soportes.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CD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EMB2.3.3. Utiliza os medios audiovisuais e recursos informáticos para crear pezas musicais e para a sonorización de imaxes e representacións dramáticas.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CD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385" w:type="dxa"/>
            <w:gridSpan w:val="6"/>
            <w:shd w:val="clear" w:color="auto" w:fill="auto"/>
            <w:vAlign w:val="center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BLOQUE 3. MÚSICA, MOVEMENTO E DANZA</w:t>
            </w:r>
          </w:p>
        </w:tc>
      </w:tr>
      <w:tr w:rsidR="00AF3C96" w:rsidRPr="00AF3C96" w:rsidTr="00741F0A">
        <w:tc>
          <w:tcPr>
            <w:tcW w:w="1486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j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h/d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96" w:type="dxa"/>
            <w:gridSpan w:val="2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B3.1. Identificación do corpo como instrumento. Indagación e valoración sobre as posibilidades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>expresivas e comunicativas do corpo en distintas representacións artísticas ou situacións cotiás.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B3.2. Valoración e recoñecemento das danzas e a súa contribución ao noso patrimonio artístico e cultural.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B3.3. Interpretación de danzas coidando a coordinación individual e colectiva.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B3.4. Invención de coreografías sinxelas para cancións e pezas musicais de diferentes estilos.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B3.5. Gravación e rexistro das danzas interpretadas. Análise de valoración do produto.</w:t>
            </w:r>
          </w:p>
        </w:tc>
        <w:tc>
          <w:tcPr>
            <w:tcW w:w="3490" w:type="dxa"/>
            <w:vMerge w:val="restart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B3.1. Adquirir capacidades expresivas e creativas que ofrecen a expresión corporal e a danza,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valorar a súa achega ao patrimonio, e gozar coa súa interpretación como unha forma de interacción social. </w:t>
            </w: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EMB3.1.1. Identifica o corpo como instrumento para a expresión de sentimentos e emocións, e como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 xml:space="preserve">forma de interacción social.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EMB3.1.2. Controla a postura e a coordinación coa música cando interpreta danzas.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EMB3.1.3. Coñece danzas de distintas épocas e lugares, e valora a súa achega ao patrimonio artístico e cultural.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EMB3.1.4. Reproduce e goza interpretando danzas tradicionais españolas, e entende a importancia da súa continuidade e o traslado ás xeracións futuras.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EMB3.1.5. Inventa coreografías de grupo que corresponden coa forma interna dunha obra musical e supón unha orde espacial e temporal. 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 xml:space="preserve">EMB3.1.6. Analiza as danzas realizadas, recoñece os erros e amosa </w:t>
            </w:r>
            <w:r w:rsidRPr="00AF3C96">
              <w:rPr>
                <w:rFonts w:asciiTheme="minorHAnsi" w:hAnsiTheme="minorHAnsi"/>
                <w:szCs w:val="22"/>
              </w:rPr>
              <w:lastRenderedPageBreak/>
              <w:t>interese por mellorar o produto.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lastRenderedPageBreak/>
              <w:t>CAA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EMB3.1.7. Respecta o traballo en grupo e participa nel de xeito pracenteiro, amosando confianza nas propias posibilidades e nas das demais persoas.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CAA</w:t>
            </w:r>
          </w:p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AF3C96" w:rsidRPr="00AF3C96" w:rsidTr="00741F0A">
        <w:tc>
          <w:tcPr>
            <w:tcW w:w="1486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96" w:type="dxa"/>
            <w:gridSpan w:val="2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871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EMB3.1.8. Amosa respecto polas demais persoas e colaboración con elas.</w:t>
            </w:r>
          </w:p>
        </w:tc>
        <w:tc>
          <w:tcPr>
            <w:tcW w:w="1842" w:type="dxa"/>
            <w:shd w:val="clear" w:color="auto" w:fill="auto"/>
          </w:tcPr>
          <w:p w:rsidR="00AF3C96" w:rsidRPr="00AF3C96" w:rsidRDefault="00AF3C96" w:rsidP="00AF3C96">
            <w:pPr>
              <w:ind w:left="284" w:firstLine="0"/>
              <w:rPr>
                <w:rFonts w:asciiTheme="minorHAnsi" w:hAnsiTheme="minorHAnsi"/>
              </w:rPr>
            </w:pPr>
            <w:r w:rsidRPr="00AF3C96">
              <w:rPr>
                <w:rFonts w:asciiTheme="minorHAnsi" w:hAnsiTheme="minorHAnsi"/>
                <w:szCs w:val="22"/>
              </w:rPr>
              <w:t>CSC</w:t>
            </w:r>
          </w:p>
        </w:tc>
      </w:tr>
    </w:tbl>
    <w:p w:rsidR="00AF3C96" w:rsidRDefault="00AF3C96" w:rsidP="00AF3C96"/>
    <w:p w:rsidR="00FD41D1" w:rsidRDefault="00FD41D1" w:rsidP="00066A12">
      <w:pPr>
        <w:rPr>
          <w:rFonts w:asciiTheme="minorHAnsi" w:hAnsiTheme="minorHAnsi"/>
          <w:b/>
          <w:sz w:val="24"/>
        </w:rPr>
      </w:pPr>
    </w:p>
    <w:p w:rsidR="00066A12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4</w:t>
      </w:r>
      <w:r w:rsidR="00066A12" w:rsidRPr="008F3ED7">
        <w:rPr>
          <w:rFonts w:asciiTheme="minorHAnsi" w:hAnsiTheme="minorHAnsi"/>
          <w:b/>
          <w:sz w:val="24"/>
        </w:rPr>
        <w:t>.- Vinculación entre estándares de aprendizaxe</w:t>
      </w:r>
      <w:r w:rsidR="0033432B">
        <w:rPr>
          <w:rFonts w:asciiTheme="minorHAnsi" w:hAnsiTheme="minorHAnsi"/>
          <w:b/>
          <w:sz w:val="24"/>
        </w:rPr>
        <w:t xml:space="preserve">, con indicación dos mínimos esixibles para </w:t>
      </w:r>
      <w:proofErr w:type="spellStart"/>
      <w:r w:rsidR="0033432B">
        <w:rPr>
          <w:rFonts w:asciiTheme="minorHAnsi" w:hAnsiTheme="minorHAnsi"/>
          <w:b/>
          <w:sz w:val="24"/>
        </w:rPr>
        <w:t>promocionar</w:t>
      </w:r>
      <w:proofErr w:type="spellEnd"/>
      <w:r w:rsidR="0033432B">
        <w:rPr>
          <w:rFonts w:asciiTheme="minorHAnsi" w:hAnsiTheme="minorHAnsi"/>
          <w:b/>
          <w:sz w:val="24"/>
        </w:rPr>
        <w:t>,</w:t>
      </w:r>
      <w:r w:rsidR="00066A12" w:rsidRPr="008F3ED7">
        <w:rPr>
          <w:rFonts w:asciiTheme="minorHAnsi" w:hAnsiTheme="minorHAnsi"/>
          <w:b/>
          <w:sz w:val="24"/>
        </w:rPr>
        <w:t xml:space="preserve"> </w:t>
      </w:r>
      <w:r w:rsidR="0033432B">
        <w:rPr>
          <w:rFonts w:asciiTheme="minorHAnsi" w:hAnsiTheme="minorHAnsi"/>
          <w:b/>
          <w:sz w:val="24"/>
        </w:rPr>
        <w:t xml:space="preserve">e </w:t>
      </w:r>
      <w:r w:rsidR="00066A12" w:rsidRPr="008F3ED7">
        <w:rPr>
          <w:rFonts w:asciiTheme="minorHAnsi" w:hAnsiTheme="minorHAnsi"/>
          <w:b/>
          <w:sz w:val="24"/>
        </w:rPr>
        <w:t>instrumentos de avaliación e criterios de cualificación.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D259AE" w:rsidRDefault="00D259AE" w:rsidP="00D259AE"/>
    <w:tbl>
      <w:tblPr>
        <w:tblW w:w="50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311"/>
        <w:gridCol w:w="993"/>
        <w:gridCol w:w="992"/>
        <w:gridCol w:w="992"/>
        <w:gridCol w:w="851"/>
        <w:gridCol w:w="3687"/>
        <w:gridCol w:w="1558"/>
      </w:tblGrid>
      <w:tr w:rsidR="00741F0A" w:rsidRPr="00D259AE" w:rsidTr="00741F0A">
        <w:trPr>
          <w:tblHeader/>
        </w:trPr>
        <w:tc>
          <w:tcPr>
            <w:tcW w:w="5311" w:type="dxa"/>
            <w:shd w:val="clear" w:color="auto" w:fill="auto"/>
            <w:vAlign w:val="center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558" w:type="dxa"/>
          </w:tcPr>
          <w:p w:rsid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proofErr w:type="spellStart"/>
            <w:r w:rsidRPr="00D259AE">
              <w:rPr>
                <w:rFonts w:asciiTheme="minorHAnsi" w:hAnsiTheme="minorHAnsi"/>
                <w:szCs w:val="22"/>
              </w:rPr>
              <w:t>culaificación</w:t>
            </w:r>
            <w:proofErr w:type="spellEnd"/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EMB1.1.1. Identifica, clasifica e describe as calidades dos sons do contexto natural e social, utilizando un </w:t>
            </w:r>
            <w:r w:rsidRPr="00D259AE">
              <w:rPr>
                <w:rFonts w:asciiTheme="minorHAnsi" w:hAnsiTheme="minorHAnsi"/>
                <w:szCs w:val="22"/>
              </w:rPr>
              <w:lastRenderedPageBreak/>
              <w:t xml:space="preserve">vocabulario preciso.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 xml:space="preserve">EMB1.2.1. Distingue tipos de voces, instrumentos, variacións e contrastes de velocidade e intensidade, tras a escoita de obras musicais, con capacidade para emitir unha valoración destas.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EMB1.2.2. Interésase por descubrir obras musicais de diferentes características, e utilízaas como marco de referencia para as creacións propias.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EMB1.3.1. Coñece, entende e cumpre as normas de comportamento en audicións e representacións musicais.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EMB1.3.2. Comprende, acepta e respecta o contido das normas que regulan a propiedade intelectual canto á reprodución e a copia de obras musicais.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EMB2.1.1. Recoñece e describe as calidades da voz a través de audicións diversas, e recréaas.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EMB2.2.1. Recoñece e clasifica instrumentos acústicos e electrónicos, diferentes rexistros da voz, e agrupacións vocais e instrumentais.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Proba escrita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30 %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20 %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 xml:space="preserve">EMB2.2.2. Utiliza a linguaxe musical para a interpretación de obras.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EMB2.2.3. Traduce á linguaxe musical convencional melodías e ritmos sinxelos.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EMB2.2.4. Interpreta pezas vocais e instrumentais de diferentes épocas, estilos e culturas para distintos agrupamentos, con e sen acompañamento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EMB2.2.5. Coñece e interpreta cancións de distintos lugares, épocas e estilos, e valora a súa achega ao enriquecemento persoal, social e cultural.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EMB2.2.6. Amosa respecto polo traballo das demais persoas e responsabilidade no traballo individual e colectivo.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EMB2.2.7. Analiza as interpretacións feitas, recoñece erros e amosa interese por traballar para corrixilos.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EMB2.3.1. Procura información bibliográfica, en medios de comunicación e en internet sobre instrumentos, compositores/as, intérpretes e eventos musicais.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>EMB2.3.2. Presenta e expón a información de xeito claro, ordenado e limpo en varios soportes.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Proba escrita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30 %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20 %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EMB2.3.3. Utiliza os medios audiovisuais e recursos informáticos para crear pezas musicais e para a sonorización de imaxes e representacións dramáticas.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EMB3.1.1. Identifica o corpo como instrumento para a expresión de sentimentos e emocións, e como forma de interacción social.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EMB3.1.2. Controla a postura e a coordinación coa música cando interpreta danzas.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EMB3.1.3. Coñece danzas de distintas épocas e lugares, e valora a súa achega ao patrimonio artístico e cultural.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Intercambio oral cos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EMB3.1.4. Reproduce e goza interpretando danzas tradicionais españolas, e entende a importancia da súa continuidade e o traslado ás xeracións futuras.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 xml:space="preserve">EMB3.1.5. Inventa coreografías de grupo que corresponden coa forma interna dunha obra musical e </w:t>
            </w:r>
            <w:r w:rsidRPr="00D259AE">
              <w:rPr>
                <w:rFonts w:asciiTheme="minorHAnsi" w:hAnsiTheme="minorHAnsi"/>
                <w:szCs w:val="22"/>
              </w:rPr>
              <w:lastRenderedPageBreak/>
              <w:t xml:space="preserve">supón unha orde espacial e temporal. 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Análise de producións dos alumnos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lastRenderedPageBreak/>
              <w:t>EMB3.1.6. Analiza as danzas realizadas, recoñece os erros e amosa interese por mellorar o produto.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EMB3.1.7. Respecta o traballo en grupo e participa nel de xeito pracenteiro, amosando confianza nas propias posibilidades e nas das demais persoas.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741F0A" w:rsidRPr="00D259AE" w:rsidTr="00741F0A">
        <w:tc>
          <w:tcPr>
            <w:tcW w:w="5311" w:type="dxa"/>
            <w:shd w:val="clear" w:color="auto" w:fill="auto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EMB3.1.8. Amosa respecto polas demais persoas e colaboración con elas.</w:t>
            </w:r>
          </w:p>
        </w:tc>
        <w:tc>
          <w:tcPr>
            <w:tcW w:w="993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992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7" w:type="dxa"/>
          </w:tcPr>
          <w:p w:rsidR="00D259AE" w:rsidRPr="00D259AE" w:rsidRDefault="00D259AE" w:rsidP="00741F0A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558" w:type="dxa"/>
          </w:tcPr>
          <w:p w:rsidR="00D259AE" w:rsidRPr="00D259AE" w:rsidRDefault="00D259AE" w:rsidP="00D259AE">
            <w:pPr>
              <w:ind w:left="284" w:firstLine="0"/>
              <w:rPr>
                <w:rFonts w:asciiTheme="minorHAnsi" w:hAnsiTheme="minorHAnsi"/>
              </w:rPr>
            </w:pPr>
            <w:r w:rsidRPr="00D259AE">
              <w:rPr>
                <w:rFonts w:asciiTheme="minorHAnsi" w:hAnsiTheme="minorHAnsi"/>
                <w:szCs w:val="22"/>
              </w:rPr>
              <w:t>100 %</w:t>
            </w:r>
          </w:p>
        </w:tc>
      </w:tr>
    </w:tbl>
    <w:p w:rsidR="00D259AE" w:rsidRDefault="00D259AE" w:rsidP="00D259AE"/>
    <w:p w:rsidR="00CA08FA" w:rsidRPr="008F3ED7" w:rsidRDefault="009C730F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</w:t>
      </w:r>
      <w:r w:rsidRPr="008F3ED7">
        <w:rPr>
          <w:rFonts w:asciiTheme="minorHAnsi" w:hAnsiTheme="minorHAnsi" w:cs="Arial"/>
          <w:sz w:val="24"/>
          <w:lang w:val="pt-BR"/>
        </w:rPr>
        <w:lastRenderedPageBreak/>
        <w:t xml:space="preserve">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 trato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lastRenderedPageBreak/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Secuenciación das actividades de ensino-aprendizaxe.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r w:rsidR="00311718" w:rsidRPr="008F3ED7">
        <w:rPr>
          <w:rFonts w:asciiTheme="minorHAnsi" w:hAnsiTheme="minorHAnsi" w:cs="Arial"/>
          <w:b/>
          <w:bCs/>
          <w:sz w:val="24"/>
        </w:rPr>
        <w:t>estruturado</w:t>
      </w:r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de texto: Música </w:t>
      </w:r>
      <w:r w:rsidR="00BF09BC">
        <w:rPr>
          <w:szCs w:val="22"/>
          <w:lang w:val="es-ES"/>
        </w:rPr>
        <w:t>6</w:t>
      </w:r>
      <w:r>
        <w:rPr>
          <w:szCs w:val="22"/>
          <w:lang w:val="es-ES"/>
        </w:rPr>
        <w:t xml:space="preserve">º. Melodía. Editorial </w:t>
      </w:r>
      <w:proofErr w:type="spellStart"/>
      <w:r>
        <w:rPr>
          <w:szCs w:val="22"/>
          <w:lang w:val="es-ES"/>
        </w:rPr>
        <w:t>Galinova</w:t>
      </w:r>
      <w:proofErr w:type="spellEnd"/>
      <w:r>
        <w:rPr>
          <w:szCs w:val="22"/>
          <w:lang w:val="es-ES"/>
        </w:rPr>
        <w:t xml:space="preserve">.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 w:rsidRPr="0090489B">
        <w:rPr>
          <w:szCs w:val="22"/>
          <w:lang w:val="es-ES"/>
        </w:rPr>
        <w:t xml:space="preserve">Recursos </w:t>
      </w:r>
      <w:proofErr w:type="spellStart"/>
      <w:r w:rsidRPr="0090489B">
        <w:rPr>
          <w:szCs w:val="22"/>
          <w:lang w:val="es-ES"/>
        </w:rPr>
        <w:t>fotocopiables</w:t>
      </w:r>
      <w:proofErr w:type="spellEnd"/>
      <w:r w:rsidRPr="0090489B">
        <w:rPr>
          <w:szCs w:val="22"/>
          <w:lang w:val="es-ES"/>
        </w:rPr>
        <w:t xml:space="preserve"> con actividades de </w:t>
      </w:r>
      <w:proofErr w:type="spellStart"/>
      <w:r w:rsidRPr="0090489B">
        <w:rPr>
          <w:szCs w:val="22"/>
          <w:lang w:val="es-ES"/>
        </w:rPr>
        <w:t>reforzo</w:t>
      </w:r>
      <w:proofErr w:type="spellEnd"/>
      <w:r w:rsidRPr="0090489B">
        <w:rPr>
          <w:szCs w:val="22"/>
          <w:lang w:val="es-ES"/>
        </w:rPr>
        <w:t xml:space="preserve"> e de ampliación. 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proofErr w:type="spellStart"/>
      <w:r>
        <w:rPr>
          <w:szCs w:val="22"/>
          <w:lang w:val="es-ES"/>
        </w:rPr>
        <w:t>Caderno</w:t>
      </w:r>
      <w:proofErr w:type="spellEnd"/>
      <w:r>
        <w:rPr>
          <w:szCs w:val="22"/>
          <w:lang w:val="es-ES"/>
        </w:rPr>
        <w:t xml:space="preserve"> do alumno con actividades de reforzó.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lastRenderedPageBreak/>
        <w:t xml:space="preserve">Libro </w:t>
      </w:r>
      <w:proofErr w:type="spellStart"/>
      <w:r>
        <w:rPr>
          <w:szCs w:val="22"/>
          <w:lang w:val="es-ES"/>
        </w:rPr>
        <w:t>dixital</w:t>
      </w:r>
      <w:proofErr w:type="spellEnd"/>
      <w:r>
        <w:rPr>
          <w:szCs w:val="22"/>
          <w:lang w:val="es-ES"/>
        </w:rPr>
        <w:t xml:space="preserve"> para o profesor.</w:t>
      </w:r>
    </w:p>
    <w:p w:rsidR="00311718" w:rsidRPr="0090489B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Cd de audio para o profesor.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Material de aula: </w:t>
      </w:r>
      <w:r w:rsidRPr="00CA17DC">
        <w:rPr>
          <w:szCs w:val="22"/>
          <w:lang w:val="es-ES"/>
        </w:rPr>
        <w:t>Instrumentos</w:t>
      </w:r>
      <w:r>
        <w:rPr>
          <w:szCs w:val="22"/>
          <w:lang w:val="es-ES"/>
        </w:rPr>
        <w:t xml:space="preserve">, equipo de son, láminas, ordenador con conexión a internet, </w:t>
      </w:r>
      <w:proofErr w:type="spellStart"/>
      <w:r>
        <w:rPr>
          <w:szCs w:val="22"/>
          <w:lang w:val="es-ES"/>
        </w:rPr>
        <w:t>canón</w:t>
      </w:r>
      <w:proofErr w:type="spellEnd"/>
      <w:r>
        <w:rPr>
          <w:szCs w:val="22"/>
          <w:lang w:val="es-ES"/>
        </w:rPr>
        <w:t xml:space="preserve"> de video…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Guía didáctica.</w:t>
      </w:r>
    </w:p>
    <w:p w:rsidR="00311718" w:rsidRPr="00CA17DC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9C730F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5B41AC" w:rsidRDefault="005B41AC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5B41AC" w:rsidRDefault="005B41AC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9C730F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Ás clases de música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 w:rsidR="00D616F6">
        <w:rPr>
          <w:rFonts w:asciiTheme="minorHAnsi" w:hAnsiTheme="minorHAnsi"/>
          <w:sz w:val="24"/>
          <w:lang w:eastAsia="zh-CN"/>
        </w:rPr>
        <w:t>metodolooxías</w:t>
      </w:r>
      <w:proofErr w:type="spellEnd"/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5B41AC" w:rsidRDefault="005B41AC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9C730F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9C730F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secuenciación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B947B0"/>
    <w:multiLevelType w:val="hybridMultilevel"/>
    <w:tmpl w:val="D090B3F8"/>
    <w:lvl w:ilvl="0" w:tplc="69347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62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A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2C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EF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725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62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C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986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A22F3"/>
    <w:multiLevelType w:val="hybridMultilevel"/>
    <w:tmpl w:val="084CB176"/>
    <w:lvl w:ilvl="0" w:tplc="96F0DB9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7536F88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330A5A56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BA816D4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2EA4D642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E18D71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A729260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DE94969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948C33A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2A5CC1"/>
    <w:multiLevelType w:val="hybridMultilevel"/>
    <w:tmpl w:val="A4CC9740"/>
    <w:lvl w:ilvl="0" w:tplc="0C0A000F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475A5"/>
    <w:multiLevelType w:val="multilevel"/>
    <w:tmpl w:val="345292FA"/>
    <w:lvl w:ilvl="0">
      <w:start w:val="1"/>
      <w:numFmt w:val="decimal"/>
      <w:pStyle w:val="tt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E4B5DFF"/>
    <w:multiLevelType w:val="hybridMultilevel"/>
    <w:tmpl w:val="AC3AC214"/>
    <w:lvl w:ilvl="0" w:tplc="CDB07B9C">
      <w:start w:val="1"/>
      <w:numFmt w:val="lowerLetter"/>
      <w:lvlText w:val="%1)"/>
      <w:lvlJc w:val="left"/>
      <w:pPr>
        <w:ind w:left="1004" w:hanging="360"/>
      </w:pPr>
    </w:lvl>
    <w:lvl w:ilvl="1" w:tplc="A7782074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4CBC48C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15D88206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4989DF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54C257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8D789FA4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CF14C26A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D9461E0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33B563B"/>
    <w:multiLevelType w:val="hybridMultilevel"/>
    <w:tmpl w:val="8B107254"/>
    <w:lvl w:ilvl="0" w:tplc="11DEE2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A2911"/>
    <w:multiLevelType w:val="hybridMultilevel"/>
    <w:tmpl w:val="31DE5B08"/>
    <w:lvl w:ilvl="0" w:tplc="0C0A0017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2C892FAF"/>
    <w:multiLevelType w:val="hybridMultilevel"/>
    <w:tmpl w:val="16922936"/>
    <w:lvl w:ilvl="0" w:tplc="51EE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40D6DF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3D4E5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B014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07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6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29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B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2C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701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36F6FC7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D30AA52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AAE8146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104A229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5CCCCD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7D9E9152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1C83CA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D5A1C8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B98E0830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87BA5898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0C0A000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0C0A000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8FCCEE8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87BA589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87BA58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0C0A0001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AA00F8C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456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56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56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56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56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56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56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56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3"/>
  </w:num>
  <w:num w:numId="5">
    <w:abstractNumId w:val="4"/>
  </w:num>
  <w:num w:numId="6">
    <w:abstractNumId w:val="22"/>
  </w:num>
  <w:num w:numId="7">
    <w:abstractNumId w:val="16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19"/>
  </w:num>
  <w:num w:numId="14">
    <w:abstractNumId w:val="14"/>
  </w:num>
  <w:num w:numId="15">
    <w:abstractNumId w:val="2"/>
  </w:num>
  <w:num w:numId="16">
    <w:abstractNumId w:val="18"/>
  </w:num>
  <w:num w:numId="17">
    <w:abstractNumId w:val="17"/>
  </w:num>
  <w:num w:numId="18">
    <w:abstractNumId w:val="12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23A7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11718"/>
    <w:rsid w:val="00320DF8"/>
    <w:rsid w:val="003314CA"/>
    <w:rsid w:val="0033432B"/>
    <w:rsid w:val="00335EA6"/>
    <w:rsid w:val="00356E2A"/>
    <w:rsid w:val="003727A2"/>
    <w:rsid w:val="003739FE"/>
    <w:rsid w:val="003808A4"/>
    <w:rsid w:val="0038589F"/>
    <w:rsid w:val="003B04A0"/>
    <w:rsid w:val="003B312A"/>
    <w:rsid w:val="003D145C"/>
    <w:rsid w:val="00407783"/>
    <w:rsid w:val="00434AAF"/>
    <w:rsid w:val="00434E50"/>
    <w:rsid w:val="00465C6E"/>
    <w:rsid w:val="004915DF"/>
    <w:rsid w:val="004B6889"/>
    <w:rsid w:val="00506C2A"/>
    <w:rsid w:val="00536BC6"/>
    <w:rsid w:val="00594D7A"/>
    <w:rsid w:val="005B41AC"/>
    <w:rsid w:val="005C6309"/>
    <w:rsid w:val="00634F91"/>
    <w:rsid w:val="00636E04"/>
    <w:rsid w:val="00677105"/>
    <w:rsid w:val="006A215C"/>
    <w:rsid w:val="006A4DF7"/>
    <w:rsid w:val="006C0D57"/>
    <w:rsid w:val="006F3EA5"/>
    <w:rsid w:val="00716F78"/>
    <w:rsid w:val="00741F0A"/>
    <w:rsid w:val="00760767"/>
    <w:rsid w:val="007636DC"/>
    <w:rsid w:val="007A6B32"/>
    <w:rsid w:val="007F72EC"/>
    <w:rsid w:val="008133B3"/>
    <w:rsid w:val="008146B3"/>
    <w:rsid w:val="00891176"/>
    <w:rsid w:val="008A6831"/>
    <w:rsid w:val="008B432D"/>
    <w:rsid w:val="008E051B"/>
    <w:rsid w:val="008F3ED7"/>
    <w:rsid w:val="0090489B"/>
    <w:rsid w:val="00925FE7"/>
    <w:rsid w:val="00932456"/>
    <w:rsid w:val="00933A4E"/>
    <w:rsid w:val="00957290"/>
    <w:rsid w:val="009739C6"/>
    <w:rsid w:val="009B601C"/>
    <w:rsid w:val="009C730F"/>
    <w:rsid w:val="009F0A8A"/>
    <w:rsid w:val="00A00953"/>
    <w:rsid w:val="00A07354"/>
    <w:rsid w:val="00A35A38"/>
    <w:rsid w:val="00A52C76"/>
    <w:rsid w:val="00A74099"/>
    <w:rsid w:val="00A906DA"/>
    <w:rsid w:val="00A94A3A"/>
    <w:rsid w:val="00AE49AA"/>
    <w:rsid w:val="00AF3C96"/>
    <w:rsid w:val="00B009F2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BF09BC"/>
    <w:rsid w:val="00C04493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259AE"/>
    <w:rsid w:val="00D422AA"/>
    <w:rsid w:val="00D616F6"/>
    <w:rsid w:val="00D64DA2"/>
    <w:rsid w:val="00D85203"/>
    <w:rsid w:val="00DD3535"/>
    <w:rsid w:val="00DD641B"/>
    <w:rsid w:val="00DE2A52"/>
    <w:rsid w:val="00E543DC"/>
    <w:rsid w:val="00E94918"/>
    <w:rsid w:val="00EA32D6"/>
    <w:rsid w:val="00EF4E45"/>
    <w:rsid w:val="00F0650B"/>
    <w:rsid w:val="00F431EE"/>
    <w:rsid w:val="00F77652"/>
    <w:rsid w:val="00F84940"/>
    <w:rsid w:val="00F9625A"/>
    <w:rsid w:val="00FB47C1"/>
    <w:rsid w:val="00FD41D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ttp2">
    <w:name w:val="_ttp2"/>
    <w:basedOn w:val="ttp1"/>
    <w:qFormat/>
    <w:rsid w:val="00311718"/>
    <w:pPr>
      <w:numPr>
        <w:numId w:val="25"/>
      </w:numPr>
      <w:ind w:left="454" w:hanging="227"/>
    </w:pPr>
  </w:style>
  <w:style w:type="paragraph" w:customStyle="1" w:styleId="txcentrado">
    <w:name w:val="_tx_centrado"/>
    <w:basedOn w:val="Normal"/>
    <w:qFormat/>
    <w:rsid w:val="00311718"/>
    <w:pPr>
      <w:numPr>
        <w:numId w:val="24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5595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8</cp:revision>
  <cp:lastPrinted>2015-10-15T09:37:00Z</cp:lastPrinted>
  <dcterms:created xsi:type="dcterms:W3CDTF">2016-03-09T19:23:00Z</dcterms:created>
  <dcterms:modified xsi:type="dcterms:W3CDTF">2019-11-18T10:25:00Z</dcterms:modified>
</cp:coreProperties>
</file>