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04" w:rsidRDefault="00F84404" w:rsidP="00371E39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371E39" w:rsidRPr="00DF4404" w:rsidRDefault="00371E39" w:rsidP="00371E39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EDUCACIÓN ARTÍSTICA (MÚSICA)-4º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371E39" w:rsidRDefault="00371E39" w:rsidP="00066A12">
      <w:pPr>
        <w:rPr>
          <w:rFonts w:asciiTheme="minorHAnsi" w:hAnsiTheme="minorHAnsi"/>
          <w:b/>
          <w:spacing w:val="1"/>
          <w:sz w:val="24"/>
        </w:rPr>
      </w:pPr>
    </w:p>
    <w:p w:rsidR="00371E39" w:rsidRDefault="00371E39" w:rsidP="00066A12">
      <w:pPr>
        <w:rPr>
          <w:rFonts w:asciiTheme="minorHAnsi" w:hAnsiTheme="minorHAnsi"/>
          <w:b/>
          <w:spacing w:val="1"/>
          <w:sz w:val="24"/>
        </w:rPr>
      </w:pPr>
    </w:p>
    <w:p w:rsidR="00371E39" w:rsidRDefault="00371E39" w:rsidP="00066A12">
      <w:pPr>
        <w:rPr>
          <w:rFonts w:asciiTheme="minorHAnsi" w:hAnsiTheme="minorHAnsi"/>
          <w:b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lastRenderedPageBreak/>
              <w:t xml:space="preserve">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94A3A" w:rsidRPr="008F3ED7" w:rsidRDefault="00A94A3A" w:rsidP="008F3ED7">
      <w:pPr>
        <w:ind w:left="284"/>
        <w:rPr>
          <w:rFonts w:asciiTheme="minorHAnsi" w:hAnsiTheme="minorHAnsi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  <w:r w:rsidR="00C1766F" w:rsidRPr="008F3ED7">
        <w:rPr>
          <w:rFonts w:asciiTheme="minorHAnsi" w:hAnsiTheme="minorHAnsi"/>
          <w:b/>
          <w:sz w:val="24"/>
        </w:rPr>
        <w:t xml:space="preserve"> 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z w:val="24"/>
        </w:rPr>
      </w:pPr>
    </w:p>
    <w:p w:rsidR="00066A12" w:rsidRPr="008F3ED7" w:rsidRDefault="009C730F" w:rsidP="00066A12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3</w:t>
      </w:r>
      <w:r w:rsidR="00066A12" w:rsidRPr="008F3ED7">
        <w:rPr>
          <w:rFonts w:asciiTheme="minorHAnsi" w:hAnsiTheme="minorHAnsi"/>
          <w:b/>
          <w:sz w:val="24"/>
        </w:rPr>
        <w:t xml:space="preserve">.- Vinculación entre obxectivos, contidos, criterios de avaliación, estándares de aprendizaxe e competencias clave. </w:t>
      </w:r>
    </w:p>
    <w:p w:rsidR="00057082" w:rsidRDefault="00057082" w:rsidP="00D85203">
      <w:pPr>
        <w:ind w:firstLine="0"/>
        <w:rPr>
          <w:rFonts w:asciiTheme="minorHAnsi" w:hAnsiTheme="minorHAnsi"/>
          <w:b/>
          <w:spacing w:val="1"/>
          <w:sz w:val="24"/>
        </w:rPr>
      </w:pPr>
    </w:p>
    <w:p w:rsidR="004D4364" w:rsidRPr="008133B3" w:rsidRDefault="004D4364" w:rsidP="004D4364"/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86"/>
        <w:gridCol w:w="3663"/>
        <w:gridCol w:w="3524"/>
        <w:gridCol w:w="3728"/>
        <w:gridCol w:w="1715"/>
      </w:tblGrid>
      <w:tr w:rsidR="004D4364" w:rsidRPr="004D4364" w:rsidTr="004D4364">
        <w:trPr>
          <w:tblHeader/>
        </w:trPr>
        <w:tc>
          <w:tcPr>
            <w:tcW w:w="1486" w:type="dxa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ÁREA</w:t>
            </w:r>
          </w:p>
        </w:tc>
        <w:tc>
          <w:tcPr>
            <w:tcW w:w="7187" w:type="dxa"/>
            <w:gridSpan w:val="2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EDUCACIÓN ARTÍSTICA (EDUCACIÓN MUSICAL)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CURSO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TERCEIRO</w:t>
            </w:r>
          </w:p>
        </w:tc>
      </w:tr>
      <w:tr w:rsidR="004D4364" w:rsidRPr="004D4364" w:rsidTr="004D4364">
        <w:trPr>
          <w:tblHeader/>
        </w:trPr>
        <w:tc>
          <w:tcPr>
            <w:tcW w:w="1486" w:type="dxa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Obxectivos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Contidos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Criterios de avaliación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Competencias clave</w:t>
            </w:r>
          </w:p>
        </w:tc>
      </w:tr>
      <w:tr w:rsidR="004D4364" w:rsidRPr="004D4364" w:rsidTr="004D4364">
        <w:tc>
          <w:tcPr>
            <w:tcW w:w="14116" w:type="dxa"/>
            <w:gridSpan w:val="5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BLOQUE 1. ESCOITA</w:t>
            </w:r>
          </w:p>
        </w:tc>
      </w:tr>
      <w:tr w:rsidR="004D4364" w:rsidRPr="004D4364" w:rsidTr="004D4364">
        <w:tc>
          <w:tcPr>
            <w:tcW w:w="1486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j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d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 xml:space="preserve">B1.1. Audición activa dunha selección de pezas instrumentais e vocais de diferentes estilos e culturas, adaptadas á idade do </w:t>
            </w:r>
            <w:r w:rsidRPr="004D4364">
              <w:rPr>
                <w:rFonts w:asciiTheme="minorHAnsi" w:hAnsiTheme="minorHAnsi"/>
                <w:szCs w:val="22"/>
              </w:rPr>
              <w:lastRenderedPageBreak/>
              <w:t>alumnado.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B1.2. Asistencia a algunha representación musical.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B1.3. Interese polo repertorio tradicional de Galicia e das zonas de procedencia dos compañeiros e das compañeiras.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B1.4. Audición de obras musicais de distintas características e procedencias.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B1.5. Actitude atenta e silenciosa, e respecto polas normas de comportamento durante a audición de música e na asistencia a representacións.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 xml:space="preserve">B1.1. Utilizar a escoita musical para indagar nas posibilidades do son e coñecer exemplos de obras variadas da nosa e doutras </w:t>
            </w:r>
            <w:r w:rsidRPr="004D4364">
              <w:rPr>
                <w:rFonts w:asciiTheme="minorHAnsi" w:hAnsiTheme="minorHAnsi"/>
                <w:szCs w:val="22"/>
              </w:rPr>
              <w:lastRenderedPageBreak/>
              <w:t>culturas.</w:t>
            </w: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EMB1.1.1. Expresa as súas apreciacións persoais sobre o feito artístico musical.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CCL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 xml:space="preserve">EMB1.1.2. Manifesta as sensacións, </w:t>
            </w:r>
            <w:r w:rsidRPr="004D4364">
              <w:rPr>
                <w:rFonts w:asciiTheme="minorHAnsi" w:hAnsiTheme="minorHAnsi"/>
                <w:szCs w:val="22"/>
              </w:rPr>
              <w:lastRenderedPageBreak/>
              <w:t>as impresións e os sentimentos que lle provoca a audición dunha peza musical.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CCL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CCEC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EMB1.1.3. Coñece, entende e cumpre as normas de comportamento en audicións e representacións musicais.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EMB1.1.4. Identifica manifestacións artísticas propias de Galicia.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4D4364" w:rsidRPr="004D4364" w:rsidTr="004D4364">
        <w:tc>
          <w:tcPr>
            <w:tcW w:w="1486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j</w:t>
            </w:r>
          </w:p>
        </w:tc>
        <w:tc>
          <w:tcPr>
            <w:tcW w:w="3663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B1.6. Recoñecemento de calidades dos sons: intensidade, duración, altura e timbre.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B1.7. Acento e pulso.</w:t>
            </w:r>
          </w:p>
        </w:tc>
        <w:tc>
          <w:tcPr>
            <w:tcW w:w="3524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B1.2. Identificar e describir as características de elementos musicais e calidades dos sons do contexto.</w:t>
            </w: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4D4364" w:rsidRPr="004D4364" w:rsidTr="004D4364">
        <w:tc>
          <w:tcPr>
            <w:tcW w:w="1486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j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 xml:space="preserve">B1.8. Elementos musicais. Tempo e matices: forte, piano e </w:t>
            </w:r>
            <w:proofErr w:type="spellStart"/>
            <w:r w:rsidRPr="004D4364">
              <w:rPr>
                <w:rFonts w:asciiTheme="minorHAnsi" w:hAnsiTheme="minorHAnsi"/>
                <w:szCs w:val="22"/>
              </w:rPr>
              <w:t>mezzoforte</w:t>
            </w:r>
            <w:proofErr w:type="spellEnd"/>
            <w:r w:rsidRPr="004D4364">
              <w:rPr>
                <w:rFonts w:asciiTheme="minorHAnsi" w:hAnsiTheme="minorHAnsi"/>
                <w:szCs w:val="22"/>
              </w:rPr>
              <w:t>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B1.9. Identificación dos rexistros de voces graves e agudas, así coma das posibles agrupacións vocais e instrumentais (solista, dúo, trío e coro).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B1.10. Compases binarios e ternarios.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B1.3. Analizar a organización de obras musicais sinxelas e describir os elementos que as compoñen.</w:t>
            </w: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EMB1.3.1. Distingue tipos de voces e instrumentos, e agrupacións instrumentais ou vocais.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EMB1.3.2. Identifica e describe variacións e contrastes de velocidade e intensidade tras a escoita de obras musicais.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D4364" w:rsidRPr="004D4364" w:rsidTr="004D4364">
        <w:tc>
          <w:tcPr>
            <w:tcW w:w="1486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j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B1.11. Recoñecemento e identificación das partes dunha peza musical. Formas musicais binarias e ternarias.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B1.4. Utilizar recursos gráficos durante a audición dunha peza musical.</w:t>
            </w: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 xml:space="preserve">EMB1.4.1. Establece unha relación entre o que escoita e represéntao nun </w:t>
            </w:r>
            <w:proofErr w:type="spellStart"/>
            <w:r w:rsidRPr="004D4364">
              <w:rPr>
                <w:rFonts w:asciiTheme="minorHAnsi" w:hAnsiTheme="minorHAnsi"/>
                <w:szCs w:val="22"/>
              </w:rPr>
              <w:t>musicograma</w:t>
            </w:r>
            <w:proofErr w:type="spellEnd"/>
            <w:r w:rsidRPr="004D4364">
              <w:rPr>
                <w:rFonts w:asciiTheme="minorHAnsi" w:hAnsiTheme="minorHAnsi"/>
                <w:szCs w:val="22"/>
              </w:rPr>
              <w:t xml:space="preserve"> ou nunha partitura sinxela.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EMB1.4.2. Identifica as partes dunha peza musical sinxela e presenta graficamente a súa estrutura.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 xml:space="preserve">EMB1.4.3. Representa graficamente, con linguaxe convencional ou non, os trazos característicos da música </w:t>
            </w:r>
            <w:r w:rsidRPr="004D4364">
              <w:rPr>
                <w:rFonts w:asciiTheme="minorHAnsi" w:hAnsiTheme="minorHAnsi"/>
                <w:szCs w:val="22"/>
              </w:rPr>
              <w:lastRenderedPageBreak/>
              <w:t>escoitada.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4D4364" w:rsidRPr="004D4364" w:rsidTr="004D4364">
        <w:tc>
          <w:tcPr>
            <w:tcW w:w="14116" w:type="dxa"/>
            <w:gridSpan w:val="5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BLOQUE 2. INTERPRETACIÓN MUSICAL</w:t>
            </w:r>
          </w:p>
        </w:tc>
      </w:tr>
      <w:tr w:rsidR="004D4364" w:rsidRPr="004D4364" w:rsidTr="004D4364">
        <w:tc>
          <w:tcPr>
            <w:tcW w:w="1486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j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B2.1. Lectura e interpretación de pezas instrumentais e cancións sinxelas de maneira colectiva, con ou sen acompañamento, con distintos tipos de grafías.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B2.2. Frauta doce: dixitación da escala de dó sen alteracións.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 xml:space="preserve">B2.3. Iniciación aos instrumentos de placas </w:t>
            </w:r>
            <w:proofErr w:type="spellStart"/>
            <w:r w:rsidRPr="004D4364">
              <w:rPr>
                <w:rFonts w:asciiTheme="minorHAnsi" w:hAnsiTheme="minorHAnsi"/>
                <w:szCs w:val="22"/>
              </w:rPr>
              <w:t>Orff</w:t>
            </w:r>
            <w:proofErr w:type="spellEnd"/>
            <w:r w:rsidRPr="004D4364">
              <w:rPr>
                <w:rFonts w:asciiTheme="minorHAnsi" w:hAnsiTheme="minorHAnsi"/>
                <w:szCs w:val="22"/>
              </w:rPr>
              <w:t xml:space="preserve"> en acompañamentos de pezas sinxelas.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B2.4. Rexistro da música creada na aula mediante gravacións para a súa escoita posterior e a súa valoración.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B2.5. Dobre barra e DC.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B2.6. Ditados rítmicos con grafías de negra, branca, redonda e corchea, e os seus silencios.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B2.7. Ditados melódicos sinxelos.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B2.1. Interpretar un repertorio básico de cancións e pezas instrumentais, en solitario ou en grupo, mediante a voz ou instrumentos, utilizando a linguaxe musical.</w:t>
            </w: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EMB2.1.1. Utiliza de xeito correcto a linguaxe musical traballada para a interpretación de obras.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EMB2.1.2. Traduce á linguaxe musical convencional melodías e ritmos sinxelos.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EMB2.1.3. Interpreta pezas vocais e instrumentais sinxelas con distintos agrupamentos con e sen acompañamento.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EMB2.1.4. Toma conciencia dos erros cometidos e amosa interese por mellorar.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D4364" w:rsidRPr="004D4364" w:rsidTr="004D4364">
        <w:tc>
          <w:tcPr>
            <w:tcW w:w="1486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j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B2.8. Improvisación de esquemas rítmicos e melódicos sobre bases musicais dadas.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B2.9. Creación guiada de pezas musicais sinxelas a partir de elementos dados.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B2.2. Explorar estruturas musicais e seleccionar e combinar ideas musicais dentro de estruturas sinxelas entre varias dadas, co obxectivo de crear un produto musical propio individual ou grupal.</w:t>
            </w: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EMB2.2.1. Crea unha peza musical sinxela a partir da selección, a combinación e a organización dunha serie de elementos dados previamente, coñecidos e/ou manexados.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EMB2.2.2. Amosa respecto e responsabilidade no traballo individual e colectivo.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D4364" w:rsidRPr="004D4364" w:rsidTr="004D4364">
        <w:tc>
          <w:tcPr>
            <w:tcW w:w="1486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j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d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B2.10. Recreación musical e sonorización dun texto oral ou escrito.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B2.11. Sonorización de imaxes ou representacións dramáticas usando materiais, instrumentos e dispositivos electrónicos.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B2.12. Construción dun instrumento.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B2.3. Explorar e utilizar as posibilidades sonoras e expresivas de diversos materiais, instrumentos e dispositivos electrónicos.</w:t>
            </w: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EMB2.3.1. Emprega instrumentos materiais e dispositivos electrónicos para crear pezas musicais sinxelas e para a sonorización de imaxes e representacións dramáticas.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CD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EMB2.3.2. Constrúe algún instrumento orixinal ou similar a un existente.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 xml:space="preserve">CCEC 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D4364" w:rsidRPr="004D4364" w:rsidTr="004D4364">
        <w:tc>
          <w:tcPr>
            <w:tcW w:w="14116" w:type="dxa"/>
            <w:gridSpan w:val="5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BLOQUE 3. MÚSICA, MOVEMENTO E DANZA</w:t>
            </w:r>
          </w:p>
        </w:tc>
      </w:tr>
      <w:tr w:rsidR="004D4364" w:rsidRPr="004D4364" w:rsidTr="004D4364">
        <w:tc>
          <w:tcPr>
            <w:tcW w:w="1486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j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B3.1. Recoñecemento do corpo como instrumento rítmico e de expresión corporal.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B3.2. Creación de pequenas coreografías para obras musicais breves e de estrutura sinxela.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B3.1. Adquirir capacidades expresivas e creativas que ofrecen a expresión corporal e a danza.</w:t>
            </w: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EMB3.1.1. Identifica e utiliza o corpo como instrumento para a expresión de sentimentos e emocións, e como forma de interacción social.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EMB3.1.2. Inventa e reproduce pequenas coreografías que corresponden coa forma interna dunha obra musical de forma sinxela binaria, ternaria e rondó.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CAA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4D4364" w:rsidRPr="004D4364" w:rsidTr="004D4364">
        <w:tc>
          <w:tcPr>
            <w:tcW w:w="1486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j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d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B3.3. Reprodución de xogos motores e secuencias de movementos fixados ou inventados, procurando unha progresiva coordinación individual e colectiva.</w:t>
            </w:r>
          </w:p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B3.4. Iniciación á interpretación de danzas tradicionais galegas e doutras culturas.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B3.2. Interpretar un repertorio básico de danzas propias da cultura galega e doutras culturas.</w:t>
            </w: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EMB3.2.1. Controla a postura e a coordinación coa música cando interpreta danzas.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D4364" w:rsidRPr="004D4364" w:rsidTr="004D4364">
        <w:tc>
          <w:tcPr>
            <w:tcW w:w="1486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EMB3.2.2. Identifica, reproduce e goza interpretando danzas tradicionais galegas e doutras culturas.</w:t>
            </w:r>
          </w:p>
        </w:tc>
        <w:tc>
          <w:tcPr>
            <w:tcW w:w="1715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CCEC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CSC</w:t>
            </w:r>
          </w:p>
        </w:tc>
      </w:tr>
    </w:tbl>
    <w:p w:rsidR="004D4364" w:rsidRPr="008133B3" w:rsidRDefault="004D4364" w:rsidP="004D4364"/>
    <w:p w:rsidR="00066A12" w:rsidRPr="008F3ED7" w:rsidRDefault="00066A12" w:rsidP="00066A12">
      <w:pPr>
        <w:rPr>
          <w:rFonts w:asciiTheme="minorHAnsi" w:hAnsiTheme="minorHAnsi"/>
          <w:sz w:val="24"/>
        </w:rPr>
      </w:pPr>
    </w:p>
    <w:p w:rsidR="00371E39" w:rsidRDefault="00371E39" w:rsidP="00066A12">
      <w:pPr>
        <w:rPr>
          <w:rFonts w:asciiTheme="minorHAnsi" w:hAnsiTheme="minorHAnsi"/>
          <w:b/>
          <w:sz w:val="24"/>
        </w:rPr>
      </w:pPr>
    </w:p>
    <w:p w:rsidR="00371E39" w:rsidRDefault="00371E39" w:rsidP="00066A12">
      <w:pPr>
        <w:rPr>
          <w:rFonts w:asciiTheme="minorHAnsi" w:hAnsiTheme="minorHAnsi"/>
          <w:b/>
          <w:sz w:val="24"/>
        </w:rPr>
      </w:pPr>
    </w:p>
    <w:p w:rsidR="00371E39" w:rsidRDefault="00371E39" w:rsidP="00066A12">
      <w:pPr>
        <w:rPr>
          <w:rFonts w:asciiTheme="minorHAnsi" w:hAnsiTheme="minorHAnsi"/>
          <w:b/>
          <w:sz w:val="24"/>
        </w:rPr>
      </w:pPr>
    </w:p>
    <w:p w:rsidR="00066A12" w:rsidRDefault="009C730F" w:rsidP="00066A12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4</w:t>
      </w:r>
      <w:r w:rsidR="00066A12" w:rsidRPr="008F3ED7">
        <w:rPr>
          <w:rFonts w:asciiTheme="minorHAnsi" w:hAnsiTheme="minorHAnsi"/>
          <w:b/>
          <w:sz w:val="24"/>
        </w:rPr>
        <w:t>.- Vinculación entre estándares de aprendizaxe</w:t>
      </w:r>
      <w:r w:rsidR="0033432B">
        <w:rPr>
          <w:rFonts w:asciiTheme="minorHAnsi" w:hAnsiTheme="minorHAnsi"/>
          <w:b/>
          <w:sz w:val="24"/>
        </w:rPr>
        <w:t xml:space="preserve">, con indicación dos mínimos esixibles para </w:t>
      </w:r>
      <w:proofErr w:type="spellStart"/>
      <w:r w:rsidR="0033432B">
        <w:rPr>
          <w:rFonts w:asciiTheme="minorHAnsi" w:hAnsiTheme="minorHAnsi"/>
          <w:b/>
          <w:sz w:val="24"/>
        </w:rPr>
        <w:t>promocionar</w:t>
      </w:r>
      <w:proofErr w:type="spellEnd"/>
      <w:r w:rsidR="0033432B">
        <w:rPr>
          <w:rFonts w:asciiTheme="minorHAnsi" w:hAnsiTheme="minorHAnsi"/>
          <w:b/>
          <w:sz w:val="24"/>
        </w:rPr>
        <w:t>,</w:t>
      </w:r>
      <w:r w:rsidR="00066A12" w:rsidRPr="008F3ED7">
        <w:rPr>
          <w:rFonts w:asciiTheme="minorHAnsi" w:hAnsiTheme="minorHAnsi"/>
          <w:b/>
          <w:sz w:val="24"/>
        </w:rPr>
        <w:t xml:space="preserve"> </w:t>
      </w:r>
      <w:r w:rsidR="0033432B">
        <w:rPr>
          <w:rFonts w:asciiTheme="minorHAnsi" w:hAnsiTheme="minorHAnsi"/>
          <w:b/>
          <w:sz w:val="24"/>
        </w:rPr>
        <w:t xml:space="preserve">e </w:t>
      </w:r>
      <w:r w:rsidR="00066A12" w:rsidRPr="008F3ED7">
        <w:rPr>
          <w:rFonts w:asciiTheme="minorHAnsi" w:hAnsiTheme="minorHAnsi"/>
          <w:b/>
          <w:sz w:val="24"/>
        </w:rPr>
        <w:t>instrumentos de avaliación e criterios de cualificación.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4D4364" w:rsidRDefault="004D4364" w:rsidP="004D43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727"/>
        <w:gridCol w:w="851"/>
        <w:gridCol w:w="850"/>
        <w:gridCol w:w="851"/>
        <w:gridCol w:w="850"/>
        <w:gridCol w:w="3402"/>
        <w:gridCol w:w="1585"/>
      </w:tblGrid>
      <w:tr w:rsidR="004D4364" w:rsidRPr="004D4364" w:rsidTr="004D4364">
        <w:trPr>
          <w:tblHeader/>
        </w:trPr>
        <w:tc>
          <w:tcPr>
            <w:tcW w:w="5727" w:type="dxa"/>
            <w:shd w:val="clear" w:color="auto" w:fill="auto"/>
            <w:vAlign w:val="center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1ª AV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2ª AV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3ª AV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MIN</w:t>
            </w: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Instrumentos de avaliación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 xml:space="preserve">Criterios de 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cualificación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EMB1.1.1. Expresa as súas apreciacións persoais sobre o feito artístico musical.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EMB1.1.2. Manifesta as sensacións, as impresións e os sentimentos que lle provoca a audición dunha peza musical.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EMB1.1.3. Coñece, entende e cumpre as normas de comportamento en audicións e representacións musicais.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EMB1.1.4. Identifica manifestacións artísticas propias de Galicia.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EMB1.3.1. Distingue tipos de voces e instrumentos, e agrupacións instrumentais ou vocais.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lastRenderedPageBreak/>
              <w:t>Intercambios orais cos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EMB1.3.2. Identifica e describe variacións e contrastes de velocidade e intensidade tras a escoita de obras musicais.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 xml:space="preserve">EMB1.4.1. Establece unha relación entre o que escoita e represéntao nun </w:t>
            </w:r>
            <w:proofErr w:type="spellStart"/>
            <w:r w:rsidRPr="004D4364">
              <w:rPr>
                <w:rFonts w:asciiTheme="minorHAnsi" w:hAnsiTheme="minorHAnsi"/>
                <w:szCs w:val="22"/>
              </w:rPr>
              <w:t>musicograma</w:t>
            </w:r>
            <w:proofErr w:type="spellEnd"/>
            <w:r w:rsidRPr="004D4364">
              <w:rPr>
                <w:rFonts w:asciiTheme="minorHAnsi" w:hAnsiTheme="minorHAnsi"/>
                <w:szCs w:val="22"/>
              </w:rPr>
              <w:t xml:space="preserve"> ou nunha partitura sinxela.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Probas escritas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EMB1.4.2. Identifica as partes dunha peza musical sinxela e presenta graficamente a súa estrutura.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EMB1.4.3. Representa graficamente, con linguaxe convencional ou non, os trazos característicos da música escoitada.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EMB2.1.1. Utiliza de xeito correcto a linguaxe musical traballada para a interpretación de obras.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EMB2.1.2. Traduce á linguaxe musical convencional melodías e ritmos sinxelos.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EMB2.1.3. Interpreta pezas vocais e instrumentais sinxelas con distintos agrupamentos con e sen acompañamento.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EMB2.1.4. Toma conciencia dos erros cometidos e amosa interese por mellorar.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EMB2.2.1. Crea unha peza musical sinxela a partir da selección, a combinación e a organización dunha serie de elementos dados previamente, coñecidos e/ou manexados.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EMB2.2.2. Amosa respecto e responsabilidade no traballo individual e colectivo.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EMB2.3.1. Emprega instrumentos materiais e dispositivos electrónicos para crear pezas musicais sinxelas e para a sonorización de imaxes e representacións dramáticas.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EMB2.3.2. Constrúe algún instrumento orixinal ou similar a un existente.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 xml:space="preserve">EMB3.1.1. Identifica e utiliza o corpo como instrumento para a expresión de sentimentos e emocións, e como </w:t>
            </w:r>
            <w:r w:rsidRPr="004D4364">
              <w:rPr>
                <w:rFonts w:asciiTheme="minorHAnsi" w:hAnsiTheme="minorHAnsi"/>
                <w:szCs w:val="22"/>
              </w:rPr>
              <w:lastRenderedPageBreak/>
              <w:t>forma de interacción social.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lastRenderedPageBreak/>
              <w:t>EMB3.1.2. Inventa e reproduce pequenas coreografías que corresponden coa forma interna dunha obra musical de forma sinxela binaria, ternaria e rondó.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eastAsia="Arial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Análise de producións dos alumnos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EMB3.2.1. Controla a postura e a coordinación coa música cando interpreta danzas.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4D4364" w:rsidRPr="004D4364" w:rsidTr="004D4364">
        <w:tc>
          <w:tcPr>
            <w:tcW w:w="5727" w:type="dxa"/>
            <w:shd w:val="clear" w:color="auto" w:fill="auto"/>
          </w:tcPr>
          <w:p w:rsidR="004D4364" w:rsidRPr="004D4364" w:rsidRDefault="004D4364" w:rsidP="004D436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EMB3.2.2. Identifica, reproduce e goza interpretando danzas tradicionais galegas e doutras culturas.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585" w:type="dxa"/>
            <w:noWrap/>
          </w:tcPr>
          <w:p w:rsidR="004D4364" w:rsidRPr="004D4364" w:rsidRDefault="004D4364" w:rsidP="004D4364">
            <w:pPr>
              <w:ind w:left="284" w:firstLine="0"/>
              <w:rPr>
                <w:rFonts w:asciiTheme="minorHAnsi" w:hAnsiTheme="minorHAnsi"/>
              </w:rPr>
            </w:pPr>
            <w:r w:rsidRPr="004D4364">
              <w:rPr>
                <w:rFonts w:asciiTheme="minorHAnsi" w:hAnsiTheme="minorHAnsi"/>
                <w:szCs w:val="22"/>
              </w:rPr>
              <w:t>100 %</w:t>
            </w:r>
          </w:p>
        </w:tc>
      </w:tr>
    </w:tbl>
    <w:p w:rsidR="004D4364" w:rsidRDefault="004D4364" w:rsidP="004D4364">
      <w:pPr>
        <w:spacing w:before="0" w:after="0"/>
      </w:pPr>
    </w:p>
    <w:p w:rsidR="006F3EA5" w:rsidRPr="008F3ED7" w:rsidRDefault="006F3EA5" w:rsidP="00B9798B">
      <w:pPr>
        <w:rPr>
          <w:rFonts w:asciiTheme="minorHAnsi" w:hAnsiTheme="minorHAnsi"/>
          <w:sz w:val="24"/>
        </w:rPr>
      </w:pPr>
    </w:p>
    <w:p w:rsidR="00CA08FA" w:rsidRPr="008F3ED7" w:rsidRDefault="009C730F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2E1A22">
        <w:rPr>
          <w:rFonts w:asciiTheme="minorHAnsi" w:hAnsiTheme="minorHAnsi" w:cs="Arial"/>
          <w:b/>
          <w:sz w:val="24"/>
          <w:lang w:val="pt-BR"/>
        </w:rPr>
        <w:t xml:space="preserve">.1. </w:t>
      </w:r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lastRenderedPageBreak/>
        <w:t xml:space="preserve">Emprego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dun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asertivo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Fuxindo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postura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inhibicionista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punitiva,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practicarase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unha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posibilidades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mellora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Como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Theme="minorHAnsi" w:hAnsiTheme="minorHAns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feito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usarase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eloxio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inadecuado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Esta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discriminación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condutual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co trato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respectuoso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xusto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favorecerán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rendemento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convivencia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contribuíndo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significativos</w:t>
      </w:r>
      <w:r w:rsidRPr="008F3ED7">
        <w:rPr>
          <w:rFonts w:asciiTheme="minorHAnsi" w:hAnsiTheme="minorHAns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ensino-aprendizaxe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procurarase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sempre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sexan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lóxicos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coherentes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vocabulario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que se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dirixen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comprender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estean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activados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predisposición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interese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motivación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interactuar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propomos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proxectos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investigación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explicacións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na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iranse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nos que,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guía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será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(só ou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cooperación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compañeiros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elabora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ela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algún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Metodoloxías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activas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quedarse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pasiva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Promoverase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deberá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recibe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enlazándoa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dándolle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sentido,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esforzándose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entendela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tecnicas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intelectural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lectora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anterior,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fórmulas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eficaces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Atención á diversidade.</w:t>
      </w:r>
      <w:r w:rsidRPr="008F3ED7">
        <w:rPr>
          <w:rFonts w:asciiTheme="minorHAnsi" w:hAnsiTheme="minorHAnsi" w:cs="Arial"/>
          <w:sz w:val="24"/>
        </w:rPr>
        <w:t xml:space="preserve"> Ter en conta as </w:t>
      </w:r>
      <w:r w:rsidRPr="008F3ED7">
        <w:rPr>
          <w:rFonts w:asciiTheme="minorHAnsi" w:hAnsiTheme="minorHAnsi" w:cs="Arial"/>
          <w:b/>
          <w:bCs/>
          <w:sz w:val="24"/>
        </w:rPr>
        <w:t>peculiaridades</w:t>
      </w:r>
      <w:r w:rsidRPr="008F3ED7">
        <w:rPr>
          <w:rFonts w:asciiTheme="minorHAnsi" w:hAnsiTheme="minorHAnsi" w:cs="Arial"/>
          <w:sz w:val="24"/>
        </w:rPr>
        <w:t xml:space="preserve"> (ritmos e estilos de aprendizaxe, capacidades, etc.) de cada grupo e de cada neno/a concreto. Cada alumno ten as súas necesidades educativas e algúns presentan necesidades educativas especiais que deberán ser atendidas.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Traballo cooperativo.</w:t>
      </w:r>
      <w:r w:rsidRPr="008F3ED7">
        <w:rPr>
          <w:rFonts w:asciiTheme="minorHAnsi" w:hAnsiTheme="minorHAnsi" w:cs="Arial"/>
          <w:sz w:val="24"/>
        </w:rPr>
        <w:t xml:space="preserve"> É preciso promover as </w:t>
      </w:r>
      <w:r w:rsidRPr="008F3ED7">
        <w:rPr>
          <w:rFonts w:asciiTheme="minorHAnsi" w:hAnsiTheme="minorHAnsi" w:cs="Arial"/>
          <w:b/>
          <w:bCs/>
          <w:sz w:val="24"/>
        </w:rPr>
        <w:t>relacións entre iguais</w:t>
      </w:r>
      <w:r w:rsidRPr="008F3ED7">
        <w:rPr>
          <w:rFonts w:asciiTheme="minorHAnsi" w:hAnsiTheme="minorHAnsi" w:cs="Arial"/>
          <w:sz w:val="24"/>
        </w:rPr>
        <w:t xml:space="preserve"> para favorece-la confrontación e a modificación dos puntos de vista </w:t>
      </w:r>
      <w:r w:rsidRPr="008F3ED7">
        <w:rPr>
          <w:rFonts w:asciiTheme="minorHAnsi" w:hAnsiTheme="minorHAnsi" w:cs="Arial"/>
          <w:sz w:val="24"/>
        </w:rPr>
        <w:lastRenderedPageBreak/>
        <w:t>propios.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  <w:lang w:val="es-ES"/>
        </w:rPr>
      </w:pPr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da capacidad “de aprender a aprender”. 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  <w:lang w:val="es-ES"/>
        </w:rPr>
      </w:pPr>
      <w:r w:rsidRPr="008F3ED7">
        <w:rPr>
          <w:rFonts w:asciiTheme="minorHAnsi" w:hAnsiTheme="minorHAns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desenvolven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encamiñadas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dicir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avaliar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comportamento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calquera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tarefa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escolar.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Cooperación e complicidade coas familias do alumnado</w:t>
      </w:r>
      <w:r w:rsidRPr="008F3ED7">
        <w:rPr>
          <w:rFonts w:asciiTheme="minorHAnsi" w:hAnsiTheme="minorHAnsi" w:cs="Arial"/>
          <w:sz w:val="24"/>
        </w:rPr>
        <w:t>, como requisito de primeiro orde para conseguir os obxectivos educativos do currículo escolar.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 xml:space="preserve">.2. </w:t>
      </w:r>
      <w:r w:rsidR="007F72EC" w:rsidRPr="008F3ED7">
        <w:rPr>
          <w:rFonts w:asciiTheme="minorHAnsi" w:hAnsiTheme="minorHAnsi" w:cs="Arial"/>
          <w:b/>
          <w:sz w:val="24"/>
        </w:rPr>
        <w:t xml:space="preserve"> Secuenciación das actividades de ensino-aprendizaxe.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chamativa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aprindizaxes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, mediante vídeos, lecturas, xogos...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2.-</w:t>
      </w:r>
      <w:r w:rsidR="007F72EC" w:rsidRPr="008F3ED7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7F72EC" w:rsidRPr="008F3ED7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7F72EC" w:rsidRPr="008F3ED7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Informar</w:t>
      </w:r>
      <w:r w:rsidRPr="008F3ED7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8F3ED7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8F3ED7">
        <w:rPr>
          <w:rFonts w:asciiTheme="minorHAnsi" w:hAnsiTheme="minorHAnsi" w:cs="Arial"/>
          <w:sz w:val="24"/>
        </w:rPr>
        <w:t>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Facer </w:t>
      </w:r>
      <w:r w:rsidRPr="008F3ED7">
        <w:rPr>
          <w:rFonts w:asciiTheme="minorHAnsi" w:hAnsiTheme="minorHAnsi" w:cs="Arial"/>
          <w:b/>
          <w:bCs/>
          <w:sz w:val="24"/>
        </w:rPr>
        <w:t>preguntas</w:t>
      </w:r>
      <w:r w:rsidRPr="008F3ED7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8F3ED7">
        <w:rPr>
          <w:rFonts w:asciiTheme="minorHAnsi" w:hAnsiTheme="minorHAnsi" w:cs="Arial"/>
          <w:sz w:val="24"/>
        </w:rPr>
        <w:t xml:space="preserve"> teñen sobre o tema.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do alumnado</w:t>
      </w:r>
      <w:r w:rsidRPr="008F3ED7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Rexistrar</w:t>
      </w:r>
      <w:r w:rsidRPr="008F3ED7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lastRenderedPageBreak/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3.- </w:t>
      </w:r>
      <w:r w:rsidR="007F72EC" w:rsidRPr="008F3ED7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>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profesor presentará o </w:t>
      </w:r>
      <w:r w:rsidRPr="008F3ED7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r w:rsidR="00311718" w:rsidRPr="008F3ED7">
        <w:rPr>
          <w:rFonts w:asciiTheme="minorHAnsi" w:hAnsiTheme="minorHAnsi" w:cs="Arial"/>
          <w:b/>
          <w:bCs/>
          <w:sz w:val="24"/>
        </w:rPr>
        <w:t>estruturado</w:t>
      </w:r>
      <w:r w:rsidRPr="008F3ED7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Theme="minorHAnsi" w:hAnsiTheme="minorHAnsi" w:cs="Arial"/>
          <w:b/>
          <w:bCs/>
          <w:sz w:val="24"/>
        </w:rPr>
        <w:t>resolverán exemplos semellantes</w:t>
      </w:r>
      <w:r w:rsidRPr="008F3ED7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Analizaranse con todo o grupo </w:t>
      </w:r>
      <w:r w:rsidRPr="008F3ED7">
        <w:rPr>
          <w:rFonts w:asciiTheme="minorHAnsi" w:hAnsiTheme="minorHAnsi" w:cs="Arial"/>
          <w:b/>
          <w:bCs/>
          <w:sz w:val="24"/>
        </w:rPr>
        <w:t>actividades xa resoltas</w:t>
      </w:r>
      <w:r w:rsidRPr="008F3ED7">
        <w:rPr>
          <w:rFonts w:asciiTheme="minorHAnsi" w:hAnsiTheme="minorHAnsi" w:cs="Arial"/>
          <w:sz w:val="24"/>
        </w:rPr>
        <w:t xml:space="preserve"> (ben ou mal).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Proporanse </w:t>
      </w:r>
      <w:r w:rsidRPr="008F3ED7">
        <w:rPr>
          <w:rFonts w:asciiTheme="minorHAnsi" w:hAnsiTheme="minorHAnsi" w:cs="Arial"/>
          <w:b/>
          <w:bCs/>
          <w:sz w:val="24"/>
        </w:rPr>
        <w:t>actividades de igual complexidade</w:t>
      </w:r>
      <w:r w:rsidRPr="008F3ED7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8F3ED7">
        <w:rPr>
          <w:rFonts w:asciiTheme="minorHAnsi" w:hAnsiTheme="minorHAnsi" w:cs="Arial"/>
          <w:b/>
          <w:bCs/>
          <w:sz w:val="24"/>
        </w:rPr>
        <w:t>autonomamente.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Organizaranse </w:t>
      </w:r>
      <w:r w:rsidRPr="008F3ED7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8F3ED7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Theme="minorHAnsi" w:hAnsiTheme="minorHAnsi" w:cs="Arial"/>
          <w:sz w:val="24"/>
        </w:rPr>
        <w:tab/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  <w:r w:rsidRPr="008F3ED7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Theme="minorHAnsi" w:hAnsiTheme="minorHAnsi" w:cs="Arial"/>
          <w:b/>
          <w:sz w:val="24"/>
        </w:rPr>
        <w:t>guia</w:t>
      </w:r>
      <w:proofErr w:type="spellEnd"/>
      <w:r w:rsidRPr="008F3ED7">
        <w:rPr>
          <w:rFonts w:asciiTheme="minorHAnsi" w:hAnsiTheme="minorHAnsi" w:cs="Arial"/>
          <w:b/>
          <w:sz w:val="24"/>
        </w:rPr>
        <w:t xml:space="preserve"> do profesor: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Estúdanse as concepcións previas do alumnado sobre o tema.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Theme="minorHAnsi" w:hAnsiTheme="minorHAnsi" w:cs="Arial"/>
          <w:sz w:val="24"/>
        </w:rPr>
        <w:t>respostar</w:t>
      </w:r>
      <w:proofErr w:type="spellEnd"/>
      <w:r w:rsidRPr="008F3ED7">
        <w:rPr>
          <w:rFonts w:asciiTheme="minorHAnsi" w:hAnsiTheme="minorHAnsi" w:cs="Arial"/>
          <w:sz w:val="24"/>
        </w:rPr>
        <w:t xml:space="preserve"> as preguntas.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busca a información nas fontes propostas.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lastRenderedPageBreak/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Theme="minorHAnsi" w:hAnsiTheme="minorHAnsi" w:cs="Arial"/>
          <w:sz w:val="24"/>
        </w:rPr>
        <w:t>explicitando</w:t>
      </w:r>
      <w:proofErr w:type="spellEnd"/>
      <w:r w:rsidRPr="008F3ED7">
        <w:rPr>
          <w:rFonts w:asciiTheme="minorHAnsi" w:hAnsiTheme="minorHAnsi" w:cs="Arial"/>
          <w:sz w:val="24"/>
        </w:rPr>
        <w:t xml:space="preserve"> os pasos para resolve-la situación.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Parecido coas actividades de aprendizaxe.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Número de variables a ter en conta.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Grao de dirección da actividade.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actividades de reforzo</w:t>
      </w:r>
      <w:r w:rsidRPr="008F3ED7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8F3ED7">
        <w:rPr>
          <w:rFonts w:asciiTheme="minorHAnsi" w:hAnsiTheme="minorHAnsi" w:cs="Arial"/>
          <w:b/>
          <w:bCs/>
          <w:sz w:val="24"/>
        </w:rPr>
        <w:t>ampliación</w:t>
      </w:r>
      <w:r w:rsidRPr="008F3ED7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8F3ED7">
        <w:rPr>
          <w:rFonts w:asciiTheme="minorHAnsi" w:hAnsiTheme="minorHAnsi" w:cs="Arial"/>
          <w:sz w:val="24"/>
        </w:rPr>
        <w:t>, actuando os máis competentes como modelos.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Propoñer algún </w:t>
      </w:r>
      <w:r w:rsidRPr="008F3ED7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8F3ED7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Theme="minorHAnsi" w:hAnsiTheme="minorHAnsi" w:cs="Arial"/>
          <w:sz w:val="24"/>
        </w:rPr>
        <w:t>cartel-mural</w:t>
      </w:r>
      <w:proofErr w:type="spellEnd"/>
      <w:r w:rsidRPr="008F3ED7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8F3ED7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7F72EC" w:rsidRPr="008F3ED7" w:rsidRDefault="007F72EC" w:rsidP="007F72EC">
      <w:pPr>
        <w:ind w:firstLine="0"/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7F72EC" w:rsidP="007F72EC">
      <w:pPr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7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>Materiais e recursos didácticos.</w:t>
      </w:r>
      <w:r w:rsidR="00FB47C1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311718" w:rsidRDefault="006320DC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 xml:space="preserve">Libro de texto: Música </w:t>
      </w:r>
      <w:r w:rsidR="004D4364">
        <w:rPr>
          <w:szCs w:val="22"/>
          <w:lang w:val="es-ES"/>
        </w:rPr>
        <w:t>4</w:t>
      </w:r>
      <w:r w:rsidR="00311718">
        <w:rPr>
          <w:szCs w:val="22"/>
          <w:lang w:val="es-ES"/>
        </w:rPr>
        <w:t xml:space="preserve">º. Melodía. Editorial </w:t>
      </w:r>
      <w:proofErr w:type="spellStart"/>
      <w:r w:rsidR="00311718">
        <w:rPr>
          <w:szCs w:val="22"/>
          <w:lang w:val="es-ES"/>
        </w:rPr>
        <w:t>Galinova</w:t>
      </w:r>
      <w:proofErr w:type="spellEnd"/>
      <w:r w:rsidR="00311718">
        <w:rPr>
          <w:szCs w:val="22"/>
          <w:lang w:val="es-ES"/>
        </w:rPr>
        <w:t xml:space="preserve">. 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 w:rsidRPr="0090489B">
        <w:rPr>
          <w:szCs w:val="22"/>
          <w:lang w:val="es-ES"/>
        </w:rPr>
        <w:t xml:space="preserve">Recursos </w:t>
      </w:r>
      <w:proofErr w:type="spellStart"/>
      <w:r w:rsidRPr="0090489B">
        <w:rPr>
          <w:szCs w:val="22"/>
          <w:lang w:val="es-ES"/>
        </w:rPr>
        <w:t>fotocopiables</w:t>
      </w:r>
      <w:proofErr w:type="spellEnd"/>
      <w:r w:rsidRPr="0090489B">
        <w:rPr>
          <w:szCs w:val="22"/>
          <w:lang w:val="es-ES"/>
        </w:rPr>
        <w:t xml:space="preserve"> con actividades de </w:t>
      </w:r>
      <w:proofErr w:type="spellStart"/>
      <w:r w:rsidRPr="0090489B">
        <w:rPr>
          <w:szCs w:val="22"/>
          <w:lang w:val="es-ES"/>
        </w:rPr>
        <w:t>reforzo</w:t>
      </w:r>
      <w:proofErr w:type="spellEnd"/>
      <w:r w:rsidRPr="0090489B">
        <w:rPr>
          <w:szCs w:val="22"/>
          <w:lang w:val="es-ES"/>
        </w:rPr>
        <w:t xml:space="preserve"> e de ampliación.  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proofErr w:type="spellStart"/>
      <w:r>
        <w:rPr>
          <w:szCs w:val="22"/>
          <w:lang w:val="es-ES"/>
        </w:rPr>
        <w:t>Caderno</w:t>
      </w:r>
      <w:proofErr w:type="spellEnd"/>
      <w:r>
        <w:rPr>
          <w:szCs w:val="22"/>
          <w:lang w:val="es-ES"/>
        </w:rPr>
        <w:t xml:space="preserve"> do alumno con actividades de reforzó.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 xml:space="preserve">Libro </w:t>
      </w:r>
      <w:proofErr w:type="spellStart"/>
      <w:r>
        <w:rPr>
          <w:szCs w:val="22"/>
          <w:lang w:val="es-ES"/>
        </w:rPr>
        <w:t>dixital</w:t>
      </w:r>
      <w:proofErr w:type="spellEnd"/>
      <w:r>
        <w:rPr>
          <w:szCs w:val="22"/>
          <w:lang w:val="es-ES"/>
        </w:rPr>
        <w:t xml:space="preserve"> para o profesor.</w:t>
      </w:r>
    </w:p>
    <w:p w:rsidR="00311718" w:rsidRPr="0090489B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Cd de audio para o profesor.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 xml:space="preserve">Material de aula: </w:t>
      </w:r>
      <w:r w:rsidRPr="00CA17DC">
        <w:rPr>
          <w:szCs w:val="22"/>
          <w:lang w:val="es-ES"/>
        </w:rPr>
        <w:t>Instrumentos</w:t>
      </w:r>
      <w:r>
        <w:rPr>
          <w:szCs w:val="22"/>
          <w:lang w:val="es-ES"/>
        </w:rPr>
        <w:t xml:space="preserve">, equipo de son, láminas, ordenador con conexión a internet, </w:t>
      </w:r>
      <w:proofErr w:type="spellStart"/>
      <w:r>
        <w:rPr>
          <w:szCs w:val="22"/>
          <w:lang w:val="es-ES"/>
        </w:rPr>
        <w:t>canón</w:t>
      </w:r>
      <w:proofErr w:type="spellEnd"/>
      <w:r>
        <w:rPr>
          <w:szCs w:val="22"/>
          <w:lang w:val="es-ES"/>
        </w:rPr>
        <w:t xml:space="preserve"> de video…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Guía didáctica.</w:t>
      </w:r>
    </w:p>
    <w:p w:rsidR="00311718" w:rsidRPr="00CA17DC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inicial levarase a cabo entre o 10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9C730F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FB47C1" w:rsidRPr="008F3ED7">
        <w:rPr>
          <w:rFonts w:asciiTheme="minorHAnsi" w:hAnsiTheme="minorHAnsi"/>
          <w:b/>
          <w:sz w:val="24"/>
          <w:szCs w:val="24"/>
        </w:rPr>
        <w:t xml:space="preserve">  </w:t>
      </w:r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proofErr w:type="spellStart"/>
      <w:r>
        <w:rPr>
          <w:rFonts w:asciiTheme="minorHAnsi" w:hAnsiTheme="minorHAnsi"/>
          <w:sz w:val="24"/>
        </w:rPr>
        <w:t>contínua</w:t>
      </w:r>
      <w:proofErr w:type="spellEnd"/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>
        <w:rPr>
          <w:rFonts w:asciiTheme="minorHAnsi" w:hAnsiTheme="minorHAnsi"/>
          <w:sz w:val="24"/>
        </w:rPr>
        <w:t xml:space="preserve"> diariamente na aula (exercicios de libro de texto, exercicios de caderno, traballos, participación oral…),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Posteriormente a estas sesións de avaliación, o titor/a informará </w:t>
      </w:r>
      <w:r w:rsidR="00BE2BD2" w:rsidRPr="008F3ED7">
        <w:rPr>
          <w:rFonts w:asciiTheme="minorHAnsi" w:hAnsiTheme="minorHAnsi"/>
          <w:sz w:val="24"/>
        </w:rPr>
        <w:t xml:space="preserve">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7F72EC" w:rsidRPr="008F3ED7">
        <w:rPr>
          <w:rFonts w:asciiTheme="minorHAnsi" w:hAnsiTheme="minorHAnsi"/>
          <w:sz w:val="24"/>
        </w:rPr>
        <w:t xml:space="preserve"> 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  <w:r w:rsidRPr="008F3ED7">
        <w:rPr>
          <w:rFonts w:asciiTheme="minorHAnsi" w:hAnsiTheme="minorHAnsi"/>
          <w:sz w:val="24"/>
        </w:rPr>
        <w:t xml:space="preserve">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  <w:r w:rsidRPr="008F3ED7">
        <w:rPr>
          <w:rFonts w:asciiTheme="minorHAnsi" w:hAnsiTheme="minorHAnsi"/>
          <w:sz w:val="24"/>
        </w:rPr>
        <w:t xml:space="preserve"> 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371E39" w:rsidRDefault="00371E39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371E39" w:rsidRDefault="00371E39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957290" w:rsidRPr="008F3ED7" w:rsidRDefault="009C730F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  <w:r w:rsidR="00116A7C">
        <w:rPr>
          <w:rFonts w:asciiTheme="minorHAnsi" w:hAnsiTheme="minorHAnsi"/>
          <w:b/>
          <w:sz w:val="24"/>
          <w:szCs w:val="24"/>
        </w:rPr>
        <w:t xml:space="preserve"> </w:t>
      </w:r>
      <w:r w:rsidR="00FB47C1" w:rsidRPr="008F3ED7">
        <w:rPr>
          <w:rFonts w:asciiTheme="minorHAnsi" w:hAnsiTheme="minorHAnsi"/>
          <w:b/>
          <w:sz w:val="24"/>
          <w:szCs w:val="24"/>
        </w:rPr>
        <w:t xml:space="preserve"> 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Ás clases de música asistirá, como norma xeral, todo o alumnado do grupo, sen que ninguén saia a recibir apoio fóra de aula. Tampouco contarán, habitualmente, con ningún profesorado de apoio. Polo tanto, as medidas fundamentais de aten</w:t>
      </w:r>
      <w:r w:rsidR="00D616F6">
        <w:rPr>
          <w:rFonts w:asciiTheme="minorHAnsi" w:hAnsiTheme="minorHAnsi"/>
          <w:sz w:val="24"/>
          <w:lang w:eastAsia="zh-CN"/>
        </w:rPr>
        <w:t>ción á diversidade que se poñerá</w:t>
      </w:r>
      <w:r w:rsidRPr="008F3ED7">
        <w:rPr>
          <w:rFonts w:asciiTheme="minorHAnsi" w:hAnsiTheme="minorHAns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 w:rsidR="00D616F6">
        <w:rPr>
          <w:rFonts w:asciiTheme="minorHAnsi" w:hAnsiTheme="minorHAnsi"/>
          <w:sz w:val="24"/>
          <w:lang w:eastAsia="zh-CN"/>
        </w:rPr>
        <w:t xml:space="preserve">As </w:t>
      </w:r>
      <w:proofErr w:type="spellStart"/>
      <w:r w:rsidR="00D616F6">
        <w:rPr>
          <w:rFonts w:asciiTheme="minorHAnsi" w:hAnsiTheme="minorHAnsi"/>
          <w:sz w:val="24"/>
          <w:lang w:eastAsia="zh-CN"/>
        </w:rPr>
        <w:t>metodolooxías</w:t>
      </w:r>
      <w:proofErr w:type="spellEnd"/>
      <w:r w:rsidR="00D616F6"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 w:rsidR="00D616F6"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Pr="008F3ED7">
        <w:rPr>
          <w:rFonts w:asciiTheme="minorHAnsi" w:hAnsiTheme="minorHAnsi"/>
          <w:sz w:val="24"/>
          <w:lang w:eastAsia="zh-CN"/>
        </w:rPr>
        <w:t>desenvolver ao longo do curso</w:t>
      </w:r>
      <w:r w:rsidR="00D616F6">
        <w:rPr>
          <w:rFonts w:asciiTheme="minorHAnsi" w:hAnsiTheme="minorHAnsi"/>
          <w:sz w:val="24"/>
          <w:lang w:eastAsia="zh-CN"/>
        </w:rPr>
        <w:t>, entre as que poderían contemplarse, entre outras</w:t>
      </w:r>
      <w:r w:rsidRPr="008F3ED7">
        <w:rPr>
          <w:rFonts w:asciiTheme="minorHAnsi" w:hAnsiTheme="minorHAnsi"/>
          <w:sz w:val="24"/>
          <w:lang w:eastAsia="zh-CN"/>
        </w:rPr>
        <w:t>:</w:t>
      </w: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Introducir a avaliación do contexto de aula (avaliación continua, valorar o traballo diario, os intereses,</w:t>
      </w:r>
      <w:r w:rsidR="00B53162" w:rsidRPr="008F3ED7">
        <w:rPr>
          <w:rFonts w:asciiTheme="minorHAnsi" w:hAnsiTheme="minorHAnsi"/>
          <w:sz w:val="24"/>
          <w:lang w:eastAsia="zh-CN"/>
        </w:rPr>
        <w:t xml:space="preserve"> </w:t>
      </w:r>
      <w:r w:rsidRPr="008F3ED7">
        <w:rPr>
          <w:rFonts w:asciiTheme="minorHAnsi" w:hAnsiTheme="minorHAnsi"/>
          <w:sz w:val="24"/>
          <w:lang w:eastAsia="zh-CN"/>
        </w:rPr>
        <w:t xml:space="preserve">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71E39" w:rsidRDefault="00371E39" w:rsidP="003B04A0">
      <w:pPr>
        <w:rPr>
          <w:rFonts w:asciiTheme="minorHAnsi" w:hAnsiTheme="minorHAnsi" w:cs="Arial"/>
          <w:b/>
          <w:bCs/>
          <w:sz w:val="24"/>
        </w:rPr>
      </w:pPr>
    </w:p>
    <w:p w:rsidR="00371E39" w:rsidRDefault="00371E39" w:rsidP="003B04A0">
      <w:pPr>
        <w:rPr>
          <w:rFonts w:asciiTheme="minorHAnsi" w:hAnsiTheme="minorHAnsi" w:cs="Arial"/>
          <w:b/>
          <w:bCs/>
          <w:sz w:val="24"/>
        </w:rPr>
      </w:pPr>
    </w:p>
    <w:p w:rsidR="00371E39" w:rsidRDefault="00371E39" w:rsidP="003B04A0">
      <w:pPr>
        <w:rPr>
          <w:rFonts w:asciiTheme="minorHAnsi" w:hAnsiTheme="minorHAnsi" w:cs="Arial"/>
          <w:b/>
          <w:bCs/>
          <w:sz w:val="24"/>
        </w:rPr>
      </w:pPr>
    </w:p>
    <w:p w:rsidR="00371E39" w:rsidRDefault="00371E39" w:rsidP="003B04A0">
      <w:pPr>
        <w:rPr>
          <w:rFonts w:asciiTheme="minorHAnsi" w:hAnsiTheme="minorHAnsi" w:cs="Arial"/>
          <w:b/>
          <w:bCs/>
          <w:sz w:val="24"/>
        </w:rPr>
      </w:pPr>
    </w:p>
    <w:p w:rsidR="00371E39" w:rsidRDefault="00371E39" w:rsidP="003B04A0">
      <w:pPr>
        <w:rPr>
          <w:rFonts w:asciiTheme="minorHAnsi" w:hAnsiTheme="minorHAnsi" w:cs="Arial"/>
          <w:b/>
          <w:bCs/>
          <w:sz w:val="24"/>
        </w:rPr>
      </w:pPr>
    </w:p>
    <w:p w:rsidR="00371E39" w:rsidRDefault="00371E39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9C730F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0" w:name="_Toc433099662"/>
      <w:bookmarkStart w:id="1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0"/>
      <w:bookmarkEnd w:id="1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2" w:name="_Toc433099663"/>
      <w:bookmarkStart w:id="3" w:name="_Toc440355817"/>
      <w:r w:rsidRPr="003B04A0">
        <w:rPr>
          <w:rFonts w:asciiTheme="minorHAnsi" w:hAnsiTheme="minorHAnsi"/>
          <w:sz w:val="24"/>
        </w:rPr>
        <w:t>Indicadores de logro da práctica docente</w:t>
      </w:r>
      <w:bookmarkEnd w:id="2"/>
      <w:bookmarkEnd w:id="3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12. Analízanse e coméntanse co alumnado os aspectos máis significativos derivados da corrección das </w:t>
            </w:r>
            <w:r w:rsidRPr="003B04A0">
              <w:rPr>
                <w:rFonts w:asciiTheme="minorHAnsi" w:hAnsiTheme="minorHAnsi"/>
                <w:sz w:val="24"/>
              </w:rPr>
              <w:lastRenderedPageBreak/>
              <w:t>probas,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lastRenderedPageBreak/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>. Avalíase a eficacia dos programas de apoio, reforzo, recuperación, ampliación…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4" w:name="_Toc433099664"/>
      <w:bookmarkStart w:id="5" w:name="_Toc440355818"/>
    </w:p>
    <w:bookmarkEnd w:id="4"/>
    <w:bookmarkEnd w:id="5"/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9C730F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6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6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641" w:type="dxa"/>
        <w:tblInd w:w="354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secuenciación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3B04A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programas de apoio, recuperación, etc.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0B947B0"/>
    <w:multiLevelType w:val="hybridMultilevel"/>
    <w:tmpl w:val="D090B3F8"/>
    <w:lvl w:ilvl="0" w:tplc="9D22B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3E7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62C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05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04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FAE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82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AD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F8F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A22F3"/>
    <w:multiLevelType w:val="hybridMultilevel"/>
    <w:tmpl w:val="084CB176"/>
    <w:lvl w:ilvl="0" w:tplc="1DE2E268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342E3732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EC341BA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D9841D92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D21C1792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8E606FFC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7EC4C320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26C6E80E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34E1F72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2A5CC1"/>
    <w:multiLevelType w:val="hybridMultilevel"/>
    <w:tmpl w:val="A4CC9740"/>
    <w:lvl w:ilvl="0" w:tplc="0C0A000F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475A5"/>
    <w:multiLevelType w:val="multilevel"/>
    <w:tmpl w:val="345292FA"/>
    <w:lvl w:ilvl="0">
      <w:start w:val="1"/>
      <w:numFmt w:val="decimal"/>
      <w:pStyle w:val="ttp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E4B5DFF"/>
    <w:multiLevelType w:val="hybridMultilevel"/>
    <w:tmpl w:val="AC3AC214"/>
    <w:lvl w:ilvl="0" w:tplc="6FF217B8">
      <w:start w:val="1"/>
      <w:numFmt w:val="lowerLetter"/>
      <w:lvlText w:val="%1)"/>
      <w:lvlJc w:val="left"/>
      <w:pPr>
        <w:ind w:left="1004" w:hanging="360"/>
      </w:pPr>
    </w:lvl>
    <w:lvl w:ilvl="1" w:tplc="53C65B16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88CB4E0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993293CC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6BAB486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9AAE1D4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3402943C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5866C09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C45A27E6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33B563B"/>
    <w:multiLevelType w:val="hybridMultilevel"/>
    <w:tmpl w:val="8B107254"/>
    <w:lvl w:ilvl="0" w:tplc="11DEE2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A2911"/>
    <w:multiLevelType w:val="hybridMultilevel"/>
    <w:tmpl w:val="31DE5B08"/>
    <w:lvl w:ilvl="0" w:tplc="0C0A0017">
      <w:start w:val="1"/>
      <w:numFmt w:val="bullet"/>
      <w:pStyle w:val="txcentrado"/>
      <w:lvlText w:val="­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1">
    <w:nsid w:val="2C892FAF"/>
    <w:multiLevelType w:val="hybridMultilevel"/>
    <w:tmpl w:val="16922936"/>
    <w:lvl w:ilvl="0" w:tplc="51EE7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2932D4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2AFEB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580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8A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6E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660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AE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AC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04B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0744233A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F0601EB0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99BAE816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4C70C1A4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454A8CC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B4FA63D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A95816D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53A40B8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5EF8DBD4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C5DE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22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47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08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E6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C6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6A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08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21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CBB8EB36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29CAA7A8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721875F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47F02D9C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33EEAD7E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30AC831C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3912C56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79CCA94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406CCECE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38EC233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8C620B0E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95763706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5AB69396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48D6CD1C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63041434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4F7E0148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72720670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415CDC9A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0C0A000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0C0A0001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0C0A000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87BA5898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23"/>
  </w:num>
  <w:num w:numId="5">
    <w:abstractNumId w:val="4"/>
  </w:num>
  <w:num w:numId="6">
    <w:abstractNumId w:val="22"/>
  </w:num>
  <w:num w:numId="7">
    <w:abstractNumId w:val="16"/>
  </w:num>
  <w:num w:numId="8">
    <w:abstractNumId w:val="8"/>
  </w:num>
  <w:num w:numId="9">
    <w:abstractNumId w:val="11"/>
  </w:num>
  <w:num w:numId="10">
    <w:abstractNumId w:val="15"/>
  </w:num>
  <w:num w:numId="11">
    <w:abstractNumId w:val="3"/>
  </w:num>
  <w:num w:numId="12">
    <w:abstractNumId w:val="13"/>
  </w:num>
  <w:num w:numId="13">
    <w:abstractNumId w:val="19"/>
  </w:num>
  <w:num w:numId="14">
    <w:abstractNumId w:val="14"/>
  </w:num>
  <w:num w:numId="15">
    <w:abstractNumId w:val="2"/>
  </w:num>
  <w:num w:numId="16">
    <w:abstractNumId w:val="18"/>
  </w:num>
  <w:num w:numId="17">
    <w:abstractNumId w:val="17"/>
  </w:num>
  <w:num w:numId="18">
    <w:abstractNumId w:val="12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0"/>
  </w:num>
  <w:num w:numId="23">
    <w:abstractNumId w:val="10"/>
  </w:num>
  <w:num w:numId="24">
    <w:abstractNumId w:val="9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03CE5"/>
    <w:rsid w:val="0001295A"/>
    <w:rsid w:val="00057082"/>
    <w:rsid w:val="00066A12"/>
    <w:rsid w:val="00074CB8"/>
    <w:rsid w:val="000A5BD7"/>
    <w:rsid w:val="000B7E87"/>
    <w:rsid w:val="001056DF"/>
    <w:rsid w:val="00116A7C"/>
    <w:rsid w:val="00123789"/>
    <w:rsid w:val="0014383A"/>
    <w:rsid w:val="001539E8"/>
    <w:rsid w:val="00164773"/>
    <w:rsid w:val="001716A8"/>
    <w:rsid w:val="00182ED4"/>
    <w:rsid w:val="0018543E"/>
    <w:rsid w:val="00185D0D"/>
    <w:rsid w:val="001C5D71"/>
    <w:rsid w:val="001D62D9"/>
    <w:rsid w:val="002600C9"/>
    <w:rsid w:val="00267537"/>
    <w:rsid w:val="002C08D8"/>
    <w:rsid w:val="002D0552"/>
    <w:rsid w:val="002E1A22"/>
    <w:rsid w:val="002F02F1"/>
    <w:rsid w:val="002F167E"/>
    <w:rsid w:val="00307D0D"/>
    <w:rsid w:val="003107EA"/>
    <w:rsid w:val="003110B7"/>
    <w:rsid w:val="00311718"/>
    <w:rsid w:val="00320DF8"/>
    <w:rsid w:val="003314CA"/>
    <w:rsid w:val="0033432B"/>
    <w:rsid w:val="00335EA6"/>
    <w:rsid w:val="00356E2A"/>
    <w:rsid w:val="00371E39"/>
    <w:rsid w:val="003739FE"/>
    <w:rsid w:val="003808A4"/>
    <w:rsid w:val="0038589F"/>
    <w:rsid w:val="003B04A0"/>
    <w:rsid w:val="003D145C"/>
    <w:rsid w:val="00407783"/>
    <w:rsid w:val="00434AAF"/>
    <w:rsid w:val="00434E50"/>
    <w:rsid w:val="00465C6E"/>
    <w:rsid w:val="004915DF"/>
    <w:rsid w:val="004B6889"/>
    <w:rsid w:val="004D4364"/>
    <w:rsid w:val="00506C2A"/>
    <w:rsid w:val="00536BC6"/>
    <w:rsid w:val="005B08BF"/>
    <w:rsid w:val="005C6309"/>
    <w:rsid w:val="006320DC"/>
    <w:rsid w:val="00634F91"/>
    <w:rsid w:val="00636E04"/>
    <w:rsid w:val="00677105"/>
    <w:rsid w:val="006A215C"/>
    <w:rsid w:val="006A4DF7"/>
    <w:rsid w:val="006C0D57"/>
    <w:rsid w:val="006F3EA5"/>
    <w:rsid w:val="00716F78"/>
    <w:rsid w:val="00760767"/>
    <w:rsid w:val="007636DC"/>
    <w:rsid w:val="007A6B32"/>
    <w:rsid w:val="007F72EC"/>
    <w:rsid w:val="008133B3"/>
    <w:rsid w:val="008146B3"/>
    <w:rsid w:val="00891176"/>
    <w:rsid w:val="008A6831"/>
    <w:rsid w:val="008B432D"/>
    <w:rsid w:val="008F3ED7"/>
    <w:rsid w:val="0090489B"/>
    <w:rsid w:val="00925FE7"/>
    <w:rsid w:val="00932456"/>
    <w:rsid w:val="00933A4E"/>
    <w:rsid w:val="00957290"/>
    <w:rsid w:val="009739C6"/>
    <w:rsid w:val="00985394"/>
    <w:rsid w:val="009B601C"/>
    <w:rsid w:val="009C730F"/>
    <w:rsid w:val="009F0A8A"/>
    <w:rsid w:val="00A07354"/>
    <w:rsid w:val="00A35A38"/>
    <w:rsid w:val="00A52C76"/>
    <w:rsid w:val="00A74099"/>
    <w:rsid w:val="00A906DA"/>
    <w:rsid w:val="00A94A3A"/>
    <w:rsid w:val="00AE49AA"/>
    <w:rsid w:val="00B009F2"/>
    <w:rsid w:val="00B154ED"/>
    <w:rsid w:val="00B16DBE"/>
    <w:rsid w:val="00B32943"/>
    <w:rsid w:val="00B467F4"/>
    <w:rsid w:val="00B53162"/>
    <w:rsid w:val="00B67EA5"/>
    <w:rsid w:val="00B9798B"/>
    <w:rsid w:val="00BB003C"/>
    <w:rsid w:val="00BC0BA4"/>
    <w:rsid w:val="00BC19CF"/>
    <w:rsid w:val="00BE2BD2"/>
    <w:rsid w:val="00C16F82"/>
    <w:rsid w:val="00C1766F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15B5A"/>
    <w:rsid w:val="00D41C09"/>
    <w:rsid w:val="00D422AA"/>
    <w:rsid w:val="00D616F6"/>
    <w:rsid w:val="00D64DA2"/>
    <w:rsid w:val="00D85203"/>
    <w:rsid w:val="00DD3535"/>
    <w:rsid w:val="00DD641B"/>
    <w:rsid w:val="00DE2A52"/>
    <w:rsid w:val="00E543DC"/>
    <w:rsid w:val="00E94918"/>
    <w:rsid w:val="00EF4E45"/>
    <w:rsid w:val="00F0650B"/>
    <w:rsid w:val="00F431EE"/>
    <w:rsid w:val="00F77652"/>
    <w:rsid w:val="00F84404"/>
    <w:rsid w:val="00F84940"/>
    <w:rsid w:val="00F9625A"/>
    <w:rsid w:val="00FB47C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ttp2">
    <w:name w:val="_ttp2"/>
    <w:basedOn w:val="ttp1"/>
    <w:qFormat/>
    <w:rsid w:val="00311718"/>
    <w:pPr>
      <w:numPr>
        <w:numId w:val="25"/>
      </w:numPr>
      <w:ind w:left="454" w:hanging="227"/>
    </w:pPr>
  </w:style>
  <w:style w:type="paragraph" w:customStyle="1" w:styleId="txcentrado">
    <w:name w:val="_tx_centrado"/>
    <w:basedOn w:val="Normal"/>
    <w:qFormat/>
    <w:rsid w:val="00311718"/>
    <w:pPr>
      <w:numPr>
        <w:numId w:val="24"/>
      </w:numPr>
      <w:tabs>
        <w:tab w:val="clear" w:pos="851"/>
      </w:tabs>
      <w:autoSpaceDE/>
      <w:autoSpaceDN/>
      <w:adjustRightInd/>
      <w:spacing w:before="180" w:line="320" w:lineRule="exact"/>
      <w:ind w:left="0" w:firstLine="0"/>
      <w:jc w:val="center"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5287</Words>
  <Characters>31103</Characters>
  <Application>Microsoft Office Word</Application>
  <DocSecurity>0</DocSecurity>
  <Lines>259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6</cp:revision>
  <cp:lastPrinted>2015-10-15T09:37:00Z</cp:lastPrinted>
  <dcterms:created xsi:type="dcterms:W3CDTF">2016-03-07T21:21:00Z</dcterms:created>
  <dcterms:modified xsi:type="dcterms:W3CDTF">2019-11-18T08:30:00Z</dcterms:modified>
</cp:coreProperties>
</file>