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25" w:rsidRDefault="00EC6C25" w:rsidP="00445E82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445E82" w:rsidRPr="00DF4404" w:rsidRDefault="00445E82" w:rsidP="00445E82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CIENCIAS SOCIAIS-4º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445E82" w:rsidRDefault="00445E82" w:rsidP="00066A12">
      <w:pPr>
        <w:rPr>
          <w:rFonts w:asciiTheme="minorHAnsi" w:hAnsiTheme="minorHAnsi"/>
          <w:b/>
          <w:spacing w:val="1"/>
          <w:sz w:val="24"/>
        </w:rPr>
      </w:pPr>
    </w:p>
    <w:p w:rsidR="00445E82" w:rsidRDefault="00445E82" w:rsidP="00066A12">
      <w:pPr>
        <w:rPr>
          <w:rFonts w:asciiTheme="minorHAnsi" w:hAnsiTheme="minorHAnsi"/>
          <w:b/>
          <w:spacing w:val="1"/>
          <w:sz w:val="24"/>
        </w:rPr>
      </w:pPr>
    </w:p>
    <w:p w:rsidR="00445E82" w:rsidRDefault="00445E82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2F0CFB" w:rsidRPr="002F0CFB" w:rsidRDefault="002F0CFB" w:rsidP="002F0CFB">
      <w:pPr>
        <w:keepNext/>
        <w:rPr>
          <w:rFonts w:asciiTheme="minorHAnsi" w:hAnsiTheme="minorHAnsi"/>
          <w:b/>
          <w:spacing w:val="1"/>
          <w:sz w:val="24"/>
        </w:rPr>
      </w:pPr>
      <w:r w:rsidRPr="002F0CFB">
        <w:rPr>
          <w:rFonts w:asciiTheme="minorHAnsi" w:hAnsiTheme="minorHAnsi"/>
          <w:b/>
          <w:spacing w:val="1"/>
          <w:sz w:val="24"/>
        </w:rPr>
        <w:t xml:space="preserve">Obxectivos da área de ciencias sociais para 4º de Educación Primaria: </w:t>
      </w:r>
    </w:p>
    <w:p w:rsidR="002F0CFB" w:rsidRPr="002F0CFB" w:rsidRDefault="002F0CFB" w:rsidP="002F0CFB">
      <w:pPr>
        <w:rPr>
          <w:rFonts w:asciiTheme="minorHAnsi" w:hAnsiTheme="minorHAnsi"/>
          <w:sz w:val="24"/>
        </w:rPr>
      </w:pP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Realizar un traballo de investigación que supoña a busca, selección e organización de información sobre fenómenos previamente delimitados, a realización dun produto, a documentación do proceso e a comunicación do resultados. 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Empregar estratexias de traballo cooperativo, adoitar un comportamento de respecto e tolerancia ante as diferentes ideas e achegas alleas nos diálogos e debates, valorando o esforzo e amosando actitudes de cooperación, participación e respecto cara aos demais.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Coñecer e utilizar as palabras claves e conceptos necesarios para ser capaz de ler, escribir e falar sobre Ciencias sociais, así como comprender diferentes linguaxes recollidos en textos de carácter social, xeográfico ou histórico.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Coñecer a formación da litosfera e a dinámica de placas tectónicas e analizar as súas influencias e consecuencias no medio que o rodea.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Explicar e comparar as distintas formas de representar a superficie terrestre identificando os polos, o eixe e os hemisferios e analizar cal delas reflicte mellor a realidade á que representa.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 Identificar e manexar os conceptos de paralelos, meridianos e coordenadas </w:t>
      </w:r>
      <w:proofErr w:type="spellStart"/>
      <w:r w:rsidRPr="002F0CFB">
        <w:rPr>
          <w:rFonts w:asciiTheme="minorHAnsi" w:hAnsiTheme="minorHAnsi"/>
          <w:sz w:val="24"/>
          <w:szCs w:val="24"/>
        </w:rPr>
        <w:t>xeográficas</w:t>
      </w:r>
      <w:proofErr w:type="spellEnd"/>
      <w:r w:rsidRPr="002F0CFB">
        <w:rPr>
          <w:rFonts w:asciiTheme="minorHAnsi" w:hAnsiTheme="minorHAnsi"/>
          <w:sz w:val="24"/>
          <w:szCs w:val="24"/>
        </w:rPr>
        <w:t xml:space="preserve"> para localizar determinados puntos da Terra.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Diferenciar correctamente entre planos, mapas, planisferios, mapas físicos e políticos, analizar e describir as características máis relevantes de cada un e interpretar a súa escala e signos convencionais básicos de cara a orientarse nun espazo determinado e á elaboración dun itinerario empregando as TIC.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Explicar que é o tempo atmosférico, coñecer os instrumentos de medida, o seu uso, realizar medicións e interpretacións de gráficos a través dos datos recollidos nunha estación meteorolóxica de cara a facer unha predición do tempo atmosférico para un período de tempo determinado e a comunicación deste empregando mapas do tempo.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Explicar a hidrosfera, identificar e nomear masas e cursos de auga, diferenciando augas superficiais e augas subterráneas, cuncas e vertentes hidrográficas e analizar as partes as partes dun río do medio próximo.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Adquirir o concepto de litosfera, coñecer algúns tipos de rochas e a súa composición identificando distintos minerais e algunha das súas propiedades e usos. Facer especial fincapé nos que son propios de Galicia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lastRenderedPageBreak/>
        <w:t>Describir as características do relevo de Galicia e a súa rede hidrográfica, localizándoos nun mapa.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Explicar a importancia da intervención humana no medio e favorecer o desenvolvemento sostible a través da realización dunha campaña de concienciación no centro educativo.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Analizar a importancia que teñen os dereitos, deberes e liberdades recollidos na Constitución para o exercicio dunha cidadanía activa e unha convivencia pacífica.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Identificar as principais institucións políticas de Galicia e do Estado español que se derivan da Constitución, así como as súas funcións.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Coñecer a organización territorial do Estado español e os seus órganos de goberno básicos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Valorar a diversidade cultural, social, política e lingüística do Estado español respectando as diferenzas.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Comprender e interpreta os principais conceptos demográficos e calculalos a partires dos datos de poboación. 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 Coñecer e respectar as normas de circulación e fomentar a seguridade viaria en todos os seus aspectos.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Explicar as características de cada tempo histórico estudado e certos acontecementos desas épocas que determinaron cambios fundamentais no rumbo da historia. 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Coñecer a importancia das fontes históricas para o estudo da historia.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Utiliza as nocións básicas de sucesión, duración e simultaneidade para ordenar temporalmente algúns feitos históricos e outros feitos relevantes.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Identificar e localizar no tempo os procesos e acontecementos históricos e culturais máis relevantes da historia de España para adquirir unha perspectiva global da súa evolución e coñecer os principais xacementos arqueolóxicos de Galicia.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>B4.5.Desenvolver a curiosidade por coñecer as formas da vida humana no pasado, valorando a importancia que teñen os restos para o coñecemento e estudo da historia e como patrimonio cultural que hai que coidar e legar.</w:t>
      </w:r>
    </w:p>
    <w:p w:rsidR="002F0CFB" w:rsidRPr="002F0CFB" w:rsidRDefault="002F0CFB" w:rsidP="002F0CFB">
      <w:pPr>
        <w:pStyle w:val="ttp1"/>
        <w:numPr>
          <w:ilvl w:val="0"/>
          <w:numId w:val="31"/>
        </w:numPr>
        <w:rPr>
          <w:rFonts w:asciiTheme="minorHAnsi" w:hAnsiTheme="minorHAnsi"/>
          <w:sz w:val="24"/>
          <w:szCs w:val="24"/>
        </w:rPr>
      </w:pPr>
      <w:r w:rsidRPr="002F0CFB">
        <w:rPr>
          <w:rFonts w:asciiTheme="minorHAnsi" w:hAnsiTheme="minorHAnsi"/>
          <w:sz w:val="24"/>
          <w:szCs w:val="24"/>
        </w:rPr>
        <w:t xml:space="preserve"> B4.6.Valorar a importancia dos museos, sitios e monumentos históricos como espazos onde se ensina e aprende, amosando unha actitude de respecto á súa contorna e á súa cultura, apreciando a herdanza cultural.</w:t>
      </w:r>
    </w:p>
    <w:p w:rsidR="00066A12" w:rsidRPr="002F0CFB" w:rsidRDefault="00066A12" w:rsidP="00066A12">
      <w:pPr>
        <w:rPr>
          <w:rFonts w:asciiTheme="minorHAnsi" w:hAnsiTheme="minorHAnsi"/>
          <w:spacing w:val="1"/>
          <w:sz w:val="24"/>
        </w:rPr>
      </w:pPr>
    </w:p>
    <w:p w:rsidR="003B4D2A" w:rsidRDefault="003B4D2A" w:rsidP="003B4D2A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2F0CFB" w:rsidRPr="00E23E93" w:rsidRDefault="002F0CFB" w:rsidP="002F0CFB">
      <w:pPr>
        <w:rPr>
          <w:sz w:val="18"/>
          <w:szCs w:val="18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6"/>
        <w:gridCol w:w="3753"/>
        <w:gridCol w:w="3354"/>
        <w:gridCol w:w="3808"/>
        <w:gridCol w:w="1715"/>
      </w:tblGrid>
      <w:tr w:rsidR="002F0CFB" w:rsidRPr="002F0CFB" w:rsidTr="00E3128C">
        <w:trPr>
          <w:tblHeader/>
        </w:trPr>
        <w:tc>
          <w:tcPr>
            <w:tcW w:w="1486" w:type="dxa"/>
            <w:vAlign w:val="center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107" w:type="dxa"/>
            <w:gridSpan w:val="2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CIENCIAS SOCIAIS </w:t>
            </w:r>
          </w:p>
        </w:tc>
        <w:tc>
          <w:tcPr>
            <w:tcW w:w="3808" w:type="dxa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15" w:type="dxa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CUARTO</w:t>
            </w:r>
          </w:p>
        </w:tc>
      </w:tr>
      <w:tr w:rsidR="002F0CFB" w:rsidRPr="002F0CFB" w:rsidTr="00E3128C">
        <w:trPr>
          <w:tblHeader/>
        </w:trPr>
        <w:tc>
          <w:tcPr>
            <w:tcW w:w="1486" w:type="dxa"/>
            <w:vAlign w:val="center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753" w:type="dxa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354" w:type="dxa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808" w:type="dxa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5" w:type="dxa"/>
            <w:vAlign w:val="center"/>
          </w:tcPr>
          <w:p w:rsidR="00E3128C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2F0CFB" w:rsidRPr="002F0CFB" w:rsidTr="00E3128C">
        <w:tc>
          <w:tcPr>
            <w:tcW w:w="14116" w:type="dxa"/>
            <w:gridSpan w:val="5"/>
            <w:vAlign w:val="center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BLOQUE 1. CONTIDOS COMÚNS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B1.1.Iniciación ao coñecemento científico, toma de conciencia das súas fases e a súa aplicación nas Ciencias sociais.Proposta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B1.2.Busca e selección de información empregando as TIC e outras fontes (directas e indirectas), organización, análise, documentación do proceso (mediante uso do cartafoles) e comunicación das conclusións.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B1.3.Planificación e xestión de proxectos co fin de acadar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obxectivos. Iniciativa emprendedora. 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B1.1.Realizar un traballo de investigación que supoña a busca, selección e organización de información sobre fenómenos previamente delimitados, a realización dun produto, a documentación do proceso e a comunicación do resultados. 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CSB1.1.1.Busca información (empregando as TIC e outras fontes directas e indirectas), selecciona a información relevante, a organiza, analiza, obtén conclusións sinxelas e as comunica oralmente e/ou por escrito.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CD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CSB1.1.2.Manifesta autonomía na planificación e execución de accións e tarefas, ten iniciativa na toma de decisións e asume responsabilidades.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CSIEE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CSB1.1.3.Realiza as tarefas encomendadas e presenta os traballos de maneira ordenada, clara e limpa.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B1.4.Emprego de técnicas de estudo individual e de estratexias de traballo cooperativo. Valoración do esforzo e coidado do material.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B1.5.Participación activa e construtiva na vida social, uso das normas de convivencia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B1.6 A cooperación e o diálogo como valores democráticos e recursos básicos na resolución pacífica de conflitos.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B1.2.Empregar estratexias de traballo cooperativo, adoitar un comportamento de respecto e tolerancia ante as diferentes ideas e achegas alleas nos diálogos e debates, valorando o esforzo e amosando actitudes de cooperación, participación e respecto cara aos demais.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CSB1.2.1.Participa en actividades individuais e de grupo, e emprega estratexias de traballo cooperativo valorando o esforzo e o coidado do material.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CSB1.2.2.Adoita un comportamento responsable, construtivo e solidario respectando diferentes ideas e achegas nos debates, recoñecendo a cooperación e o diálogo como principios básicos do funcionamento democrático.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B1.7.Utilización da terminoloxía propia da área.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Elaboración dun glosario da área.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B1.8.Fomento de Técnicas de animación á lectura de textos de divulgación das Ciencias sociais (de carácter social, xeográfico e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histórico).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 prensa escrita e dixital como fontes de información.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B1.9.Utilización e lectura de diferentes linguaxes textuais e gráficos.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B1.3.Coñecer e utilizar as palabras claves e conceptos necesarios para ser capaz de ler, escribir e falar sobre Ciencias sociais, así como comprender diferentes linguaxes recollidos en textos de carácter social,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xeográfico ou histórico.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CSB1 3.1.Emprega de maneira axeitada o vocabulario adquirido para ser capaz de ler, escribir e falar sobre Ciencias sociais.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CCB1.3.2.Expón oralmente de forma clara e ordenada, contidos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relacionados coa área, que manifestan a comprensión de textos orais e /ou escritos de carácter xeográfico, social e histórico.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CSB1.3.3.Analiza informacións relacionadas coa área e manexa imaxes, táboas, gráficos, esquemas, resumos e as tecnoloxías da información e a comunicación.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CD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116" w:type="dxa"/>
            <w:gridSpan w:val="5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BLOQUE 2. O MUNDO QUE NOS RODEA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B2.1.A litosfera: placas tectónicas. Os volcáns, os terremotos e as súas consecuencias.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B2.1.Coñecer a formación da litosfera e a dinámica de placas tectónicas e analizar as súas influencias e consecuencias no medio que o rodea.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CSB2.1..1 Coñece e define a formación da litosfera e a dinámica de placas tectónicas e as súas consecuencias.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CAA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CCL 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B2.2.Formas de representación da Terra: planos, mapas, planisferios e globos terráqueos.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B2.3.Identificación dos polos, o eixe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e os hemisferios.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B2.2.Explicar e comparar as distintas formas de representar a superficie terrestre identificando os polos, o eixe e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os hemisferios e analizar cal delas reflicte mellor a realidade á que representa.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CSB2.2.1.Explica e compara as distintas formas de representación da Terra, planos, mapas, planisferios e globos terráqueos identificando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polos, eixe e hemisferios.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B2.4.Os paralelos e meridianos. As coordenadas xeográficas: latitude e lonxitude.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B2.3. Identificar e manexar os conceptos de paralelos, meridianos e coordenadas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xeográficas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 xml:space="preserve"> para localizar determinados puntos da Terra.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CSB2.3.1. Localiza diferentes puntos da Terra empregando os paralelos e meridianos e as coordenadas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xeográficas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B2.5.Planos, mapas e planisferios. Mapas físicos e políticos.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B2.6.Escalas e signos convencionais dun mapa.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B2.7.Orientación no espazo: Elaboración dun itinerario coa axuda de ferramentas dixitais.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B2.4.Diferenciar correctamente entre planos, mapas, planisferios, mapas físicos e políticos, analizar e describir as características máis relevantes de cada un e interpretar a súa escala e signos convencionais básicos de cara a orientarse nun espazo determinado e á elaboración dun itinerario empregando as TIC.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CSB2.4.1.Identifica e clasifica distintos tipos de mapas, define que é a escala nun mapa, o seu uso e emprega e interpreta os signos convencionais básicos que poden aparecer nel.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B2.8.O tempo atmosférico.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B2.9.Medición e predición meteorolóxica. Instrumentos de medida. Elaboración e comunicación dun parte meteorolóxico empregando as TIC (programa de radio, boletín meteorolóxico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>).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B2.10.Gráficos sinxelos de temperaturas e precipitacións: os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climogramas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>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B2.11.Os mapas do tempo. Símbolos convencionais.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B2.5.Explicar que é o tempo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atmosférico, coñecer os instrumentos de medida, o seu uso, realizar medicións e interpretacións de gráficos a través dos datos recollidos nunha estación meteorolóxica de cara a facer unha predición do tempo atmosférico para un período de tempo determinado e a comunicación deste empregando mapas do tempo.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CSB2.5.1.Define tempo atmosférico,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identifica os distintos instrumentos de medida que se utilizan para a recollida de datos atmosféricos clasificándoos segundo a función e información que proporcionan e fai medicións, interpretacións de datos e predicións do tempo atmosférico.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CSB2.5.2.Describe unha estación meteorolóxica, explica a súa función e confecciona e interpreta gráficos sinxelos de temperaturas e precipitacións.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CCL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CSB2.5.3.Interpreta e elabora sinxelos mapas meteorolóxicos distinguindo os seus elementos principais.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B2.12.A hidrosfera. Distribución das augas no planeta. Masas e cursos de auga.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B2.13.Vertentes hidrográficas.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B2.14.Os tramos dun río.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B2.6.Explicar a hidrosfera, identificar e nomear masas e cursos de auga, diferenciando augas superficiais e augas subterráneas, cuncas e vertentes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hidrográficas e analizar as partes as partes dun río do medio próximo.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CSB2.6.1.Define hidrosfera, e identifica e nomea as grandes masas e cursos de auga, explicando como se forman as augas subterráneas, como afloran e como se accede a elas.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CSB2.6.2.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 xml:space="preserve"> cuncas e vertentes hidrográficas.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CSB2.6.3.Identifica e nomea os tramos dun río e as características de cada un deles.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B2.15.A litosfera: características e tipos de rochas.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B2.16.Rochas e minerais: propiedades, usos e utilidades.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B2.7.Adquirir o concepto de litosfera, coñecer algúns tipos de rochas e a súa composición identificando distintos minerais e algunha das súas propiedades e usos. Facer especial fincapé nos que son propios de Galicia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CSB2.7.1.Observa, identifica e explica a composición das rochas nomeando algúns dos seus tipos.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CSB2.7.2.Identifica e explica as diferenzas entre rochas e minerais, describe os seus usos e utilidades clasificando algúns minerais segundo as súas propiedades.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e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B2.17.A diversidade xeográfica das paisaxes de Galicia: relevo e hidrografía. Utilización de sistemas de información xeográfica.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B2.8.Describir as características do relevo de Galicia e a súa rede hidrográfica, localizándoos nun mapa.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CSB2.8.1.Localiza nun mapa as principais unidades de relevo en Galicia e as súas vertentes hidrográficas.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CSB2. 8.2 Sitúa nun mapa os mares,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océanos e os grandes ríos de Galicia.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B2.18.A intervención humana no medio. 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B2.19.A contaminación e o cambio climático.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B2.20.Desenvolvemento sostible e consumo responsable. Elaboración dunha campaña de concienciación no centro educativo.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B2.9.Explicar a importancia da intervención humana no medio e favorecer o desenvolvemento sostible a través da realización dunha campaña de concienciación no centro educativo.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CSB2.9.1.Explica a importancia do coidado do medio, así como as consecuencias da acción humana neste.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CSB2.9.2. Propón algunhas medidas para o desenvolvemento sostible e o consumo responsable.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116" w:type="dxa"/>
            <w:gridSpan w:val="5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BLOQUE 3. VIVIR EN SOCIEDADE 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B3.1.A Constitución de 1978.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B3.2.Dereitos e deberes dos cidadáns e cidadás.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B3.1.Analizar a importancia que teñen os dereitos, deberes e liberdades recollidos na Constitución para o exercicio dunha cidadanía activa e unha convivencia pacífica.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CSB3.1.1.Identifica, respecta e valora os principios democráticos máis importantes establecidos na Constitución para o exercicio da cidadanía activa e convivencia pacífica.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B3.3.Forma de goberno: a monarquía parlamentaria.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B3.4.As principais institucións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políticas e as súas funcións. Elaboración de organigramas sinxelos.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B3.2.Identificar as principais institucións políticas de Galicia e do Estado español que se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derivan da Constitución, así como as súas funcións.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CSB3.2.1.Identifica as principais institucións de Galicia e do Estado español e describe as súas funcións.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CSB3.2.2.Identifica a división de poderes do Estado e cales son as atribucións recollidas na Constitución para cada un deles.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B3.5.A organización social, política e territorial: o Estado español e as Comunidades Autónomas.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B3.6.Estruturas de goberno básicas: o concello.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B3.3.Coñecer a organización territorial do Estado español e os seus órganos de goberno básicos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 3.1 Explica a organización territorial de España, nomea as estruturas básicas de goberno e localiza en mapas políticos as distintas comunidades autónomas que forman España.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B3.7. Manifestacións culturais e lingüísticas de España.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B3.4.Valorar a diversidade cultural, social, política e lingüística do Estado español respectando as diferenzas.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CSB3.4.1.Recoñece, partindo da realidade do estado español, a diversidade cultural, social, política e lingüística nun mesmo territorio como fonte de enriquecemento cultural.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B3.8.Demografía e poboación.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B3.9.Conceptos demográficos: básicos e a súa representación.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Representacións gráficas dalgúns datos demográficos de Galicia obtidos en fontes estatísticas: IGE.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B3.5.Comprender e interpreta os principais conceptos demográficos e calculalos a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partires dos datos de poboación. 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CSB3.5.1.Define demografía e comprende os principais conceptos demográficos.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CSB3.5.2.Elabora gráficos sinxelos a partires de datos demográficos de obtidos en diversas fontes de información.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n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B3.10.Educación viaria. Adquisición de coñecementos que contribúan a consolidar condutas e hábitos viarios correctos.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B3.6. Coñecer e respectar as normas de circulación e fomentar a seguridade viaria en todos os seus aspectos.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CSB3 6.1.Explica normas básicas de circulación e as consecuencias derivadas do descoñecemento ou incumprimento destas.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CSB3 6.2.Coñece o significado dalgunhas sinais de tráfico, recoñece a importancia de respectalas e as utiliza tanto como peón ou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peoa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 xml:space="preserve"> e como persoa usuaria de medios de transporte (abrocharse o cinto, non molestar a persoa condutora...)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116" w:type="dxa"/>
            <w:gridSpan w:val="5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BLOQUE 4. AS PEGADAS DO TEMPO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B4.1.O tempo histórico. A Prehistoria e a Idade Antiga: duración e datación dos feitos históricos significativos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que as acoutan. Proxecto de traballo </w:t>
            </w:r>
            <w:proofErr w:type="spellStart"/>
            <w:r w:rsidRPr="002F0CFB">
              <w:rPr>
                <w:rFonts w:asciiTheme="minorHAnsi" w:hAnsiTheme="minorHAnsi"/>
                <w:szCs w:val="22"/>
              </w:rPr>
              <w:t>colaborativo</w:t>
            </w:r>
            <w:proofErr w:type="spellEnd"/>
            <w:r w:rsidRPr="002F0CFB">
              <w:rPr>
                <w:rFonts w:asciiTheme="minorHAnsi" w:hAnsiTheme="minorHAnsi"/>
                <w:szCs w:val="22"/>
              </w:rPr>
              <w:t xml:space="preserve"> sobre as formas de vida que caracterizan a Prehistoria.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B4.1.Explicar as características de cada tempo histórico estudado e certos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acontecementos desas épocas que determinaron cambios fundamentais no rumbo da historia. 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CSB4.1.1.Define o concepto de prehistoria e historia, asociándoa as distintas idades aos feitos que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marcan o seu inicio e final.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CSB4.1.2.Explica e valora a importancia da escritura, a agricultura e a gandería, como descubrimentos que cambiaron profundamente as sociedades humanas.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B4.2.As fontes históricas: a importancia das fontes arqueolóxicas e materiais. A escritura.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B4.2.Coñecer a importancia das fontes históricas para o estudo da historia.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CSB4.2.1.Recoñece a importancia dos restos arqueolóxicos e materiais que produce unha sociedade como fontes para coñecer o noso pasado, con especial relevancia da escritura.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g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B4.3.Técnicas para localizar no tempo e no espazo feitos do pasado: os mapas históricos e as liñas do tempo.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B4.3.Utiliza as nocións básicas de sucesión, duración e simultaneidade para ordenar temporalmente algúns feitos históricos e outros feitos relevantes.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CSB4.3.1.Recoñece o século como unidade de medida do tempo histórico e localiza feitos situándoos como sucesivos a.C o d.C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CSB4.3.2.Usa diferentes técnicas para localizar no tempo e no espazo feitos do pasado, percibindo a duración, a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 xml:space="preserve">simultaneidade e as relacións entre os acontecementos.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2F0CFB" w:rsidRPr="002F0CFB" w:rsidTr="00E3128C">
        <w:tc>
          <w:tcPr>
            <w:tcW w:w="1486" w:type="dxa"/>
            <w:vMerge w:val="restart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B4.4.A península ibérica na Prehistoria.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B4.5.A península ibérica na Idade Antiga.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B4.6.A Prehistoria e Idade Antiga en Galicia. Os principais xacementos arqueolóxicos de Galicia.</w:t>
            </w:r>
          </w:p>
        </w:tc>
        <w:tc>
          <w:tcPr>
            <w:tcW w:w="3354" w:type="dxa"/>
            <w:vMerge w:val="restart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B4.4.Identificar e localizar no tempo os procesos e acontecementos históricos e culturais máis relevantes da historia de España para adquirir unha perspectiva global da súa evolución e coñecer os principais xacementos arqueolóxicos de Galicia.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CSB4.4.1.Sitúa nunha liña do tempo os feitos fundamentais da prehistoria e historia de España e describe as principais características de cada unha delas.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CSB4.4.2.Explica aspectos relacionados coa forma de vida, organización social e cultura das distintas épocas históricas estudadas. 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CSB4.4.3.Explica a diferenza dos dous períodos nos que se divide a Prehistoria e describe as características básicas das formas de vida nestas dúas épocas.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2F0CFB" w:rsidRPr="002F0CFB" w:rsidTr="00E3128C">
        <w:tc>
          <w:tcPr>
            <w:tcW w:w="1486" w:type="dxa"/>
            <w:vMerge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753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354" w:type="dxa"/>
            <w:vMerge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 xml:space="preserve">CSB4.4.4.Data a Idade Antiga e describe as características básicas da vida naquel tempo, en especial as </w:t>
            </w:r>
            <w:r w:rsidRPr="002F0CFB">
              <w:rPr>
                <w:rFonts w:asciiTheme="minorHAnsi" w:hAnsiTheme="minorHAnsi"/>
                <w:szCs w:val="22"/>
              </w:rPr>
              <w:lastRenderedPageBreak/>
              <w:t>referidas á romanización.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lastRenderedPageBreak/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B4.7.Noso patrimonio histórico e cultural.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B4.5.Desenvolver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CSB4.5.1.Identifica, valora e respecta o patrimonio natural, histórico, cultural e artístico e asume as responsabilidades que supón a súa conservación e mellora.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2F0CFB" w:rsidRPr="002F0CFB" w:rsidTr="00E3128C">
        <w:tc>
          <w:tcPr>
            <w:tcW w:w="1486" w:type="dxa"/>
          </w:tcPr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d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h</w:t>
            </w:r>
          </w:p>
          <w:p w:rsidR="002F0CFB" w:rsidRPr="002F0CFB" w:rsidRDefault="002F0CFB" w:rsidP="002F0CFB">
            <w:pPr>
              <w:ind w:left="284" w:firstLine="0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753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B4.8.Museos, sitios e monumentos históricos como espazos de aprendizaxe e gozo. Planificación conxunta e visita a un museo próximo.</w:t>
            </w:r>
          </w:p>
        </w:tc>
        <w:tc>
          <w:tcPr>
            <w:tcW w:w="3354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B4.6.Valorar a importancia dos museos, sitios e monumentos históricos como espazos onde se ensina e aprende, amosando unha actitude de respecto á súa contorna e á súa cultura, apreciando a herdanza cultural.</w:t>
            </w:r>
          </w:p>
        </w:tc>
        <w:tc>
          <w:tcPr>
            <w:tcW w:w="3808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CSB4.6.1.Respecta e asume o comportamento que debe cumprirse cando visita un museo ou un edificio antigo.</w:t>
            </w:r>
          </w:p>
        </w:tc>
        <w:tc>
          <w:tcPr>
            <w:tcW w:w="1715" w:type="dxa"/>
          </w:tcPr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CSC</w:t>
            </w:r>
          </w:p>
          <w:p w:rsidR="002F0CFB" w:rsidRPr="002F0CFB" w:rsidRDefault="002F0CFB" w:rsidP="00E3128C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2F0CFB">
              <w:rPr>
                <w:rFonts w:asciiTheme="minorHAnsi" w:hAnsiTheme="minorHAnsi"/>
                <w:szCs w:val="22"/>
              </w:rPr>
              <w:t>CCEC</w:t>
            </w:r>
          </w:p>
        </w:tc>
      </w:tr>
    </w:tbl>
    <w:p w:rsidR="002F0CFB" w:rsidRPr="00E23E93" w:rsidRDefault="002F0CFB" w:rsidP="002F0CFB">
      <w:pPr>
        <w:rPr>
          <w:sz w:val="18"/>
          <w:szCs w:val="18"/>
        </w:rPr>
      </w:pPr>
    </w:p>
    <w:p w:rsidR="002F0CFB" w:rsidRDefault="002F0CFB" w:rsidP="00037731">
      <w:pPr>
        <w:ind w:firstLine="0"/>
        <w:rPr>
          <w:rFonts w:asciiTheme="minorHAnsi" w:hAnsiTheme="minorHAnsi"/>
          <w:b/>
          <w:bCs/>
          <w:sz w:val="24"/>
        </w:rPr>
      </w:pPr>
    </w:p>
    <w:p w:rsidR="004C6C41" w:rsidRDefault="004C6C41" w:rsidP="00037731">
      <w:pPr>
        <w:ind w:firstLine="0"/>
        <w:rPr>
          <w:rFonts w:asciiTheme="minorHAnsi" w:hAnsiTheme="minorHAnsi"/>
          <w:b/>
          <w:bCs/>
          <w:sz w:val="24"/>
        </w:rPr>
      </w:pPr>
    </w:p>
    <w:p w:rsidR="004C6C41" w:rsidRDefault="004C6C41" w:rsidP="00037731">
      <w:pPr>
        <w:ind w:firstLine="0"/>
        <w:rPr>
          <w:rFonts w:asciiTheme="minorHAnsi" w:hAnsiTheme="minorHAnsi"/>
          <w:b/>
          <w:bCs/>
          <w:sz w:val="24"/>
        </w:rPr>
      </w:pPr>
    </w:p>
    <w:p w:rsidR="00BE48FE" w:rsidRDefault="00BE48FE" w:rsidP="00037731">
      <w:pPr>
        <w:ind w:firstLine="0"/>
        <w:rPr>
          <w:rFonts w:asciiTheme="minorHAnsi" w:hAnsiTheme="minorHAnsi"/>
          <w:b/>
          <w:bCs/>
          <w:sz w:val="24"/>
        </w:rPr>
      </w:pPr>
      <w:r w:rsidRPr="00D21182">
        <w:rPr>
          <w:rFonts w:asciiTheme="minorHAnsi" w:hAnsiTheme="minorHAnsi"/>
          <w:b/>
          <w:bCs/>
          <w:sz w:val="24"/>
        </w:rPr>
        <w:lastRenderedPageBreak/>
        <w:t>4.- Vinculación entre estándares de aprendizaxe e grao mínimo de consecución de cada un, instrumentos de avaliación e criterios de cualificación.</w:t>
      </w:r>
    </w:p>
    <w:p w:rsidR="00E3128C" w:rsidRPr="00E23E93" w:rsidRDefault="00E3128C" w:rsidP="00E3128C">
      <w:pPr>
        <w:rPr>
          <w:sz w:val="18"/>
          <w:szCs w:val="18"/>
        </w:rPr>
      </w:pPr>
    </w:p>
    <w:tbl>
      <w:tblPr>
        <w:tblW w:w="49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880"/>
        <w:gridCol w:w="851"/>
        <w:gridCol w:w="850"/>
        <w:gridCol w:w="851"/>
        <w:gridCol w:w="709"/>
        <w:gridCol w:w="3402"/>
        <w:gridCol w:w="1559"/>
      </w:tblGrid>
      <w:tr w:rsidR="00E3128C" w:rsidRPr="00E3128C" w:rsidTr="00E3128C">
        <w:trPr>
          <w:tblHeader/>
        </w:trPr>
        <w:tc>
          <w:tcPr>
            <w:tcW w:w="5880" w:type="dxa"/>
            <w:vAlign w:val="center"/>
          </w:tcPr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2ª AV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3ª AV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cab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559" w:type="dxa"/>
          </w:tcPr>
          <w:p w:rsid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Criterios de </w:t>
            </w:r>
          </w:p>
          <w:p w:rsidR="00E3128C" w:rsidRPr="00E3128C" w:rsidRDefault="00E3128C" w:rsidP="00025801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cualificación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CSB1.1.1.Busca información (empregando as TIC e outras fontes directas e indirectas), selecciona a información relevante, a organiza, analiza, obtén conclusións sinxelas e as comunica oralmente e/ou por escrito.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CSB1.1.2.Manifesta autonomía na planificación e execución de accións e tarefas, ten iniciativa na toma de decisións e asume responsabilidades.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CSB1.1.3.Realiza as tarefas encomendadas e presenta os traballos de maneira ordenada, clara e limpa.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CSB1.2.1.Participa en actividades individuais e de grupo, e emprega estratexias de traballo cooperativo valorando o esforzo e o coidado do material.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CSB1.2.2.Adoita un comportamento responsable, construtivo e solidario respectando diferentes ideas e achegas nos debates, recoñecendo a cooperación e o diálogo como principios básicos do funcionamento democrático.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CSB1 3.1.Emprega de maneira axeitada o vocabulario adquirido para ser capaz de ler, escribir e falar sobre Ciencias sociais.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25%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CCB1.3.2.Expón oralmente de forma clara e ordenada, contidos relacionados coa área, que manifestan a comprensión de textos orais e /ou escritos de carácter xeográfico, social e histórico.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CSB1.3.3.Analiza informacións relacionadas coa área e manexa imaxes, táboas, gráficos, esquemas, resumos e as tecnoloxías da información e a comunicación.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25%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CSB2.1..1 Coñece e define a formación da litosfera e a dinámica de placas tectónicas e as súas consecuencias.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CSB2.2.1.Explica e compara as distintas formas de representación da Terra, planos, mapas, planisferios e globos terráqueos identificando polos, eixe e hemisferios.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CSB2.3.1. Localiza diferentes puntos da Terra empregando os paralelos e meridianos e as coordenadas </w:t>
            </w:r>
            <w:proofErr w:type="spellStart"/>
            <w:r w:rsidRPr="00E3128C">
              <w:rPr>
                <w:rFonts w:asciiTheme="minorHAnsi" w:hAnsiTheme="minorHAnsi"/>
                <w:sz w:val="22"/>
                <w:szCs w:val="22"/>
              </w:rPr>
              <w:t>xeográficas</w:t>
            </w:r>
            <w:proofErr w:type="spellEnd"/>
            <w:r w:rsidRPr="00E3128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CSB2.4.1.Identifica e clasifica distintos tipos de mapas, define </w:t>
            </w: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que é a escala nun mapa, o seu uso e emprega e interpreta os signos convencionais básicos que poden aparecer nel.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CSB2.5.1.Define tempo atmosférico, identifica os distintos instrumentos de medida que se utilizan para a recollida de datos atmosféricos clasificándoos segundo a función e información que proporcionan e fai medicións, interpretacións de datos e predicións do tempo atmosférico.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CSB2.5.2.Describe unha estación meteorolóxica, explica a súa función e confecciona e interpreta gráficos sinxelos de temperaturas e precipitacións.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CSB2.5.3.Interpreta e elabora sinxelos mapas meteorolóxicos distinguindo os seus elementos principais.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CSB2.6.1.Define hidrosfera, e identifica e nomea as grandes masas e cursos de auga, explicando como se forman as augas subterráneas, como afloran e como se accede a elas.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CSB2.6.2.</w:t>
            </w:r>
            <w:proofErr w:type="spellStart"/>
            <w:r w:rsidRPr="00E3128C">
              <w:rPr>
                <w:rFonts w:asciiTheme="minorHAnsi" w:hAnsiTheme="minorHAnsi"/>
                <w:sz w:val="22"/>
                <w:szCs w:val="22"/>
              </w:rPr>
              <w:t>Diferencia</w:t>
            </w:r>
            <w:proofErr w:type="spellEnd"/>
            <w:r w:rsidRPr="00E3128C">
              <w:rPr>
                <w:rFonts w:asciiTheme="minorHAnsi" w:hAnsiTheme="minorHAnsi"/>
                <w:sz w:val="22"/>
                <w:szCs w:val="22"/>
              </w:rPr>
              <w:t xml:space="preserve"> cuncas e vertentes hidrográficas.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CSB2.6.3.Identifica e nomea os tramos dun río e as características de cada un deles.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CSB2.7.1.Observa, identifica e explica a composición das rochas nomeando algúns dos seus tipos.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CSB2.7.2.Identifica e explica as diferenzas entre rochas e minerais, describe os seus usos e utilidades clasificando algúns minerais segundo as súas propiedades.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CSB2.8.1.Localiza nun mapa as principais unidades de relevo en Galicia e as súas vertentes hidrográficas.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 8.2 Sitúa nun mapa os mares, océanos e os grandes ríos de Galicia.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CSB2.9.1.Explica a importancia do coidado do medio, así como as consecuencias da acción humana neste.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CSB2.9.2. Propón algunhas medidas para o desenvolvemento sostible e o consumo responsable.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CSB3.1.1.Identifica, respecta e valora os principios democráticos máis importantes establecidos na Constitución para o exercicio da cidadanía activa e convivencia pacífica.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CSB3.2.1.Identifica as principais institucións </w:t>
            </w:r>
            <w:r w:rsidRPr="00E3128C">
              <w:rPr>
                <w:rFonts w:asciiTheme="minorHAnsi" w:hAnsiTheme="minorHAnsi"/>
                <w:bCs/>
                <w:sz w:val="22"/>
                <w:szCs w:val="22"/>
              </w:rPr>
              <w:t xml:space="preserve">de Galicia e </w:t>
            </w:r>
            <w:r w:rsidRPr="00E3128C">
              <w:rPr>
                <w:rFonts w:asciiTheme="minorHAnsi" w:hAnsiTheme="minorHAnsi"/>
                <w:sz w:val="22"/>
                <w:szCs w:val="22"/>
              </w:rPr>
              <w:t>do Estado español e describe as súas funcións.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CSB3.2.2.Identifica a división de poderes do Estado e cales son as atribucións recollidas na Constitución para cada un deles.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CSB3 3.1 Explica a organización territorial de España, nomea as estruturas básicas de goberno e localiza en mapas políticos as distintas comunidades autónomas que forman España.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CSB3.4.1.Recoñece, partindo da realidade do estado español, a diversidade cultural, social, política e lingüística nun mesmo </w:t>
            </w: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territorio como fonte de enriquecemento cultural.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CSB3.5.1.Define demografía e comprende os principais conceptos demográficos.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CSB3.5.2.Elabora gráficos sinxelos a partires de datos demográficos de obtidos en diversas fontes de información.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CSB3 6.1.Explica normas básicas de circulación e as consecuencias derivadas do descoñecemento ou incumprimento destas.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CSB3 6.2.Coñece o significado dalgunhas sinais de tráfico, recoñece a importancia de respectalas e as utiliza tanto como peón ou </w:t>
            </w:r>
            <w:proofErr w:type="spellStart"/>
            <w:r w:rsidRPr="00E3128C">
              <w:rPr>
                <w:rFonts w:asciiTheme="minorHAnsi" w:hAnsiTheme="minorHAnsi"/>
                <w:sz w:val="22"/>
                <w:szCs w:val="22"/>
              </w:rPr>
              <w:t>peoa</w:t>
            </w:r>
            <w:proofErr w:type="spellEnd"/>
            <w:r w:rsidRPr="00E3128C">
              <w:rPr>
                <w:rFonts w:asciiTheme="minorHAnsi" w:hAnsiTheme="minorHAnsi"/>
                <w:sz w:val="22"/>
                <w:szCs w:val="22"/>
              </w:rPr>
              <w:t xml:space="preserve"> e como persoa usuaria de medios de transporte (abrocharse o cinto, non molestar a persoa condutora...)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CSB4.1.1.Define o concepto de prehistoria e historia, asociándoa as distintas idades aos feitos que marcan o seu inicio e final.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CSB4.1.2.Explica e valora a importancia da escritura, a agricultura e a gandería, como descubrimentos que cambiaron profundamente as sociedades humanas.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CSB4.2.1.Recoñece a importancia dos restos arqueolóxicos e materiais que produce unha sociedade como fontes para coñecer o noso pasado, con especial relevancia da escritura.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CSB4.3.1.Recoñece o século como unidade de medida do tempo histórico e localiza feitos situándoos como sucesivos a.C o d.C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CSB4.3.2.Usa diferentes técnicas para localizar no tempo e no espazo feitos do pasado, percibindo a duración, a simultaneidade e as relacións entre os acontecementos.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CSB4.4.1.Sitúa nunha liña do tempo os feitos fundamentais da prehistoria e historia de España e describe as principais características de cada unha delas.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 xml:space="preserve">CSB4.4.2.Explica aspectos relacionados coa forma de vida, organización social e cultura das distintas épocas históricas estudadas. 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lastRenderedPageBreak/>
              <w:t>CSB4.4.3.Explica a diferenza dos dous períodos nos que se divide a Prehistoria e describe as características básicas das formas de vida nestas dúas épocas.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CSB4.4.4.Data a Idade Antiga e describe as características básicas da vida naquel tempo, en especial as referidas á romanización.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Proba escrita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30%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40%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10%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CSB4.5.1.Identifica, valora e respecta o patrimonio natural, histórico, cultural e artístico e asume as responsabilidades que supón a súa conservación e mellora.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E3128C" w:rsidRPr="00E3128C" w:rsidTr="00E3128C">
        <w:tc>
          <w:tcPr>
            <w:tcW w:w="5880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CSB4.6.1.Respecta e asume o comportamento que debe cumprirse cando visita un museo ou un edificio antigo.</w:t>
            </w: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</w:tcPr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E3128C" w:rsidRPr="00E3128C" w:rsidRDefault="00E3128C" w:rsidP="00E3128C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559" w:type="dxa"/>
          </w:tcPr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E3128C" w:rsidRPr="00E3128C" w:rsidRDefault="00E3128C" w:rsidP="00025801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128C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</w:tbl>
    <w:p w:rsidR="00E3128C" w:rsidRPr="00E23E93" w:rsidRDefault="00E3128C" w:rsidP="00E3128C">
      <w:pPr>
        <w:rPr>
          <w:sz w:val="18"/>
          <w:szCs w:val="18"/>
        </w:rPr>
      </w:pPr>
    </w:p>
    <w:p w:rsidR="00CA08FA" w:rsidRPr="008F3ED7" w:rsidRDefault="003B4D2A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4C6C41" w:rsidRDefault="004C6C41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gl-ES"/>
        </w:rPr>
      </w:pPr>
    </w:p>
    <w:p w:rsidR="004C6C41" w:rsidRDefault="004C6C41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gl-ES"/>
        </w:rPr>
      </w:pPr>
    </w:p>
    <w:p w:rsidR="007F72EC" w:rsidRPr="008F3ED7" w:rsidRDefault="003B4D2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lastRenderedPageBreak/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>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Theme="minorHAnsi" w:hAnsiTheme="minorHAnsi" w:cs="Arial"/>
          <w:sz w:val="24"/>
        </w:rPr>
        <w:t>etc</w:t>
      </w:r>
      <w:proofErr w:type="spellEnd"/>
      <w:r w:rsidRPr="008F3ED7"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lastRenderedPageBreak/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3B4D2A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4C6C41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732EDA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Libro de t</w:t>
      </w:r>
      <w:r w:rsidR="00973614">
        <w:rPr>
          <w:rFonts w:ascii="Calibri" w:hAnsi="Calibri"/>
          <w:sz w:val="24"/>
          <w:lang w:val="es-ES"/>
        </w:rPr>
        <w:t xml:space="preserve">exto: Ciencias </w:t>
      </w:r>
      <w:proofErr w:type="spellStart"/>
      <w:r w:rsidR="00973614">
        <w:rPr>
          <w:rFonts w:ascii="Calibri" w:hAnsi="Calibri"/>
          <w:sz w:val="24"/>
          <w:lang w:val="es-ES"/>
        </w:rPr>
        <w:t>Sociais</w:t>
      </w:r>
      <w:proofErr w:type="spellEnd"/>
      <w:r w:rsidR="00973614">
        <w:rPr>
          <w:rFonts w:ascii="Calibri" w:hAnsi="Calibri"/>
          <w:sz w:val="24"/>
          <w:lang w:val="es-ES"/>
        </w:rPr>
        <w:t xml:space="preserve">. </w:t>
      </w:r>
      <w:r w:rsidR="00AF1F5D">
        <w:rPr>
          <w:rFonts w:ascii="Calibri" w:hAnsi="Calibri"/>
          <w:sz w:val="24"/>
          <w:lang w:val="es-ES"/>
        </w:rPr>
        <w:t>Cuarto</w:t>
      </w:r>
      <w:r w:rsidRPr="00732EDA">
        <w:rPr>
          <w:rFonts w:ascii="Calibri" w:hAnsi="Calibri"/>
          <w:sz w:val="24"/>
          <w:lang w:val="es-ES"/>
        </w:rPr>
        <w:t xml:space="preserve"> de Primaria. </w:t>
      </w:r>
      <w:proofErr w:type="spellStart"/>
      <w:r w:rsidRPr="00732EDA">
        <w:rPr>
          <w:rFonts w:ascii="Calibri" w:hAnsi="Calibri"/>
          <w:sz w:val="24"/>
          <w:lang w:val="es-ES"/>
        </w:rPr>
        <w:t>Celme</w:t>
      </w:r>
      <w:proofErr w:type="spellEnd"/>
      <w:r w:rsidRPr="00732EDA">
        <w:rPr>
          <w:rFonts w:ascii="Calibri" w:hAnsi="Calibri"/>
          <w:sz w:val="24"/>
          <w:lang w:val="es-ES"/>
        </w:rPr>
        <w:t xml:space="preserve">.  Editorial SM. 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732EDA">
        <w:rPr>
          <w:rFonts w:ascii="Calibri" w:hAnsi="Calibri"/>
          <w:sz w:val="24"/>
          <w:lang w:val="es-ES"/>
        </w:rPr>
        <w:t>fotocopiables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732EDA">
        <w:rPr>
          <w:rFonts w:ascii="Calibri" w:hAnsi="Calibri"/>
          <w:sz w:val="24"/>
          <w:lang w:val="es-ES"/>
        </w:rPr>
        <w:t>reforzo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e de ampliación.  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proofErr w:type="spellStart"/>
      <w:r w:rsidRPr="00732EDA">
        <w:rPr>
          <w:rFonts w:ascii="Calibri" w:hAnsi="Calibri"/>
          <w:sz w:val="24"/>
          <w:lang w:val="es-ES"/>
        </w:rPr>
        <w:t>Caderno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do alumno con actividades de reforzó.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732EDA">
        <w:rPr>
          <w:rFonts w:ascii="Calibri" w:hAnsi="Calibri"/>
          <w:sz w:val="24"/>
          <w:lang w:val="es-ES"/>
        </w:rPr>
        <w:t>dixital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para o profesor.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Cd de audio para o profesor.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732EDA">
        <w:rPr>
          <w:rFonts w:ascii="Calibri" w:hAnsi="Calibri"/>
          <w:sz w:val="24"/>
          <w:lang w:val="es-ES"/>
        </w:rPr>
        <w:t>canón</w:t>
      </w:r>
      <w:proofErr w:type="spellEnd"/>
      <w:r w:rsidRPr="00732EDA">
        <w:rPr>
          <w:rFonts w:ascii="Calibri" w:hAnsi="Calibri"/>
          <w:sz w:val="24"/>
          <w:lang w:val="es-ES"/>
        </w:rPr>
        <w:t xml:space="preserve"> de video…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  <w:lang w:val="es-ES"/>
        </w:rPr>
      </w:pPr>
      <w:r w:rsidRPr="00732EDA">
        <w:rPr>
          <w:rFonts w:ascii="Calibri" w:hAnsi="Calibri"/>
          <w:sz w:val="24"/>
          <w:lang w:val="es-ES"/>
        </w:rPr>
        <w:t>Guía didáctica.</w:t>
      </w:r>
    </w:p>
    <w:p w:rsidR="00732EDA" w:rsidRPr="00732EDA" w:rsidRDefault="00732EDA" w:rsidP="00732EDA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="Calibri" w:hAnsi="Calibri"/>
          <w:sz w:val="24"/>
        </w:rPr>
      </w:pPr>
      <w:r w:rsidRPr="00732EDA">
        <w:rPr>
          <w:rFonts w:ascii="Calibri" w:hAnsi="Calibri"/>
          <w:sz w:val="24"/>
          <w:lang w:val="es-ES"/>
        </w:rPr>
        <w:t>Recursos da biblioteca escolar.</w:t>
      </w:r>
    </w:p>
    <w:p w:rsidR="007F72EC" w:rsidRPr="00732EDA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4C6C41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</w:t>
      </w:r>
      <w:r w:rsidR="005620FB">
        <w:rPr>
          <w:rFonts w:asciiTheme="minorHAnsi" w:hAnsiTheme="minorHAnsi"/>
          <w:sz w:val="24"/>
          <w:lang w:eastAsia="zh-CN"/>
        </w:rPr>
        <w:t>l levarase a cabo entre o 11 e o</w:t>
      </w:r>
      <w:r w:rsidRPr="008F3ED7">
        <w:rPr>
          <w:rFonts w:asciiTheme="minorHAnsi" w:hAnsiTheme="minorHAnsi"/>
          <w:sz w:val="24"/>
          <w:lang w:eastAsia="zh-CN"/>
        </w:rPr>
        <w:t xml:space="preserve">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4C6C41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</w:t>
      </w:r>
      <w:proofErr w:type="spellStart"/>
      <w:r>
        <w:rPr>
          <w:rFonts w:asciiTheme="minorHAnsi" w:hAnsiTheme="minorHAnsi"/>
          <w:sz w:val="24"/>
        </w:rPr>
        <w:t>oral…</w:t>
      </w:r>
      <w:proofErr w:type="spellEnd"/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4C6C41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D616F6" w:rsidP="00B154ED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</w:t>
      </w:r>
      <w:r w:rsidR="005E089F">
        <w:rPr>
          <w:rFonts w:asciiTheme="minorHAnsi" w:hAnsiTheme="minorHAnsi"/>
          <w:sz w:val="24"/>
          <w:lang w:eastAsia="zh-CN"/>
        </w:rPr>
        <w:t xml:space="preserve"> poñeranse en marcha aquelas medidas </w:t>
      </w:r>
      <w:r w:rsidR="005E089F" w:rsidRPr="008F3ED7">
        <w:rPr>
          <w:rFonts w:asciiTheme="minorHAnsi" w:hAnsiTheme="minorHAnsi"/>
          <w:sz w:val="24"/>
          <w:lang w:eastAsia="zh-CN"/>
        </w:rPr>
        <w:t>que axuden a xestionar o grupo completo tendo en conta as necesidades específicas de cada un dos seus integrantes</w:t>
      </w:r>
      <w:r w:rsidR="005E089F">
        <w:rPr>
          <w:rFonts w:asciiTheme="minorHAnsi" w:hAnsiTheme="minorHAnsi"/>
          <w:sz w:val="24"/>
          <w:lang w:eastAsia="zh-CN"/>
        </w:rPr>
        <w:t>; por iso</w:t>
      </w:r>
      <w:r>
        <w:rPr>
          <w:rFonts w:asciiTheme="minorHAnsi" w:hAnsiTheme="minorHAnsi"/>
          <w:sz w:val="24"/>
          <w:lang w:eastAsia="zh-CN"/>
        </w:rPr>
        <w:t xml:space="preserve"> </w:t>
      </w:r>
      <w:r w:rsidR="00B154ED"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="00B154ED" w:rsidRPr="008F3ED7">
        <w:rPr>
          <w:rFonts w:asciiTheme="minorHAnsi" w:hAnsiTheme="minorHAnsi"/>
          <w:sz w:val="24"/>
          <w:lang w:eastAsia="zh-CN"/>
        </w:rPr>
        <w:t>desenvolver ao longo do curso</w:t>
      </w:r>
      <w:r>
        <w:rPr>
          <w:rFonts w:asciiTheme="minorHAnsi" w:hAnsiTheme="minorHAnsi"/>
          <w:sz w:val="24"/>
          <w:lang w:eastAsia="zh-CN"/>
        </w:rPr>
        <w:t>, entre as que poderían contemplarse, entre outras</w:t>
      </w:r>
      <w:r w:rsidR="00B154ED"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lastRenderedPageBreak/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5E089F" w:rsidRDefault="005E089F" w:rsidP="003B04A0">
      <w:pPr>
        <w:rPr>
          <w:rFonts w:asciiTheme="minorHAnsi" w:hAnsiTheme="minorHAnsi"/>
          <w:sz w:val="24"/>
          <w:lang w:eastAsia="zh-CN"/>
        </w:rPr>
      </w:pPr>
      <w:proofErr w:type="spellStart"/>
      <w:r>
        <w:rPr>
          <w:rFonts w:asciiTheme="minorHAnsi" w:hAnsiTheme="minorHAnsi"/>
          <w:sz w:val="24"/>
          <w:lang w:eastAsia="zh-CN"/>
        </w:rPr>
        <w:t>Implementaranse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>
        <w:rPr>
          <w:rFonts w:asciiTheme="minorHAnsi" w:hAnsiTheme="minorHAnsi"/>
          <w:sz w:val="24"/>
          <w:lang w:eastAsia="zh-CN"/>
        </w:rPr>
        <w:t>etc</w:t>
      </w:r>
      <w:proofErr w:type="spellEnd"/>
      <w:r>
        <w:rPr>
          <w:rFonts w:asciiTheme="minorHAnsi" w:hAnsiTheme="minorHAnsi"/>
          <w:sz w:val="24"/>
          <w:lang w:eastAsia="zh-CN"/>
        </w:rPr>
        <w:t>.</w:t>
      </w: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4C6C41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lastRenderedPageBreak/>
        <w:br w:type="textWrapping" w:clear="all"/>
      </w:r>
    </w:p>
    <w:p w:rsidR="005E089F" w:rsidRDefault="005E089F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4C6C41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CA5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trike w:val="0"/>
        <w:dstrike w:val="0"/>
        <w:color w:val="auto"/>
      </w:rPr>
    </w:lvl>
  </w:abstractNum>
  <w:abstractNum w:abstractNumId="5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092A9B"/>
    <w:multiLevelType w:val="multilevel"/>
    <w:tmpl w:val="6478B9FA"/>
    <w:lvl w:ilvl="0">
      <w:start w:val="1"/>
      <w:numFmt w:val="bullet"/>
      <w:pStyle w:val="ttp2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13199"/>
    <w:multiLevelType w:val="hybridMultilevel"/>
    <w:tmpl w:val="0AEC421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A2911"/>
    <w:multiLevelType w:val="hybridMultilevel"/>
    <w:tmpl w:val="31DE5B08"/>
    <w:lvl w:ilvl="0" w:tplc="5F383F14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hint="default"/>
      </w:rPr>
    </w:lvl>
    <w:lvl w:ilvl="1" w:tplc="045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7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077205B"/>
    <w:multiLevelType w:val="hybridMultilevel"/>
    <w:tmpl w:val="EF4E0B3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5C91DAB"/>
    <w:multiLevelType w:val="hybridMultilevel"/>
    <w:tmpl w:val="CB540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1"/>
  </w:num>
  <w:num w:numId="2">
    <w:abstractNumId w:val="28"/>
  </w:num>
  <w:num w:numId="3">
    <w:abstractNumId w:val="29"/>
  </w:num>
  <w:num w:numId="4">
    <w:abstractNumId w:val="31"/>
  </w:num>
  <w:num w:numId="5">
    <w:abstractNumId w:val="10"/>
  </w:num>
  <w:num w:numId="6">
    <w:abstractNumId w:val="30"/>
  </w:num>
  <w:num w:numId="7">
    <w:abstractNumId w:val="23"/>
  </w:num>
  <w:num w:numId="8">
    <w:abstractNumId w:val="14"/>
  </w:num>
  <w:num w:numId="9">
    <w:abstractNumId w:val="17"/>
  </w:num>
  <w:num w:numId="10">
    <w:abstractNumId w:val="22"/>
  </w:num>
  <w:num w:numId="11">
    <w:abstractNumId w:val="9"/>
  </w:num>
  <w:num w:numId="12">
    <w:abstractNumId w:val="19"/>
  </w:num>
  <w:num w:numId="13">
    <w:abstractNumId w:val="26"/>
  </w:num>
  <w:num w:numId="14">
    <w:abstractNumId w:val="21"/>
  </w:num>
  <w:num w:numId="15">
    <w:abstractNumId w:val="8"/>
  </w:num>
  <w:num w:numId="16">
    <w:abstractNumId w:val="25"/>
  </w:num>
  <w:num w:numId="17">
    <w:abstractNumId w:val="24"/>
  </w:num>
  <w:num w:numId="18">
    <w:abstractNumId w:val="18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</w:num>
  <w:num w:numId="23">
    <w:abstractNumId w:val="16"/>
  </w:num>
  <w:num w:numId="24">
    <w:abstractNumId w:val="2"/>
  </w:num>
  <w:num w:numId="25">
    <w:abstractNumId w:val="3"/>
  </w:num>
  <w:num w:numId="26">
    <w:abstractNumId w:val="4"/>
  </w:num>
  <w:num w:numId="27">
    <w:abstractNumId w:val="1"/>
  </w:num>
  <w:num w:numId="28">
    <w:abstractNumId w:val="27"/>
  </w:num>
  <w:num w:numId="29">
    <w:abstractNumId w:val="20"/>
  </w:num>
  <w:num w:numId="30">
    <w:abstractNumId w:val="0"/>
  </w:num>
  <w:num w:numId="31">
    <w:abstractNumId w:val="12"/>
  </w:num>
  <w:num w:numId="32">
    <w:abstractNumId w:val="15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7A4"/>
    <w:rsid w:val="0001295A"/>
    <w:rsid w:val="00037731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94128"/>
    <w:rsid w:val="001C5D71"/>
    <w:rsid w:val="001D62D9"/>
    <w:rsid w:val="00232947"/>
    <w:rsid w:val="002600C9"/>
    <w:rsid w:val="00267537"/>
    <w:rsid w:val="002A698D"/>
    <w:rsid w:val="002C08D8"/>
    <w:rsid w:val="002D0552"/>
    <w:rsid w:val="002E1A22"/>
    <w:rsid w:val="002F02F1"/>
    <w:rsid w:val="002F0CFB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B4D2A"/>
    <w:rsid w:val="003D145C"/>
    <w:rsid w:val="0040658C"/>
    <w:rsid w:val="00407783"/>
    <w:rsid w:val="00427449"/>
    <w:rsid w:val="00434AAF"/>
    <w:rsid w:val="00434E50"/>
    <w:rsid w:val="00445E82"/>
    <w:rsid w:val="00465C6E"/>
    <w:rsid w:val="00475E36"/>
    <w:rsid w:val="004915DF"/>
    <w:rsid w:val="004B6889"/>
    <w:rsid w:val="004C6C41"/>
    <w:rsid w:val="005002F1"/>
    <w:rsid w:val="00506C2A"/>
    <w:rsid w:val="00536BC6"/>
    <w:rsid w:val="00552D67"/>
    <w:rsid w:val="005620FB"/>
    <w:rsid w:val="005C6309"/>
    <w:rsid w:val="005E089F"/>
    <w:rsid w:val="0062665E"/>
    <w:rsid w:val="00627DE6"/>
    <w:rsid w:val="00634F91"/>
    <w:rsid w:val="006367BE"/>
    <w:rsid w:val="00636E04"/>
    <w:rsid w:val="006538ED"/>
    <w:rsid w:val="00677105"/>
    <w:rsid w:val="006A215C"/>
    <w:rsid w:val="006C0D57"/>
    <w:rsid w:val="006D49C5"/>
    <w:rsid w:val="006F3EA5"/>
    <w:rsid w:val="00716F78"/>
    <w:rsid w:val="00732EDA"/>
    <w:rsid w:val="00752B56"/>
    <w:rsid w:val="00760767"/>
    <w:rsid w:val="007636DC"/>
    <w:rsid w:val="007756EE"/>
    <w:rsid w:val="007A6B32"/>
    <w:rsid w:val="007F72EC"/>
    <w:rsid w:val="008133B3"/>
    <w:rsid w:val="008146B3"/>
    <w:rsid w:val="00862DF2"/>
    <w:rsid w:val="00891176"/>
    <w:rsid w:val="008A6831"/>
    <w:rsid w:val="008B432D"/>
    <w:rsid w:val="008D3FDB"/>
    <w:rsid w:val="008F3ED7"/>
    <w:rsid w:val="0090489B"/>
    <w:rsid w:val="00923EB5"/>
    <w:rsid w:val="00925FE7"/>
    <w:rsid w:val="00932456"/>
    <w:rsid w:val="00933A4E"/>
    <w:rsid w:val="00957290"/>
    <w:rsid w:val="00973614"/>
    <w:rsid w:val="009739C6"/>
    <w:rsid w:val="009A1468"/>
    <w:rsid w:val="009B601C"/>
    <w:rsid w:val="009F0A8A"/>
    <w:rsid w:val="00A07354"/>
    <w:rsid w:val="00A35A38"/>
    <w:rsid w:val="00A44967"/>
    <w:rsid w:val="00A52C76"/>
    <w:rsid w:val="00A74099"/>
    <w:rsid w:val="00A906DA"/>
    <w:rsid w:val="00A94A3A"/>
    <w:rsid w:val="00AE49AA"/>
    <w:rsid w:val="00AF1F5D"/>
    <w:rsid w:val="00B154ED"/>
    <w:rsid w:val="00B301AC"/>
    <w:rsid w:val="00B32943"/>
    <w:rsid w:val="00B467F4"/>
    <w:rsid w:val="00B53162"/>
    <w:rsid w:val="00B67EA5"/>
    <w:rsid w:val="00B95C38"/>
    <w:rsid w:val="00B9798B"/>
    <w:rsid w:val="00BB003C"/>
    <w:rsid w:val="00BC0BA4"/>
    <w:rsid w:val="00BC19CF"/>
    <w:rsid w:val="00BE2BD2"/>
    <w:rsid w:val="00BE48FE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21182"/>
    <w:rsid w:val="00D422AA"/>
    <w:rsid w:val="00D616F6"/>
    <w:rsid w:val="00D64DA2"/>
    <w:rsid w:val="00D65386"/>
    <w:rsid w:val="00D85203"/>
    <w:rsid w:val="00D86E25"/>
    <w:rsid w:val="00DA6FD5"/>
    <w:rsid w:val="00DD3535"/>
    <w:rsid w:val="00DD641B"/>
    <w:rsid w:val="00DE2A52"/>
    <w:rsid w:val="00E3128C"/>
    <w:rsid w:val="00E329F5"/>
    <w:rsid w:val="00E543DC"/>
    <w:rsid w:val="00E94918"/>
    <w:rsid w:val="00EC6C25"/>
    <w:rsid w:val="00EF4E45"/>
    <w:rsid w:val="00F038E3"/>
    <w:rsid w:val="00F0650B"/>
    <w:rsid w:val="00F431EE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D21182"/>
    <w:pPr>
      <w:tabs>
        <w:tab w:val="clear" w:pos="851"/>
      </w:tabs>
      <w:autoSpaceDE/>
      <w:autoSpaceDN/>
      <w:adjustRightInd/>
      <w:spacing w:before="0" w:after="0" w:line="240" w:lineRule="auto"/>
      <w:ind w:left="720" w:firstLine="0"/>
      <w:contextualSpacing/>
      <w:jc w:val="left"/>
    </w:pPr>
    <w:rPr>
      <w:sz w:val="24"/>
      <w:szCs w:val="20"/>
      <w:lang w:val="es-ES_tradnl"/>
    </w:rPr>
  </w:style>
  <w:style w:type="paragraph" w:customStyle="1" w:styleId="ttp2">
    <w:name w:val="_ttp2"/>
    <w:basedOn w:val="ttp1"/>
    <w:qFormat/>
    <w:rsid w:val="002F0CFB"/>
    <w:pPr>
      <w:numPr>
        <w:numId w:val="33"/>
      </w:numPr>
      <w:tabs>
        <w:tab w:val="num" w:pos="1758"/>
      </w:tabs>
      <w:ind w:left="454" w:hanging="227"/>
    </w:pPr>
  </w:style>
  <w:style w:type="paragraph" w:customStyle="1" w:styleId="txcentrado">
    <w:name w:val="_tx_centrado"/>
    <w:basedOn w:val="Normal"/>
    <w:qFormat/>
    <w:rsid w:val="002F0CFB"/>
    <w:pPr>
      <w:numPr>
        <w:numId w:val="32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8339</Words>
  <Characters>48774</Characters>
  <Application>Microsoft Office Word</Application>
  <DocSecurity>0</DocSecurity>
  <Lines>406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2019-09-24T12:00:00Z</dcterms:created>
  <dcterms:modified xsi:type="dcterms:W3CDTF">2019-11-18T08:29:00Z</dcterms:modified>
</cp:coreProperties>
</file>