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E2" w:rsidRDefault="00F74EE2" w:rsidP="00CF1BC7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CF1BC7" w:rsidRPr="00DF4404" w:rsidRDefault="00CF1BC7" w:rsidP="00CF1BC7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 w:rsidRPr="00CF1BC7">
        <w:rPr>
          <w:rFonts w:asciiTheme="minorHAnsi" w:hAnsiTheme="minorHAnsi"/>
          <w:b/>
          <w:sz w:val="36"/>
          <w:szCs w:val="36"/>
        </w:rPr>
        <w:t>EDUCACIÓN ARTÍSTICA (EDUCACIÓN MUSICAL)-</w:t>
      </w:r>
      <w:r>
        <w:rPr>
          <w:rFonts w:asciiTheme="minorHAnsi" w:hAnsiTheme="minorHAnsi"/>
          <w:b/>
          <w:sz w:val="36"/>
          <w:szCs w:val="36"/>
        </w:rPr>
        <w:t>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CF1BC7" w:rsidRDefault="00CF1BC7" w:rsidP="00066A12">
      <w:pPr>
        <w:rPr>
          <w:rFonts w:asciiTheme="minorHAnsi" w:hAnsiTheme="minorHAnsi"/>
          <w:b/>
          <w:spacing w:val="1"/>
          <w:sz w:val="24"/>
        </w:rPr>
      </w:pPr>
    </w:p>
    <w:p w:rsidR="00CF1BC7" w:rsidRDefault="00CF1BC7" w:rsidP="00066A12">
      <w:pPr>
        <w:rPr>
          <w:rFonts w:asciiTheme="minorHAnsi" w:hAnsiTheme="minorHAnsi"/>
          <w:b/>
          <w:spacing w:val="1"/>
          <w:sz w:val="24"/>
        </w:rPr>
      </w:pPr>
    </w:p>
    <w:p w:rsidR="00CF1BC7" w:rsidRDefault="00CF1BC7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Pr="008F3ED7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3</w:t>
      </w:r>
      <w:r w:rsidR="00066A12" w:rsidRPr="008F3ED7">
        <w:rPr>
          <w:rFonts w:asciiTheme="minorHAnsi" w:hAnsiTheme="minorHAnsi"/>
          <w:b/>
          <w:sz w:val="24"/>
        </w:rPr>
        <w:t xml:space="preserve">.- Vinculación entre obxectivos, contidos, criterios de avaliación, estándares de aprendizaxe e competencias clave. </w:t>
      </w:r>
    </w:p>
    <w:p w:rsidR="00057082" w:rsidRDefault="00057082" w:rsidP="00D85203">
      <w:pPr>
        <w:ind w:firstLine="0"/>
        <w:rPr>
          <w:rFonts w:asciiTheme="minorHAnsi" w:hAnsiTheme="minorHAnsi"/>
          <w:b/>
          <w:spacing w:val="1"/>
          <w:sz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6"/>
        <w:gridCol w:w="3663"/>
        <w:gridCol w:w="3524"/>
        <w:gridCol w:w="3728"/>
        <w:gridCol w:w="1715"/>
      </w:tblGrid>
      <w:tr w:rsidR="00985394" w:rsidRPr="00985394" w:rsidTr="00985394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7187" w:type="dxa"/>
            <w:gridSpan w:val="2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EDUCACIÓN ARTÍSTICA (EDUCACIÓN MUSICAL)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TERCEIRO</w:t>
            </w:r>
          </w:p>
        </w:tc>
      </w:tr>
      <w:tr w:rsidR="00985394" w:rsidRPr="00985394" w:rsidTr="00985394">
        <w:trPr>
          <w:tblHeader/>
        </w:trPr>
        <w:tc>
          <w:tcPr>
            <w:tcW w:w="1486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center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center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center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Competencias clave</w:t>
            </w:r>
          </w:p>
        </w:tc>
      </w:tr>
      <w:tr w:rsidR="00985394" w:rsidRPr="00985394" w:rsidTr="00985394">
        <w:tc>
          <w:tcPr>
            <w:tcW w:w="14116" w:type="dxa"/>
            <w:gridSpan w:val="5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BLOQUE 1. ESCOITA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d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B1.1. Audición activa dunha selección de pezas instrumentais e vocais de diferentes estilos e culturas, adaptadas á idade do alumnado.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B1.2. Asistencia a algunha representación musical.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B1.3. Interese polo repertorio tradicional de Galicia e das zonas de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procedencia dos compañeiros e das compañeiras.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B1.4. Audición de obras musicais de distintas características e procedencias.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B1.5. Actitude atenta e silenciosa, e respecto polas normas de comportamento durante a audición de música e na asistencia a representacións.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B1.1. Utilizar a escoita musical para indagar nas posibilidades do son e coñecer exemplos de obras variadas da nosa e doutras culturas.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EMB1.1.1. Expresa as súas apreciacións persoais sobre o feito artístico musical.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CCL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EMB1.1.2. Manifesta as sensacións, as impresións e os sentimentos que lle provoca a audición dunha peza musical.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CCL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EMB1.1.3. Coñece, entende 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cumpre as normas de comportamento en audicións e representacións musicais.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CSC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EMB1.1.4. Identifica manifestacións artísticas propias de Galicia.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985394" w:rsidRPr="00985394" w:rsidTr="00985394">
        <w:tc>
          <w:tcPr>
            <w:tcW w:w="1486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63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B1.6. Recoñecemento de calidades dos sons: intensidade, duración, altura e timbre.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B1.7. Acento e pulso.</w:t>
            </w:r>
          </w:p>
        </w:tc>
        <w:tc>
          <w:tcPr>
            <w:tcW w:w="3524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B1.2. Identificar e describir as características de elementos musicais e calidades dos sons do contexto.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B1.8. Elementos musicais. Tempo e matices: forte, piano e </w:t>
            </w:r>
            <w:proofErr w:type="spellStart"/>
            <w:r w:rsidRPr="00985394">
              <w:rPr>
                <w:rFonts w:asciiTheme="minorHAnsi" w:hAnsiTheme="minorHAnsi"/>
                <w:szCs w:val="22"/>
              </w:rPr>
              <w:t>mezzoforte</w:t>
            </w:r>
            <w:proofErr w:type="spellEnd"/>
            <w:r w:rsidRPr="00985394">
              <w:rPr>
                <w:rFonts w:asciiTheme="minorHAnsi" w:hAnsiTheme="minorHAnsi"/>
                <w:szCs w:val="22"/>
              </w:rPr>
              <w:t>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B1.9. Identificación dos rexistros de voces graves e agudas, así coma das posibles agrupacións vocais e instrumentais (solista, dúo, trío 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coro).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B1.10. Compases binarios e ternarios.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B1.3. Analizar a organización de obras musicais sinxelas e describir os elementos que as compoñen.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EMB1.3.1. Distingue tipos de voces e instrumentos, e agrupacións instrumentais ou vocais.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EMB1.3.2. Identifica e describe variacións e contrastes de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velocidade e intensidade tras a escoita de obras musicais.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B1.11. Recoñecemento e identificación das partes dunha peza musical. Formas musicais binarias e ternarias.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B1.4. Utilizar recursos gráficos durante a audición dunha peza musical.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EMB1.4.1. Establece unha relación entre o que escoita e represéntao nun </w:t>
            </w:r>
            <w:proofErr w:type="spellStart"/>
            <w:r w:rsidRPr="00985394">
              <w:rPr>
                <w:rFonts w:asciiTheme="minorHAnsi" w:hAnsiTheme="minorHAnsi"/>
                <w:szCs w:val="22"/>
              </w:rPr>
              <w:t>musicograma</w:t>
            </w:r>
            <w:proofErr w:type="spellEnd"/>
            <w:r w:rsidRPr="00985394">
              <w:rPr>
                <w:rFonts w:asciiTheme="minorHAnsi" w:hAnsiTheme="minorHAnsi"/>
                <w:szCs w:val="22"/>
              </w:rPr>
              <w:t xml:space="preserve"> ou nunha partitura sinxela.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EMB1.4.2. Identifica as partes dunha peza musical sinxela e presenta graficamente a súa estrutura.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EMB1.4.3. Representa graficamente, con linguaxe convencional ou non, os trazos característicos da música escoitada.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CCL</w:t>
            </w:r>
          </w:p>
        </w:tc>
      </w:tr>
      <w:tr w:rsidR="00985394" w:rsidRPr="00985394" w:rsidTr="00985394">
        <w:tc>
          <w:tcPr>
            <w:tcW w:w="14116" w:type="dxa"/>
            <w:gridSpan w:val="5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BLOQUE 2. INTERPRETACIÓN MUSICAL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B2.1. Lectura e interpretación de pezas instrumentais e cancións sinxelas de maneira colectiva, con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ou sen acompañamento, con distintos tipos de grafías.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B2.2. Frauta doce: dixitación da escala de dó sen alteracións.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B2.3. Iniciación aos instrumentos de placas </w:t>
            </w:r>
            <w:proofErr w:type="spellStart"/>
            <w:r w:rsidRPr="00985394">
              <w:rPr>
                <w:rFonts w:asciiTheme="minorHAnsi" w:hAnsiTheme="minorHAnsi"/>
                <w:szCs w:val="22"/>
              </w:rPr>
              <w:t>Orff</w:t>
            </w:r>
            <w:proofErr w:type="spellEnd"/>
            <w:r w:rsidRPr="00985394">
              <w:rPr>
                <w:rFonts w:asciiTheme="minorHAnsi" w:hAnsiTheme="minorHAnsi"/>
                <w:szCs w:val="22"/>
              </w:rPr>
              <w:t xml:space="preserve"> en acompañamentos de pezas sinxelas.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B2.4. Rexistro da música creada na aula mediante gravacións para a súa escoita posterior e a súa valoración.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B2.5. Dobre barra e DC.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B2.6. Ditados rítmicos con grafías de negra, branca, redonda e corchea, e os seus silencios.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B2.7. Ditados melódicos sinxelos.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 xml:space="preserve">B2.1. Interpretar un repertorio básico de cancións e pezas instrumentais, en solitario ou en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grupo, mediante a voz ou instrumentos, utilizando a linguaxe musical.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EMB2.1.1. Utiliza de xeito correcto a linguaxe musical traballada para a interpretación de obras.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EMB2.1.2. Traduce á linguaxe musical convencional melodías e ritmos sinxelos.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EMB2.1.3. Interpreta pezas vocais e instrumentais sinxelas con distintos agrupamentos con e sen acompañamento.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EMB2.1.4. Toma conciencia dos erros cometidos e amosa interese por mellorar.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B2.8. Improvisación de esquemas rítmicos e melódicos sobre bases musicais dadas.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B2.9. Creación guiada de pezas musicais sinxelas a partir de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elementos dados.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 xml:space="preserve">B2.2. Explorar estruturas musicais e seleccionar e combinar ideas musicais dentro de estruturas sinxelas entre varias dadas, co obxectivo de crear un produto musical propio individual ou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grupal.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EMB2.2.1. Crea unha peza musical sinxela a partir da selección, a combinación e a organización dunha serie de elementos dados previamente, coñecidos e/ou manexados.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EMB2.2.2. Amosa respecto e responsabilidade no traballo individual e colectivo.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j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d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B2.10. Recreación musical e sonorización dun texto oral ou escrito.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B2.11. Sonorización de imaxes ou representacións dramáticas usando materiais, instrumentos e dispositivos electrónicos.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B2.12. Construción dun instrumento.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B2.3. Explorar e utilizar as posibilidades sonoras e expresivas de diversos materiais, instrumentos e dispositivos electrónicos.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EMB2.3.1. Emprega instrumentos materiais e dispositivos electrónicos para crear pezas musicais sinxelas e para a sonorización de imaxes e representacións dramáticas.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CD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EMB2.3.2. Constrúe algún instrumento orixinal ou similar a un existente.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CCEC 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116" w:type="dxa"/>
            <w:gridSpan w:val="5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BLOQUE 3. MÚSICA, MOVEMENTO E DANZA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j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B3.1. Recoñecemento do corpo como instrumento rítmico e de expresión corporal.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B3.2. Creación de pequenas coreografías para obras musicais breves e de estrutura sinxela.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B3.1. Adquirir capacidades expresivas e creativas que ofrecen a expresión corporal e a danza.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EMB3.1.1. Identifica e utiliza o corpo como instrumento para a expresión de sentimentos e emocións, e como forma de interacción social.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EMB3.1.2. Inventa e reproduce pequenas coreografías que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corresponden coa forma interna dunha obra musical de forma sinxela binaria, ternaria e rondó.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CAA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</w:tc>
      </w:tr>
      <w:tr w:rsidR="00985394" w:rsidRPr="00985394" w:rsidTr="00985394">
        <w:tc>
          <w:tcPr>
            <w:tcW w:w="1486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j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d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663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B3.3. Reprodución de xogos motores e secuencias de movementos fixados ou inventados, procurando unha progresiva coordinación individual e colectiva.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B3.4. Iniciación á interpretación de danzas tradicionais galegas e doutras culturas.</w:t>
            </w:r>
          </w:p>
        </w:tc>
        <w:tc>
          <w:tcPr>
            <w:tcW w:w="3524" w:type="dxa"/>
            <w:vMerge w:val="restart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B3.2. Interpretar un repertorio básico de danzas propias da cultura galega e doutras culturas.</w:t>
            </w: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EMB3.2.1. Controla a postura e a coordinación coa música cando interpreta danzas.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985394" w:rsidRPr="00985394" w:rsidTr="00985394">
        <w:tc>
          <w:tcPr>
            <w:tcW w:w="1486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663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728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EMB3.2.2. Identifica, reproduce e goza interpretando danzas tradicionais galegas e doutras culturas.</w:t>
            </w:r>
          </w:p>
        </w:tc>
        <w:tc>
          <w:tcPr>
            <w:tcW w:w="1715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CCEC</w:t>
            </w:r>
          </w:p>
          <w:p w:rsidR="00985394" w:rsidRPr="00985394" w:rsidRDefault="00985394" w:rsidP="00985394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CSC</w:t>
            </w:r>
          </w:p>
        </w:tc>
      </w:tr>
    </w:tbl>
    <w:p w:rsidR="00985394" w:rsidRPr="008133B3" w:rsidRDefault="00985394" w:rsidP="00985394"/>
    <w:p w:rsidR="00066A12" w:rsidRPr="008F3ED7" w:rsidRDefault="00066A12" w:rsidP="00066A12">
      <w:pPr>
        <w:rPr>
          <w:rFonts w:asciiTheme="minorHAnsi" w:hAnsiTheme="minorHAnsi"/>
          <w:sz w:val="24"/>
        </w:rPr>
      </w:pPr>
    </w:p>
    <w:p w:rsidR="00066A12" w:rsidRDefault="009C730F" w:rsidP="00066A12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4</w:t>
      </w:r>
      <w:r w:rsidR="00066A12" w:rsidRPr="008F3ED7">
        <w:rPr>
          <w:rFonts w:asciiTheme="minorHAnsi" w:hAnsiTheme="minorHAnsi"/>
          <w:b/>
          <w:sz w:val="24"/>
        </w:rPr>
        <w:t>.- Vinculación entre estándares de aprendizaxe</w:t>
      </w:r>
      <w:r w:rsidR="0033432B">
        <w:rPr>
          <w:rFonts w:asciiTheme="minorHAnsi" w:hAnsiTheme="minorHAnsi"/>
          <w:b/>
          <w:sz w:val="24"/>
        </w:rPr>
        <w:t xml:space="preserve">, con indicación dos mínimos esixibles para </w:t>
      </w:r>
      <w:proofErr w:type="spellStart"/>
      <w:r w:rsidR="0033432B">
        <w:rPr>
          <w:rFonts w:asciiTheme="minorHAnsi" w:hAnsiTheme="minorHAnsi"/>
          <w:b/>
          <w:sz w:val="24"/>
        </w:rPr>
        <w:t>promocionar</w:t>
      </w:r>
      <w:proofErr w:type="spellEnd"/>
      <w:r w:rsidR="0033432B">
        <w:rPr>
          <w:rFonts w:asciiTheme="minorHAnsi" w:hAnsiTheme="minorHAnsi"/>
          <w:b/>
          <w:sz w:val="24"/>
        </w:rPr>
        <w:t>,</w:t>
      </w:r>
      <w:r w:rsidR="00066A12" w:rsidRPr="008F3ED7">
        <w:rPr>
          <w:rFonts w:asciiTheme="minorHAnsi" w:hAnsiTheme="minorHAnsi"/>
          <w:b/>
          <w:sz w:val="24"/>
        </w:rPr>
        <w:t xml:space="preserve"> </w:t>
      </w:r>
      <w:r w:rsidR="0033432B">
        <w:rPr>
          <w:rFonts w:asciiTheme="minorHAnsi" w:hAnsiTheme="minorHAnsi"/>
          <w:b/>
          <w:sz w:val="24"/>
        </w:rPr>
        <w:t xml:space="preserve">e </w:t>
      </w:r>
      <w:r w:rsidR="00066A12" w:rsidRPr="008F3ED7">
        <w:rPr>
          <w:rFonts w:asciiTheme="minorHAnsi" w:hAnsiTheme="minorHAnsi"/>
          <w:b/>
          <w:sz w:val="24"/>
        </w:rPr>
        <w:t>instrumentos de avaliación e criterios de cualificación.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985394" w:rsidRDefault="00985394" w:rsidP="009853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727"/>
        <w:gridCol w:w="851"/>
        <w:gridCol w:w="850"/>
        <w:gridCol w:w="851"/>
        <w:gridCol w:w="850"/>
        <w:gridCol w:w="3402"/>
        <w:gridCol w:w="1585"/>
      </w:tblGrid>
      <w:tr w:rsidR="00985394" w:rsidRPr="00985394" w:rsidTr="00985394">
        <w:trPr>
          <w:tblHeader/>
        </w:trPr>
        <w:tc>
          <w:tcPr>
            <w:tcW w:w="5727" w:type="dxa"/>
            <w:shd w:val="clear" w:color="auto" w:fill="auto"/>
            <w:vAlign w:val="center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Criterios de 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EMB1.1.1. Expresa as súas apreciacións persoais sobre o </w:t>
            </w:r>
            <w:r w:rsidRPr="00985394">
              <w:rPr>
                <w:rFonts w:asciiTheme="minorHAnsi" w:hAnsiTheme="minorHAnsi"/>
                <w:szCs w:val="22"/>
              </w:rPr>
              <w:lastRenderedPageBreak/>
              <w:t>feito artístico musical.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lastRenderedPageBreak/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EMB1.1.2. Manifesta as sensacións, as impresións e os sentimentos que lle provoca a audición dunha peza musical.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EMB1.1.3. Coñece, entende e cumpre as normas de comportamento en audicións e representacións musicais.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EMB1.1.4. Identifica manifestacións artísticas propias de Galicia.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EMB1.3.1. Distingue tipos de voces e instrumentos, e agrupacións instrumentais ou vocais.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 xml:space="preserve">EMB1.4.1. Establece unha relación entre o que escoita e represéntao nun </w:t>
            </w:r>
            <w:proofErr w:type="spellStart"/>
            <w:r w:rsidRPr="00985394">
              <w:rPr>
                <w:rFonts w:asciiTheme="minorHAnsi" w:hAnsiTheme="minorHAnsi"/>
                <w:szCs w:val="22"/>
              </w:rPr>
              <w:t>musicograma</w:t>
            </w:r>
            <w:proofErr w:type="spellEnd"/>
            <w:r w:rsidRPr="00985394">
              <w:rPr>
                <w:rFonts w:asciiTheme="minorHAnsi" w:hAnsiTheme="minorHAnsi"/>
                <w:szCs w:val="22"/>
              </w:rPr>
              <w:t xml:space="preserve"> ou nunha partitura sinxela.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Probas escritas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EMB1.4.2. Identifica as partes dunha peza musical sinxela e presenta graficamente a súa estrutura.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EMB1.4.3. Representa graficamente, con linguaxe convencional ou non, os trazos característicos da música escoitada.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EMB2.1.1. Utiliza de xeito correcto a linguaxe musical traballada para a interpretación de obras.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EMB2.1.2. Traduce á linguaxe musical convencional melodías e ritmos sinxelos.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EMB2.1.3. Interpreta pezas vocais e instrumentais sinxelas con distintos agrupamentos con e sen acompañamento.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Intercambios orais cos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EMB2.1.4. Toma conciencia dos erros cometidos e amosa interese por mellorar.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EMB2.2.1. Crea unha peza musical sinxela a partir da selección, a combinación e a organización dunha serie de elementos dados previamente, coñecidos e/ou manexados.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lastRenderedPageBreak/>
              <w:t>EMB2.2.2. Amosa respecto e responsabilidade no traballo individual e colectivo.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EMB2.3.1. Emprega instrumentos materiais e dispositivos electrónicos para crear pezas musicais sinxelas e para a sonorización de imaxes e representacións dramáticas.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EMB2.3.2. Constrúe algún instrumento orixinal ou similar a un existente.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EMB3.1.1. Identifica e utiliza o corpo como instrumento para a expresión de sentimentos e emocións, e como forma de interacción social.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EMB3.1.2. Inventa e reproduce pequenas coreografías que corresponden coa forma interna dunha obra musical de forma sinxela binaria, ternaria e rondó.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eastAsia="Arial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Análise producións dos alumnos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50 %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EMB3.2.1. Controla a postura e a coordinación coa música cando interpreta danzas.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  <w:tr w:rsidR="00985394" w:rsidRPr="00985394" w:rsidTr="00985394">
        <w:tc>
          <w:tcPr>
            <w:tcW w:w="5727" w:type="dxa"/>
            <w:shd w:val="clear" w:color="auto" w:fill="auto"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EMB3.2.2. Identifica, reproduce e goza interpretando danzas tradicionais galegas e doutras culturas.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850" w:type="dxa"/>
            <w:noWrap/>
            <w:tcMar>
              <w:left w:w="28" w:type="dxa"/>
              <w:right w:w="28" w:type="dxa"/>
            </w:tcMar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eastAsia="Arial" w:hAnsiTheme="minorHAnsi"/>
                <w:szCs w:val="22"/>
              </w:rPr>
              <w:t>Observación sistemática</w:t>
            </w:r>
          </w:p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1585" w:type="dxa"/>
            <w:noWrap/>
          </w:tcPr>
          <w:p w:rsidR="00985394" w:rsidRPr="00985394" w:rsidRDefault="00985394" w:rsidP="00985394">
            <w:pPr>
              <w:ind w:left="284" w:firstLine="0"/>
              <w:rPr>
                <w:rFonts w:asciiTheme="minorHAnsi" w:hAnsiTheme="minorHAnsi"/>
              </w:rPr>
            </w:pPr>
            <w:r w:rsidRPr="00985394">
              <w:rPr>
                <w:rFonts w:asciiTheme="minorHAnsi" w:hAnsiTheme="minorHAnsi"/>
                <w:szCs w:val="22"/>
              </w:rPr>
              <w:t>100 %</w:t>
            </w:r>
          </w:p>
        </w:tc>
      </w:tr>
    </w:tbl>
    <w:p w:rsidR="00985394" w:rsidRDefault="00985394" w:rsidP="00985394">
      <w:pPr>
        <w:spacing w:before="0" w:after="0"/>
      </w:pP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CA08FA" w:rsidRPr="008F3ED7" w:rsidRDefault="009C730F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lastRenderedPageBreak/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etc.)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e complicidade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Secuenciación das actividades de ensino-aprendizaxe.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aprindizaxes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r w:rsidR="00311718" w:rsidRPr="008F3ED7">
        <w:rPr>
          <w:rFonts w:asciiTheme="minorHAnsi" w:hAnsiTheme="minorHAnsi" w:cs="Arial"/>
          <w:b/>
          <w:bCs/>
          <w:sz w:val="24"/>
        </w:rPr>
        <w:t>estruturado</w:t>
      </w:r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</w:t>
      </w:r>
      <w:r w:rsidRPr="008F3ED7">
        <w:rPr>
          <w:rFonts w:asciiTheme="minorHAnsi" w:hAnsiTheme="minorHAnsi" w:cs="Arial"/>
          <w:sz w:val="24"/>
        </w:rPr>
        <w:lastRenderedPageBreak/>
        <w:t>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9C730F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9C730F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311718" w:rsidRDefault="006320DC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Libro de texto: Música 3</w:t>
      </w:r>
      <w:r w:rsidR="00311718">
        <w:rPr>
          <w:szCs w:val="22"/>
          <w:lang w:val="es-ES"/>
        </w:rPr>
        <w:t xml:space="preserve">º. Melodía. Editorial </w:t>
      </w:r>
      <w:proofErr w:type="spellStart"/>
      <w:r w:rsidR="00311718">
        <w:rPr>
          <w:szCs w:val="22"/>
          <w:lang w:val="es-ES"/>
        </w:rPr>
        <w:t>Galinova</w:t>
      </w:r>
      <w:proofErr w:type="spellEnd"/>
      <w:r w:rsidR="00311718">
        <w:rPr>
          <w:szCs w:val="22"/>
          <w:lang w:val="es-ES"/>
        </w:rPr>
        <w:t xml:space="preserve">.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 w:rsidRPr="0090489B">
        <w:rPr>
          <w:szCs w:val="22"/>
          <w:lang w:val="es-ES"/>
        </w:rPr>
        <w:t xml:space="preserve">Recursos </w:t>
      </w:r>
      <w:proofErr w:type="spellStart"/>
      <w:r w:rsidRPr="0090489B">
        <w:rPr>
          <w:szCs w:val="22"/>
          <w:lang w:val="es-ES"/>
        </w:rPr>
        <w:t>fotocopiables</w:t>
      </w:r>
      <w:proofErr w:type="spellEnd"/>
      <w:r w:rsidRPr="0090489B">
        <w:rPr>
          <w:szCs w:val="22"/>
          <w:lang w:val="es-ES"/>
        </w:rPr>
        <w:t xml:space="preserve"> con actividades de </w:t>
      </w:r>
      <w:proofErr w:type="spellStart"/>
      <w:r w:rsidRPr="0090489B">
        <w:rPr>
          <w:szCs w:val="22"/>
          <w:lang w:val="es-ES"/>
        </w:rPr>
        <w:t>reforzo</w:t>
      </w:r>
      <w:proofErr w:type="spellEnd"/>
      <w:r w:rsidRPr="0090489B">
        <w:rPr>
          <w:szCs w:val="22"/>
          <w:lang w:val="es-ES"/>
        </w:rPr>
        <w:t xml:space="preserve"> e de ampliación.  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proofErr w:type="spellStart"/>
      <w:r>
        <w:rPr>
          <w:szCs w:val="22"/>
          <w:lang w:val="es-ES"/>
        </w:rPr>
        <w:t>Caderno</w:t>
      </w:r>
      <w:proofErr w:type="spellEnd"/>
      <w:r>
        <w:rPr>
          <w:szCs w:val="22"/>
          <w:lang w:val="es-ES"/>
        </w:rPr>
        <w:t xml:space="preserve"> do alumno con actividades de reforzó.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Libro </w:t>
      </w:r>
      <w:proofErr w:type="spellStart"/>
      <w:r>
        <w:rPr>
          <w:szCs w:val="22"/>
          <w:lang w:val="es-ES"/>
        </w:rPr>
        <w:t>dixital</w:t>
      </w:r>
      <w:proofErr w:type="spellEnd"/>
      <w:r>
        <w:rPr>
          <w:szCs w:val="22"/>
          <w:lang w:val="es-ES"/>
        </w:rPr>
        <w:t xml:space="preserve"> para o profesor.</w:t>
      </w:r>
    </w:p>
    <w:p w:rsidR="00311718" w:rsidRPr="0090489B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Cd de audio para o profesor.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Material de aula: </w:t>
      </w:r>
      <w:r w:rsidRPr="00CA17DC">
        <w:rPr>
          <w:szCs w:val="22"/>
          <w:lang w:val="es-ES"/>
        </w:rPr>
        <w:t>Instrumentos</w:t>
      </w:r>
      <w:r>
        <w:rPr>
          <w:szCs w:val="22"/>
          <w:lang w:val="es-ES"/>
        </w:rPr>
        <w:t xml:space="preserve">, equipo de son, láminas, ordenador con conexión a internet, </w:t>
      </w:r>
      <w:proofErr w:type="spellStart"/>
      <w:r>
        <w:rPr>
          <w:szCs w:val="22"/>
          <w:lang w:val="es-ES"/>
        </w:rPr>
        <w:t>canón</w:t>
      </w:r>
      <w:proofErr w:type="spellEnd"/>
      <w:r>
        <w:rPr>
          <w:szCs w:val="22"/>
          <w:lang w:val="es-ES"/>
        </w:rPr>
        <w:t xml:space="preserve"> de video…</w:t>
      </w:r>
    </w:p>
    <w:p w:rsidR="00311718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Guía didáctica.</w:t>
      </w:r>
    </w:p>
    <w:p w:rsidR="00311718" w:rsidRPr="00CA17DC" w:rsidRDefault="00311718" w:rsidP="00311718">
      <w:pPr>
        <w:numPr>
          <w:ilvl w:val="0"/>
          <w:numId w:val="9"/>
        </w:numPr>
        <w:rPr>
          <w:szCs w:val="22"/>
          <w:lang w:val="es-ES"/>
        </w:rPr>
      </w:pPr>
      <w:r>
        <w:rPr>
          <w:szCs w:val="22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CF1BC7" w:rsidRDefault="00CF1BC7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CF1BC7" w:rsidRDefault="00CF1BC7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7F72EC" w:rsidRPr="008F3ED7" w:rsidRDefault="009C730F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9C730F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oral…),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9C730F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Ás clases de música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 w:rsidR="00D616F6">
        <w:rPr>
          <w:rFonts w:asciiTheme="minorHAnsi" w:hAnsiTheme="minorHAnsi"/>
          <w:sz w:val="24"/>
          <w:lang w:eastAsia="zh-CN"/>
        </w:rPr>
        <w:t>metodolooxías</w:t>
      </w:r>
      <w:proofErr w:type="spellEnd"/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9C730F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12. Analízanse e coméntanse co alumnado os aspectos máis significativos derivados da corrección das probas,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9C730F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secuenciación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programas de apoio, recuperación, etc.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0B947B0"/>
    <w:multiLevelType w:val="hybridMultilevel"/>
    <w:tmpl w:val="D090B3F8"/>
    <w:lvl w:ilvl="0" w:tplc="9D22B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E7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62C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05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04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FAE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82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AD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F8F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A22F3"/>
    <w:multiLevelType w:val="hybridMultilevel"/>
    <w:tmpl w:val="084CB176"/>
    <w:lvl w:ilvl="0" w:tplc="1DE2E268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342E3732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EC341BA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D9841D92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D21C1792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8E606FF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7EC4C320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26C6E80E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34E1F72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2A5CC1"/>
    <w:multiLevelType w:val="hybridMultilevel"/>
    <w:tmpl w:val="A4CC9740"/>
    <w:lvl w:ilvl="0" w:tplc="0C0A000F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475A5"/>
    <w:multiLevelType w:val="multilevel"/>
    <w:tmpl w:val="345292FA"/>
    <w:lvl w:ilvl="0">
      <w:start w:val="1"/>
      <w:numFmt w:val="decimal"/>
      <w:pStyle w:val="tt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E4B5DFF"/>
    <w:multiLevelType w:val="hybridMultilevel"/>
    <w:tmpl w:val="AC3AC214"/>
    <w:lvl w:ilvl="0" w:tplc="6FF217B8">
      <w:start w:val="1"/>
      <w:numFmt w:val="lowerLetter"/>
      <w:lvlText w:val="%1)"/>
      <w:lvlJc w:val="left"/>
      <w:pPr>
        <w:ind w:left="1004" w:hanging="360"/>
      </w:pPr>
    </w:lvl>
    <w:lvl w:ilvl="1" w:tplc="53C65B16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88CB4E0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993293CC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6BAB486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9AAE1D4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3402943C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5866C09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C45A27E6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33B563B"/>
    <w:multiLevelType w:val="hybridMultilevel"/>
    <w:tmpl w:val="8B107254"/>
    <w:lvl w:ilvl="0" w:tplc="11DEE2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A2911"/>
    <w:multiLevelType w:val="hybridMultilevel"/>
    <w:tmpl w:val="31DE5B08"/>
    <w:lvl w:ilvl="0" w:tplc="0C0A0017">
      <w:start w:val="1"/>
      <w:numFmt w:val="bullet"/>
      <w:pStyle w:val="txcentrado"/>
      <w:lvlText w:val="­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1">
    <w:nsid w:val="2C892FAF"/>
    <w:multiLevelType w:val="hybridMultilevel"/>
    <w:tmpl w:val="16922936"/>
    <w:lvl w:ilvl="0" w:tplc="51EE7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2932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2AFEB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580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8A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6E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660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AE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AC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04B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C08AEEDA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E1089208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B6F2F7B8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E05A9678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159C694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A314E15C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2488D9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7FB00260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9A5C6B6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2C9E2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42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6B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08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85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B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89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CB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1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03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7BA589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0C0A000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8FCCEE8A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C0A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87BA58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87BA589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0C0A0001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3"/>
  </w:num>
  <w:num w:numId="5">
    <w:abstractNumId w:val="4"/>
  </w:num>
  <w:num w:numId="6">
    <w:abstractNumId w:val="22"/>
  </w:num>
  <w:num w:numId="7">
    <w:abstractNumId w:val="16"/>
  </w:num>
  <w:num w:numId="8">
    <w:abstractNumId w:val="8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19"/>
  </w:num>
  <w:num w:numId="14">
    <w:abstractNumId w:val="14"/>
  </w:num>
  <w:num w:numId="15">
    <w:abstractNumId w:val="2"/>
  </w:num>
  <w:num w:numId="16">
    <w:abstractNumId w:val="18"/>
  </w:num>
  <w:num w:numId="17">
    <w:abstractNumId w:val="17"/>
  </w:num>
  <w:num w:numId="18">
    <w:abstractNumId w:val="12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0"/>
  </w:num>
  <w:num w:numId="23">
    <w:abstractNumId w:val="10"/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57082"/>
    <w:rsid w:val="00066A12"/>
    <w:rsid w:val="00074CB8"/>
    <w:rsid w:val="000A5BD7"/>
    <w:rsid w:val="000B7E87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A0CD1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11718"/>
    <w:rsid w:val="00320DF8"/>
    <w:rsid w:val="003314CA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5588F"/>
    <w:rsid w:val="00465C6E"/>
    <w:rsid w:val="004915DF"/>
    <w:rsid w:val="004B6889"/>
    <w:rsid w:val="00506C2A"/>
    <w:rsid w:val="00536BC6"/>
    <w:rsid w:val="005C6309"/>
    <w:rsid w:val="006320DC"/>
    <w:rsid w:val="00634F91"/>
    <w:rsid w:val="00636E04"/>
    <w:rsid w:val="00677105"/>
    <w:rsid w:val="006A215C"/>
    <w:rsid w:val="006A4DF7"/>
    <w:rsid w:val="006C0D57"/>
    <w:rsid w:val="006F3EA5"/>
    <w:rsid w:val="00716F78"/>
    <w:rsid w:val="0073091B"/>
    <w:rsid w:val="00760767"/>
    <w:rsid w:val="007636DC"/>
    <w:rsid w:val="007A6B32"/>
    <w:rsid w:val="007F72EC"/>
    <w:rsid w:val="008133B3"/>
    <w:rsid w:val="008146B3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85394"/>
    <w:rsid w:val="009B601C"/>
    <w:rsid w:val="009C730F"/>
    <w:rsid w:val="009F0A8A"/>
    <w:rsid w:val="00A07354"/>
    <w:rsid w:val="00A35A38"/>
    <w:rsid w:val="00A52C76"/>
    <w:rsid w:val="00A74099"/>
    <w:rsid w:val="00A906DA"/>
    <w:rsid w:val="00A94A3A"/>
    <w:rsid w:val="00AD6637"/>
    <w:rsid w:val="00AE49AA"/>
    <w:rsid w:val="00B009F2"/>
    <w:rsid w:val="00B154ED"/>
    <w:rsid w:val="00B16DBE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CF1BC7"/>
    <w:rsid w:val="00D00878"/>
    <w:rsid w:val="00D04D02"/>
    <w:rsid w:val="00D04D15"/>
    <w:rsid w:val="00D15B5A"/>
    <w:rsid w:val="00D422AA"/>
    <w:rsid w:val="00D616F6"/>
    <w:rsid w:val="00D64DA2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74EE2"/>
    <w:rsid w:val="00F77652"/>
    <w:rsid w:val="00F84940"/>
    <w:rsid w:val="00F9625A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ttp2">
    <w:name w:val="_ttp2"/>
    <w:basedOn w:val="ttp1"/>
    <w:qFormat/>
    <w:rsid w:val="00311718"/>
    <w:pPr>
      <w:numPr>
        <w:numId w:val="25"/>
      </w:numPr>
      <w:ind w:left="454" w:hanging="227"/>
    </w:pPr>
  </w:style>
  <w:style w:type="paragraph" w:customStyle="1" w:styleId="txcentrado">
    <w:name w:val="_tx_centrado"/>
    <w:basedOn w:val="Normal"/>
    <w:qFormat/>
    <w:rsid w:val="00311718"/>
    <w:pPr>
      <w:numPr>
        <w:numId w:val="24"/>
      </w:numPr>
      <w:tabs>
        <w:tab w:val="clear" w:pos="851"/>
      </w:tabs>
      <w:autoSpaceDE/>
      <w:autoSpaceDN/>
      <w:adjustRightInd/>
      <w:spacing w:before="180" w:line="320" w:lineRule="exact"/>
      <w:ind w:left="0" w:firstLine="0"/>
      <w:jc w:val="center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5280</Words>
  <Characters>31089</Characters>
  <Application>Microsoft Office Word</Application>
  <DocSecurity>0</DocSecurity>
  <Lines>259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7</cp:revision>
  <cp:lastPrinted>2015-10-15T09:37:00Z</cp:lastPrinted>
  <dcterms:created xsi:type="dcterms:W3CDTF">2016-03-07T21:20:00Z</dcterms:created>
  <dcterms:modified xsi:type="dcterms:W3CDTF">2019-11-18T08:26:00Z</dcterms:modified>
</cp:coreProperties>
</file>