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E4" w:rsidRDefault="00A608E4" w:rsidP="00482C83">
      <w:pPr>
        <w:ind w:left="284" w:firstLine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482C83" w:rsidRPr="00482C83" w:rsidRDefault="00482C83" w:rsidP="00482C83">
      <w:pPr>
        <w:ind w:left="284" w:firstLine="0"/>
        <w:jc w:val="center"/>
        <w:rPr>
          <w:rFonts w:asciiTheme="minorHAnsi" w:hAnsiTheme="minorHAnsi"/>
          <w:b/>
          <w:sz w:val="32"/>
          <w:szCs w:val="32"/>
        </w:rPr>
      </w:pPr>
      <w:r w:rsidRPr="00482C83">
        <w:rPr>
          <w:rFonts w:asciiTheme="minorHAnsi" w:hAnsiTheme="minorHAnsi"/>
          <w:b/>
          <w:sz w:val="32"/>
          <w:szCs w:val="32"/>
        </w:rPr>
        <w:t>EDUCACIÓN ARTÍSTICA (PLÁSTICA)-2º DE EDUCACIÓN PRIMARIA-PROGRAMACIÓN DIDÁCTICA</w:t>
      </w:r>
    </w:p>
    <w:p w:rsidR="00482C83" w:rsidRDefault="00482C83" w:rsidP="00066A12">
      <w:pPr>
        <w:rPr>
          <w:rFonts w:asciiTheme="minorHAnsi" w:hAnsiTheme="minorHAnsi"/>
          <w:b/>
          <w:spacing w:val="1"/>
          <w:sz w:val="24"/>
        </w:rPr>
      </w:pPr>
    </w:p>
    <w:p w:rsidR="00482C83" w:rsidRDefault="00482C83" w:rsidP="00066A12">
      <w:pPr>
        <w:rPr>
          <w:rFonts w:asciiTheme="minorHAnsi" w:hAnsiTheme="minorHAnsi"/>
          <w:b/>
          <w:spacing w:val="1"/>
          <w:sz w:val="24"/>
        </w:rPr>
      </w:pPr>
    </w:p>
    <w:p w:rsidR="00482C83" w:rsidRDefault="00482C83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Pr="008F3ED7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3</w:t>
      </w:r>
      <w:r w:rsidR="00066A12" w:rsidRPr="008F3ED7">
        <w:rPr>
          <w:rFonts w:asciiTheme="minorHAnsi" w:hAnsiTheme="minorHAnsi"/>
          <w:b/>
          <w:sz w:val="24"/>
        </w:rPr>
        <w:t xml:space="preserve">.- Vinculación entre obxectivos, contidos, criterios de avaliación, estándares de aprendizaxe e competencias clave. </w:t>
      </w:r>
    </w:p>
    <w:p w:rsidR="00057082" w:rsidRDefault="00057082" w:rsidP="00D85203">
      <w:pPr>
        <w:ind w:firstLine="0"/>
        <w:rPr>
          <w:rFonts w:asciiTheme="minorHAnsi" w:hAnsiTheme="minorHAnsi"/>
          <w:b/>
          <w:spacing w:val="1"/>
          <w:sz w:val="24"/>
        </w:rPr>
      </w:pPr>
    </w:p>
    <w:p w:rsidR="00311718" w:rsidRPr="008133B3" w:rsidRDefault="00311718" w:rsidP="00311718"/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203"/>
        <w:gridCol w:w="3941"/>
        <w:gridCol w:w="3529"/>
        <w:gridCol w:w="4011"/>
        <w:gridCol w:w="1432"/>
      </w:tblGrid>
      <w:tr w:rsidR="00311718" w:rsidRPr="00311718" w:rsidTr="00311718">
        <w:trPr>
          <w:tblHeader/>
        </w:trPr>
        <w:tc>
          <w:tcPr>
            <w:tcW w:w="1203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ÁREA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EDUCACIÓN ARTÍSTICA (EDUCACIÓN MUSICAL)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SEGUNDO</w:t>
            </w:r>
          </w:p>
        </w:tc>
      </w:tr>
      <w:tr w:rsidR="00311718" w:rsidRPr="00311718" w:rsidTr="00311718">
        <w:trPr>
          <w:tblHeader/>
        </w:trPr>
        <w:tc>
          <w:tcPr>
            <w:tcW w:w="1203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Obxectivos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Contidos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Criterios de avaliación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Competencias </w:t>
            </w:r>
          </w:p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clave</w:t>
            </w:r>
          </w:p>
        </w:tc>
      </w:tr>
      <w:tr w:rsidR="00311718" w:rsidRPr="00311718" w:rsidTr="00311718">
        <w:tc>
          <w:tcPr>
            <w:tcW w:w="14116" w:type="dxa"/>
            <w:gridSpan w:val="5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BLOQUE 1. ESCOITA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B1.1. As calidades do son: timbre, duración, altura e intensidade.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B1.2. Identificación de trazos distintivos de sons do contexto natural e social.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B1.3. Representación corporal e gráfica de sons de diferentes características.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 xml:space="preserve">B1.4. Utilización de xogos e aplicacións informáticas educativas sinxelas para a 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 xml:space="preserve">discriminación auditiva. </w:t>
            </w:r>
          </w:p>
          <w:p w:rsidR="00311718" w:rsidRPr="00311718" w:rsidRDefault="00311718" w:rsidP="00311718">
            <w:pPr>
              <w:pStyle w:val="ttp2"/>
              <w:numPr>
                <w:ilvl w:val="0"/>
                <w:numId w:val="24"/>
              </w:numPr>
              <w:ind w:left="454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Curiosidade por descubrir os sons do contexto e as súas características.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B1.5. Audición de pezas vocais e identificación de voces femininas, masculinas e infantís.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B1.6. Recoñecemento visual e auditivo, e denominación dalgúns instrumentos musicais da aula e da música escoitada e interpretada no contexto do alumnado.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B1.1. Explorar, escoitar e describir calidades e características de materiais, obxectos, sons e instrumentos presentes no contexto natural.</w:t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EMB1.1.1. Manipula e explora as calidades sonoras do corpo, dos instrumentos, dos obxectos, dos animais e da voz.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EMB1.1.2. Representa graficamente ou corporalmente estas calidades: son curto, longo, ascendente e descendente, forte, piano, agudo e grave.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EMB1.1.3. Recoñece e discrimina os sons do seu contexto.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EMB1.1.4. Utiliza aplicacións informáticas e xogos para a discriminación auditiva das calidades traballadas.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EMB1.1.5. Identifica voces masculinas, femininas e infantís.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394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B1.7. Audición de pezas vocais e instrumentais.</w:t>
            </w:r>
          </w:p>
        </w:tc>
        <w:tc>
          <w:tcPr>
            <w:tcW w:w="3529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B1.2. Manter unha actitude de respecto e de escoita activa.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EMB1.2.1. Respecta os tempos de silencio para o bo estudo dos sons e a escoita das audicións.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B1.8. Audición activa e recoñecemento dunha selección de pezas musicais breves, de culturas e de estilos diferentes.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B1.9. Audición activa dalgunha peza do repertorio tradicional galego.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B1.10. Identificación das principais profesións relacionados coa música e da actividade que desenvolven (composición, dirección, instrumentista e público).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B1.3. Coñecer obras curtas de distintos estilos e de diferente autoría.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EMB1.3.1. Coñece algunhas persoas compositoras e relaciónaas coas súas obras.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EMB1.3.2. Coñece as figuras de compositor/ora, director/ora de orquestra, instrumentista e público, así como as súas funcións, respectando e valorando os seus respectivos traballos.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B1.11. Comunicación oral das impresións que causa a música escoitada.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B1.12. Normas básicas de comportamento en concertos e outras representacións musicais.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B1.4. Comunicar as sensacións e as impresións sentidas na audición, utilizando un vocabulario adecuado.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EMB1.4.1. Representa mediante diferentes técnicas os aspectos básicos dunha audición e os sentimentos que suscitou.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EMB1.4.2. Emprega vocabulario básico musical adaptado ao seu nivel.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EMB1.4.3. Coñece e respecta as normas de comportamento básicas en concertos e outras representacións musicais.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B1.13. Elementos da música: tempo (adagio, andante e allegro), dinámica e carácter.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B1.14. Distinción e representación corporal ou gráfica dalgúns elementos da música escoitada.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B1.15. Forma musical: repetición e contraste.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B1.16. Identificación da repetición (AA) e o contraste (AB) en cancións e obras musicais.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B1.17. Pulso e acento. Compás binario.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B1.5. Identificar e expresar a través de diferentes linguaxes algúns dos elementos dunha obra musical (timbre, velocidade, intensidade ou carácter).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EMB1.5.1. Coñece, identifica e representa elementos básicos da linguaxe musical: pulsación, longo, curto, rápido, lento, forte, piano, son, silencio, agudo, grave, pentagrama (liñas e espazos), clave de sol, branca, negra e parella de corcheas.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EMB1.5.2. Utiliza notación non convencional para representar elementos do son.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EMB1.5.3. Utiliza aplicacións informáticas sinxelas para realizar actividades musicais.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j</w:t>
            </w:r>
          </w:p>
        </w:tc>
        <w:tc>
          <w:tcPr>
            <w:tcW w:w="394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B1.18. As familias de instrumentos: vento, corda e percusión.</w:t>
            </w:r>
          </w:p>
        </w:tc>
        <w:tc>
          <w:tcPr>
            <w:tcW w:w="3529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B1.6. Recoñecer e clasificar algún instrumento por familias instrumentais.</w:t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EMB1.6.1. Recoñece e identifica algúns instrumentos, e clasifícaos por familias.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4116" w:type="dxa"/>
            <w:gridSpan w:val="5"/>
            <w:shd w:val="clear" w:color="auto" w:fill="auto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BLOQUE 2. INTERPRETACIÓN MUSICAL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B2.1. Exploración das posibilidades sonoras da voz, o corpo e os obxectos.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B2.2. Construción de instrumentos musicais sinxelos con obxectos de uso cotián.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B2.1. Coñecer e utilizar as posibilidades sonoras e musicais do corpo e doutros obxectos, manipulando distintos materiais como fonte de son.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EMB2.1.1. Repite esquemas rítmicos escoitados.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EMB2.1.2. Crea pequenos instrumentos con materiais de reciclaxe.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</w:tc>
        <w:tc>
          <w:tcPr>
            <w:tcW w:w="394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B2.3. Iniciación á frauta doce. O xilófono e o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metalófono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29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B2.2. Coñecer e manexar a frauta doce e algún instrumento de aula.</w:t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EMB2.2.1. Consegue tocar algún fragmento melódico ou rítmico, ou acompañamento sinxelo, coa frauta e dos instrumentos da aula.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B2.4. Práctica de xogos de relaxación, respiración, dicción e coordinación.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B2.5. Imitación de fórmulas melódicas.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B2.6. Interpretación e memorización de ladaíñas e cancións ao unísono.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B2.3. Exercitar as vocalizacións e as pronuncias interpretando un pequeno repertorio de cancións sinxelas e practicando a improvisación.</w:t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EMB2.3.1. Interpreta individualmente ou en grupo un pequeno repertorio de cancións sinxelas.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EMB2.3.2. Realiza pequenas improvisacións melódicas sobre algunha base dada.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EMB2.3.3. Fai de xeito consciente o proceso da respiración.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EM2.3.4. Le e interpreta con ritmo ladaíñas e cancións ao unísono.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B2.7. Imitación de fórmulas rítmicas.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B2.8. Lectura e interpretación de partituras sinxelas con grafías non convencionais e de esquemas rítmicos e melódicos elementais con notación tradicional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B2.9. Notación musical e grafías non convencionais como medio de representación da música. Colocación dalgunha nota no pentagrama.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B2.10. Utilización da percusión corporal e os instrumentos como recursos para o acompañamento de textos, cancións e danzas.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B2.11. Selección e combinación de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ostinatos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rítmicos e efectos sonoros para o acompañamento de recitacións, cancións e pezas instrumentais.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B2.12. Selección de sons vocais, obxectos e instrumentos para a sonorización de situacións, relatos breves e imaxes.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B2.13. Improvisación de esquemas </w:t>
            </w: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rítmicos e melódicos mediante o procedemento de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pregunta-resposta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B2.4. Reproducir, crear e representar esquemas rítmicos e melódicos coa voz, o corpo, os instrumentos e patróns de movemento.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EMB2.4.1. Acompaña cancións, danzas e textos con fórmulas rítmicas básicas.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EMB2.4.2. Identifica a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pregunta-resposta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con motivos melódicos e rítmicos.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EMB2.4.3. Le e crea pequenos esquemas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rítmico-melódicos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con brancas, negras e silencio de negra, engadindo a clave de sol.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EMB2.4.4. Elixe e combina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ostinatos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rítmicos e efectos sonoros para o acompañamento de recitacións, cancións e pezas instrumentais, con identificación da súa grafía.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EMB2.4.5. Elixe e combina sons vocais, obxectos e instrumentos para a sonorización de situacións, relatos breves e imaxes, con identificación da súa grafía.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311718" w:rsidRPr="00311718" w:rsidTr="00311718">
        <w:tc>
          <w:tcPr>
            <w:tcW w:w="14116" w:type="dxa"/>
            <w:gridSpan w:val="5"/>
            <w:shd w:val="clear" w:color="auto" w:fill="auto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BLOQUE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311718">
                <w:rPr>
                  <w:rFonts w:asciiTheme="minorHAnsi" w:hAnsiTheme="minorHAnsi"/>
                  <w:sz w:val="22"/>
                  <w:szCs w:val="22"/>
                </w:rPr>
                <w:t>3. A</w:t>
              </w:r>
            </w:smartTag>
            <w:r w:rsidRPr="00311718">
              <w:rPr>
                <w:rFonts w:asciiTheme="minorHAnsi" w:hAnsiTheme="minorHAnsi"/>
                <w:sz w:val="22"/>
                <w:szCs w:val="22"/>
              </w:rPr>
              <w:t xml:space="preserve"> MÚSICA O MOVEMENTO E A DANZA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B3.1. Práctica de técnicas básicas do movemento: mobilización funcional, movementos fundamentais de locomoción e deseños no espazo.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B3.1. Realizar pequenas coreografías.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EMB3.1.1. Realiza pequenas coreografías en grupo, adecuando o movemento corporal coa música.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EMB3.1.2.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Interactúa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adecuadamente cos compañeiros e coas compañeiras, amosando interese e respectando as normas e as intervencións das demais persoas.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311718" w:rsidRPr="00311718" w:rsidTr="00311718">
        <w:tc>
          <w:tcPr>
            <w:tcW w:w="1203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941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B3.2. Práctica de xogos motores acompañados de secuencias sonoras, cancións e pezas musicais, e interpretación de danzas sinxelas.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B3.3. Práctica dalgunha danza tradicional galega.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B3.4. Improvisación de movementos en resposta a diferentes estímulos sonoros.</w:t>
            </w:r>
          </w:p>
        </w:tc>
        <w:tc>
          <w:tcPr>
            <w:tcW w:w="3529" w:type="dxa"/>
            <w:vMerge w:val="restart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B3.2. Coñecer e valorar as posibilidades sonoras, de movemento e expresivas do corpo.</w:t>
            </w: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EMB3.2.1. Responde co seu corpo a estímulos sonoros.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EMB3.2.2. Coordina extremidades superiores e inferiores nos desprazamentos coa música.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311718" w:rsidRPr="00311718" w:rsidTr="00311718">
        <w:tc>
          <w:tcPr>
            <w:tcW w:w="1203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9" w:type="dxa"/>
            <w:vMerge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011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EMB3.2.3. Identifica e utiliza o corpo como instrumento para a expresión de sentimentos e emocións.</w:t>
            </w:r>
          </w:p>
        </w:tc>
        <w:tc>
          <w:tcPr>
            <w:tcW w:w="1432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</w:tbl>
    <w:p w:rsidR="00311718" w:rsidRPr="008133B3" w:rsidRDefault="00311718" w:rsidP="00311718"/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482C83" w:rsidRDefault="00482C83" w:rsidP="00066A12">
      <w:pPr>
        <w:rPr>
          <w:rFonts w:asciiTheme="minorHAnsi" w:hAnsiTheme="minorHAnsi"/>
          <w:b/>
          <w:sz w:val="24"/>
        </w:rPr>
      </w:pPr>
    </w:p>
    <w:p w:rsidR="00066A12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4</w:t>
      </w:r>
      <w:r w:rsidR="00066A12" w:rsidRPr="008F3ED7">
        <w:rPr>
          <w:rFonts w:asciiTheme="minorHAnsi" w:hAnsiTheme="minorHAnsi"/>
          <w:b/>
          <w:sz w:val="24"/>
        </w:rPr>
        <w:t>.- Vinculación entre estándares de aprendizaxe</w:t>
      </w:r>
      <w:r w:rsidR="0033432B">
        <w:rPr>
          <w:rFonts w:asciiTheme="minorHAnsi" w:hAnsiTheme="minorHAnsi"/>
          <w:b/>
          <w:sz w:val="24"/>
        </w:rPr>
        <w:t xml:space="preserve">, con indicación dos mínimos esixibles para </w:t>
      </w:r>
      <w:proofErr w:type="spellStart"/>
      <w:r w:rsidR="0033432B">
        <w:rPr>
          <w:rFonts w:asciiTheme="minorHAnsi" w:hAnsiTheme="minorHAnsi"/>
          <w:b/>
          <w:sz w:val="24"/>
        </w:rPr>
        <w:t>promocionar</w:t>
      </w:r>
      <w:proofErr w:type="spellEnd"/>
      <w:r w:rsidR="0033432B">
        <w:rPr>
          <w:rFonts w:asciiTheme="minorHAnsi" w:hAnsiTheme="minorHAnsi"/>
          <w:b/>
          <w:sz w:val="24"/>
        </w:rPr>
        <w:t>,</w:t>
      </w:r>
      <w:r w:rsidR="00066A12" w:rsidRPr="008F3ED7">
        <w:rPr>
          <w:rFonts w:asciiTheme="minorHAnsi" w:hAnsiTheme="minorHAnsi"/>
          <w:b/>
          <w:sz w:val="24"/>
        </w:rPr>
        <w:t xml:space="preserve"> </w:t>
      </w:r>
      <w:r w:rsidR="0033432B">
        <w:rPr>
          <w:rFonts w:asciiTheme="minorHAnsi" w:hAnsiTheme="minorHAnsi"/>
          <w:b/>
          <w:sz w:val="24"/>
        </w:rPr>
        <w:t xml:space="preserve">e </w:t>
      </w:r>
      <w:r w:rsidR="00066A12" w:rsidRPr="008F3ED7">
        <w:rPr>
          <w:rFonts w:asciiTheme="minorHAnsi" w:hAnsiTheme="minorHAnsi"/>
          <w:b/>
          <w:sz w:val="24"/>
        </w:rPr>
        <w:t>instrumentos de avaliación e criterios de cualificación.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311718" w:rsidRDefault="00311718" w:rsidP="00311718"/>
    <w:tbl>
      <w:tblPr>
        <w:tblW w:w="4994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164"/>
        <w:gridCol w:w="709"/>
        <w:gridCol w:w="708"/>
        <w:gridCol w:w="709"/>
        <w:gridCol w:w="709"/>
        <w:gridCol w:w="3544"/>
        <w:gridCol w:w="1556"/>
      </w:tblGrid>
      <w:tr w:rsidR="00311718" w:rsidRPr="00311718" w:rsidTr="00311718">
        <w:trPr>
          <w:tblHeader/>
        </w:trPr>
        <w:tc>
          <w:tcPr>
            <w:tcW w:w="6164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Criterios de cualificación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  <w:vAlign w:val="center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BLOQUE 1. ESCOITA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EMB1.1.1. Manipula e explora as calidades sonoras do corpo, dos instrumentos, dos obxectos, dos animais e da voz.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EMB1.1.2. Representa graficamente ou corporalmente estas calidades: son curto, longo, ascendente e descendente, forte, piano, agudo e grave.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EMB1.1.3. Recoñece e discrimina os sons do seu contexto.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EMB1.1.4. Utiliza aplicacións informáticas e xogos para a discriminación auditiva das calidades traballadas.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EMB1.1.5. Identifica voces masculinas, femininas e infantís.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EMB1.2.1. Respecta os tempos de silencio para o bo estudo dos sons e a escoita das audicións.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EMB1.3.1. Coñece algunhas persoas compositoras e relaciónaas coas súas obras.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Probas escritas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20 %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EMB1.3.2. Coñece as figuras de compositor/ora, director/ora de </w:t>
            </w: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orquestra, instrumentista e público, así como as súas funcións, respectando e valorando os seus respectivos traballos.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Probas escritas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80 %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20 %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EMB1.4.1. Representa mediante diferentes técnicas os aspectos básicos dunha audición e os sentimentos que suscitou.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EMB1.4.2. Emprega vocabulario básico musical adaptado ao seu nivel.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Probas escritas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20 %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EMB1.4.3. Coñece e respecta as normas de comportamento básicas en concertos e outras representacións musicais.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EMB1.5.1. Coñece, identifica e representa elementos básicos da linguaxe musical: pulsación, longo, curto, rápido, lento, forte, piano, son, silencio, agudo, grave, pentagrama (liñas e espazos), clave de sol, branca, negra e parella de corcheas.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EMB1.5.2. Utiliza notación non convencional para representar elementos do son.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Probas escritas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20 %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EMB1.5.3. Utiliza aplicacións informáticas sinxelas para realizar actividades musicais.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EMB1.6.1. Recoñece e identifica algúns instrumentos, e clasifícaos por familias.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Probas escritas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40 %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20 %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BLOQUE 2. INTERPRETACIÓN MUSICAL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EMB2.1.1. Repite esquemas rítmicos escoitados.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EMB2.1.2. Crea pequenos instrumentos con materiais de reciclaxe.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EMB2.2.1. Consegue tocar algún fragmento melódico ou rítmico, ou acompañamento sinxelo, coa frauta e dos instrumentos da aula.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EMB2.3.1. Interpreta individualmente ou en grupo un pequeno repertorio de cancións sinxelas.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EMB2.3.2. Realiza pequenas improvisacións melódicas sobre algunha base dada.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EMB2.3.3. Fai de xeito consciente o proceso da respiración.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EM2.3.4. Le e interpreta con ritmo ladaíñas e cancións ao unísono.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EMB2.4.1. Acompaña cancións, danzas e textos con fórmulas rítmicas básicas.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EMB2.4.2. Identifica a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pregunta-resposta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con motivos melódicos </w:t>
            </w: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e rítmicos.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EMB2.4.3. Le e crea pequenos esquemas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rítmico-melódicos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con brancas, negras e silencio de negra, engadindo a clave de sol.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EMB2.4.4. Elixe e combina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ostinatos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rítmicos e efectos sonoros para o acompañamento de recitacións, cancións e pezas instrumentais, con identificación da súa grafía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EMB2.4.5. Elixe e combina sons vocais, obxectos e instrumentos para a sonorización de situacións, relatos breves e imaxes, con identificación da súa grafía.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Intercambios orais cos alumnos</w:t>
            </w: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BLOQUE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311718">
                <w:rPr>
                  <w:rFonts w:asciiTheme="minorHAnsi" w:hAnsiTheme="minorHAnsi"/>
                  <w:sz w:val="22"/>
                  <w:szCs w:val="22"/>
                </w:rPr>
                <w:t>3. A</w:t>
              </w:r>
            </w:smartTag>
            <w:r w:rsidRPr="00311718">
              <w:rPr>
                <w:rFonts w:asciiTheme="minorHAnsi" w:hAnsiTheme="minorHAnsi"/>
                <w:sz w:val="22"/>
                <w:szCs w:val="22"/>
              </w:rPr>
              <w:t xml:space="preserve"> MÚSICA O MOVEMENTO E A DANZA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EMB3.1.1. Realiza pequenas coreografías en grupo, adecuando o movemento corporal coa música.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Análise de producións dos alumnos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50 %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 xml:space="preserve">EMB3.1.2. </w:t>
            </w:r>
            <w:proofErr w:type="spellStart"/>
            <w:r w:rsidRPr="00311718">
              <w:rPr>
                <w:rFonts w:asciiTheme="minorHAnsi" w:hAnsiTheme="minorHAnsi"/>
                <w:sz w:val="22"/>
                <w:szCs w:val="22"/>
              </w:rPr>
              <w:t>Interactúa</w:t>
            </w:r>
            <w:proofErr w:type="spellEnd"/>
            <w:r w:rsidRPr="00311718">
              <w:rPr>
                <w:rFonts w:asciiTheme="minorHAnsi" w:hAnsiTheme="minorHAnsi"/>
                <w:sz w:val="22"/>
                <w:szCs w:val="22"/>
              </w:rPr>
              <w:t xml:space="preserve"> adecuadamente cos compañeiros e coas compañeiras, amosando interese e respectando as normas e as intervencións das demais persoas.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EMB3.2.1. Responde co seu corpo a estímulos sonoros.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EMB3.2.2. Coordina extremidades superiores e inferiores nos desprazamentos coa música.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t>100 %</w:t>
            </w:r>
          </w:p>
        </w:tc>
      </w:tr>
      <w:tr w:rsidR="00311718" w:rsidRPr="00311718" w:rsidTr="00311718">
        <w:tc>
          <w:tcPr>
            <w:tcW w:w="6164" w:type="dxa"/>
            <w:shd w:val="clear" w:color="auto" w:fill="auto"/>
          </w:tcPr>
          <w:p w:rsidR="00311718" w:rsidRPr="00311718" w:rsidRDefault="00311718" w:rsidP="00BD3BCA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 xml:space="preserve">EMB3.2.3. Identifica e utiliza o corpo como instrumento para a </w:t>
            </w: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expresión de sentimentos e emocións.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</w:tcPr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eastAsia="Arial" w:hAnsiTheme="minorHAnsi"/>
                <w:sz w:val="22"/>
                <w:szCs w:val="22"/>
              </w:rPr>
              <w:t>Observación sistemática</w:t>
            </w:r>
          </w:p>
          <w:p w:rsidR="00311718" w:rsidRPr="00311718" w:rsidRDefault="00311718" w:rsidP="00BD3BCA">
            <w:pPr>
              <w:pStyle w:val="ttp1"/>
              <w:numPr>
                <w:ilvl w:val="0"/>
                <w:numId w:val="0"/>
              </w:numPr>
              <w:ind w:left="227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11718" w:rsidRPr="00311718" w:rsidRDefault="00311718" w:rsidP="00311718">
            <w:pPr>
              <w:pStyle w:val="ttp1"/>
              <w:numPr>
                <w:ilvl w:val="0"/>
                <w:numId w:val="0"/>
              </w:numPr>
              <w:ind w:left="227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311718">
              <w:rPr>
                <w:rFonts w:asciiTheme="minorHAnsi" w:hAnsiTheme="minorHAnsi"/>
                <w:sz w:val="22"/>
                <w:szCs w:val="22"/>
              </w:rPr>
              <w:lastRenderedPageBreak/>
              <w:t>100 %</w:t>
            </w:r>
          </w:p>
        </w:tc>
      </w:tr>
    </w:tbl>
    <w:p w:rsidR="00311718" w:rsidRDefault="00311718" w:rsidP="00311718"/>
    <w:p w:rsidR="006F3EA5" w:rsidRPr="008F3ED7" w:rsidRDefault="006F3EA5" w:rsidP="00B9798B">
      <w:pPr>
        <w:rPr>
          <w:rFonts w:asciiTheme="minorHAnsi" w:hAnsiTheme="minorHAnsi"/>
          <w:sz w:val="24"/>
        </w:rPr>
      </w:pP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CA08FA" w:rsidRPr="008F3ED7" w:rsidRDefault="009C730F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ensino-aprendizaxe.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r w:rsidR="00311718" w:rsidRPr="008F3ED7">
        <w:rPr>
          <w:rFonts w:asciiTheme="minorHAnsi" w:hAnsiTheme="minorHAnsi" w:cs="Arial"/>
          <w:b/>
          <w:bCs/>
          <w:sz w:val="24"/>
        </w:rPr>
        <w:t>estruturado</w:t>
      </w:r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</w:t>
      </w:r>
      <w:r w:rsidRPr="008F3ED7">
        <w:rPr>
          <w:rFonts w:asciiTheme="minorHAnsi" w:hAnsiTheme="minorHAnsi" w:cs="Arial"/>
          <w:sz w:val="24"/>
        </w:rPr>
        <w:lastRenderedPageBreak/>
        <w:t>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de texto: Música 2º. Melodía. Editorial </w:t>
      </w:r>
      <w:proofErr w:type="spellStart"/>
      <w:r>
        <w:rPr>
          <w:szCs w:val="22"/>
          <w:lang w:val="es-ES"/>
        </w:rPr>
        <w:t>Galinova</w:t>
      </w:r>
      <w:proofErr w:type="spellEnd"/>
      <w:r>
        <w:rPr>
          <w:szCs w:val="22"/>
          <w:lang w:val="es-ES"/>
        </w:rPr>
        <w:t xml:space="preserve">.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 w:rsidRPr="0090489B">
        <w:rPr>
          <w:szCs w:val="22"/>
          <w:lang w:val="es-ES"/>
        </w:rPr>
        <w:t xml:space="preserve">Recursos </w:t>
      </w:r>
      <w:proofErr w:type="spellStart"/>
      <w:r w:rsidRPr="0090489B">
        <w:rPr>
          <w:szCs w:val="22"/>
          <w:lang w:val="es-ES"/>
        </w:rPr>
        <w:t>fotocopiables</w:t>
      </w:r>
      <w:proofErr w:type="spellEnd"/>
      <w:r w:rsidRPr="0090489B">
        <w:rPr>
          <w:szCs w:val="22"/>
          <w:lang w:val="es-ES"/>
        </w:rPr>
        <w:t xml:space="preserve"> con actividades de </w:t>
      </w:r>
      <w:proofErr w:type="spellStart"/>
      <w:r w:rsidRPr="0090489B">
        <w:rPr>
          <w:szCs w:val="22"/>
          <w:lang w:val="es-ES"/>
        </w:rPr>
        <w:t>reforzo</w:t>
      </w:r>
      <w:proofErr w:type="spellEnd"/>
      <w:r w:rsidRPr="0090489B">
        <w:rPr>
          <w:szCs w:val="22"/>
          <w:lang w:val="es-ES"/>
        </w:rPr>
        <w:t xml:space="preserve"> e de ampliación. 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proofErr w:type="spellStart"/>
      <w:r>
        <w:rPr>
          <w:szCs w:val="22"/>
          <w:lang w:val="es-ES"/>
        </w:rPr>
        <w:t>Caderno</w:t>
      </w:r>
      <w:proofErr w:type="spellEnd"/>
      <w:r>
        <w:rPr>
          <w:szCs w:val="22"/>
          <w:lang w:val="es-ES"/>
        </w:rPr>
        <w:t xml:space="preserve"> do alumno con actividades de reforzó.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</w:t>
      </w:r>
      <w:proofErr w:type="spellStart"/>
      <w:r>
        <w:rPr>
          <w:szCs w:val="22"/>
          <w:lang w:val="es-ES"/>
        </w:rPr>
        <w:t>dixital</w:t>
      </w:r>
      <w:proofErr w:type="spellEnd"/>
      <w:r>
        <w:rPr>
          <w:szCs w:val="22"/>
          <w:lang w:val="es-ES"/>
        </w:rPr>
        <w:t xml:space="preserve"> para o profesor.</w:t>
      </w:r>
    </w:p>
    <w:p w:rsidR="00311718" w:rsidRPr="0090489B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Cd de audio para o profesor.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Material de aula: </w:t>
      </w:r>
      <w:r w:rsidRPr="00CA17DC">
        <w:rPr>
          <w:szCs w:val="22"/>
          <w:lang w:val="es-ES"/>
        </w:rPr>
        <w:t>Instrumentos</w:t>
      </w:r>
      <w:r>
        <w:rPr>
          <w:szCs w:val="22"/>
          <w:lang w:val="es-ES"/>
        </w:rPr>
        <w:t xml:space="preserve">, equipo de son, láminas, ordenador con conexión a internet, </w:t>
      </w:r>
      <w:proofErr w:type="spellStart"/>
      <w:r>
        <w:rPr>
          <w:szCs w:val="22"/>
          <w:lang w:val="es-ES"/>
        </w:rPr>
        <w:t>canón</w:t>
      </w:r>
      <w:proofErr w:type="spellEnd"/>
      <w:r>
        <w:rPr>
          <w:szCs w:val="22"/>
          <w:lang w:val="es-ES"/>
        </w:rPr>
        <w:t xml:space="preserve"> de video…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Guía didáctica.</w:t>
      </w:r>
    </w:p>
    <w:p w:rsidR="00311718" w:rsidRPr="00CA17DC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9C730F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9C730F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Ás clases de música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 w:rsidR="00D616F6">
        <w:rPr>
          <w:rFonts w:asciiTheme="minorHAnsi" w:hAnsiTheme="minorHAnsi"/>
          <w:sz w:val="24"/>
          <w:lang w:eastAsia="zh-CN"/>
        </w:rPr>
        <w:t>metodolooxías</w:t>
      </w:r>
      <w:proofErr w:type="spellEnd"/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</w:t>
      </w:r>
      <w:r w:rsidRPr="008F3ED7">
        <w:rPr>
          <w:rFonts w:asciiTheme="minorHAnsi" w:hAnsiTheme="minorHAnsi"/>
          <w:sz w:val="24"/>
          <w:lang w:eastAsia="zh-CN"/>
        </w:rPr>
        <w:lastRenderedPageBreak/>
        <w:t>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9C730F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9C730F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 xml:space="preserve">Adecuación da secuenciación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B947B0"/>
    <w:multiLevelType w:val="hybridMultilevel"/>
    <w:tmpl w:val="D090B3F8"/>
    <w:lvl w:ilvl="0" w:tplc="F3861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325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6C0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B24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6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BAD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64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C1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21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A22F3"/>
    <w:multiLevelType w:val="hybridMultilevel"/>
    <w:tmpl w:val="084CB176"/>
    <w:lvl w:ilvl="0" w:tplc="81BC6AF8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1D0A719C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BBADA78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DF6A82DA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4F5E588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4A224D24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D200CC3A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456EDD4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26ECD1A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2A5CC1"/>
    <w:multiLevelType w:val="hybridMultilevel"/>
    <w:tmpl w:val="A4CC9740"/>
    <w:lvl w:ilvl="0" w:tplc="0C0A000F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475A5"/>
    <w:multiLevelType w:val="multilevel"/>
    <w:tmpl w:val="345292FA"/>
    <w:lvl w:ilvl="0">
      <w:start w:val="1"/>
      <w:numFmt w:val="decimal"/>
      <w:pStyle w:val="tt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E4B5DFF"/>
    <w:multiLevelType w:val="hybridMultilevel"/>
    <w:tmpl w:val="AC3AC214"/>
    <w:lvl w:ilvl="0" w:tplc="A5AAF48A">
      <w:start w:val="1"/>
      <w:numFmt w:val="lowerLetter"/>
      <w:lvlText w:val="%1)"/>
      <w:lvlJc w:val="left"/>
      <w:pPr>
        <w:ind w:left="1004" w:hanging="360"/>
      </w:pPr>
    </w:lvl>
    <w:lvl w:ilvl="1" w:tplc="0EB6B4E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BD56275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4E94EEE2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E96C9986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597A39B6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5640541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D20AE9A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D88632E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33B563B"/>
    <w:multiLevelType w:val="hybridMultilevel"/>
    <w:tmpl w:val="8B107254"/>
    <w:lvl w:ilvl="0" w:tplc="11DEE2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A2911"/>
    <w:multiLevelType w:val="hybridMultilevel"/>
    <w:tmpl w:val="31DE5B08"/>
    <w:lvl w:ilvl="0" w:tplc="0C0A0017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2C892FAF"/>
    <w:multiLevelType w:val="hybridMultilevel"/>
    <w:tmpl w:val="16922936"/>
    <w:lvl w:ilvl="0" w:tplc="51EE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D09213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4A425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64D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E9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020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0A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08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A2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1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87BA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0C0A0001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0C0A000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FCCEE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87BA58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87BA589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CAA00F8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56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56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56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56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56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56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56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56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0C0A0001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3"/>
  </w:num>
  <w:num w:numId="5">
    <w:abstractNumId w:val="4"/>
  </w:num>
  <w:num w:numId="6">
    <w:abstractNumId w:val="22"/>
  </w:num>
  <w:num w:numId="7">
    <w:abstractNumId w:val="16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19"/>
  </w:num>
  <w:num w:numId="14">
    <w:abstractNumId w:val="14"/>
  </w:num>
  <w:num w:numId="15">
    <w:abstractNumId w:val="2"/>
  </w:num>
  <w:num w:numId="16">
    <w:abstractNumId w:val="18"/>
  </w:num>
  <w:num w:numId="17">
    <w:abstractNumId w:val="17"/>
  </w:num>
  <w:num w:numId="18">
    <w:abstractNumId w:val="12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A5BD7"/>
    <w:rsid w:val="000B7E87"/>
    <w:rsid w:val="001056DF"/>
    <w:rsid w:val="00116A7C"/>
    <w:rsid w:val="001236CB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11718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5037A"/>
    <w:rsid w:val="00465C6E"/>
    <w:rsid w:val="00482C83"/>
    <w:rsid w:val="004915DF"/>
    <w:rsid w:val="004B6889"/>
    <w:rsid w:val="00506C2A"/>
    <w:rsid w:val="00533862"/>
    <w:rsid w:val="00536BC6"/>
    <w:rsid w:val="005C6309"/>
    <w:rsid w:val="00634F91"/>
    <w:rsid w:val="00636E04"/>
    <w:rsid w:val="00677105"/>
    <w:rsid w:val="006A215C"/>
    <w:rsid w:val="006A4DF7"/>
    <w:rsid w:val="006C0D57"/>
    <w:rsid w:val="006F3EA5"/>
    <w:rsid w:val="00716F78"/>
    <w:rsid w:val="00760767"/>
    <w:rsid w:val="007636DC"/>
    <w:rsid w:val="007A6B32"/>
    <w:rsid w:val="007F72EC"/>
    <w:rsid w:val="008133B3"/>
    <w:rsid w:val="008146B3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B601C"/>
    <w:rsid w:val="009C730F"/>
    <w:rsid w:val="009F0A8A"/>
    <w:rsid w:val="00A07354"/>
    <w:rsid w:val="00A35A38"/>
    <w:rsid w:val="00A52C76"/>
    <w:rsid w:val="00A608E4"/>
    <w:rsid w:val="00A74099"/>
    <w:rsid w:val="00A906DA"/>
    <w:rsid w:val="00A94A3A"/>
    <w:rsid w:val="00AE49AA"/>
    <w:rsid w:val="00B009F2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C16F82"/>
    <w:rsid w:val="00C1766F"/>
    <w:rsid w:val="00C40910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422AA"/>
    <w:rsid w:val="00D616F6"/>
    <w:rsid w:val="00D64DA2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ttp2">
    <w:name w:val="_ttp2"/>
    <w:basedOn w:val="ttp1"/>
    <w:qFormat/>
    <w:rsid w:val="00311718"/>
    <w:pPr>
      <w:numPr>
        <w:numId w:val="25"/>
      </w:numPr>
      <w:ind w:left="454" w:hanging="227"/>
    </w:pPr>
  </w:style>
  <w:style w:type="paragraph" w:customStyle="1" w:styleId="txcentrado">
    <w:name w:val="_tx_centrado"/>
    <w:basedOn w:val="Normal"/>
    <w:qFormat/>
    <w:rsid w:val="00311718"/>
    <w:pPr>
      <w:numPr>
        <w:numId w:val="24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5967</Words>
  <Characters>33918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7</cp:revision>
  <cp:lastPrinted>2015-10-15T09:37:00Z</cp:lastPrinted>
  <dcterms:created xsi:type="dcterms:W3CDTF">2016-03-06T02:54:00Z</dcterms:created>
  <dcterms:modified xsi:type="dcterms:W3CDTF">2019-11-18T08:21:00Z</dcterms:modified>
</cp:coreProperties>
</file>