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4C" w:rsidRDefault="00CA2A4C" w:rsidP="00CA2A4C">
      <w:pPr>
        <w:ind w:firstLine="0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                                     CURSO ESCOLAR 2019-2020</w:t>
      </w:r>
    </w:p>
    <w:p w:rsidR="000E13E7" w:rsidRPr="000E13E7" w:rsidRDefault="00CA2A4C" w:rsidP="00CA2A4C">
      <w:pPr>
        <w:ind w:firstLine="0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CI</w:t>
      </w:r>
      <w:r w:rsidR="000E13E7">
        <w:rPr>
          <w:rFonts w:asciiTheme="minorHAnsi" w:hAnsiTheme="minorHAnsi"/>
          <w:b/>
          <w:sz w:val="36"/>
          <w:szCs w:val="36"/>
        </w:rPr>
        <w:t>ENCIAS DA NATUREZA</w:t>
      </w:r>
      <w:r w:rsidR="000E13E7" w:rsidRPr="00DF4404">
        <w:rPr>
          <w:rFonts w:asciiTheme="minorHAnsi" w:hAnsiTheme="minorHAnsi"/>
          <w:b/>
          <w:sz w:val="36"/>
          <w:szCs w:val="36"/>
        </w:rPr>
        <w:t>-1º DE EDUCACIÓN PRIMARIA-PROGRAMACIÓN DIDÁCTICA</w:t>
      </w:r>
    </w:p>
    <w:p w:rsidR="000E13E7" w:rsidRDefault="000E13E7" w:rsidP="00066A12">
      <w:pPr>
        <w:rPr>
          <w:rFonts w:asciiTheme="minorHAnsi" w:hAnsiTheme="minorHAnsi"/>
          <w:b/>
          <w:spacing w:val="1"/>
          <w:sz w:val="24"/>
        </w:rPr>
      </w:pPr>
    </w:p>
    <w:p w:rsidR="000E13E7" w:rsidRDefault="000E13E7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3B4D2A" w:rsidRDefault="003B4D2A" w:rsidP="003B4D2A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862DF2" w:rsidRDefault="00862DF2" w:rsidP="003B4D2A">
      <w:pPr>
        <w:ind w:firstLine="0"/>
        <w:rPr>
          <w:rFonts w:asciiTheme="minorHAnsi" w:hAnsiTheme="minorHAnsi"/>
          <w:b/>
          <w:sz w:val="24"/>
        </w:rPr>
      </w:pPr>
    </w:p>
    <w:tbl>
      <w:tblPr>
        <w:tblW w:w="14128" w:type="dxa"/>
        <w:tblInd w:w="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41"/>
        <w:gridCol w:w="3847"/>
        <w:gridCol w:w="3008"/>
        <w:gridCol w:w="4627"/>
        <w:gridCol w:w="1505"/>
      </w:tblGrid>
      <w:tr w:rsidR="006D49C5" w:rsidRPr="00037731" w:rsidTr="006D49C5">
        <w:trPr>
          <w:tblHeader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ÁREA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CIENCIAS DA NATUREZA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PRIMEIRO</w:t>
            </w:r>
          </w:p>
        </w:tc>
      </w:tr>
      <w:tr w:rsidR="006D49C5" w:rsidRPr="00037731" w:rsidTr="006D49C5">
        <w:trPr>
          <w:tblHeader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Obxectivos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Contidos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Criterios de avaliación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Competencias 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clave</w:t>
            </w:r>
          </w:p>
        </w:tc>
      </w:tr>
      <w:tr w:rsidR="006D49C5" w:rsidRPr="00037731" w:rsidTr="006D49C5">
        <w:tc>
          <w:tcPr>
            <w:tcW w:w="1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BLOQUE 1. INICIACIÓN Á ACTIVIDADE CIENTÍFICA</w:t>
            </w:r>
          </w:p>
        </w:tc>
      </w:tr>
      <w:tr w:rsidR="006D49C5" w:rsidRPr="00037731" w:rsidTr="006D49C5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j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B1.1. Iniciación á actividade científica.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B1.2. Realización de proxectos con guía na súa estrutura e presentación de resultados.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B1.3. Busca guiada de información en internet e noutros soportes.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B1.4. Elaboración guiada de textos escritos básicos, murais, paneis, esquemas ou presentacións para recoller conclusións.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B1.1. Buscar, seleccionar información de forma guiada e comunicar os resultados en diferentes soportes.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CNB1.1.1. Busca e selecciona información de forma guiada e comunica o resultado de forma oral e escrita, de maneira limpa, clara e ordenada, en diferentes soportes.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CAA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CCL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 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6D49C5" w:rsidRPr="00037731" w:rsidTr="006D49C5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CNB1.1.2. Manifesta certa autonomía na observación e na planificación de accións e tarefas e ten iniciativa na toma de decisións.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D49C5" w:rsidRPr="00037731" w:rsidTr="006D49C5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B1.5. O traballo cooperativo.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B1.6. Iniciación ás técnicas de traballo. Recursos e técnicas de traballo intelectual.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B1.7. Hábitos de traballo, esforzo e responsabilidade. 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B1.2. Traballar de forma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cooperativa, respectando os compañeiros/as, o material e as normas de convivencia.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CNB1.2.1. Utiliza estratexias para traballar de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forma individual e en equipo e respecta os compañeiros/as, o material e as normas de convivencia.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CAA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D49C5" w:rsidRPr="00037731" w:rsidTr="006D49C5">
        <w:tc>
          <w:tcPr>
            <w:tcW w:w="1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BLOQUE 2. O SER HUMANO E A SAÚDE</w:t>
            </w:r>
          </w:p>
        </w:tc>
      </w:tr>
      <w:tr w:rsidR="006D49C5" w:rsidRPr="00037731" w:rsidTr="006D49C5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B2.1. Identificación do home e da muller como seres vivos.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B2.2. Comparación con outros seres vivos.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B2.3. Observación de igualdades e diferenzas entre as persoas.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B2.4. Identificación das partes do corpo humano.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B2.5. Identificación e verbalización de emocións (medo, tristura, enfado, ledicia) e sentimentos propios e alleos. 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B2.1. Identificar semellanzas e diferenzas entre as persoas valorando a diversidade.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CNB2.1.1. Identifica semellanzas e diferenzas entre as persoas valorando a diversidade.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 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D49C5" w:rsidRPr="00037731" w:rsidTr="006D49C5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CNB2.1.2. Recoñece partes do propio corpo.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 </w:t>
            </w:r>
          </w:p>
        </w:tc>
      </w:tr>
      <w:tr w:rsidR="006D49C5" w:rsidRPr="00037731" w:rsidTr="006D49C5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CNB2.1.3. Verbaliza e comparte emocións e sentimentos propios e alleos.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CMCCT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CCL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D49C5" w:rsidRPr="00037731" w:rsidTr="006D49C5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B2.6. Hábitos que inflúen nunha vida saudable: alimentación variada e equilibrada, a hixiene persoal, o exercicio físico regulado, o descanso e a adecuada utilización do tempo de lecer.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B2.2. Coñecer e valorar a relación entre o benestar e a práctica de determinados hábitos: a hixiene persoal, a alimentación variada, o exercicio físico regulado sen excesos ou o descanso diario.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CNB2.2.1. Relaciona a vida saudable cunha alimentación adecuada.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D49C5" w:rsidRPr="00037731" w:rsidTr="006D49C5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CNB2.2.2. Relaciona o exercicio físico, os hábitos de hixiene e o tempo de lecer coa propia saúde.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D49C5" w:rsidRPr="00037731" w:rsidTr="006D49C5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c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g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B2.7. Identificación de alimentos diarios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necesarios. 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B2.8. Análise e costumes na alimentación diaria.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B2.3. Deseñar, de forma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colectiva, un menú semanal de merendas saudables para o recreo.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CNB2.3.1. Analiza os seus costumes na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alimentación diaria e aplica o menú semanal de merendas na escola.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CMCCT</w:t>
            </w:r>
          </w:p>
          <w:p w:rsidR="006D49C5" w:rsidRPr="00037731" w:rsidRDefault="006D49C5" w:rsidP="006D49C5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CSIEE</w:t>
            </w:r>
          </w:p>
        </w:tc>
      </w:tr>
      <w:tr w:rsidR="006D49C5" w:rsidRPr="00037731" w:rsidTr="006D49C5">
        <w:tc>
          <w:tcPr>
            <w:tcW w:w="1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BLOQUE 3. OS SERES VIVOS</w:t>
            </w:r>
          </w:p>
        </w:tc>
      </w:tr>
      <w:tr w:rsidR="006D49C5" w:rsidRPr="00037731" w:rsidTr="00037731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l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B3.1. Os seres vivos: as plantas e os animais.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B3.2. Identificación das características e dos comportamentos de animais e plantas para adaptarse ao seu medio. 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B3.1. Identificar e explicar en diferentes soportes, as principais características das plantas e dos animais.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CNB3.1.1. Explica as principais diferenzas entre plantas e animais empregando diferentes soportes.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CCL</w:t>
            </w:r>
          </w:p>
        </w:tc>
      </w:tr>
      <w:tr w:rsidR="006D49C5" w:rsidRPr="00037731" w:rsidTr="00037731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CNB3.1.2. Identifica e describe, con criterios elementais, animais e plantas do seu contorno.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CCL</w:t>
            </w:r>
          </w:p>
        </w:tc>
      </w:tr>
      <w:tr w:rsidR="006D49C5" w:rsidRPr="00037731" w:rsidTr="00037731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CNB3.1.3. Amosa condutas de respecto e coidado cara aos seres vivos.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6D49C5" w:rsidRPr="00037731" w:rsidTr="00037731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m 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B3.3. Observación e identificación de animais e plantas do contorno. 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B3.4. Clasificación e rexistro dos seres vivos do contorno segundo criterios observables e variados empregando diferentes soportes.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B3.5. Valoración da responsabilidade no coidado de plantas e animais domésticos e do contorno.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B3.2. Observar e identificar, de maneira elemental e en equipo, algún ser vivo no seu medio natural ou na aula e comunicar de xeito oral e escrito os resultados, empregando diferentes soportes.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CNB3.2.1. Recolle datos a partir da súa observación e comunícaos empregando diferentes soportes.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6D49C5" w:rsidRPr="00037731" w:rsidTr="006D49C5">
        <w:tc>
          <w:tcPr>
            <w:tcW w:w="1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BLOQUE 4. MATERIA E ENERXÍA</w:t>
            </w:r>
          </w:p>
        </w:tc>
      </w:tr>
      <w:tr w:rsidR="006D49C5" w:rsidRPr="00037731" w:rsidTr="00037731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B4.1. Tarefas de redución, </w:t>
            </w:r>
            <w:proofErr w:type="spellStart"/>
            <w:r w:rsidRPr="00037731">
              <w:rPr>
                <w:rFonts w:asciiTheme="minorHAnsi" w:hAnsiTheme="minorHAnsi"/>
                <w:sz w:val="22"/>
                <w:szCs w:val="22"/>
              </w:rPr>
              <w:t>reutilización</w:t>
            </w:r>
            <w:proofErr w:type="spellEnd"/>
            <w:r w:rsidRPr="00037731">
              <w:rPr>
                <w:rFonts w:asciiTheme="minorHAnsi" w:hAnsiTheme="minorHAnsi"/>
                <w:sz w:val="22"/>
                <w:szCs w:val="22"/>
              </w:rPr>
              <w:t xml:space="preserve"> e reciclaxe na escola e no seu contorno próximo.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B4.2. Uso responsable da auga na vida cotiá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B4.3. Identificación do ruído como unha forma de contaminación acústica e de fontes sonoras do contorno próximo.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B4.1. Adoptar medidas de protección </w:t>
            </w:r>
            <w:proofErr w:type="spellStart"/>
            <w:r w:rsidRPr="00037731">
              <w:rPr>
                <w:rFonts w:asciiTheme="minorHAnsi" w:hAnsiTheme="minorHAnsi"/>
                <w:sz w:val="22"/>
                <w:szCs w:val="22"/>
              </w:rPr>
              <w:t>medioambientais</w:t>
            </w:r>
            <w:proofErr w:type="spellEnd"/>
            <w:r w:rsidRPr="00037731">
              <w:rPr>
                <w:rFonts w:asciiTheme="minorHAnsi" w:hAnsiTheme="minorHAnsi"/>
                <w:sz w:val="22"/>
                <w:szCs w:val="22"/>
              </w:rPr>
              <w:t xml:space="preserve"> e poñelas en práctica na escola.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CNB4.1.1. Reduce, </w:t>
            </w:r>
            <w:proofErr w:type="spellStart"/>
            <w:r w:rsidRPr="00037731">
              <w:rPr>
                <w:rFonts w:asciiTheme="minorHAnsi" w:hAnsiTheme="minorHAnsi"/>
                <w:sz w:val="22"/>
                <w:szCs w:val="22"/>
              </w:rPr>
              <w:t>reutiliza</w:t>
            </w:r>
            <w:proofErr w:type="spellEnd"/>
            <w:r w:rsidRPr="00037731">
              <w:rPr>
                <w:rFonts w:asciiTheme="minorHAnsi" w:hAnsiTheme="minorHAnsi"/>
                <w:sz w:val="22"/>
                <w:szCs w:val="22"/>
              </w:rPr>
              <w:t xml:space="preserve"> e recicla obxectos na escola.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D49C5" w:rsidRPr="00037731" w:rsidTr="00037731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CNB4.1.2. Identifica e adopta medidas de uso responsable da auga na escola.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D49C5" w:rsidRPr="00037731" w:rsidTr="00037731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g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B4.4. Exploración de materiais e obxectos do contorno para identificar propiedades físicas observables (cor, dureza, cheiro, sabor e textura) e a súa utilidade.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B4.2. Experimentar e manipular instrumentos e obxectos sinxelos de uso cotián identificando algunhas propiedades físicas.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CNB4.2.1. Identifica cor, dureza, cheiro, sabor e textura en materiais e obxectos de uso cotián.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6D49C5" w:rsidRPr="00037731" w:rsidTr="006D49C5">
        <w:tc>
          <w:tcPr>
            <w:tcW w:w="1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BLOQUE 5. A TECNOLOXÍA, OBXECTOS E MÁQUINAS</w:t>
            </w:r>
          </w:p>
        </w:tc>
      </w:tr>
      <w:tr w:rsidR="006D49C5" w:rsidRPr="00037731" w:rsidTr="00037731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B5.1. Observación e clasificación de aparellos e máquinas sinxelas do contorno identificando a súa utilidade e evitando estereotipos sexistas.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B5.2. Manipulación e observación do funcionamento de aparellos sinxelos domésticos e escolares (lapis, afialapis, teléfono, balanza, tesoira, espremedor </w:t>
            </w:r>
            <w:proofErr w:type="spellStart"/>
            <w:r w:rsidRPr="00037731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037731">
              <w:rPr>
                <w:rFonts w:asciiTheme="minorHAnsi" w:hAnsiTheme="minorHAnsi"/>
                <w:sz w:val="22"/>
                <w:szCs w:val="22"/>
              </w:rPr>
              <w:t>.)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B5.3. Montaxe e </w:t>
            </w:r>
            <w:proofErr w:type="spellStart"/>
            <w:r w:rsidRPr="00037731">
              <w:rPr>
                <w:rFonts w:asciiTheme="minorHAnsi" w:hAnsiTheme="minorHAnsi"/>
                <w:sz w:val="22"/>
                <w:szCs w:val="22"/>
              </w:rPr>
              <w:t>desmontaxe</w:t>
            </w:r>
            <w:proofErr w:type="spellEnd"/>
            <w:r w:rsidRPr="00037731">
              <w:rPr>
                <w:rFonts w:asciiTheme="minorHAnsi" w:hAnsiTheme="minorHAnsi"/>
                <w:sz w:val="22"/>
                <w:szCs w:val="22"/>
              </w:rPr>
              <w:t xml:space="preserve"> de xogos e </w:t>
            </w: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obxectos sinxelos relacionados coa vida cotiá.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B5.1. Manexar obxectos e aparellos simples domésticos e escolares, describir os seus materiais e o seu funcionamento e utilizalos con seguridade evitando estereotipos sexistas.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 CNB5.1.1. Coñece e nomea os oficios das persoas do seu contorno e evita estereotipos sexistas.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CCL</w:t>
            </w:r>
          </w:p>
        </w:tc>
      </w:tr>
      <w:tr w:rsidR="006D49C5" w:rsidRPr="00037731" w:rsidTr="00037731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CNB5.1.2. Identifica e manexa algúns aparellos e máquinas simples de uso cotián empregándoos con seguridade e evitando estereotipos sexistas.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D49C5" w:rsidRPr="00037731" w:rsidTr="00037731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lastRenderedPageBreak/>
              <w:t>a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h</w:t>
            </w:r>
          </w:p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B5.4. Identificación dos compoñentes básicos dun ordenador.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B5.5 Coidado dos recursos informáticos.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B5.2. Empregar o ordenador identificando os compoñentes básicos e coidando o seu uso.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 xml:space="preserve">CNB5.2.1. Identifica e nomea correctamente as partes dun ordenador cando traballa con el.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CCL</w:t>
            </w:r>
          </w:p>
        </w:tc>
      </w:tr>
      <w:tr w:rsidR="006D49C5" w:rsidRPr="00037731" w:rsidTr="00037731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6D49C5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CNB5.2.2. Emprega o ordenador de forma guiada e fai un bo uso.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D49C5" w:rsidRPr="00037731" w:rsidRDefault="006D49C5" w:rsidP="00037731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37731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</w:tbl>
    <w:p w:rsidR="006D49C5" w:rsidRDefault="006D49C5" w:rsidP="00BE48FE">
      <w:pPr>
        <w:ind w:firstLine="0"/>
        <w:rPr>
          <w:b/>
          <w:bCs/>
          <w:sz w:val="24"/>
        </w:rPr>
      </w:pPr>
    </w:p>
    <w:p w:rsidR="006D49C5" w:rsidRDefault="006D49C5" w:rsidP="00BE48FE">
      <w:pPr>
        <w:ind w:firstLine="0"/>
        <w:rPr>
          <w:b/>
          <w:bCs/>
          <w:sz w:val="24"/>
        </w:rPr>
      </w:pPr>
    </w:p>
    <w:p w:rsidR="00BE48FE" w:rsidRDefault="00BE48FE" w:rsidP="00037731">
      <w:pPr>
        <w:ind w:firstLine="0"/>
      </w:pPr>
      <w:r>
        <w:rPr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037731" w:rsidRDefault="00037731" w:rsidP="00037731">
      <w:pPr>
        <w:ind w:firstLine="0"/>
      </w:pPr>
    </w:p>
    <w:tbl>
      <w:tblPr>
        <w:tblW w:w="1412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7797"/>
        <w:gridCol w:w="708"/>
        <w:gridCol w:w="709"/>
        <w:gridCol w:w="592"/>
        <w:gridCol w:w="444"/>
        <w:gridCol w:w="2650"/>
        <w:gridCol w:w="1228"/>
      </w:tblGrid>
      <w:tr w:rsidR="00037731" w:rsidTr="00037731">
        <w:trPr>
          <w:tblHeader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Estándares de aprendizaxe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1ª AV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2ª AV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3ª AV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MIN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Instrumentos de avaliación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Criterios de cualificación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CNB1.1.1. Busca e selecciona información de forma guiada e comunica o resultado de forma oral e escrita, de maneira limpa, clara e ordenada, en diferentes soportes.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bookmarkStart w:id="0" w:name="RANGE!D13"/>
            <w:r>
              <w:t>CNB1.1.2. Manifesta certa autonomía na observación e na planificación de accións e tarefas e ten iniciativa na toma de decisións.</w:t>
            </w:r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50%</w:t>
            </w:r>
          </w:p>
          <w:p w:rsidR="00037731" w:rsidRDefault="00037731" w:rsidP="00037731">
            <w:pPr>
              <w:pStyle w:val="ttcab1"/>
            </w:pPr>
            <w:r>
              <w:t>50%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CNB1.2.1. Utiliza estratexias para traballar de forma individual e en equipo e respecta os compañeiros/as, o material e as normas de convivencia.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F41D8A" w:rsidP="00037731">
            <w:pPr>
              <w:pStyle w:val="ttcab1"/>
            </w:pPr>
            <w:r>
              <w:t>X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lastRenderedPageBreak/>
              <w:t>CNB2.1.1. Identifica semellanzas e diferenzas entre as persoas valorando a diversidade.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CNB2.1.2. Recoñece partes do propio corpo.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F41D8A" w:rsidP="00037731">
            <w:pPr>
              <w:pStyle w:val="ttcab1"/>
            </w:pPr>
            <w:r>
              <w:t>X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CNB2.1.3. Verbaliza e comparte emocións e sentimentos propios e alleos.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CNB2.2.1. Relaciona a vida saudable cunha alimentación adecuada.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CNB2.2.2. Relaciona o exercicio físico, os hábitos de hixiene e o tempo de lecer coa propia saúde.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CNB2.3.1. Analiza os seus costumes na alimentación diaria e aplica o menú semanal de merendas na escola.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  <w:p w:rsidR="00037731" w:rsidRDefault="00037731" w:rsidP="00037731">
            <w:pPr>
              <w:pStyle w:val="ttcab1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  <w:p w:rsidR="00037731" w:rsidRDefault="00037731" w:rsidP="00037731">
            <w:pPr>
              <w:pStyle w:val="ttcab1"/>
            </w:pP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CNB3.1.1. Explica as principais diferenzas entre plantas e animais empregando diferentes soportes.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CNB3.1.2. Identifica e describe, con criterios elementais, animais e plantas do seu contorno.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40%</w:t>
            </w:r>
          </w:p>
          <w:p w:rsidR="00037731" w:rsidRDefault="00037731" w:rsidP="00037731">
            <w:pPr>
              <w:pStyle w:val="ttcab1"/>
            </w:pPr>
            <w:r>
              <w:t>30%</w:t>
            </w:r>
          </w:p>
          <w:p w:rsidR="00037731" w:rsidRDefault="00037731" w:rsidP="00037731">
            <w:pPr>
              <w:pStyle w:val="ttcab1"/>
            </w:pPr>
            <w:r>
              <w:t>30%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CNB3.1.3. Amosa condutas de respecto e coidado cara aos seres vivos.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40%</w:t>
            </w:r>
          </w:p>
          <w:p w:rsidR="00037731" w:rsidRDefault="00037731" w:rsidP="00037731">
            <w:pPr>
              <w:pStyle w:val="ttcab1"/>
            </w:pPr>
            <w:r>
              <w:t>20%</w:t>
            </w:r>
          </w:p>
          <w:p w:rsidR="00037731" w:rsidRDefault="00037731" w:rsidP="00037731">
            <w:pPr>
              <w:pStyle w:val="ttcab1"/>
            </w:pPr>
            <w:r>
              <w:t>30%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CNB3.2.1. Recolle datos a partir da súa observación e comunícaos empregando diferentes soportes.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CNB4.1.1. Reduce, </w:t>
            </w:r>
            <w:proofErr w:type="spellStart"/>
            <w:r>
              <w:t>reutiliza</w:t>
            </w:r>
            <w:proofErr w:type="spellEnd"/>
            <w:r>
              <w:t xml:space="preserve"> e recicla obxectos na escola.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F41D8A" w:rsidP="00037731">
            <w:pPr>
              <w:pStyle w:val="ttcab1"/>
            </w:pPr>
            <w:r>
              <w:t>X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CNB4.1.2. Identifica e adopta medidas de uso responsable da auga na escola.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65%</w:t>
            </w:r>
          </w:p>
          <w:p w:rsidR="00037731" w:rsidRDefault="00037731" w:rsidP="00037731">
            <w:pPr>
              <w:pStyle w:val="ttcab1"/>
            </w:pPr>
            <w:r>
              <w:t>35%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lastRenderedPageBreak/>
              <w:t>CNB4.2.1. Identifica cor, dureza, cheiro, sabor e textura en materiais e obxectos de uso cotián.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Análise producións alumnos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 CNB5.1.1. Coñece e nomea os oficios das persoas do seu contorno e evita estereotipos sexistas.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65%</w:t>
            </w:r>
          </w:p>
          <w:p w:rsidR="00037731" w:rsidRDefault="00037731" w:rsidP="00037731">
            <w:pPr>
              <w:pStyle w:val="ttcab1"/>
            </w:pPr>
            <w:r>
              <w:t>35%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CNB5.1.2. Identifica e manexa algúns aparellos e máquinas simples de uso cotián empregándoos con seguridade e evitando estereotipos sexistas.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  <w:p w:rsidR="00037731" w:rsidRDefault="00037731" w:rsidP="00037731">
            <w:pPr>
              <w:pStyle w:val="ttcab1"/>
              <w:jc w:val="left"/>
            </w:pPr>
            <w:r>
              <w:t>Intercambio oral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65%</w:t>
            </w:r>
          </w:p>
          <w:p w:rsidR="00037731" w:rsidRDefault="00037731" w:rsidP="00037731">
            <w:pPr>
              <w:pStyle w:val="ttcab1"/>
            </w:pPr>
            <w:r>
              <w:t>35%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 xml:space="preserve">CNB5.2.1. Identifica e nomea correctamente as partes dun ordenador cando traballa con el.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  <w:tr w:rsidR="00037731" w:rsidTr="0003773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31" w:rsidRDefault="00037731" w:rsidP="00037731">
            <w:pPr>
              <w:pStyle w:val="ttcab1"/>
              <w:jc w:val="left"/>
            </w:pPr>
            <w:r>
              <w:t>CNB5.2.2. Emprega o ordenador de forma guiada e fai un bo uso.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  <w:jc w:val="left"/>
            </w:pPr>
            <w:r>
              <w:t>Observación sistemática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731" w:rsidRDefault="00037731" w:rsidP="00037731">
            <w:pPr>
              <w:pStyle w:val="ttcab1"/>
            </w:pPr>
            <w:r>
              <w:t>100%</w:t>
            </w:r>
          </w:p>
        </w:tc>
      </w:tr>
    </w:tbl>
    <w:p w:rsidR="00037731" w:rsidRDefault="00037731" w:rsidP="00CA08FA">
      <w:pPr>
        <w:pStyle w:val="artigo"/>
        <w:rPr>
          <w:rFonts w:asciiTheme="minorHAnsi" w:hAnsiTheme="minorHAnsi"/>
          <w:b/>
          <w:sz w:val="24"/>
        </w:rPr>
      </w:pPr>
    </w:p>
    <w:p w:rsidR="00037731" w:rsidRDefault="00037731" w:rsidP="00CA08FA">
      <w:pPr>
        <w:pStyle w:val="artigo"/>
        <w:rPr>
          <w:rFonts w:asciiTheme="minorHAnsi" w:hAnsiTheme="minorHAnsi"/>
          <w:b/>
          <w:sz w:val="24"/>
        </w:rPr>
      </w:pPr>
    </w:p>
    <w:p w:rsidR="00CA08FA" w:rsidRPr="008F3ED7" w:rsidRDefault="003B4D2A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3B4D2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>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</w:t>
      </w:r>
      <w:r w:rsidRPr="008F3ED7">
        <w:rPr>
          <w:rFonts w:asciiTheme="minorHAnsi" w:hAnsiTheme="minorHAnsi" w:cs="Arial"/>
          <w:sz w:val="24"/>
          <w:lang w:val="pt-BR"/>
        </w:rPr>
        <w:lastRenderedPageBreak/>
        <w:t xml:space="preserve">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 trato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Theme="minorHAnsi" w:hAnsiTheme="minorHAnsi" w:cs="Arial"/>
          <w:sz w:val="24"/>
        </w:rPr>
        <w:t>etc</w:t>
      </w:r>
      <w:proofErr w:type="spellEnd"/>
      <w:r w:rsidRPr="008F3ED7"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lastRenderedPageBreak/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3B4D2A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8B53A0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037731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Libr</w:t>
      </w:r>
      <w:r w:rsidR="00D3633A">
        <w:rPr>
          <w:rFonts w:asciiTheme="minorHAnsi" w:hAnsiTheme="minorHAnsi"/>
          <w:sz w:val="24"/>
          <w:lang w:val="es-ES"/>
        </w:rPr>
        <w:t xml:space="preserve">o de texto: Ciencias </w:t>
      </w:r>
      <w:proofErr w:type="spellStart"/>
      <w:r w:rsidR="00D3633A">
        <w:rPr>
          <w:rFonts w:asciiTheme="minorHAnsi" w:hAnsiTheme="minorHAnsi"/>
          <w:sz w:val="24"/>
          <w:lang w:val="es-ES"/>
        </w:rPr>
        <w:t>Naturais</w:t>
      </w:r>
      <w:proofErr w:type="spellEnd"/>
      <w:r w:rsidR="00D3633A">
        <w:rPr>
          <w:rFonts w:asciiTheme="minorHAnsi" w:hAnsiTheme="minorHAnsi"/>
          <w:sz w:val="24"/>
          <w:lang w:val="es-ES"/>
        </w:rPr>
        <w:t xml:space="preserve"> integrado </w:t>
      </w:r>
      <w:proofErr w:type="spellStart"/>
      <w:r w:rsidR="00D3633A">
        <w:rPr>
          <w:rFonts w:asciiTheme="minorHAnsi" w:hAnsiTheme="minorHAnsi"/>
          <w:sz w:val="24"/>
          <w:lang w:val="es-ES"/>
        </w:rPr>
        <w:t>Celme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. </w:t>
      </w:r>
      <w:proofErr w:type="spellStart"/>
      <w:r w:rsidR="00D3633A">
        <w:rPr>
          <w:rFonts w:asciiTheme="minorHAnsi" w:hAnsiTheme="minorHAnsi"/>
          <w:sz w:val="24"/>
          <w:lang w:val="es-ES"/>
        </w:rPr>
        <w:t>Primeiro</w:t>
      </w:r>
      <w:proofErr w:type="spellEnd"/>
      <w:r w:rsidR="00D3633A">
        <w:rPr>
          <w:rFonts w:asciiTheme="minorHAnsi" w:hAnsiTheme="minorHAnsi"/>
          <w:sz w:val="24"/>
          <w:lang w:val="es-ES"/>
        </w:rPr>
        <w:t xml:space="preserve"> de Primaria.</w:t>
      </w:r>
      <w:r w:rsidRPr="00037731">
        <w:rPr>
          <w:rFonts w:asciiTheme="minorHAnsi" w:hAnsiTheme="minorHAnsi"/>
          <w:sz w:val="24"/>
          <w:lang w:val="es-ES"/>
        </w:rPr>
        <w:t xml:space="preserve">  Editorial SM.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Recursos </w:t>
      </w:r>
      <w:proofErr w:type="spellStart"/>
      <w:r w:rsidRPr="00037731">
        <w:rPr>
          <w:rFonts w:asciiTheme="minorHAnsi" w:hAnsiTheme="minorHAnsi"/>
          <w:sz w:val="24"/>
          <w:lang w:val="es-ES"/>
        </w:rPr>
        <w:t>fotocopiables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con actividades de </w:t>
      </w:r>
      <w:proofErr w:type="spellStart"/>
      <w:r w:rsidRPr="00037731">
        <w:rPr>
          <w:rFonts w:asciiTheme="minorHAnsi" w:hAnsiTheme="minorHAnsi"/>
          <w:sz w:val="24"/>
          <w:lang w:val="es-ES"/>
        </w:rPr>
        <w:t>reforzo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e de ampliación. 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proofErr w:type="spellStart"/>
      <w:r w:rsidRPr="00037731">
        <w:rPr>
          <w:rFonts w:asciiTheme="minorHAnsi" w:hAnsiTheme="minorHAnsi"/>
          <w:sz w:val="24"/>
          <w:lang w:val="es-ES"/>
        </w:rPr>
        <w:t>Caderno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do al</w:t>
      </w:r>
      <w:r w:rsidR="00D3633A">
        <w:rPr>
          <w:rFonts w:asciiTheme="minorHAnsi" w:hAnsiTheme="minorHAnsi"/>
          <w:sz w:val="24"/>
          <w:lang w:val="es-ES"/>
        </w:rPr>
        <w:t>umno con actividades de reforzo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lastRenderedPageBreak/>
        <w:t xml:space="preserve">Libro </w:t>
      </w:r>
      <w:proofErr w:type="spellStart"/>
      <w:r w:rsidRPr="00037731">
        <w:rPr>
          <w:rFonts w:asciiTheme="minorHAnsi" w:hAnsiTheme="minorHAnsi"/>
          <w:sz w:val="24"/>
          <w:lang w:val="es-ES"/>
        </w:rPr>
        <w:t>dixital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Cd de audio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037731">
        <w:rPr>
          <w:rFonts w:asciiTheme="minorHAnsi" w:hAnsiTheme="minorHAnsi"/>
          <w:sz w:val="24"/>
          <w:lang w:val="es-ES"/>
        </w:rPr>
        <w:t>canón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de video…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Guía didáctica.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</w:rPr>
      </w:pPr>
      <w:r w:rsidRPr="00037731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8B53A0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</w:t>
      </w:r>
      <w:r w:rsidR="00CA2A4C">
        <w:rPr>
          <w:rFonts w:asciiTheme="minorHAnsi" w:hAnsiTheme="minorHAnsi"/>
          <w:sz w:val="24"/>
          <w:lang w:eastAsia="zh-CN"/>
        </w:rPr>
        <w:t>icial levarase a cabo entre o 11</w:t>
      </w:r>
      <w:r w:rsidRPr="008F3ED7">
        <w:rPr>
          <w:rFonts w:asciiTheme="minorHAnsi" w:hAnsiTheme="minorHAnsi"/>
          <w:sz w:val="24"/>
          <w:lang w:eastAsia="zh-CN"/>
        </w:rPr>
        <w:t xml:space="preserve">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8B53A0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8B53A0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D616F6" w:rsidP="00B154ED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</w:t>
      </w:r>
      <w:r w:rsidR="005E089F">
        <w:rPr>
          <w:rFonts w:asciiTheme="minorHAnsi" w:hAnsiTheme="minorHAnsi"/>
          <w:sz w:val="24"/>
          <w:lang w:eastAsia="zh-CN"/>
        </w:rPr>
        <w:t xml:space="preserve"> poñeranse en marcha aquelas medidas </w:t>
      </w:r>
      <w:r w:rsidR="005E089F" w:rsidRPr="008F3ED7">
        <w:rPr>
          <w:rFonts w:asciiTheme="minorHAnsi" w:hAnsiTheme="minorHAnsi"/>
          <w:sz w:val="24"/>
          <w:lang w:eastAsia="zh-CN"/>
        </w:rPr>
        <w:t>que axuden a xestionar o grupo completo tendo en conta as necesidades específicas de cada un dos seus integrantes</w:t>
      </w:r>
      <w:r w:rsidR="005E089F">
        <w:rPr>
          <w:rFonts w:asciiTheme="minorHAnsi" w:hAnsiTheme="minorHAnsi"/>
          <w:sz w:val="24"/>
          <w:lang w:eastAsia="zh-CN"/>
        </w:rPr>
        <w:t>; por iso</w:t>
      </w:r>
      <w:r>
        <w:rPr>
          <w:rFonts w:asciiTheme="minorHAnsi" w:hAnsiTheme="minorHAnsi"/>
          <w:sz w:val="24"/>
          <w:lang w:eastAsia="zh-CN"/>
        </w:rPr>
        <w:t xml:space="preserve"> </w:t>
      </w:r>
      <w:r w:rsidR="00B154ED"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="00B154ED" w:rsidRPr="008F3ED7">
        <w:rPr>
          <w:rFonts w:asciiTheme="minorHAnsi" w:hAnsiTheme="minorHAnsi"/>
          <w:sz w:val="24"/>
          <w:lang w:eastAsia="zh-CN"/>
        </w:rPr>
        <w:t>desenvolver ao longo do curso</w:t>
      </w:r>
      <w:r>
        <w:rPr>
          <w:rFonts w:asciiTheme="minorHAnsi" w:hAnsiTheme="minorHAnsi"/>
          <w:sz w:val="24"/>
          <w:lang w:eastAsia="zh-CN"/>
        </w:rPr>
        <w:t>, entre as que poderían contemplarse, entre outras</w:t>
      </w:r>
      <w:r w:rsidR="00B154ED"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E089F" w:rsidRDefault="005E089F" w:rsidP="003B04A0">
      <w:p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Implementaranse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>
        <w:rPr>
          <w:rFonts w:asciiTheme="minorHAnsi" w:hAnsiTheme="minorHAnsi"/>
          <w:sz w:val="24"/>
          <w:lang w:eastAsia="zh-CN"/>
        </w:rPr>
        <w:t>etc</w:t>
      </w:r>
      <w:proofErr w:type="spellEnd"/>
      <w:r>
        <w:rPr>
          <w:rFonts w:asciiTheme="minorHAnsi" w:hAnsiTheme="minorHAnsi"/>
          <w:sz w:val="24"/>
          <w:lang w:eastAsia="zh-CN"/>
        </w:rPr>
        <w:t>.</w:t>
      </w: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E089F" w:rsidRDefault="005E089F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A44967" w:rsidRDefault="00A44967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8B53A0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1" w:name="_Toc433099662"/>
      <w:bookmarkStart w:id="2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1"/>
      <w:bookmarkEnd w:id="2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5E089F" w:rsidRDefault="005E089F" w:rsidP="003B04A0">
      <w:pPr>
        <w:rPr>
          <w:rFonts w:asciiTheme="minorHAnsi" w:hAnsiTheme="minorHAnsi"/>
          <w:sz w:val="24"/>
        </w:rPr>
      </w:pPr>
      <w:bookmarkStart w:id="3" w:name="_Toc433099663"/>
      <w:bookmarkStart w:id="4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3"/>
      <w:bookmarkEnd w:id="4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5" w:name="_Toc433099664"/>
      <w:bookmarkStart w:id="6" w:name="_Toc440355818"/>
    </w:p>
    <w:bookmarkEnd w:id="5"/>
    <w:bookmarkEnd w:id="6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8B53A0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7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7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3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25"/>
  </w:num>
  <w:num w:numId="5">
    <w:abstractNumId w:val="8"/>
  </w:num>
  <w:num w:numId="6">
    <w:abstractNumId w:val="24"/>
  </w:num>
  <w:num w:numId="7">
    <w:abstractNumId w:val="18"/>
  </w:num>
  <w:num w:numId="8">
    <w:abstractNumId w:val="11"/>
  </w:num>
  <w:num w:numId="9">
    <w:abstractNumId w:val="13"/>
  </w:num>
  <w:num w:numId="10">
    <w:abstractNumId w:val="17"/>
  </w:num>
  <w:num w:numId="11">
    <w:abstractNumId w:val="7"/>
  </w:num>
  <w:num w:numId="12">
    <w:abstractNumId w:val="15"/>
  </w:num>
  <w:num w:numId="13">
    <w:abstractNumId w:val="21"/>
  </w:num>
  <w:num w:numId="14">
    <w:abstractNumId w:val="16"/>
  </w:num>
  <w:num w:numId="15">
    <w:abstractNumId w:val="6"/>
  </w:num>
  <w:num w:numId="16">
    <w:abstractNumId w:val="20"/>
  </w:num>
  <w:num w:numId="17">
    <w:abstractNumId w:val="19"/>
  </w:num>
  <w:num w:numId="18">
    <w:abstractNumId w:val="1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37731"/>
    <w:rsid w:val="00057082"/>
    <w:rsid w:val="00066A12"/>
    <w:rsid w:val="00074CB8"/>
    <w:rsid w:val="000A5BD7"/>
    <w:rsid w:val="000B7E87"/>
    <w:rsid w:val="000E13E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55774"/>
    <w:rsid w:val="002600C9"/>
    <w:rsid w:val="00260CBE"/>
    <w:rsid w:val="00267537"/>
    <w:rsid w:val="00276818"/>
    <w:rsid w:val="002A698D"/>
    <w:rsid w:val="002B385D"/>
    <w:rsid w:val="002C08D8"/>
    <w:rsid w:val="002D0552"/>
    <w:rsid w:val="002E1A22"/>
    <w:rsid w:val="002E7FEA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950B1"/>
    <w:rsid w:val="003B04A0"/>
    <w:rsid w:val="003B4D2A"/>
    <w:rsid w:val="003D145C"/>
    <w:rsid w:val="0040658C"/>
    <w:rsid w:val="00407783"/>
    <w:rsid w:val="00427449"/>
    <w:rsid w:val="00434AAF"/>
    <w:rsid w:val="00434E50"/>
    <w:rsid w:val="00457E52"/>
    <w:rsid w:val="00465C6E"/>
    <w:rsid w:val="004915DF"/>
    <w:rsid w:val="004B6889"/>
    <w:rsid w:val="005002F1"/>
    <w:rsid w:val="00506C2A"/>
    <w:rsid w:val="00536BC6"/>
    <w:rsid w:val="005C6309"/>
    <w:rsid w:val="005E089F"/>
    <w:rsid w:val="00634F91"/>
    <w:rsid w:val="00636E04"/>
    <w:rsid w:val="00677105"/>
    <w:rsid w:val="006A1768"/>
    <w:rsid w:val="006A215C"/>
    <w:rsid w:val="006C0D57"/>
    <w:rsid w:val="006D49C5"/>
    <w:rsid w:val="006F3EA5"/>
    <w:rsid w:val="00716F78"/>
    <w:rsid w:val="00752B56"/>
    <w:rsid w:val="00760767"/>
    <w:rsid w:val="007636DC"/>
    <w:rsid w:val="007A6B32"/>
    <w:rsid w:val="007F72EC"/>
    <w:rsid w:val="008133B3"/>
    <w:rsid w:val="008146B3"/>
    <w:rsid w:val="00862DF2"/>
    <w:rsid w:val="00891176"/>
    <w:rsid w:val="008A6831"/>
    <w:rsid w:val="008B432D"/>
    <w:rsid w:val="008B53A0"/>
    <w:rsid w:val="008D3FDB"/>
    <w:rsid w:val="008F3ED7"/>
    <w:rsid w:val="0090489B"/>
    <w:rsid w:val="00925FE7"/>
    <w:rsid w:val="00932456"/>
    <w:rsid w:val="00933A4E"/>
    <w:rsid w:val="00957290"/>
    <w:rsid w:val="009739C6"/>
    <w:rsid w:val="009B601C"/>
    <w:rsid w:val="009F0A8A"/>
    <w:rsid w:val="00A07354"/>
    <w:rsid w:val="00A35A38"/>
    <w:rsid w:val="00A44967"/>
    <w:rsid w:val="00A500A7"/>
    <w:rsid w:val="00A52C76"/>
    <w:rsid w:val="00A74099"/>
    <w:rsid w:val="00A906DA"/>
    <w:rsid w:val="00A94A3A"/>
    <w:rsid w:val="00AE49AA"/>
    <w:rsid w:val="00B02AED"/>
    <w:rsid w:val="00B154ED"/>
    <w:rsid w:val="00B301AC"/>
    <w:rsid w:val="00B32943"/>
    <w:rsid w:val="00B467F4"/>
    <w:rsid w:val="00B53162"/>
    <w:rsid w:val="00B67EA5"/>
    <w:rsid w:val="00B95C38"/>
    <w:rsid w:val="00B9798B"/>
    <w:rsid w:val="00BB003C"/>
    <w:rsid w:val="00BB4C5D"/>
    <w:rsid w:val="00BC0BA4"/>
    <w:rsid w:val="00BC19CF"/>
    <w:rsid w:val="00BC6FA1"/>
    <w:rsid w:val="00BE2BD2"/>
    <w:rsid w:val="00BE48FE"/>
    <w:rsid w:val="00C16F82"/>
    <w:rsid w:val="00C1766F"/>
    <w:rsid w:val="00C87158"/>
    <w:rsid w:val="00CA08FA"/>
    <w:rsid w:val="00CA17DC"/>
    <w:rsid w:val="00CA2A4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3633A"/>
    <w:rsid w:val="00D422AA"/>
    <w:rsid w:val="00D616F6"/>
    <w:rsid w:val="00D64DA2"/>
    <w:rsid w:val="00D85203"/>
    <w:rsid w:val="00DD3535"/>
    <w:rsid w:val="00DD641B"/>
    <w:rsid w:val="00DE2A52"/>
    <w:rsid w:val="00E205D8"/>
    <w:rsid w:val="00E543DC"/>
    <w:rsid w:val="00E94918"/>
    <w:rsid w:val="00EF4E45"/>
    <w:rsid w:val="00F050FE"/>
    <w:rsid w:val="00F0650B"/>
    <w:rsid w:val="00F41D8A"/>
    <w:rsid w:val="00F431EE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5479</Words>
  <Characters>30140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2</cp:revision>
  <cp:lastPrinted>2015-10-15T09:37:00Z</cp:lastPrinted>
  <dcterms:created xsi:type="dcterms:W3CDTF">2019-09-24T14:21:00Z</dcterms:created>
  <dcterms:modified xsi:type="dcterms:W3CDTF">2019-09-24T14:21:00Z</dcterms:modified>
</cp:coreProperties>
</file>