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DA3F8B" w:rsidRPr="004548EF" w:rsidTr="00DA3F8B">
        <w:trPr>
          <w:trHeight w:val="699"/>
        </w:trPr>
        <w:tc>
          <w:tcPr>
            <w:tcW w:w="9498" w:type="dxa"/>
          </w:tcPr>
          <w:p w:rsidR="00DA3F8B" w:rsidRPr="004548EF" w:rsidRDefault="00DA3F8B" w:rsidP="00DA3F8B">
            <w:pPr>
              <w:jc w:val="center"/>
              <w:rPr>
                <w:rFonts w:ascii="Bell MT" w:hAnsi="Bell MT"/>
                <w:b/>
                <w:lang w:val="es-ES"/>
              </w:rPr>
            </w:pPr>
            <w:r w:rsidRPr="004548EF">
              <w:rPr>
                <w:rFonts w:ascii="Bell MT" w:hAnsi="Bell MT"/>
                <w:b/>
                <w:sz w:val="36"/>
                <w:lang w:val="es-ES"/>
              </w:rPr>
              <w:t>Libro Registros</w:t>
            </w:r>
          </w:p>
        </w:tc>
      </w:tr>
    </w:tbl>
    <w:tbl>
      <w:tblPr>
        <w:tblpPr w:leftFromText="180" w:rightFromText="180" w:vertAnchor="page" w:horzAnchor="margin" w:tblpY="21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559"/>
        <w:gridCol w:w="1559"/>
        <w:gridCol w:w="4682"/>
      </w:tblGrid>
      <w:tr w:rsidR="00DA3F8B" w:rsidRPr="004548EF" w:rsidTr="00A9091E">
        <w:trPr>
          <w:trHeight w:val="416"/>
        </w:trPr>
        <w:tc>
          <w:tcPr>
            <w:tcW w:w="9467" w:type="dxa"/>
            <w:gridSpan w:val="4"/>
          </w:tcPr>
          <w:p w:rsidR="00DA3F8B" w:rsidRPr="004548EF" w:rsidRDefault="00DA3F8B" w:rsidP="00A9091E">
            <w:pPr>
              <w:jc w:val="center"/>
              <w:rPr>
                <w:rFonts w:ascii="Bell MT" w:hAnsi="Bell MT"/>
                <w:b/>
                <w:sz w:val="28"/>
                <w:lang w:val="es-ES"/>
              </w:rPr>
            </w:pPr>
            <w:r w:rsidRPr="004548EF">
              <w:rPr>
                <w:rFonts w:ascii="Bell MT" w:hAnsi="Bell MT"/>
                <w:b/>
                <w:sz w:val="28"/>
                <w:lang w:val="es-ES"/>
              </w:rPr>
              <w:t>Impuesto sobre las Personas Físicas</w:t>
            </w:r>
          </w:p>
        </w:tc>
      </w:tr>
      <w:tr w:rsidR="00DA3F8B" w:rsidRPr="004548EF" w:rsidTr="00A9091E">
        <w:trPr>
          <w:trHeight w:val="473"/>
        </w:trPr>
        <w:tc>
          <w:tcPr>
            <w:tcW w:w="1668" w:type="dxa"/>
            <w:vMerge w:val="restart"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</w:p>
          <w:p w:rsidR="001C16F4" w:rsidRPr="004548EF" w:rsidRDefault="001C16F4" w:rsidP="00A9091E">
            <w:pPr>
              <w:rPr>
                <w:rFonts w:ascii="Bell MT" w:hAnsi="Bell MT"/>
                <w:sz w:val="24"/>
                <w:lang w:val="es-ES"/>
              </w:rPr>
            </w:pPr>
          </w:p>
          <w:p w:rsidR="001C16F4" w:rsidRPr="004548EF" w:rsidRDefault="001C16F4" w:rsidP="00A9091E">
            <w:pPr>
              <w:rPr>
                <w:rFonts w:ascii="Bell MT" w:hAnsi="Bell MT"/>
                <w:sz w:val="24"/>
                <w:lang w:val="es-ES"/>
              </w:rPr>
            </w:pPr>
          </w:p>
          <w:p w:rsidR="001C16F4" w:rsidRPr="004548EF" w:rsidRDefault="001C16F4" w:rsidP="00A9091E">
            <w:pPr>
              <w:rPr>
                <w:rFonts w:ascii="Bell MT" w:hAnsi="Bell MT"/>
                <w:sz w:val="24"/>
                <w:lang w:val="es-ES"/>
              </w:rPr>
            </w:pPr>
          </w:p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</w:p>
          <w:p w:rsidR="00DA3F8B" w:rsidRPr="004548EF" w:rsidRDefault="00DA3F8B" w:rsidP="00A9091E">
            <w:pPr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Actividades empresariales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16F4" w:rsidRPr="004548EF" w:rsidRDefault="001C16F4" w:rsidP="001C16F4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</w:p>
          <w:p w:rsidR="00DA3F8B" w:rsidRPr="004548EF" w:rsidRDefault="00DA3F8B" w:rsidP="001C16F4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Estimación directa normal</w:t>
            </w:r>
          </w:p>
        </w:tc>
        <w:tc>
          <w:tcPr>
            <w:tcW w:w="1559" w:type="dxa"/>
            <w:shd w:val="clear" w:color="auto" w:fill="auto"/>
          </w:tcPr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En general</w:t>
            </w:r>
          </w:p>
        </w:tc>
        <w:tc>
          <w:tcPr>
            <w:tcW w:w="4681" w:type="dxa"/>
            <w:shd w:val="clear" w:color="auto" w:fill="auto"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Contabilidad según Código de Comercio</w:t>
            </w:r>
          </w:p>
        </w:tc>
      </w:tr>
      <w:tr w:rsidR="00DA3F8B" w:rsidRPr="004548EF" w:rsidTr="00A9091E">
        <w:trPr>
          <w:trHeight w:val="472"/>
        </w:trPr>
        <w:tc>
          <w:tcPr>
            <w:tcW w:w="1668" w:type="dxa"/>
            <w:vMerge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 xml:space="preserve">Actividades </w:t>
            </w:r>
          </w:p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sin carácter</w:t>
            </w:r>
          </w:p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 xml:space="preserve"> mercantil </w:t>
            </w:r>
          </w:p>
        </w:tc>
        <w:tc>
          <w:tcPr>
            <w:tcW w:w="4681" w:type="dxa"/>
            <w:shd w:val="clear" w:color="auto" w:fill="auto"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Registro de ventas e ingresos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DA3F8B" w:rsidRPr="004548EF" w:rsidRDefault="004548EF" w:rsidP="00A9091E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 xml:space="preserve">Libro Registro de compras y </w:t>
            </w:r>
            <w:proofErr w:type="gramStart"/>
            <w:r w:rsidRPr="004548EF">
              <w:rPr>
                <w:rFonts w:ascii="Bell MT" w:hAnsi="Bell MT"/>
                <w:sz w:val="24"/>
                <w:lang w:val="es-ES"/>
              </w:rPr>
              <w:t>gasto</w:t>
            </w:r>
            <w:r w:rsidR="00DA3F8B" w:rsidRPr="004548EF">
              <w:rPr>
                <w:rFonts w:ascii="Bell MT" w:hAnsi="Bell MT"/>
                <w:sz w:val="24"/>
                <w:lang w:val="es-ES"/>
              </w:rPr>
              <w:t xml:space="preserve">s </w:t>
            </w:r>
            <w:r>
              <w:rPr>
                <w:rFonts w:ascii="Bell MT" w:hAnsi="Bell MT"/>
                <w:sz w:val="24"/>
                <w:lang w:val="es-ES"/>
              </w:rPr>
              <w:t>.</w:t>
            </w:r>
            <w:proofErr w:type="gramEnd"/>
          </w:p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bienes de inversión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</w:tc>
      </w:tr>
      <w:tr w:rsidR="00DA3F8B" w:rsidRPr="004548EF" w:rsidTr="00A9091E">
        <w:trPr>
          <w:trHeight w:val="940"/>
        </w:trPr>
        <w:tc>
          <w:tcPr>
            <w:tcW w:w="1668" w:type="dxa"/>
            <w:vMerge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DA3F8B" w:rsidRPr="004548EF" w:rsidRDefault="00DA3F8B" w:rsidP="001C16F4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Estimación directa simplificada</w:t>
            </w:r>
          </w:p>
        </w:tc>
        <w:tc>
          <w:tcPr>
            <w:tcW w:w="6240" w:type="dxa"/>
            <w:gridSpan w:val="2"/>
            <w:shd w:val="clear" w:color="auto" w:fill="auto"/>
          </w:tcPr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Registro de ventas e ingresos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</w:t>
            </w:r>
            <w:r w:rsidR="004548EF" w:rsidRPr="004548EF">
              <w:rPr>
                <w:rFonts w:ascii="Bell MT" w:hAnsi="Bell MT"/>
                <w:sz w:val="24"/>
                <w:lang w:val="es-ES"/>
              </w:rPr>
              <w:t xml:space="preserve">ibro Registro de compras y </w:t>
            </w:r>
            <w:proofErr w:type="gramStart"/>
            <w:r w:rsidR="004548EF" w:rsidRPr="004548EF">
              <w:rPr>
                <w:rFonts w:ascii="Bell MT" w:hAnsi="Bell MT"/>
                <w:sz w:val="24"/>
                <w:lang w:val="es-ES"/>
              </w:rPr>
              <w:t>gasto</w:t>
            </w:r>
            <w:r w:rsidRPr="004548EF">
              <w:rPr>
                <w:rFonts w:ascii="Bell MT" w:hAnsi="Bell MT"/>
                <w:sz w:val="24"/>
                <w:lang w:val="es-ES"/>
              </w:rPr>
              <w:t xml:space="preserve">s 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  <w:proofErr w:type="gramEnd"/>
          </w:p>
          <w:p w:rsidR="00DA3F8B" w:rsidRPr="004548EF" w:rsidRDefault="00DA3F8B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bienes de inversión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</w:tc>
      </w:tr>
      <w:tr w:rsidR="00A9091E" w:rsidRPr="004548EF" w:rsidTr="00A9091E">
        <w:trPr>
          <w:trHeight w:val="940"/>
        </w:trPr>
        <w:tc>
          <w:tcPr>
            <w:tcW w:w="1668" w:type="dxa"/>
            <w:vMerge/>
          </w:tcPr>
          <w:p w:rsidR="00DA3F8B" w:rsidRPr="004548EF" w:rsidRDefault="00DA3F8B" w:rsidP="00A9091E">
            <w:pPr>
              <w:rPr>
                <w:rFonts w:ascii="Bell MT" w:hAnsi="Bell MT"/>
                <w:sz w:val="24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DA3F8B" w:rsidRPr="004548EF" w:rsidRDefault="00DA3F8B" w:rsidP="001C16F4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Estimación objetiva</w:t>
            </w:r>
          </w:p>
        </w:tc>
        <w:tc>
          <w:tcPr>
            <w:tcW w:w="6240" w:type="dxa"/>
            <w:gridSpan w:val="2"/>
            <w:shd w:val="clear" w:color="auto" w:fill="auto"/>
          </w:tcPr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Obligación de conservar facturas emitidas y recibidas</w:t>
            </w:r>
          </w:p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Obligación de conservar justificantes de los módulos ap</w:t>
            </w:r>
            <w:r w:rsidR="004548EF">
              <w:rPr>
                <w:rFonts w:ascii="Bell MT" w:hAnsi="Bell MT"/>
                <w:sz w:val="24"/>
                <w:lang w:val="es-ES"/>
              </w:rPr>
              <w:t>lic</w:t>
            </w:r>
            <w:r w:rsidRPr="004548EF">
              <w:rPr>
                <w:rFonts w:ascii="Bell MT" w:hAnsi="Bell MT"/>
                <w:sz w:val="24"/>
                <w:lang w:val="es-ES"/>
              </w:rPr>
              <w:t>ados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registro de bienes de inversión si deducen amortizaciones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registro de ventas o ingresos si determinan el rendimiento en función del volumen de operaciones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</w:tc>
      </w:tr>
      <w:tr w:rsidR="00A9091E" w:rsidRPr="004548EF" w:rsidTr="00A9091E">
        <w:trPr>
          <w:trHeight w:val="1650"/>
        </w:trPr>
        <w:tc>
          <w:tcPr>
            <w:tcW w:w="1668" w:type="dxa"/>
          </w:tcPr>
          <w:p w:rsidR="00A9091E" w:rsidRPr="004548EF" w:rsidRDefault="00A9091E" w:rsidP="00A9091E">
            <w:pPr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Actividades profesionales estimació</w:t>
            </w:r>
            <w:r w:rsidR="001C16F4" w:rsidRPr="004548EF">
              <w:rPr>
                <w:rFonts w:ascii="Bell MT" w:hAnsi="Bell MT"/>
                <w:b/>
                <w:sz w:val="24"/>
                <w:lang w:val="es-ES"/>
              </w:rPr>
              <w:t>n di</w:t>
            </w:r>
            <w:r w:rsidRPr="004548EF">
              <w:rPr>
                <w:rFonts w:ascii="Bell MT" w:hAnsi="Bell MT"/>
                <w:b/>
                <w:sz w:val="24"/>
                <w:lang w:val="es-ES"/>
              </w:rPr>
              <w:t>recta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Registro de ventas e ingresos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</w:t>
            </w:r>
            <w:r w:rsidR="004548EF" w:rsidRPr="004548EF">
              <w:rPr>
                <w:rFonts w:ascii="Bell MT" w:hAnsi="Bell MT"/>
                <w:sz w:val="24"/>
                <w:lang w:val="es-ES"/>
              </w:rPr>
              <w:t xml:space="preserve">bro Registro de compras y </w:t>
            </w:r>
            <w:proofErr w:type="gramStart"/>
            <w:r w:rsidR="004548EF" w:rsidRPr="004548EF">
              <w:rPr>
                <w:rFonts w:ascii="Bell MT" w:hAnsi="Bell MT"/>
                <w:sz w:val="24"/>
                <w:lang w:val="es-ES"/>
              </w:rPr>
              <w:t>gasto</w:t>
            </w:r>
            <w:r w:rsidRPr="004548EF">
              <w:rPr>
                <w:rFonts w:ascii="Bell MT" w:hAnsi="Bell MT"/>
                <w:sz w:val="24"/>
                <w:lang w:val="es-ES"/>
              </w:rPr>
              <w:t xml:space="preserve"> 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  <w:proofErr w:type="gramEnd"/>
          </w:p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bienes de inversión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A9091E" w:rsidRPr="004548EF" w:rsidRDefault="004548EF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Registro de pro</w:t>
            </w:r>
            <w:r w:rsidR="00A9091E" w:rsidRPr="004548EF">
              <w:rPr>
                <w:rFonts w:ascii="Bell MT" w:hAnsi="Bell MT"/>
                <w:sz w:val="24"/>
                <w:lang w:val="es-ES"/>
              </w:rPr>
              <w:t>visiones de fondos y suplidos</w:t>
            </w:r>
            <w:r>
              <w:rPr>
                <w:rFonts w:ascii="Bell MT" w:hAnsi="Bell MT"/>
                <w:sz w:val="24"/>
                <w:lang w:val="es-ES"/>
              </w:rPr>
              <w:t>.</w:t>
            </w:r>
          </w:p>
        </w:tc>
      </w:tr>
    </w:tbl>
    <w:p w:rsidR="00CE3DB4" w:rsidRDefault="00EB56CB">
      <w:pPr>
        <w:rPr>
          <w:lang w:val="es-ES"/>
        </w:rPr>
      </w:pPr>
    </w:p>
    <w:tbl>
      <w:tblPr>
        <w:tblW w:w="950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5812"/>
      </w:tblGrid>
      <w:tr w:rsidR="00403012" w:rsidTr="00FF5B91">
        <w:trPr>
          <w:trHeight w:val="520"/>
        </w:trPr>
        <w:tc>
          <w:tcPr>
            <w:tcW w:w="9506" w:type="dxa"/>
            <w:gridSpan w:val="2"/>
          </w:tcPr>
          <w:p w:rsidR="00403012" w:rsidRPr="00403012" w:rsidRDefault="00403012" w:rsidP="00403012">
            <w:pPr>
              <w:ind w:left="150"/>
              <w:jc w:val="center"/>
              <w:rPr>
                <w:rFonts w:ascii="Bell MT" w:hAnsi="Bell MT"/>
                <w:b/>
                <w:lang w:val="es-ES"/>
              </w:rPr>
            </w:pPr>
            <w:r w:rsidRPr="00403012">
              <w:rPr>
                <w:rFonts w:ascii="Bell MT" w:hAnsi="Bell MT"/>
                <w:b/>
                <w:sz w:val="28"/>
                <w:lang w:val="es-ES"/>
              </w:rPr>
              <w:t>Actividades empresariales no mercantiles</w:t>
            </w:r>
          </w:p>
        </w:tc>
      </w:tr>
      <w:tr w:rsidR="00403012" w:rsidTr="00FF5B91">
        <w:trPr>
          <w:trHeight w:val="1776"/>
        </w:trPr>
        <w:tc>
          <w:tcPr>
            <w:tcW w:w="3694" w:type="dxa"/>
          </w:tcPr>
          <w:p w:rsidR="00403012" w:rsidRPr="00FF5B91" w:rsidRDefault="00403012" w:rsidP="00D7260A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FF5B91">
              <w:rPr>
                <w:rFonts w:ascii="Bell MT" w:hAnsi="Bell MT"/>
                <w:b/>
                <w:sz w:val="24"/>
                <w:lang w:val="es-ES"/>
              </w:rPr>
              <w:t>En estimación directa: normal o simplificada</w:t>
            </w:r>
          </w:p>
          <w:p w:rsidR="00403012" w:rsidRPr="00FF5B91" w:rsidRDefault="00403012" w:rsidP="00D7260A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FF5B91">
              <w:rPr>
                <w:rFonts w:ascii="Bell MT" w:hAnsi="Bell MT"/>
                <w:b/>
                <w:sz w:val="24"/>
                <w:lang w:val="es-ES"/>
              </w:rPr>
              <w:t>Agricultura, ganadería, forestal</w:t>
            </w:r>
          </w:p>
          <w:p w:rsidR="00403012" w:rsidRPr="00FF5B91" w:rsidRDefault="00403012" w:rsidP="00FF5B91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FF5B91">
              <w:rPr>
                <w:rFonts w:ascii="Bell MT" w:hAnsi="Bell MT"/>
                <w:b/>
                <w:sz w:val="24"/>
                <w:lang w:val="es-ES"/>
              </w:rPr>
              <w:t>Artesanía.</w:t>
            </w:r>
          </w:p>
        </w:tc>
        <w:tc>
          <w:tcPr>
            <w:tcW w:w="5812" w:type="dxa"/>
          </w:tcPr>
          <w:p w:rsidR="00403012" w:rsidRPr="004548EF" w:rsidRDefault="00403012" w:rsidP="00D7260A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Registro de ventas e ingresos</w:t>
            </w:r>
            <w:r>
              <w:rPr>
                <w:rFonts w:ascii="Bell MT" w:hAnsi="Bell MT"/>
                <w:sz w:val="24"/>
                <w:lang w:val="es-ES"/>
              </w:rPr>
              <w:t>.</w:t>
            </w:r>
          </w:p>
          <w:p w:rsidR="00403012" w:rsidRPr="004548EF" w:rsidRDefault="00403012" w:rsidP="00D7260A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 xml:space="preserve">Libro Registro de compras y </w:t>
            </w:r>
            <w:proofErr w:type="gramStart"/>
            <w:r w:rsidRPr="004548EF">
              <w:rPr>
                <w:rFonts w:ascii="Bell MT" w:hAnsi="Bell MT"/>
                <w:sz w:val="24"/>
                <w:lang w:val="es-ES"/>
              </w:rPr>
              <w:t xml:space="preserve">gasto </w:t>
            </w:r>
            <w:r>
              <w:rPr>
                <w:rFonts w:ascii="Bell MT" w:hAnsi="Bell MT"/>
                <w:sz w:val="24"/>
                <w:lang w:val="es-ES"/>
              </w:rPr>
              <w:t>.</w:t>
            </w:r>
            <w:proofErr w:type="gramEnd"/>
          </w:p>
          <w:p w:rsidR="00403012" w:rsidRPr="004548EF" w:rsidRDefault="00403012" w:rsidP="00D7260A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bienes de inversión</w:t>
            </w:r>
            <w:r>
              <w:rPr>
                <w:rFonts w:ascii="Bell MT" w:hAnsi="Bell MT"/>
                <w:sz w:val="24"/>
                <w:lang w:val="es-ES"/>
              </w:rPr>
              <w:t>.</w:t>
            </w:r>
          </w:p>
          <w:p w:rsidR="00403012" w:rsidRDefault="00403012" w:rsidP="00403012">
            <w:pPr>
              <w:ind w:left="300"/>
              <w:rPr>
                <w:lang w:val="es-ES"/>
              </w:rPr>
            </w:pPr>
          </w:p>
        </w:tc>
      </w:tr>
    </w:tbl>
    <w:p w:rsidR="00403012" w:rsidRDefault="00403012">
      <w:pPr>
        <w:rPr>
          <w:lang w:val="es-ES"/>
        </w:rPr>
      </w:pPr>
    </w:p>
    <w:p w:rsidR="00403012" w:rsidRPr="004548EF" w:rsidRDefault="00403012">
      <w:pPr>
        <w:rPr>
          <w:lang w:val="es-ES"/>
        </w:rPr>
      </w:pPr>
    </w:p>
    <w:tbl>
      <w:tblPr>
        <w:tblW w:w="94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2550"/>
        <w:gridCol w:w="415"/>
        <w:gridCol w:w="4100"/>
      </w:tblGrid>
      <w:tr w:rsidR="00A9091E" w:rsidRPr="004548EF" w:rsidTr="00FF5B91">
        <w:trPr>
          <w:trHeight w:val="390"/>
        </w:trPr>
        <w:tc>
          <w:tcPr>
            <w:tcW w:w="9487" w:type="dxa"/>
            <w:gridSpan w:val="4"/>
            <w:tcBorders>
              <w:bottom w:val="single" w:sz="4" w:space="0" w:color="auto"/>
            </w:tcBorders>
          </w:tcPr>
          <w:p w:rsidR="00A9091E" w:rsidRPr="004548EF" w:rsidRDefault="00A9091E" w:rsidP="001C16F4">
            <w:pPr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lastRenderedPageBreak/>
              <w:t>Impuesto sobre Sociedade</w:t>
            </w:r>
            <w:r w:rsidR="004548EF" w:rsidRPr="004548EF">
              <w:rPr>
                <w:rFonts w:ascii="Bell MT" w:hAnsi="Bell MT"/>
                <w:b/>
                <w:sz w:val="24"/>
                <w:lang w:val="es-ES"/>
              </w:rPr>
              <w:t>s</w:t>
            </w:r>
          </w:p>
        </w:tc>
      </w:tr>
      <w:tr w:rsidR="00A9091E" w:rsidRPr="004548EF" w:rsidTr="00FF5B91">
        <w:trPr>
          <w:trHeight w:val="287"/>
        </w:trPr>
        <w:tc>
          <w:tcPr>
            <w:tcW w:w="2422" w:type="dxa"/>
            <w:vMerge w:val="restart"/>
          </w:tcPr>
          <w:p w:rsidR="001C16F4" w:rsidRPr="004548EF" w:rsidRDefault="001C16F4" w:rsidP="001C16F4">
            <w:pPr>
              <w:ind w:left="75"/>
              <w:jc w:val="center"/>
              <w:rPr>
                <w:rFonts w:ascii="Bell MT" w:hAnsi="Bell MT"/>
                <w:sz w:val="24"/>
                <w:lang w:val="es-ES"/>
              </w:rPr>
            </w:pPr>
          </w:p>
          <w:p w:rsidR="001C16F4" w:rsidRPr="004548EF" w:rsidRDefault="001C16F4" w:rsidP="001C16F4">
            <w:pPr>
              <w:ind w:left="75"/>
              <w:jc w:val="center"/>
              <w:rPr>
                <w:rFonts w:ascii="Bell MT" w:hAnsi="Bell MT"/>
                <w:sz w:val="24"/>
                <w:lang w:val="es-ES"/>
              </w:rPr>
            </w:pPr>
          </w:p>
          <w:p w:rsidR="00A9091E" w:rsidRPr="004548EF" w:rsidRDefault="00A9091E" w:rsidP="001C16F4">
            <w:pPr>
              <w:ind w:left="75"/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Contabilidad según Código de Comercio</w:t>
            </w:r>
          </w:p>
        </w:tc>
        <w:tc>
          <w:tcPr>
            <w:tcW w:w="7065" w:type="dxa"/>
            <w:gridSpan w:val="3"/>
            <w:shd w:val="clear" w:color="auto" w:fill="auto"/>
          </w:tcPr>
          <w:p w:rsidR="00A9091E" w:rsidRPr="004548EF" w:rsidRDefault="00A9091E" w:rsidP="001C16F4">
            <w:pPr>
              <w:jc w:val="center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Diario</w:t>
            </w:r>
          </w:p>
        </w:tc>
      </w:tr>
      <w:tr w:rsidR="00A9091E" w:rsidRPr="004548EF" w:rsidTr="00FF5B91">
        <w:trPr>
          <w:trHeight w:val="780"/>
        </w:trPr>
        <w:tc>
          <w:tcPr>
            <w:tcW w:w="2422" w:type="dxa"/>
            <w:vMerge/>
          </w:tcPr>
          <w:p w:rsidR="00A9091E" w:rsidRPr="004548EF" w:rsidRDefault="00A9091E" w:rsidP="001C16F4">
            <w:pPr>
              <w:ind w:left="75"/>
              <w:rPr>
                <w:rFonts w:ascii="Bell MT" w:hAnsi="Bell MT"/>
                <w:sz w:val="24"/>
                <w:lang w:val="es-ES"/>
              </w:rPr>
            </w:pPr>
          </w:p>
        </w:tc>
        <w:tc>
          <w:tcPr>
            <w:tcW w:w="2965" w:type="dxa"/>
            <w:gridSpan w:val="2"/>
            <w:shd w:val="clear" w:color="auto" w:fill="auto"/>
          </w:tcPr>
          <w:p w:rsidR="001C16F4" w:rsidRPr="004548EF" w:rsidRDefault="001C16F4" w:rsidP="001C16F4">
            <w:pPr>
              <w:jc w:val="center"/>
              <w:rPr>
                <w:rFonts w:ascii="Bell MT" w:hAnsi="Bell MT"/>
                <w:sz w:val="24"/>
                <w:lang w:val="es-ES"/>
              </w:rPr>
            </w:pPr>
          </w:p>
          <w:p w:rsidR="00A9091E" w:rsidRPr="004548EF" w:rsidRDefault="00A9091E" w:rsidP="001C16F4">
            <w:pPr>
              <w:jc w:val="center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inventarios y cuentas anuales</w:t>
            </w:r>
          </w:p>
        </w:tc>
        <w:tc>
          <w:tcPr>
            <w:tcW w:w="4100" w:type="dxa"/>
            <w:shd w:val="clear" w:color="auto" w:fill="auto"/>
          </w:tcPr>
          <w:p w:rsidR="00A9091E" w:rsidRPr="004548EF" w:rsidRDefault="00A9091E" w:rsidP="001C16F4">
            <w:pPr>
              <w:spacing w:line="240" w:lineRule="auto"/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 xml:space="preserve">Balance de </w:t>
            </w:r>
            <w:proofErr w:type="gramStart"/>
            <w:r w:rsidRPr="004548EF">
              <w:rPr>
                <w:rFonts w:ascii="Bell MT" w:hAnsi="Bell MT"/>
                <w:sz w:val="24"/>
                <w:lang w:val="es-ES"/>
              </w:rPr>
              <w:t xml:space="preserve">situación 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  <w:proofErr w:type="gramEnd"/>
          </w:p>
          <w:p w:rsidR="001C16F4" w:rsidRPr="004548EF" w:rsidRDefault="004548EF" w:rsidP="001C16F4">
            <w:pPr>
              <w:spacing w:line="240" w:lineRule="auto"/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Pérdidas</w:t>
            </w:r>
            <w:r w:rsidR="001C16F4" w:rsidRPr="004548EF">
              <w:rPr>
                <w:rFonts w:ascii="Bell MT" w:hAnsi="Bell MT"/>
                <w:sz w:val="24"/>
                <w:lang w:val="es-ES"/>
              </w:rPr>
              <w:t xml:space="preserve"> y ganancias</w:t>
            </w:r>
            <w:r>
              <w:rPr>
                <w:rFonts w:ascii="Bell MT" w:hAnsi="Bell MT"/>
                <w:sz w:val="24"/>
                <w:lang w:val="es-ES"/>
              </w:rPr>
              <w:t>.</w:t>
            </w:r>
          </w:p>
          <w:p w:rsidR="00A9091E" w:rsidRPr="004548EF" w:rsidRDefault="004548EF" w:rsidP="001C16F4">
            <w:pPr>
              <w:spacing w:line="240" w:lineRule="auto"/>
              <w:jc w:val="both"/>
              <w:rPr>
                <w:rFonts w:ascii="Bell MT" w:hAnsi="Bell MT"/>
                <w:sz w:val="24"/>
                <w:lang w:val="es-ES"/>
              </w:rPr>
            </w:pPr>
            <w:r>
              <w:rPr>
                <w:rFonts w:ascii="Bell MT" w:hAnsi="Bell MT"/>
                <w:sz w:val="24"/>
                <w:lang w:val="es-ES"/>
              </w:rPr>
              <w:t>Estado de cambios y</w:t>
            </w:r>
            <w:r w:rsidR="00A9091E" w:rsidRPr="004548EF">
              <w:rPr>
                <w:rFonts w:ascii="Bell MT" w:hAnsi="Bell MT"/>
                <w:sz w:val="24"/>
                <w:lang w:val="es-ES"/>
              </w:rPr>
              <w:t xml:space="preserve"> el patrimonio neto </w:t>
            </w:r>
          </w:p>
          <w:p w:rsidR="00A9091E" w:rsidRPr="004548EF" w:rsidRDefault="001C16F4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Estado de f</w:t>
            </w:r>
            <w:r w:rsidR="00A9091E" w:rsidRPr="004548EF">
              <w:rPr>
                <w:rFonts w:ascii="Bell MT" w:hAnsi="Bell MT"/>
                <w:sz w:val="24"/>
                <w:lang w:val="es-ES"/>
              </w:rPr>
              <w:t>lujos de efectivo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  <w:p w:rsidR="00A9091E" w:rsidRPr="004548EF" w:rsidRDefault="00A9091E" w:rsidP="001C16F4">
            <w:pPr>
              <w:jc w:val="both"/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Memoria</w:t>
            </w:r>
            <w:r w:rsidR="004548EF">
              <w:rPr>
                <w:rFonts w:ascii="Bell MT" w:hAnsi="Bell MT"/>
                <w:sz w:val="24"/>
                <w:lang w:val="es-ES"/>
              </w:rPr>
              <w:t>.</w:t>
            </w:r>
          </w:p>
        </w:tc>
      </w:tr>
      <w:tr w:rsidR="001C16F4" w:rsidRPr="004548EF" w:rsidTr="00FF5B91">
        <w:trPr>
          <w:trHeight w:val="585"/>
        </w:trPr>
        <w:tc>
          <w:tcPr>
            <w:tcW w:w="9487" w:type="dxa"/>
            <w:gridSpan w:val="4"/>
          </w:tcPr>
          <w:p w:rsidR="001C16F4" w:rsidRPr="004548EF" w:rsidRDefault="001C16F4" w:rsidP="001C16F4">
            <w:pPr>
              <w:ind w:left="-15"/>
              <w:jc w:val="center"/>
              <w:rPr>
                <w:rFonts w:ascii="Bell MT" w:hAnsi="Bell MT"/>
                <w:b/>
                <w:sz w:val="24"/>
                <w:lang w:val="es-ES"/>
              </w:rPr>
            </w:pPr>
            <w:r w:rsidRPr="004548EF">
              <w:rPr>
                <w:rFonts w:ascii="Bell MT" w:hAnsi="Bell MT"/>
                <w:b/>
                <w:sz w:val="24"/>
                <w:lang w:val="es-ES"/>
              </w:rPr>
              <w:t>Impuesto sobre el Valor Añadido</w:t>
            </w:r>
          </w:p>
        </w:tc>
      </w:tr>
      <w:tr w:rsidR="001C16F4" w:rsidRPr="004548EF" w:rsidTr="00FF5B91">
        <w:trPr>
          <w:trHeight w:val="1440"/>
        </w:trPr>
        <w:tc>
          <w:tcPr>
            <w:tcW w:w="4972" w:type="dxa"/>
            <w:gridSpan w:val="2"/>
          </w:tcPr>
          <w:p w:rsidR="001C16F4" w:rsidRPr="004548EF" w:rsidRDefault="001C16F4" w:rsidP="001C16F4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registro de facturas emitidas</w:t>
            </w:r>
          </w:p>
          <w:p w:rsidR="001C16F4" w:rsidRPr="004548EF" w:rsidRDefault="001C16F4" w:rsidP="001C16F4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registro de facturas recibidas</w:t>
            </w:r>
          </w:p>
        </w:tc>
        <w:tc>
          <w:tcPr>
            <w:tcW w:w="4515" w:type="dxa"/>
            <w:gridSpan w:val="2"/>
          </w:tcPr>
          <w:p w:rsidR="001C16F4" w:rsidRPr="004548EF" w:rsidRDefault="001C16F4" w:rsidP="001C16F4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registro de bienes de inversión</w:t>
            </w:r>
          </w:p>
          <w:p w:rsidR="001C16F4" w:rsidRPr="004548EF" w:rsidRDefault="004548EF" w:rsidP="001C16F4">
            <w:pPr>
              <w:rPr>
                <w:rFonts w:ascii="Bell MT" w:hAnsi="Bell MT"/>
                <w:sz w:val="24"/>
                <w:lang w:val="es-ES"/>
              </w:rPr>
            </w:pPr>
            <w:r w:rsidRPr="004548EF">
              <w:rPr>
                <w:rFonts w:ascii="Bell MT" w:hAnsi="Bell MT"/>
                <w:sz w:val="24"/>
                <w:lang w:val="es-ES"/>
              </w:rPr>
              <w:t>Libro de registro de determi</w:t>
            </w:r>
            <w:r w:rsidR="001C16F4" w:rsidRPr="004548EF">
              <w:rPr>
                <w:rFonts w:ascii="Bell MT" w:hAnsi="Bell MT"/>
                <w:sz w:val="24"/>
                <w:lang w:val="es-ES"/>
              </w:rPr>
              <w:t>nadas operacio</w:t>
            </w:r>
            <w:r w:rsidRPr="004548EF">
              <w:rPr>
                <w:rFonts w:ascii="Bell MT" w:hAnsi="Bell MT"/>
                <w:sz w:val="24"/>
                <w:lang w:val="es-ES"/>
              </w:rPr>
              <w:t>nes i</w:t>
            </w:r>
            <w:r w:rsidR="001C16F4" w:rsidRPr="004548EF">
              <w:rPr>
                <w:rFonts w:ascii="Bell MT" w:hAnsi="Bell MT"/>
                <w:sz w:val="24"/>
                <w:lang w:val="es-ES"/>
              </w:rPr>
              <w:t>ntracomunitarias</w:t>
            </w:r>
          </w:p>
        </w:tc>
      </w:tr>
    </w:tbl>
    <w:p w:rsidR="00A9091E" w:rsidRDefault="00A9091E">
      <w:pPr>
        <w:rPr>
          <w:lang w:val="es-ES"/>
        </w:rPr>
      </w:pPr>
    </w:p>
    <w:p w:rsidR="004371BC" w:rsidRDefault="004371BC">
      <w:pPr>
        <w:rPr>
          <w:lang w:val="es-ES"/>
        </w:rPr>
      </w:pPr>
      <w:r>
        <w:rPr>
          <w:lang w:val="es-ES"/>
        </w:rPr>
        <w:t>NOTA: REDEME</w:t>
      </w:r>
    </w:p>
    <w:p w:rsidR="004371BC" w:rsidRDefault="004371BC">
      <w:pPr>
        <w:rPr>
          <w:lang w:val="es-ES"/>
        </w:rPr>
      </w:pPr>
      <w:r>
        <w:rPr>
          <w:lang w:val="es-ES"/>
        </w:rPr>
        <w:t>Sujetos pasivos  inscritos en el REDEME están obligados a presentan con el Modelo 303, el modelo 340 DECLARACIÓN INFORMATIVA DE OPEACIONES INCLUIDAS EN LOS LIBROS REGISTROS.</w:t>
      </w:r>
    </w:p>
    <w:p w:rsidR="00EB56CB" w:rsidRDefault="00EB56CB">
      <w:pPr>
        <w:rPr>
          <w:lang w:val="es-ES"/>
        </w:rPr>
      </w:pPr>
      <w:r>
        <w:rPr>
          <w:lang w:val="es-ES"/>
        </w:rPr>
        <w:t xml:space="preserve">DESDE JULIO DE 2017 </w:t>
      </w:r>
      <w:bookmarkStart w:id="0" w:name="_GoBack"/>
      <w:r>
        <w:rPr>
          <w:noProof/>
          <w:lang w:eastAsia="gl-ES"/>
        </w:rPr>
        <w:drawing>
          <wp:inline distT="0" distB="0" distL="0" distR="0" wp14:anchorId="5ADE53BA" wp14:editId="756F4EBF">
            <wp:extent cx="1352550" cy="609600"/>
            <wp:effectExtent l="0" t="0" r="0" b="0"/>
            <wp:docPr id="1" name="Imagen 1" descr="Suministro Inmediato de Información (SI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ministro Inmediato de Información (SI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71BC" w:rsidRDefault="004371BC">
      <w:pPr>
        <w:rPr>
          <w:lang w:val="es-ES"/>
        </w:rPr>
      </w:pPr>
      <w:r>
        <w:rPr>
          <w:lang w:val="es-ES"/>
        </w:rPr>
        <w:t>IVA RÉGIMEN SIMPLIFICADO.</w:t>
      </w:r>
    </w:p>
    <w:p w:rsidR="004371BC" w:rsidRDefault="004371BC">
      <w:pPr>
        <w:rPr>
          <w:lang w:val="es-ES"/>
        </w:rPr>
      </w:pPr>
      <w:r>
        <w:rPr>
          <w:lang w:val="es-ES"/>
        </w:rPr>
        <w:t>Sólo llevan el libro registro de facturas recibidas</w:t>
      </w:r>
    </w:p>
    <w:p w:rsidR="004371BC" w:rsidRDefault="004371BC">
      <w:pPr>
        <w:rPr>
          <w:lang w:val="es-ES"/>
        </w:rPr>
      </w:pPr>
      <w:r>
        <w:rPr>
          <w:lang w:val="es-ES"/>
        </w:rPr>
        <w:t>Si determinan el rendimiento neto e</w:t>
      </w:r>
      <w:r w:rsidR="004B6480">
        <w:rPr>
          <w:lang w:val="es-ES"/>
        </w:rPr>
        <w:t>n volumen de operaciones, llevarán LIBRO REGISTRO DE OPERACIONES REALIZADAS EN RÉGIMEN SIMPLIFICADO.</w:t>
      </w:r>
    </w:p>
    <w:p w:rsidR="004B6480" w:rsidRDefault="004B6480">
      <w:pPr>
        <w:rPr>
          <w:lang w:val="es-ES"/>
        </w:rPr>
      </w:pPr>
    </w:p>
    <w:p w:rsidR="004371BC" w:rsidRPr="004548EF" w:rsidRDefault="004371BC">
      <w:pPr>
        <w:rPr>
          <w:lang w:val="es-ES"/>
        </w:rPr>
      </w:pPr>
    </w:p>
    <w:sectPr w:rsidR="004371BC" w:rsidRPr="00454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8B"/>
    <w:rsid w:val="000674E5"/>
    <w:rsid w:val="001C16F4"/>
    <w:rsid w:val="00403012"/>
    <w:rsid w:val="004371BC"/>
    <w:rsid w:val="004548EF"/>
    <w:rsid w:val="004B6480"/>
    <w:rsid w:val="00A9091E"/>
    <w:rsid w:val="00B00265"/>
    <w:rsid w:val="00D7260A"/>
    <w:rsid w:val="00DA3F8B"/>
    <w:rsid w:val="00EB56CB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Gonzalez Vazquez</dc:creator>
  <cp:lastModifiedBy>Casa</cp:lastModifiedBy>
  <cp:revision>2</cp:revision>
  <dcterms:created xsi:type="dcterms:W3CDTF">2018-01-30T12:10:00Z</dcterms:created>
  <dcterms:modified xsi:type="dcterms:W3CDTF">2018-01-30T12:10:00Z</dcterms:modified>
</cp:coreProperties>
</file>